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br/>
        <w:t xml:space="preserve">PURSUANT TO RULE 13a-16 OR 15d-16 OF </w:t>
        <w:b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September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237001511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45"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tbl>
      <w:tblPr>
        <w:tblW w:w="7423" w:type="dxa"/>
        <w:jc w:val="left"/>
        <w:tblInd w:w="0" w:type="dxa"/>
        <w:tblLayout w:type="fixed"/>
        <w:tblCellMar>
          <w:top w:w="28" w:type="dxa"/>
          <w:left w:w="28" w:type="dxa"/>
          <w:bottom w:w="28" w:type="dxa"/>
          <w:right w:w="28" w:type="dxa"/>
        </w:tblCellMar>
      </w:tblPr>
      <w:tblGrid>
        <w:gridCol w:w="462"/>
        <w:gridCol w:w="406"/>
        <w:gridCol w:w="406"/>
        <w:gridCol w:w="1800"/>
        <w:gridCol w:w="1800"/>
        <w:gridCol w:w="2549"/>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w:t>
            </w:r>
          </w:p>
        </w:tc>
        <w:tc>
          <w:tcPr>
            <w:tcW w:w="614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September 3, 2026.</w:t>
            </w:r>
          </w:p>
        </w:tc>
      </w:tr>
    </w:tbl>
    <w:p>
      <w:pPr>
        <w:pStyle w:val="TextBody"/>
        <w:bidi w:val="0"/>
        <w:spacing w:before="0" w:after="12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240"/>
        <w:ind w:left="0" w:right="0" w:hanging="166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514" w:type="dxa"/>
        <w:jc w:val="left"/>
        <w:tblInd w:w="0" w:type="dxa"/>
        <w:tblLayout w:type="fixed"/>
        <w:tblCellMar>
          <w:top w:w="28" w:type="dxa"/>
          <w:left w:w="28" w:type="dxa"/>
          <w:bottom w:w="28" w:type="dxa"/>
          <w:right w:w="28" w:type="dxa"/>
        </w:tblCellMar>
      </w:tblPr>
      <w:tblGrid>
        <w:gridCol w:w="885"/>
        <w:gridCol w:w="778"/>
        <w:gridCol w:w="782"/>
        <w:gridCol w:w="274"/>
        <w:gridCol w:w="274"/>
        <w:gridCol w:w="274"/>
        <w:gridCol w:w="350"/>
        <w:gridCol w:w="350"/>
        <w:gridCol w:w="350"/>
        <w:gridCol w:w="350"/>
        <w:gridCol w:w="350"/>
        <w:gridCol w:w="49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September 3, 2026</w:t>
            </w:r>
          </w:p>
        </w:tc>
        <w:tc>
          <w:tcPr>
            <w:tcW w:w="30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STELLANTIS N.V.</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2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Giorgio Fossati</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Giorgio Fossati</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before="0" w:after="0"/>
        <w:ind w:left="0" w:right="0" w:hanging="945"/>
        <w:jc w:val="left"/>
        <w:rPr/>
      </w:pPr>
      <w:r>
        <w:rPr/>
      </w:r>
    </w:p>
    <w:tbl>
      <w:tblPr>
        <w:tblW w:w="7034" w:type="dxa"/>
        <w:jc w:val="left"/>
        <w:tblInd w:w="0" w:type="dxa"/>
        <w:tblLayout w:type="fixed"/>
        <w:tblCellMar>
          <w:top w:w="28" w:type="dxa"/>
          <w:left w:w="28" w:type="dxa"/>
          <w:bottom w:w="28" w:type="dxa"/>
          <w:right w:w="28" w:type="dxa"/>
        </w:tblCellMar>
      </w:tblPr>
      <w:tblGrid>
        <w:gridCol w:w="320"/>
        <w:gridCol w:w="281"/>
        <w:gridCol w:w="283"/>
        <w:gridCol w:w="1799"/>
        <w:gridCol w:w="1799"/>
        <w:gridCol w:w="255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ind w:left="0" w:right="0" w:hanging="1305"/>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6150"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Exhibit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6150"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September 3,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ind w:left="0" w:right="0" w:firstLine="720"/>
        <w:jc w:val="center"/>
        <w:rPr>
          <w:rFonts w:ascii="Arial;sans-serif" w:hAnsi="Arial;sans-serif"/>
          <w:b/>
          <w:color w:val="243782"/>
          <w:sz w:val="24"/>
        </w:rPr>
      </w:pPr>
      <w:r>
        <w:rPr>
          <w:rFonts w:ascii="Arial;sans-serif" w:hAnsi="Arial;sans-serif"/>
          <w:b/>
          <w:color w:val="243782"/>
          <w:sz w:val="24"/>
        </w:rPr>
        <w:t xml:space="preserve">Stellantis CEO Antonio Filosa to Participate in the 2026 </w:t>
        <w:br/>
        <w:t>Jefferies Global Industrials Conference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 xml:space="preserve">AMSTERDAM, September 3, 2026 – Stellantis CEO Antonio Filosa will participate in a fireside chat at the 2026 Jefferies Global Industrials Conference in New York on Thursday, September 10, from 1:30 p.m. to 2:05 p.m. EDT/7:30 p.m. to 8:05 p.m. CEST.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Watch the live session via the following webcast link: https://event.summitcast.com/view/e82pfcbT4UwH79PoqVE5jB/9M82qnBbyStYecyd2gmjcU</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Webcast viewing details are also available in the Investors section of the Stellantis corporate website (www.stellantis.com). A replay will be available after the event.</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243782"/>
          <w:sz w:val="22"/>
        </w:rPr>
      </w:pPr>
      <w:r>
        <w:rPr>
          <w:rFonts w:ascii="Times New Roman;serif" w:hAnsi="Times New Roman;serif"/>
          <w:b/>
          <w:color w:val="243782"/>
          <w:sz w:val="22"/>
        </w:rPr>
        <w:t>About Stellantis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2"/>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serif" w:hAnsi="Times New Roman;serif"/>
          <w:b w:val="false"/>
          <w:i/>
          <w:color w:val="000000"/>
          <w:sz w:val="14"/>
        </w:rPr>
        <w:t>®</w:t>
      </w:r>
      <w:r>
        <w:rPr>
          <w:rFonts w:ascii="Times New Roman;serif" w:hAnsi="Times New Roman;serif"/>
          <w:b w:val="false"/>
          <w:i/>
          <w:color w:val="000000"/>
          <w:sz w:val="22"/>
        </w:rPr>
        <w:t xml:space="preserve">, Lancia, Maserati, Opel, Peugeot, Ram, Vauxhall, Free2move and Leasys. For more information, visit </w:t>
      </w:r>
      <w:r>
        <w:rPr>
          <w:rFonts w:ascii="Times New Roman;serif" w:hAnsi="Times New Roman;serif"/>
          <w:b w:val="false"/>
          <w:i/>
          <w:color w:val="243782"/>
          <w:sz w:val="22"/>
        </w:rPr>
        <w:t>www.stellantis.com.</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559"/>
        <w:gridCol w:w="492"/>
        <w:gridCol w:w="493"/>
        <w:gridCol w:w="439"/>
        <w:gridCol w:w="439"/>
        <w:gridCol w:w="441"/>
        <w:gridCol w:w="439"/>
        <w:gridCol w:w="439"/>
        <w:gridCol w:w="441"/>
        <w:gridCol w:w="399"/>
        <w:gridCol w:w="399"/>
        <w:gridCol w:w="56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64"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r>
    </w:tbl>
    <w:p>
      <w:pPr>
        <w:pStyle w:val="TextBody"/>
        <w:bidi w:val="0"/>
        <w:spacing w:before="0" w:after="0"/>
        <w:jc w:val="left"/>
        <w:rPr/>
      </w:pPr>
      <w:r>
        <w:rPr/>
      </w:r>
    </w:p>
    <w:p>
      <w:pPr>
        <w:pStyle w:val="TextBody"/>
        <w:bidi w:val="0"/>
        <w:spacing w:before="0" w:after="0"/>
        <w:jc w:val="left"/>
        <w:rPr/>
      </w:pPr>
      <w:r>
        <w:rPr/>
      </w:r>
    </w:p>
    <w:tbl>
      <w:tblPr>
        <w:tblW w:w="7140" w:type="dxa"/>
        <w:jc w:val="left"/>
        <w:tblInd w:w="0" w:type="dxa"/>
        <w:tblLayout w:type="fixed"/>
        <w:tblCellMar>
          <w:top w:w="28" w:type="dxa"/>
          <w:left w:w="28" w:type="dxa"/>
          <w:bottom w:w="28" w:type="dxa"/>
          <w:right w:w="28" w:type="dxa"/>
        </w:tblCellMar>
      </w:tblPr>
      <w:tblGrid>
        <w:gridCol w:w="2285"/>
        <w:gridCol w:w="2006"/>
        <w:gridCol w:w="2849"/>
      </w:tblGrid>
      <w:tr>
        <w:trPr/>
        <w:tc>
          <w:tcPr>
            <w:tcW w:w="228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243782"/>
                <w:sz w:val="22"/>
              </w:rPr>
            </w:pPr>
            <w:r>
              <w:rPr>
                <w:rFonts w:ascii="Times New Roman;serif" w:hAnsi="Times New Roman;serif"/>
                <w:b/>
                <w:color w:val="243782"/>
                <w:sz w:val="22"/>
              </w:rPr>
              <w:t>For more information, contact:</w:t>
            </w:r>
          </w:p>
          <w:p>
            <w:pPr>
              <w:pStyle w:val="TableContents"/>
              <w:bidi w:val="0"/>
              <w:spacing w:before="0" w:after="0"/>
              <w:jc w:val="left"/>
              <w:rPr/>
            </w:pPr>
            <w:r>
              <w:rPr/>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Fernão SILVEIRA </w:t>
            </w:r>
            <w:r>
              <w:rPr>
                <w:rFonts w:ascii="Times New Roman;serif" w:hAnsi="Times New Roman;serif"/>
                <w:b w:val="false"/>
                <w:color w:val="243782"/>
                <w:sz w:val="22"/>
              </w:rPr>
              <w:t>+31 6 43 25 43 41 – fernao.silveira@stellantis.com</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Nathalie ROUSSEL </w:t>
            </w:r>
            <w:r>
              <w:rPr>
                <w:rFonts w:ascii="Times New Roman;serif" w:hAnsi="Times New Roman;serif"/>
                <w:b w:val="false"/>
                <w:color w:val="243782"/>
                <w:sz w:val="22"/>
              </w:rPr>
              <w:t xml:space="preserve">+33 6 87 77 41 82 – nathalie.roussel@stellantis.com </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243782"/>
                <w:sz w:val="22"/>
              </w:rPr>
            </w:pPr>
            <w:r>
              <w:rPr>
                <w:rFonts w:ascii="Times New Roman;serif" w:hAnsi="Times New Roman;serif"/>
                <w:b w:val="false"/>
                <w:color w:val="243782"/>
                <w:sz w:val="22"/>
              </w:rPr>
              <w:t>communications@stellantis.com</w:t>
            </w:r>
          </w:p>
        </w:tc>
      </w:tr>
      <w:tr>
        <w:trPr/>
        <w:tc>
          <w:tcPr>
            <w:tcW w:w="714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243782"/>
                <w:sz w:val="22"/>
              </w:rPr>
            </w:pPr>
            <w:r>
              <w:rPr>
                <w:rFonts w:ascii="Times New Roman;serif" w:hAnsi="Times New Roman;serif"/>
                <w:b w:val="false"/>
                <w:color w:val="243782"/>
                <w:sz w:val="22"/>
              </w:rPr>
              <w:t>www.stellantis.com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415</Words>
  <Characters>2576</Characters>
  <CharactersWithSpaces>2954</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