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0002011989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0"/>
        <w:gridCol w:w="3535"/>
      </w:tblGrid>
      <w:tr>
        <w:trPr/>
        <w:tc>
          <w:tcPr>
            <w:tcW w:w="6670" w:type="dxa"/>
            <w:tcBorders/>
            <w:vAlign w:val="center"/>
          </w:tcPr>
          <w:p>
            <w:pPr>
              <w:pStyle w:val="TableContents"/>
              <w:bidi w:val="0"/>
              <w:spacing w:before="0" w:after="283"/>
              <w:jc w:val="left"/>
              <w:rPr/>
            </w:pPr>
            <w:r>
              <w:rPr/>
              <w:t>Name of Issuer</w:t>
            </w:r>
          </w:p>
        </w:tc>
        <w:tc>
          <w:tcPr>
            <w:tcW w:w="3535" w:type="dxa"/>
            <w:tcBorders/>
            <w:vAlign w:val="center"/>
          </w:tcPr>
          <w:p>
            <w:pPr>
              <w:pStyle w:val="TableContents"/>
              <w:bidi w:val="0"/>
              <w:spacing w:before="0" w:after="0"/>
              <w:jc w:val="left"/>
              <w:rPr/>
            </w:pPr>
            <w:r>
              <w:rPr/>
              <w:t>Stellantis N.V.</w:t>
            </w:r>
          </w:p>
        </w:tc>
      </w:tr>
      <w:tr>
        <w:trPr/>
        <w:tc>
          <w:tcPr>
            <w:tcW w:w="6670" w:type="dxa"/>
            <w:tcBorders/>
            <w:vAlign w:val="center"/>
          </w:tcPr>
          <w:p>
            <w:pPr>
              <w:pStyle w:val="TableContents"/>
              <w:bidi w:val="0"/>
              <w:spacing w:before="0" w:after="283"/>
              <w:jc w:val="left"/>
              <w:rPr/>
            </w:pPr>
            <w:r>
              <w:rPr/>
              <w:t>SEC File Number</w:t>
            </w:r>
          </w:p>
        </w:tc>
        <w:tc>
          <w:tcPr>
            <w:tcW w:w="3535" w:type="dxa"/>
            <w:tcBorders/>
            <w:vAlign w:val="center"/>
          </w:tcPr>
          <w:p>
            <w:pPr>
              <w:pStyle w:val="TableContents"/>
              <w:bidi w:val="0"/>
              <w:spacing w:before="0" w:after="0"/>
              <w:jc w:val="left"/>
              <w:rPr/>
            </w:pPr>
            <w:r>
              <w:rPr/>
              <w:t>001-36675</w:t>
            </w:r>
          </w:p>
        </w:tc>
      </w:tr>
      <w:tr>
        <w:trPr/>
        <w:tc>
          <w:tcPr>
            <w:tcW w:w="6670" w:type="dxa"/>
            <w:tcBorders/>
            <w:vAlign w:val="center"/>
          </w:tcPr>
          <w:p>
            <w:pPr>
              <w:pStyle w:val="TableContents"/>
              <w:bidi w:val="0"/>
              <w:spacing w:before="0" w:after="283"/>
              <w:jc w:val="left"/>
              <w:rPr/>
            </w:pPr>
            <w:r>
              <w:rPr/>
              <w:t>Address of Issuer</w:t>
            </w:r>
          </w:p>
        </w:tc>
        <w:tc>
          <w:tcPr>
            <w:tcW w:w="3535" w:type="dxa"/>
            <w:tcBorders/>
            <w:vAlign w:val="center"/>
          </w:tcPr>
          <w:p>
            <w:pPr>
              <w:pStyle w:val="TableContents"/>
              <w:bidi w:val="0"/>
              <w:spacing w:before="0" w:after="0"/>
              <w:jc w:val="left"/>
              <w:rPr/>
            </w:pPr>
            <w:r>
              <w:rPr/>
              <w:t>Taurusavenue 1</w:t>
              <w:br/>
              <w:t>2132 LS Hoofddorp</w:t>
              <w:br/>
              <w:t>Amsterdam</w:t>
              <w:br/>
              <w:t xml:space="preserve">NETHERLANDS </w:t>
              <w:br/>
              <w:t>2132 LS</w:t>
            </w:r>
          </w:p>
        </w:tc>
      </w:tr>
      <w:tr>
        <w:trPr/>
        <w:tc>
          <w:tcPr>
            <w:tcW w:w="6670" w:type="dxa"/>
            <w:tcBorders/>
            <w:vAlign w:val="center"/>
          </w:tcPr>
          <w:p>
            <w:pPr>
              <w:pStyle w:val="TableContents"/>
              <w:bidi w:val="0"/>
              <w:spacing w:before="0" w:after="283"/>
              <w:jc w:val="left"/>
              <w:rPr/>
            </w:pPr>
            <w:r>
              <w:rPr/>
              <w:t>Phone</w:t>
            </w:r>
          </w:p>
        </w:tc>
        <w:tc>
          <w:tcPr>
            <w:tcW w:w="3535" w:type="dxa"/>
            <w:tcBorders/>
            <w:vAlign w:val="center"/>
          </w:tcPr>
          <w:p>
            <w:pPr>
              <w:pStyle w:val="TableContents"/>
              <w:bidi w:val="0"/>
              <w:spacing w:before="0" w:after="0"/>
              <w:jc w:val="left"/>
              <w:rPr/>
            </w:pPr>
            <w:r>
              <w:rPr/>
              <w:t>31237001511</w:t>
            </w:r>
          </w:p>
        </w:tc>
      </w:tr>
      <w:tr>
        <w:trPr/>
        <w:tc>
          <w:tcPr>
            <w:tcW w:w="6670" w:type="dxa"/>
            <w:tcBorders/>
            <w:vAlign w:val="center"/>
          </w:tcPr>
          <w:p>
            <w:pPr>
              <w:pStyle w:val="TableContents"/>
              <w:bidi w:val="0"/>
              <w:spacing w:before="0" w:after="283"/>
              <w:jc w:val="left"/>
              <w:rPr/>
            </w:pPr>
            <w:r>
              <w:rPr/>
              <w:t>Name of Person for Whose Account the Securities are To Be Sold</w:t>
            </w:r>
          </w:p>
        </w:tc>
        <w:tc>
          <w:tcPr>
            <w:tcW w:w="3535" w:type="dxa"/>
            <w:tcBorders/>
            <w:vAlign w:val="center"/>
          </w:tcPr>
          <w:p>
            <w:pPr>
              <w:pStyle w:val="TableContents"/>
              <w:bidi w:val="0"/>
              <w:spacing w:before="0" w:after="0"/>
              <w:jc w:val="left"/>
              <w:rPr/>
            </w:pPr>
            <w:r>
              <w:rPr/>
              <w:t>Emanuele Cappellano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0" w:type="dxa"/>
            <w:tcBorders/>
            <w:vAlign w:val="center"/>
          </w:tcPr>
          <w:p>
            <w:pPr>
              <w:pStyle w:val="TableContents"/>
              <w:bidi w:val="0"/>
              <w:spacing w:before="0" w:after="283"/>
              <w:jc w:val="left"/>
              <w:rPr/>
            </w:pPr>
            <w:r>
              <w:rPr/>
              <w:t>Relationship to Issuer</w:t>
            </w:r>
          </w:p>
        </w:tc>
        <w:tc>
          <w:tcPr>
            <w:tcW w:w="3535"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A Common Stock</w:t>
            </w:r>
          </w:p>
        </w:tc>
        <w:tc>
          <w:tcPr>
            <w:tcW w:w="1508" w:type="dxa"/>
            <w:tcBorders/>
            <w:vAlign w:val="center"/>
          </w:tcPr>
          <w:p>
            <w:pPr>
              <w:pStyle w:val="TableContents"/>
              <w:bidi w:val="0"/>
              <w:spacing w:before="0" w:after="0"/>
              <w:jc w:val="left"/>
              <w:rPr/>
            </w:pPr>
            <w:r>
              <w:rPr/>
              <w:t>J.P. Morgan Securities LLC</w:t>
              <w:br/>
              <w:t>270 Park Ave</w:t>
              <w:br/>
              <w:t>10th Floor</w:t>
              <w:br/>
              <w:t>New York   NY   10017</w:t>
            </w:r>
          </w:p>
        </w:tc>
        <w:tc>
          <w:tcPr>
            <w:tcW w:w="1179" w:type="dxa"/>
            <w:tcBorders/>
            <w:vAlign w:val="center"/>
          </w:tcPr>
          <w:p>
            <w:pPr>
              <w:pStyle w:val="TableContents"/>
              <w:bidi w:val="0"/>
              <w:spacing w:before="0" w:after="283"/>
              <w:jc w:val="left"/>
              <w:rPr/>
            </w:pPr>
            <w:r>
              <w:rPr/>
              <w:t>18790</w:t>
            </w:r>
          </w:p>
        </w:tc>
        <w:tc>
          <w:tcPr>
            <w:tcW w:w="1388" w:type="dxa"/>
            <w:tcBorders/>
            <w:vAlign w:val="center"/>
          </w:tcPr>
          <w:p>
            <w:pPr>
              <w:pStyle w:val="TableContents"/>
              <w:bidi w:val="0"/>
              <w:spacing w:before="0" w:after="283"/>
              <w:jc w:val="left"/>
              <w:rPr/>
            </w:pPr>
            <w:r>
              <w:rPr/>
              <w:t>104104.38</w:t>
            </w:r>
          </w:p>
        </w:tc>
        <w:tc>
          <w:tcPr>
            <w:tcW w:w="1562" w:type="dxa"/>
            <w:tcBorders/>
            <w:vAlign w:val="center"/>
          </w:tcPr>
          <w:p>
            <w:pPr>
              <w:pStyle w:val="TableContents"/>
              <w:bidi w:val="0"/>
              <w:spacing w:before="0" w:after="283"/>
              <w:jc w:val="left"/>
              <w:rPr/>
            </w:pPr>
            <w:r>
              <w:rPr/>
              <w:t>2897507765</w:t>
            </w:r>
          </w:p>
        </w:tc>
        <w:tc>
          <w:tcPr>
            <w:tcW w:w="1573" w:type="dxa"/>
            <w:tcBorders/>
            <w:vAlign w:val="center"/>
          </w:tcPr>
          <w:p>
            <w:pPr>
              <w:pStyle w:val="TableContents"/>
              <w:bidi w:val="0"/>
              <w:spacing w:before="0" w:after="283"/>
              <w:jc w:val="left"/>
              <w:rPr/>
            </w:pPr>
            <w:r>
              <w:rPr/>
              <w:t>09/04/2026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RSU Vest</w:t>
            </w:r>
          </w:p>
        </w:tc>
        <w:tc>
          <w:tcPr>
            <w:tcW w:w="1151" w:type="dxa"/>
            <w:tcBorders/>
            <w:vAlign w:val="center"/>
          </w:tcPr>
          <w:p>
            <w:pPr>
              <w:pStyle w:val="TableContents"/>
              <w:bidi w:val="0"/>
              <w:spacing w:before="0" w:after="283"/>
              <w:jc w:val="left"/>
              <w:rPr/>
            </w:pPr>
            <w:r>
              <w:rPr/>
              <w:t>Stellantis N.V. (issuer)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40340</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07"/>
        <w:gridCol w:w="8398"/>
      </w:tblGrid>
      <w:tr>
        <w:trPr/>
        <w:tc>
          <w:tcPr>
            <w:tcW w:w="1807" w:type="dxa"/>
            <w:tcBorders/>
            <w:vAlign w:val="center"/>
          </w:tcPr>
          <w:p>
            <w:pPr>
              <w:pStyle w:val="TableContents"/>
              <w:bidi w:val="0"/>
              <w:spacing w:before="0" w:after="283"/>
              <w:jc w:val="left"/>
              <w:rPr/>
            </w:pPr>
            <w:r>
              <w:rPr/>
              <w:t>Remarks</w:t>
            </w:r>
          </w:p>
        </w:tc>
        <w:tc>
          <w:tcPr>
            <w:tcW w:w="8398" w:type="dxa"/>
            <w:tcBorders/>
            <w:vAlign w:val="center"/>
          </w:tcPr>
          <w:p>
            <w:pPr>
              <w:pStyle w:val="TableContents"/>
              <w:bidi w:val="0"/>
              <w:spacing w:before="0" w:after="283"/>
              <w:jc w:val="left"/>
              <w:rPr>
                <w:sz w:val="4"/>
                <w:szCs w:val="4"/>
              </w:rPr>
            </w:pPr>
            <w:r>
              <w:rPr>
                <w:sz w:val="4"/>
                <w:szCs w:val="4"/>
              </w:rPr>
            </w:r>
          </w:p>
        </w:tc>
      </w:tr>
      <w:tr>
        <w:trPr/>
        <w:tc>
          <w:tcPr>
            <w:tcW w:w="1807" w:type="dxa"/>
            <w:tcBorders/>
            <w:vAlign w:val="center"/>
          </w:tcPr>
          <w:p>
            <w:pPr>
              <w:pStyle w:val="TableContents"/>
              <w:bidi w:val="0"/>
              <w:spacing w:before="0" w:after="283"/>
              <w:jc w:val="left"/>
              <w:rPr/>
            </w:pPr>
            <w:r>
              <w:rPr/>
              <w:t>Date of Notice</w:t>
            </w:r>
          </w:p>
        </w:tc>
        <w:tc>
          <w:tcPr>
            <w:tcW w:w="8398"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07" w:type="dxa"/>
            <w:tcBorders/>
            <w:vAlign w:val="center"/>
          </w:tcPr>
          <w:p>
            <w:pPr>
              <w:pStyle w:val="TableContents"/>
              <w:bidi w:val="0"/>
              <w:spacing w:before="0" w:after="283"/>
              <w:jc w:val="left"/>
              <w:rPr/>
            </w:pPr>
            <w:r>
              <w:rPr/>
              <w:t>Signature</w:t>
            </w:r>
          </w:p>
        </w:tc>
        <w:tc>
          <w:tcPr>
            <w:tcW w:w="8398" w:type="dxa"/>
            <w:tcBorders/>
            <w:vAlign w:val="center"/>
          </w:tcPr>
          <w:p>
            <w:pPr>
              <w:pStyle w:val="TableContents"/>
              <w:bidi w:val="0"/>
              <w:spacing w:before="0" w:after="0"/>
              <w:jc w:val="left"/>
              <w:rPr/>
            </w:pPr>
            <w:r>
              <w:rPr/>
              <w:t>J.P. Morgan Securities LLC, Workplace Solutions, as Agent and Attorney in Fact for Emanuele Cappellano, Stellantis N.V.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3004</Characters>
  <CharactersWithSpaces>3542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