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UNITED STATES</w:t>
      </w:r>
    </w:p>
    <w:p>
      <w:pPr>
        <w:pStyle w:val="TextBody"/>
        <w:bidi w:val="0"/>
        <w:spacing w:lineRule="auto" w:line="288" w:before="0" w:after="0"/>
        <w:jc w:val="center"/>
        <w:rPr/>
      </w:pPr>
      <w:r>
        <w:rPr>
          <w:rFonts w:ascii="Times New Roman;serif" w:hAnsi="Times New Roman;serif"/>
          <w:b/>
          <w:color w:val="000000"/>
          <w:sz w:val="27"/>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240" w:after="120"/>
        <w:jc w:val="center"/>
        <w:rPr>
          <w:rFonts w:ascii="Times New Roman;serif" w:hAnsi="Times New Roman;serif"/>
          <w:b/>
          <w:color w:val="000000"/>
          <w:sz w:val="27"/>
        </w:rPr>
      </w:pPr>
      <w:r>
        <w:rPr>
          <w:rFonts w:ascii="Times New Roman;serif" w:hAnsi="Times New Roman;serif"/>
          <w:b/>
          <w:color w:val="000000"/>
          <w:sz w:val="27"/>
        </w:rPr>
        <w:t>FORM 6-K</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REPORT OF FOREIGN PRIVATE ISSUER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PURSUANT TO RULE 13a-16 OR 15d-16 OF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month of July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Commission File No. 001-36675</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 xml:space="preserve">STELLANTIS N.V.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 of Registrant’s Name Into English)</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Taurusavenue 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2132 LS Hoofddorp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Netherlands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Tel. No.: +31 23 700 1511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files or will file annual reports under cover of Form 20-F or Form 40-F.</w:t>
      </w:r>
    </w:p>
    <w:p>
      <w:pPr>
        <w:pStyle w:val="TextBody"/>
        <w:bidi w:val="0"/>
        <w:spacing w:lineRule="auto" w:line="288" w:before="240" w:after="120"/>
        <w:jc w:val="center"/>
        <w:rPr/>
      </w:pPr>
      <w:r>
        <w:rPr>
          <w:rFonts w:ascii="Times New Roman;serif" w:hAnsi="Times New Roman;serif"/>
          <w:b w:val="false"/>
          <w:color w:val="000000"/>
          <w:sz w:val="18"/>
        </w:rPr>
        <w:t xml:space="preserve">Form 20-F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Form 40-F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Rule101(b)(1):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Rule101(b)(7): </w:t>
      </w:r>
      <w:r>
        <w:rPr>
          <w:rFonts w:ascii="Wingdings;sans-serif" w:hAnsi="Wingdings;sans-serif"/>
          <w:b w:val="false"/>
          <w:color w:val="000000"/>
          <w:sz w:val="16"/>
        </w:rPr>
        <w:t>o</w:t>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The following exhibit is furnished herewith:</w:t>
      </w:r>
    </w:p>
    <w:p>
      <w:pPr>
        <w:pStyle w:val="TextBody"/>
        <w:bidi w:val="0"/>
        <w:spacing w:lineRule="auto" w:line="288" w:before="0" w:after="0"/>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Exhibit 99.1    Press release issued by Stellantis N.V. dated July 30, 2026.</w:t>
      </w:r>
    </w:p>
    <w:p>
      <w:pPr>
        <w:pStyle w:val="TextBody"/>
        <w:bidi w:val="0"/>
        <w:ind w:left="0" w:right="0" w:hanging="1305"/>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345"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720"/>
        <w:jc w:val="left"/>
        <w:rPr/>
      </w:pPr>
      <w:r>
        <w:rPr/>
      </w:r>
    </w:p>
    <w:tbl>
      <w:tblPr>
        <w:tblW w:w="5429" w:type="dxa"/>
        <w:jc w:val="center"/>
        <w:tblInd w:w="0" w:type="dxa"/>
        <w:tblLayout w:type="fixed"/>
        <w:tblCellMar>
          <w:top w:w="28" w:type="dxa"/>
          <w:left w:w="28" w:type="dxa"/>
          <w:bottom w:w="28" w:type="dxa"/>
          <w:right w:w="28" w:type="dxa"/>
        </w:tblCellMar>
      </w:tblPr>
      <w:tblGrid>
        <w:gridCol w:w="711"/>
        <w:gridCol w:w="625"/>
        <w:gridCol w:w="628"/>
        <w:gridCol w:w="210"/>
        <w:gridCol w:w="210"/>
        <w:gridCol w:w="210"/>
        <w:gridCol w:w="441"/>
        <w:gridCol w:w="441"/>
        <w:gridCol w:w="441"/>
        <w:gridCol w:w="441"/>
        <w:gridCol w:w="441"/>
        <w:gridCol w:w="630"/>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July 30, 2026</w:t>
            </w:r>
          </w:p>
        </w:tc>
        <w:tc>
          <w:tcPr>
            <w:tcW w:w="346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STELLANTIS N.V.</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8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 Joao Laranjo</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Joao Laranjo</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Index of Exhibits</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w:t>
      </w:r>
    </w:p>
    <w:p>
      <w:pPr>
        <w:pStyle w:val="TextBody"/>
        <w:bidi w:val="0"/>
        <w:spacing w:lineRule="auto" w:line="288" w:before="0" w:after="0"/>
        <w:jc w:val="left"/>
        <w:rPr/>
      </w:pPr>
      <w:r>
        <w:rPr>
          <w:rFonts w:ascii="Times New Roman;serif" w:hAnsi="Times New Roman;serif"/>
          <w:b w:val="false"/>
          <w:color w:val="000000"/>
          <w:sz w:val="22"/>
          <w:u w:val="single"/>
        </w:rPr>
        <w:t>Number</w:t>
      </w:r>
      <w:r>
        <w:rPr>
          <w:color w:val="000000"/>
        </w:rPr>
        <w:t>    </w:t>
      </w:r>
      <w:r>
        <w:rPr>
          <w:rFonts w:ascii="Times New Roman;serif" w:hAnsi="Times New Roman;serif"/>
          <w:b w:val="false"/>
          <w:color w:val="000000"/>
          <w:sz w:val="22"/>
          <w:u w:val="single"/>
        </w:rPr>
        <w:t>Description of Exhibit</w:t>
      </w:r>
    </w:p>
    <w:p>
      <w:pPr>
        <w:pStyle w:val="TextBody"/>
        <w:bidi w:val="0"/>
        <w:spacing w:before="0" w:after="0"/>
        <w:ind w:left="0" w:right="0" w:hanging="945"/>
        <w:jc w:val="left"/>
        <w:rPr/>
      </w:pPr>
      <w:r>
        <w:rPr/>
      </w:r>
    </w:p>
    <w:p>
      <w:pPr>
        <w:pStyle w:val="TextBody"/>
        <w:bidi w:val="0"/>
        <w:spacing w:lineRule="auto" w:line="288" w:before="0" w:after="0"/>
        <w:ind w:left="0" w:right="0" w:hanging="945"/>
        <w:jc w:val="left"/>
        <w:rPr>
          <w:rFonts w:ascii="Times New Roman;serif" w:hAnsi="Times New Roman;serif"/>
          <w:b w:val="false"/>
          <w:color w:val="000000"/>
          <w:sz w:val="22"/>
        </w:rPr>
      </w:pPr>
      <w:r>
        <w:rPr>
          <w:rFonts w:ascii="Times New Roman;serif" w:hAnsi="Times New Roman;serif"/>
          <w:b w:val="false"/>
          <w:color w:val="000000"/>
          <w:sz w:val="22"/>
        </w:rPr>
        <w:t>99.1        Press release issued by Stellantis N.V. dated July 30, 2026.</w:t>
      </w:r>
    </w:p>
    <w:p>
      <w:pPr>
        <w:pStyle w:val="TextBody"/>
        <w:bidi w:val="0"/>
        <w:spacing w:before="0" w:after="0"/>
        <w:ind w:left="0" w:right="0" w:hanging="945"/>
        <w:jc w:val="left"/>
        <w:rPr/>
      </w:pPr>
      <w:r>
        <w:rPr/>
      </w:r>
    </w:p>
    <w:p>
      <w:pPr>
        <w:pStyle w:val="TextBody"/>
        <w:bidi w:val="0"/>
        <w:ind w:left="0" w:right="0" w:hanging="94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2428875" cy="685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Encode Sans;sans-serif" w:hAnsi="Encode Sans;sans-serif"/>
          <w:b/>
          <w:color w:val="000000"/>
          <w:sz w:val="20"/>
        </w:rPr>
      </w:pPr>
      <w:r>
        <w:rPr>
          <w:rFonts w:ascii="Encode Sans;sans-serif" w:hAnsi="Encode Sans;sans-serif"/>
          <w:b/>
          <w:color w:val="000000"/>
          <w:sz w:val="20"/>
        </w:rPr>
        <w:t xml:space="preserve">Exhibit 99.1 </w:t>
      </w:r>
    </w:p>
    <w:p>
      <w:pPr>
        <w:pStyle w:val="TextBody"/>
        <w:bidi w:val="0"/>
        <w:spacing w:lineRule="auto" w:line="288" w:before="0" w:after="0"/>
        <w:jc w:val="center"/>
        <w:rPr/>
      </w:pPr>
      <w:r>
        <w:rPr>
          <w:rFonts w:ascii="Century Gothic;sans-serif" w:hAnsi="Century Gothic;sans-serif"/>
          <w:b/>
          <w:color w:val="243782"/>
          <w:sz w:val="22"/>
        </w:rPr>
        <w:t xml:space="preserve">Stellantis Reports </w:t>
      </w:r>
      <w:r>
        <w:rPr>
          <w:rFonts w:ascii="Century Gothic;sans-serif" w:hAnsi="Century Gothic;sans-serif"/>
          <w:b/>
          <w:color w:val="243782"/>
          <w:sz w:val="22"/>
          <w:shd w:fill="FFFFFF" w:val="clear"/>
        </w:rPr>
        <w:t>Q2 2026</w:t>
      </w:r>
      <w:r>
        <w:rPr>
          <w:color w:val="243782"/>
        </w:rPr>
        <w:t xml:space="preserve"> </w:t>
      </w:r>
      <w:r>
        <w:rPr>
          <w:rFonts w:ascii="Century Gothic;sans-serif" w:hAnsi="Century Gothic;sans-serif"/>
          <w:b/>
          <w:color w:val="243782"/>
          <w:sz w:val="22"/>
        </w:rPr>
        <w:t>Financial Results</w:t>
      </w:r>
    </w:p>
    <w:p>
      <w:pPr>
        <w:pStyle w:val="TextBody"/>
        <w:bidi w:val="0"/>
        <w:spacing w:lineRule="auto" w:line="288" w:before="0" w:after="0"/>
        <w:jc w:val="center"/>
        <w:rPr>
          <w:rFonts w:ascii="Century Gothic;sans-serif" w:hAnsi="Century Gothic;sans-serif"/>
          <w:b w:val="false"/>
          <w:color w:val="243782"/>
          <w:sz w:val="22"/>
          <w:shd w:fill="FFFFFF" w:val="clear"/>
        </w:rPr>
      </w:pPr>
      <w:r>
        <w:rPr>
          <w:rFonts w:ascii="Century Gothic;sans-serif" w:hAnsi="Century Gothic;sans-serif"/>
          <w:b w:val="false"/>
          <w:color w:val="243782"/>
          <w:sz w:val="22"/>
          <w:shd w:fill="FFFFFF" w:val="clear"/>
        </w:rPr>
        <w:t>Year-over-Year Improvement Across All Key Financial Metrics</w:t>
      </w:r>
    </w:p>
    <w:p>
      <w:pPr>
        <w:pStyle w:val="TextBody"/>
        <w:bidi w:val="0"/>
        <w:spacing w:before="0" w:after="0"/>
        <w:jc w:val="center"/>
        <w:rPr/>
      </w:pPr>
      <w:r>
        <w:rPr/>
      </w:r>
    </w:p>
    <w:p>
      <w:pPr>
        <w:pStyle w:val="TextBody"/>
        <w:bidi w:val="0"/>
        <w:spacing w:lineRule="auto" w:line="288" w:before="120" w:after="120"/>
        <w:ind w:left="0" w:right="0" w:hanging="180"/>
        <w:jc w:val="left"/>
        <w:rPr/>
      </w:pPr>
      <w:r>
        <w:rPr>
          <w:color w:val="000000"/>
        </w:rPr>
        <w:t>•</w:t>
      </w:r>
      <w:r>
        <w:rPr>
          <w:rFonts w:ascii="Encode Sans;sans-serif" w:hAnsi="Encode Sans;sans-serif"/>
          <w:b/>
          <w:color w:val="000000"/>
          <w:sz w:val="16"/>
        </w:rPr>
        <w:t>Net revenues increased to €43.5 billion, up 13% versus Q2 2025, with North America up 32% and South America up 6%, while Enlarged Europe was flat, and Middle East &amp; Africa and Asia Pacific were slightly down</w:t>
      </w:r>
    </w:p>
    <w:p>
      <w:pPr>
        <w:pStyle w:val="TextBody"/>
        <w:bidi w:val="0"/>
        <w:spacing w:lineRule="auto" w:line="288" w:before="120" w:after="120"/>
        <w:ind w:left="0" w:right="0" w:hanging="180"/>
        <w:jc w:val="left"/>
        <w:rPr/>
      </w:pPr>
      <w:r>
        <w:rPr>
          <w:color w:val="000000"/>
        </w:rPr>
        <w:t>•</w:t>
      </w:r>
      <w:r>
        <w:rPr>
          <w:rFonts w:ascii="Encode Sans;sans-serif" w:hAnsi="Encode Sans;sans-serif"/>
          <w:b/>
          <w:color w:val="000000"/>
          <w:sz w:val="16"/>
        </w:rPr>
        <w:t>Net profit reached €0.3 billion in Q2 2026, reflecting higher volumes and further improvement of operating performance</w:t>
      </w:r>
    </w:p>
    <w:p>
      <w:pPr>
        <w:pStyle w:val="TextBody"/>
        <w:bidi w:val="0"/>
        <w:spacing w:lineRule="auto" w:line="288" w:before="120" w:after="120"/>
        <w:ind w:left="0" w:right="0" w:hanging="180"/>
        <w:jc w:val="left"/>
        <w:rPr/>
      </w:pPr>
      <w:r>
        <w:rPr>
          <w:color w:val="000000"/>
        </w:rPr>
        <w:t>•</w:t>
      </w:r>
      <w:r>
        <w:rPr>
          <w:rFonts w:ascii="Encode Sans;sans-serif" w:hAnsi="Encode Sans;sans-serif"/>
          <w:b/>
          <w:color w:val="000000"/>
          <w:sz w:val="16"/>
        </w:rPr>
        <w:t>Adjusted operating income</w:t>
      </w:r>
      <w:r>
        <w:rPr>
          <w:rFonts w:ascii="Encode Sans;sans-serif" w:hAnsi="Encode Sans;sans-serif"/>
          <w:b/>
          <w:color w:val="000000"/>
          <w:sz w:val="10"/>
        </w:rPr>
        <w:t xml:space="preserve">(1) </w:t>
      </w:r>
      <w:r>
        <w:rPr>
          <w:rFonts w:ascii="Encode Sans;sans-serif" w:hAnsi="Encode Sans;sans-serif"/>
          <w:b/>
          <w:color w:val="000000"/>
          <w:sz w:val="16"/>
        </w:rPr>
        <w:t>was €0.8 billion in Q2 2026, with AOI margin</w:t>
      </w:r>
      <w:r>
        <w:rPr>
          <w:rFonts w:ascii="Encode Sans;sans-serif" w:hAnsi="Encode Sans;sans-serif"/>
          <w:b/>
          <w:color w:val="000000"/>
          <w:sz w:val="10"/>
        </w:rPr>
        <w:t xml:space="preserve">(2) </w:t>
      </w:r>
      <w:r>
        <w:rPr>
          <w:rFonts w:ascii="Encode Sans;sans-serif" w:hAnsi="Encode Sans;sans-serif"/>
          <w:b/>
          <w:color w:val="000000"/>
          <w:sz w:val="16"/>
        </w:rPr>
        <w:t>of 1.8%, up 120 bps year-over-year. All regions delivered positive AOI margins with the exception of Enlarged Europe</w:t>
      </w:r>
    </w:p>
    <w:p>
      <w:pPr>
        <w:pStyle w:val="TextBody"/>
        <w:bidi w:val="0"/>
        <w:spacing w:lineRule="auto" w:line="288" w:before="120" w:after="120"/>
        <w:ind w:left="0" w:right="0" w:hanging="180"/>
        <w:jc w:val="left"/>
        <w:rPr/>
      </w:pPr>
      <w:r>
        <w:rPr>
          <w:color w:val="000000"/>
        </w:rPr>
        <w:t>•</w:t>
      </w:r>
      <w:r>
        <w:rPr>
          <w:rFonts w:ascii="Encode Sans;sans-serif" w:hAnsi="Encode Sans;sans-serif"/>
          <w:b/>
          <w:color w:val="000000"/>
          <w:sz w:val="16"/>
        </w:rPr>
        <w:t>Industrial free cash flows</w:t>
      </w:r>
      <w:r>
        <w:rPr>
          <w:rFonts w:ascii="Encode Sans;sans-serif" w:hAnsi="Encode Sans;sans-serif"/>
          <w:b/>
          <w:color w:val="000000"/>
          <w:sz w:val="10"/>
        </w:rPr>
        <w:t xml:space="preserve">(3) </w:t>
      </w:r>
      <w:r>
        <w:rPr>
          <w:rFonts w:ascii="Encode Sans;sans-serif" w:hAnsi="Encode Sans;sans-serif"/>
          <w:b/>
          <w:color w:val="000000"/>
          <w:sz w:val="16"/>
        </w:rPr>
        <w:t>were €1.0 billion</w:t>
      </w:r>
      <w:r>
        <w:rPr>
          <w:color w:val="000000"/>
          <w:shd w:fill="FFFFFF" w:val="clear"/>
        </w:rPr>
        <w:t xml:space="preserve"> </w:t>
      </w:r>
      <w:r>
        <w:rPr>
          <w:rFonts w:ascii="Encode Sans;sans-serif" w:hAnsi="Encode Sans;sans-serif"/>
          <w:b/>
          <w:color w:val="000000"/>
          <w:sz w:val="16"/>
          <w:shd w:fill="FFFFFF" w:val="clear"/>
        </w:rPr>
        <w:t>in Q2 2026, reflecting improved operating performance. This represents €1.0 billion improvement versus Q2 2025 after approximately €0.3 billion of cash outflows related to H2 2025 charges</w:t>
      </w:r>
    </w:p>
    <w:p>
      <w:pPr>
        <w:pStyle w:val="TextBody"/>
        <w:bidi w:val="0"/>
        <w:spacing w:lineRule="auto" w:line="288" w:before="120" w:after="120"/>
        <w:ind w:left="0" w:right="0" w:hanging="180"/>
        <w:jc w:val="left"/>
        <w:rPr/>
      </w:pPr>
      <w:r>
        <w:rPr>
          <w:color w:val="000000"/>
        </w:rPr>
        <w:t>•</w:t>
      </w:r>
      <w:r>
        <w:rPr>
          <w:rFonts w:ascii="Encode Sans;sans-serif" w:hAnsi="Encode Sans;sans-serif"/>
          <w:b/>
          <w:color w:val="000000"/>
          <w:sz w:val="16"/>
        </w:rPr>
        <w:t>Industrial available liquidity</w:t>
      </w:r>
      <w:r>
        <w:rPr>
          <w:rFonts w:ascii="Encode Sans;sans-serif" w:hAnsi="Encode Sans;sans-serif"/>
          <w:b/>
          <w:color w:val="000000"/>
          <w:sz w:val="10"/>
        </w:rPr>
        <w:t>(4)</w:t>
      </w:r>
      <w:r>
        <w:rPr>
          <w:color w:val="000000"/>
        </w:rPr>
        <w:t xml:space="preserve"> </w:t>
      </w:r>
      <w:r>
        <w:rPr>
          <w:rFonts w:ascii="Encode Sans;sans-serif" w:hAnsi="Encode Sans;sans-serif"/>
          <w:b/>
          <w:color w:val="000000"/>
          <w:sz w:val="16"/>
        </w:rPr>
        <w:t>closed at €44.1 billion, representing 27% of trailing 12-month Net revenues and remaining within the Company's targeted 25-30% liquidity range</w:t>
      </w:r>
    </w:p>
    <w:p>
      <w:pPr>
        <w:pStyle w:val="TextBody"/>
        <w:bidi w:val="0"/>
        <w:spacing w:lineRule="auto" w:line="288" w:before="120" w:after="120"/>
        <w:ind w:left="0" w:right="0" w:hanging="180"/>
        <w:jc w:val="left"/>
        <w:rPr/>
      </w:pPr>
      <w:r>
        <w:rPr>
          <w:color w:val="000000"/>
        </w:rPr>
        <w:t>•</w:t>
      </w:r>
      <w:r>
        <w:rPr>
          <w:rFonts w:ascii="Encode Sans;sans-serif" w:hAnsi="Encode Sans;sans-serif"/>
          <w:b/>
          <w:color w:val="000000"/>
          <w:sz w:val="16"/>
        </w:rPr>
        <w:t>2026 Financial Guidance Reaffirmed</w:t>
      </w:r>
    </w:p>
    <w:p>
      <w:pPr>
        <w:pStyle w:val="TextBody"/>
        <w:bidi w:val="0"/>
        <w:spacing w:lineRule="auto" w:line="288" w:before="120" w:after="120"/>
        <w:ind w:left="0" w:right="0" w:hanging="180"/>
        <w:jc w:val="left"/>
        <w:rPr/>
      </w:pPr>
      <w:r>
        <w:rPr>
          <w:color w:val="000000"/>
        </w:rPr>
        <w:t>•</w:t>
      </w:r>
      <w:r>
        <w:rPr>
          <w:rFonts w:ascii="Encode Sans;sans-serif" w:hAnsi="Encode Sans;sans-serif"/>
          <w:b/>
          <w:color w:val="000000"/>
          <w:sz w:val="16"/>
        </w:rPr>
        <w:t>FaSTLAne 2030 long-term strategic plan introduced at Stellantis' May 21 Investor Day</w:t>
      </w:r>
    </w:p>
    <w:p>
      <w:pPr>
        <w:pStyle w:val="TextBody"/>
        <w:bidi w:val="0"/>
        <w:spacing w:before="120" w:after="120"/>
        <w:jc w:val="left"/>
        <w:rPr/>
      </w:pPr>
      <w:r>
        <w:rPr/>
      </w:r>
    </w:p>
    <w:tbl>
      <w:tblPr>
        <w:tblW w:w="10812" w:type="dxa"/>
        <w:jc w:val="center"/>
        <w:tblInd w:w="0" w:type="dxa"/>
        <w:tblLayout w:type="fixed"/>
        <w:tblCellMar>
          <w:top w:w="28" w:type="dxa"/>
          <w:left w:w="28" w:type="dxa"/>
          <w:bottom w:w="28" w:type="dxa"/>
          <w:right w:w="28" w:type="dxa"/>
        </w:tblCellMar>
      </w:tblPr>
      <w:tblGrid>
        <w:gridCol w:w="1947"/>
        <w:gridCol w:w="1711"/>
        <w:gridCol w:w="1713"/>
        <w:gridCol w:w="1594"/>
        <w:gridCol w:w="1594"/>
        <w:gridCol w:w="2253"/>
      </w:tblGrid>
      <w:tr>
        <w:trPr/>
        <w:tc>
          <w:tcPr>
            <w:tcW w:w="194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r>
      <w:tr>
        <w:trPr/>
        <w:tc>
          <w:tcPr>
            <w:tcW w:w="537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Encode Sans;sans-serif" w:hAnsi="Encode Sans;sans-serif"/>
                <w:b w:val="false"/>
                <w:i/>
                <w:color w:val="000000"/>
                <w:sz w:val="16"/>
              </w:rPr>
            </w:pPr>
            <w:r>
              <w:rPr>
                <w:rFonts w:ascii="Encode Sans;sans-serif" w:hAnsi="Encode Sans;sans-serif"/>
                <w:b w:val="false"/>
                <w:i/>
                <w:color w:val="000000"/>
                <w:sz w:val="16"/>
              </w:rPr>
              <w:t xml:space="preserve">"The second quarter was marked by continued progress, led by North America and supported by important contributions from all other regions. We improved performance across our key financial metrics with Net revenues, AOI and Industrial free cash flows all showing significant gains. With implementation of our FaSTLAne 2030 strategy well underway and this year’s exciting new product launches on time and on track, we remain confident of delivering our 2026 financial guidance." </w:t>
            </w:r>
          </w:p>
          <w:p>
            <w:pPr>
              <w:pStyle w:val="TableContents"/>
              <w:bidi w:val="0"/>
              <w:spacing w:before="0" w:after="0"/>
              <w:jc w:val="left"/>
              <w:rPr/>
            </w:pPr>
            <w:r>
              <w:rPr/>
            </w:r>
          </w:p>
          <w:p>
            <w:pPr>
              <w:pStyle w:val="TableContents"/>
              <w:bidi w:val="0"/>
              <w:spacing w:lineRule="auto" w:line="312" w:before="0" w:after="0"/>
              <w:jc w:val="left"/>
              <w:rPr/>
            </w:pPr>
            <w:r>
              <w:rPr>
                <w:color w:val="000000"/>
              </w:rPr>
              <w:t>                                                                           </w:t>
            </w:r>
            <w:r>
              <w:rPr>
                <w:rFonts w:ascii="Encode Sans;sans-serif" w:hAnsi="Encode Sans;sans-serif"/>
                <w:b/>
                <w:color w:val="000000"/>
                <w:sz w:val="16"/>
              </w:rPr>
              <w:t xml:space="preserve">Antonio Filosa, CEO </w:t>
            </w:r>
          </w:p>
        </w:tc>
        <w:tc>
          <w:tcPr>
            <w:tcW w:w="54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71850" cy="18954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3371850" cy="1895475"/>
                          </a:xfrm>
                          <a:prstGeom prst="rect">
                            <a:avLst/>
                          </a:prstGeom>
                        </pic:spPr>
                      </pic:pic>
                    </a:graphicData>
                  </a:graphic>
                </wp:inline>
              </w:drawing>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6"/>
              </w:rPr>
            </w:pPr>
            <w:r>
              <w:rPr>
                <w:rFonts w:ascii="Encode Sans;sans-serif" w:hAnsi="Encode Sans;sans-serif"/>
                <w:b w:val="false"/>
                <w:color w:val="000000"/>
                <w:sz w:val="16"/>
              </w:rPr>
              <w:t>Fiat Grande Panda 4X4 Manifesto</w:t>
            </w:r>
          </w:p>
        </w:tc>
      </w:tr>
    </w:tbl>
    <w:tbl>
      <w:tblPr>
        <w:tblW w:w="10205" w:type="dxa"/>
        <w:jc w:val="center"/>
        <w:tblInd w:w="0" w:type="dxa"/>
        <w:tblLayout w:type="fixed"/>
        <w:tblCellMar>
          <w:top w:w="28" w:type="dxa"/>
          <w:left w:w="28" w:type="dxa"/>
          <w:bottom w:w="28" w:type="dxa"/>
          <w:right w:w="28" w:type="dxa"/>
        </w:tblCellMar>
      </w:tblPr>
      <w:tblGrid>
        <w:gridCol w:w="146"/>
        <w:gridCol w:w="128"/>
        <w:gridCol w:w="128"/>
        <w:gridCol w:w="605"/>
        <w:gridCol w:w="353"/>
        <w:gridCol w:w="285"/>
        <w:gridCol w:w="109"/>
        <w:gridCol w:w="109"/>
        <w:gridCol w:w="109"/>
        <w:gridCol w:w="239"/>
        <w:gridCol w:w="209"/>
        <w:gridCol w:w="165"/>
        <w:gridCol w:w="109"/>
        <w:gridCol w:w="109"/>
        <w:gridCol w:w="109"/>
        <w:gridCol w:w="239"/>
        <w:gridCol w:w="209"/>
        <w:gridCol w:w="165"/>
        <w:gridCol w:w="109"/>
        <w:gridCol w:w="109"/>
        <w:gridCol w:w="109"/>
        <w:gridCol w:w="210"/>
        <w:gridCol w:w="211"/>
        <w:gridCol w:w="110"/>
        <w:gridCol w:w="119"/>
        <w:gridCol w:w="119"/>
        <w:gridCol w:w="123"/>
        <w:gridCol w:w="109"/>
        <w:gridCol w:w="109"/>
        <w:gridCol w:w="109"/>
        <w:gridCol w:w="269"/>
        <w:gridCol w:w="186"/>
        <w:gridCol w:w="169"/>
        <w:gridCol w:w="109"/>
        <w:gridCol w:w="109"/>
        <w:gridCol w:w="109"/>
        <w:gridCol w:w="269"/>
        <w:gridCol w:w="186"/>
        <w:gridCol w:w="169"/>
        <w:gridCol w:w="109"/>
        <w:gridCol w:w="109"/>
        <w:gridCol w:w="109"/>
        <w:gridCol w:w="210"/>
        <w:gridCol w:w="211"/>
        <w:gridCol w:w="110"/>
        <w:gridCol w:w="119"/>
        <w:gridCol w:w="119"/>
        <w:gridCol w:w="123"/>
        <w:gridCol w:w="109"/>
        <w:gridCol w:w="109"/>
        <w:gridCol w:w="109"/>
        <w:gridCol w:w="586"/>
        <w:gridCol w:w="586"/>
        <w:gridCol w:w="841"/>
      </w:tblGrid>
      <w:tr>
        <w:trPr/>
        <w:tc>
          <w:tcPr>
            <w:tcW w:w="1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645" w:type="dxa"/>
            <w:gridSpan w:val="6"/>
            <w:vMerge w:val="restart"/>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283"/>
              <w:jc w:val="center"/>
              <w:rPr>
                <w:color w:val="243782"/>
              </w:rPr>
            </w:pPr>
            <w:r>
              <w:rPr>
                <w:color w:val="243782"/>
              </w:rPr>
              <w:t xml:space="preserve">€ </w:t>
            </w:r>
            <w:r>
              <w:rPr>
                <w:rFonts w:ascii="Encode Sans;sans-serif" w:hAnsi="Encode Sans;sans-serif"/>
                <w:b/>
                <w:color w:val="243782"/>
                <w:sz w:val="13"/>
              </w:rPr>
              <w:t>million / 000's units</w:t>
            </w:r>
          </w:p>
        </w:tc>
        <w:tc>
          <w:tcPr>
            <w:tcW w:w="327" w:type="dxa"/>
            <w:gridSpan w:val="3"/>
            <w:tcBorders>
              <w:top w:val="single" w:sz="8" w:space="0" w:color="4C639D"/>
              <w:left w:val="single" w:sz="8" w:space="0" w:color="4C639D"/>
              <w:right w:val="single" w:sz="8" w:space="0" w:color="4C639D"/>
            </w:tcBorders>
            <w:tcMar>
              <w:bottom w:w="0" w:type="dxa"/>
            </w:tcMar>
            <w:vAlign w:val="center"/>
          </w:tcPr>
          <w:p>
            <w:pPr>
              <w:pStyle w:val="TableContents"/>
              <w:bidi w:val="0"/>
              <w:spacing w:before="0" w:after="283"/>
              <w:jc w:val="left"/>
              <w:rPr>
                <w:sz w:val="4"/>
                <w:szCs w:val="4"/>
              </w:rPr>
            </w:pPr>
            <w:r>
              <w:rPr>
                <w:sz w:val="4"/>
                <w:szCs w:val="4"/>
              </w:rPr>
            </w:r>
          </w:p>
        </w:tc>
        <w:tc>
          <w:tcPr>
            <w:tcW w:w="613" w:type="dxa"/>
            <w:gridSpan w:val="3"/>
            <w:vMerge w:val="restart"/>
            <w:tcBorders>
              <w:top w:val="single" w:sz="8" w:space="0" w:color="4C639D"/>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3"/>
              </w:rPr>
            </w:pPr>
            <w:r>
              <w:rPr>
                <w:rFonts w:ascii="Encode Sans;sans-serif" w:hAnsi="Encode Sans;sans-serif"/>
                <w:b/>
                <w:color w:val="FFFFFF"/>
                <w:sz w:val="13"/>
              </w:rPr>
              <w:t>Q2 2026</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vMerge w:val="restart"/>
            <w:tcBorders>
              <w:top w:val="single" w:sz="8" w:space="0" w:color="4C639D"/>
              <w:left w:val="single" w:sz="8" w:space="0" w:color="4C639D"/>
            </w:tcBorders>
            <w:shd w:fill="243782"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3"/>
              </w:rPr>
            </w:pPr>
            <w:r>
              <w:rPr>
                <w:rFonts w:ascii="Encode Sans;sans-serif" w:hAnsi="Encode Sans;sans-serif"/>
                <w:b/>
                <w:color w:val="FFFFFF"/>
                <w:sz w:val="13"/>
              </w:rPr>
              <w:t>Q2 2025</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vMerge w:val="restart"/>
            <w:tcBorders>
              <w:top w:val="single" w:sz="8" w:space="0" w:color="4C639D"/>
              <w:left w:val="single" w:sz="8" w:space="0" w:color="4C639D"/>
              <w:bottom w:val="single" w:sz="8" w:space="0" w:color="4C639D"/>
            </w:tcBorders>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Change</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vMerge w:val="restart"/>
            <w:tcBorders>
              <w:top w:val="single" w:sz="8" w:space="0" w:color="4C639D"/>
              <w:left w:val="single" w:sz="8" w:space="0" w:color="4C639D"/>
            </w:tcBorders>
            <w:shd w:fill="243782"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3"/>
              </w:rPr>
            </w:pPr>
            <w:r>
              <w:rPr>
                <w:rFonts w:ascii="Encode Sans;sans-serif" w:hAnsi="Encode Sans;sans-serif"/>
                <w:b/>
                <w:color w:val="FFFFFF"/>
                <w:sz w:val="13"/>
              </w:rPr>
              <w:t>YTD 2026</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vMerge w:val="restart"/>
            <w:tcBorders>
              <w:top w:val="single" w:sz="8" w:space="0" w:color="4C639D"/>
              <w:left w:val="single" w:sz="8" w:space="0" w:color="4C639D"/>
            </w:tcBorders>
            <w:shd w:fill="243782"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3"/>
              </w:rPr>
            </w:pPr>
            <w:r>
              <w:rPr>
                <w:rFonts w:ascii="Encode Sans;sans-serif" w:hAnsi="Encode Sans;sans-serif"/>
                <w:b/>
                <w:color w:val="FFFFFF"/>
                <w:sz w:val="13"/>
              </w:rPr>
              <w:t>YTD 2025</w:t>
            </w:r>
          </w:p>
        </w:tc>
        <w:tc>
          <w:tcPr>
            <w:tcW w:w="327" w:type="dxa"/>
            <w:gridSpan w:val="3"/>
            <w:tcBorders>
              <w:top w:val="single" w:sz="8" w:space="0" w:color="4C639D"/>
              <w:left w:val="single" w:sz="8" w:space="0" w:color="4C639D"/>
              <w:right w:val="single" w:sz="8" w:space="0" w:color="4C639D"/>
            </w:tcBorders>
            <w:tcMar>
              <w:bottom w:w="0" w:type="dxa"/>
            </w:tcMar>
            <w:vAlign w:val="center"/>
          </w:tcPr>
          <w:p>
            <w:pPr>
              <w:pStyle w:val="TableContents"/>
              <w:bidi w:val="0"/>
              <w:spacing w:before="0" w:after="283"/>
              <w:jc w:val="left"/>
              <w:rPr>
                <w:sz w:val="4"/>
                <w:szCs w:val="4"/>
              </w:rPr>
            </w:pPr>
            <w:r>
              <w:rPr>
                <w:sz w:val="4"/>
                <w:szCs w:val="4"/>
              </w:rPr>
            </w:r>
          </w:p>
        </w:tc>
        <w:tc>
          <w:tcPr>
            <w:tcW w:w="892" w:type="dxa"/>
            <w:gridSpan w:val="6"/>
            <w:vMerge w:val="restart"/>
            <w:tcBorders>
              <w:top w:val="single" w:sz="8" w:space="0" w:color="4C639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Change</w:t>
            </w:r>
          </w:p>
        </w:tc>
        <w:tc>
          <w:tcPr>
            <w:tcW w:w="327" w:type="dxa"/>
            <w:gridSpan w:val="3"/>
            <w:tcBorders>
              <w:left w:val="single" w:sz="8" w:space="0" w:color="4C639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vMerge w:val="restart"/>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TableContents"/>
              <w:bidi w:val="0"/>
              <w:spacing w:before="0" w:after="120"/>
              <w:jc w:val="center"/>
              <w:rPr/>
            </w:pPr>
            <w:r>
              <w:rPr/>
            </w:r>
          </w:p>
          <w:p>
            <w:pPr>
              <w:pStyle w:val="TableContents"/>
              <w:bidi w:val="0"/>
              <w:spacing w:before="0" w:after="120"/>
              <w:jc w:val="center"/>
              <w:rPr/>
            </w:pPr>
            <w:r>
              <w:rPr/>
            </w:r>
          </w:p>
          <w:p>
            <w:pPr>
              <w:pStyle w:val="TableContents"/>
              <w:bidi w:val="0"/>
              <w:spacing w:lineRule="auto" w:line="288" w:before="0" w:after="0"/>
              <w:jc w:val="center"/>
              <w:rPr>
                <w:rFonts w:ascii="Encode Sans;sans-serif" w:hAnsi="Encode Sans;sans-serif"/>
                <w:b/>
                <w:color w:val="243782"/>
                <w:sz w:val="13"/>
              </w:rPr>
            </w:pPr>
            <w:r>
              <w:rPr>
                <w:rFonts w:ascii="Encode Sans;sans-serif" w:hAnsi="Encode Sans;sans-serif"/>
                <w:b/>
                <w:color w:val="243782"/>
                <w:sz w:val="13"/>
              </w:rPr>
              <w:t>FY 2026 FINANCIAL GUIDANCE</w:t>
            </w:r>
          </w:p>
          <w:p>
            <w:pPr>
              <w:pStyle w:val="TableContents"/>
              <w:bidi w:val="0"/>
              <w:spacing w:before="0" w:after="0"/>
              <w:jc w:val="center"/>
              <w:rPr/>
            </w:pPr>
            <w:r>
              <w:rPr/>
            </w:r>
          </w:p>
          <w:p>
            <w:pPr>
              <w:pStyle w:val="TableContents"/>
              <w:bidi w:val="0"/>
              <w:spacing w:lineRule="auto" w:line="288" w:before="0" w:after="0"/>
              <w:jc w:val="center"/>
              <w:rPr/>
            </w:pPr>
            <w:r>
              <w:rPr>
                <w:rFonts w:ascii="Encode Sans;sans-serif" w:hAnsi="Encode Sans;sans-serif"/>
                <w:b/>
                <w:color w:val="243782"/>
                <w:sz w:val="13"/>
              </w:rPr>
              <w:t xml:space="preserve">Net revenues: </w:t>
            </w:r>
            <w:r>
              <w:rPr>
                <w:rFonts w:ascii="Encode Sans;sans-serif" w:hAnsi="Encode Sans;sans-serif"/>
                <w:b w:val="false"/>
                <w:color w:val="243782"/>
                <w:sz w:val="13"/>
              </w:rPr>
              <w:t>Mid-Single Digit % Increase</w:t>
            </w:r>
          </w:p>
          <w:p>
            <w:pPr>
              <w:pStyle w:val="TableContents"/>
              <w:bidi w:val="0"/>
              <w:spacing w:before="0" w:after="0"/>
              <w:jc w:val="center"/>
              <w:rPr/>
            </w:pPr>
            <w:r>
              <w:rPr/>
            </w:r>
          </w:p>
          <w:p>
            <w:pPr>
              <w:pStyle w:val="TableContents"/>
              <w:bidi w:val="0"/>
              <w:spacing w:lineRule="auto" w:line="288" w:before="0" w:after="0"/>
              <w:jc w:val="center"/>
              <w:rPr/>
            </w:pPr>
            <w:r>
              <w:rPr>
                <w:rFonts w:ascii="Encode Sans;sans-serif" w:hAnsi="Encode Sans;sans-serif"/>
                <w:b/>
                <w:color w:val="243782"/>
                <w:sz w:val="13"/>
              </w:rPr>
              <w:t>AOI margin %</w:t>
            </w:r>
            <w:r>
              <w:rPr>
                <w:rFonts w:ascii="Encode Sans;sans-serif" w:hAnsi="Encode Sans;sans-serif"/>
                <w:b/>
                <w:color w:val="243782"/>
                <w:sz w:val="8"/>
              </w:rPr>
              <w:t>(2)</w:t>
            </w:r>
            <w:r>
              <w:rPr>
                <w:rFonts w:ascii="Encode Sans;sans-serif" w:hAnsi="Encode Sans;sans-serif"/>
                <w:b/>
                <w:color w:val="243782"/>
                <w:sz w:val="13"/>
              </w:rPr>
              <w:t xml:space="preserve">: </w:t>
            </w:r>
            <w:r>
              <w:rPr>
                <w:rFonts w:ascii="Encode Sans;sans-serif" w:hAnsi="Encode Sans;sans-serif"/>
                <w:b w:val="false"/>
                <w:color w:val="243782"/>
                <w:sz w:val="13"/>
              </w:rPr>
              <w:t>Low-Single Digit %</w:t>
            </w:r>
          </w:p>
          <w:p>
            <w:pPr>
              <w:pStyle w:val="TableContents"/>
              <w:bidi w:val="0"/>
              <w:spacing w:lineRule="auto" w:line="288" w:before="0" w:after="0"/>
              <w:jc w:val="center"/>
              <w:rPr>
                <w:color w:val="243782"/>
              </w:rPr>
            </w:pPr>
            <w:r>
              <w:rPr>
                <w:color w:val="243782"/>
              </w:rPr>
              <w:t>                     </w:t>
            </w:r>
          </w:p>
          <w:p>
            <w:pPr>
              <w:pStyle w:val="TableContents"/>
              <w:bidi w:val="0"/>
              <w:spacing w:lineRule="auto" w:line="288" w:before="0" w:after="0"/>
              <w:jc w:val="center"/>
              <w:rPr/>
            </w:pPr>
            <w:r>
              <w:rPr>
                <w:rFonts w:ascii="Encode Sans;sans-serif" w:hAnsi="Encode Sans;sans-serif"/>
                <w:b/>
                <w:color w:val="243782"/>
                <w:sz w:val="13"/>
              </w:rPr>
              <w:t>Industrial free cash flows</w:t>
            </w:r>
            <w:r>
              <w:rPr>
                <w:rFonts w:ascii="Encode Sans;sans-serif" w:hAnsi="Encode Sans;sans-serif"/>
                <w:b/>
                <w:color w:val="243782"/>
                <w:sz w:val="8"/>
              </w:rPr>
              <w:t>(3)</w:t>
            </w:r>
            <w:r>
              <w:rPr>
                <w:rFonts w:ascii="Encode Sans;sans-serif" w:hAnsi="Encode Sans;sans-serif"/>
                <w:b/>
                <w:color w:val="243782"/>
                <w:sz w:val="13"/>
              </w:rPr>
              <w:t xml:space="preserve">: </w:t>
            </w:r>
            <w:r>
              <w:rPr>
                <w:rFonts w:ascii="Encode Sans;sans-serif" w:hAnsi="Encode Sans;sans-serif"/>
                <w:b w:val="false"/>
                <w:color w:val="243782"/>
                <w:sz w:val="13"/>
              </w:rPr>
              <w:t xml:space="preserve">Improved Y-o-Y </w:t>
            </w:r>
            <w:r>
              <w:rPr>
                <w:rFonts w:ascii="Encode Sans;sans-serif" w:hAnsi="Encode Sans;sans-serif"/>
                <w:b w:val="false"/>
                <w:color w:val="243782"/>
                <w:sz w:val="12"/>
              </w:rPr>
              <w:t>(incl. ~€2B in cash payments related to H2 '25 charges)</w:t>
            </w:r>
          </w:p>
          <w:p>
            <w:pPr>
              <w:pStyle w:val="TableContents"/>
              <w:bidi w:val="0"/>
              <w:spacing w:before="0" w:after="0"/>
              <w:jc w:val="center"/>
              <w:rPr/>
            </w:pPr>
            <w:r>
              <w:rPr/>
            </w:r>
          </w:p>
          <w:p>
            <w:pPr>
              <w:pStyle w:val="TableContents"/>
              <w:bidi w:val="0"/>
              <w:spacing w:lineRule="auto" w:line="288" w:before="0" w:after="0"/>
              <w:jc w:val="center"/>
              <w:rPr/>
            </w:pPr>
            <w:r>
              <w:rPr>
                <w:rFonts w:ascii="Encode Sans;sans-serif" w:hAnsi="Encode Sans;sans-serif"/>
                <w:b/>
                <w:color w:val="243782"/>
                <w:sz w:val="12"/>
              </w:rPr>
              <w:t>Expect positive Industrial free cash flows</w:t>
            </w:r>
            <w:r>
              <w:rPr>
                <w:rFonts w:ascii="Encode Sans;sans-serif" w:hAnsi="Encode Sans;sans-serif"/>
                <w:b/>
                <w:color w:val="243782"/>
                <w:sz w:val="8"/>
              </w:rPr>
              <w:t xml:space="preserve">(4) </w:t>
            </w:r>
            <w:r>
              <w:rPr>
                <w:rFonts w:ascii="Encode Sans;sans-serif" w:hAnsi="Encode Sans;sans-serif"/>
                <w:b/>
                <w:color w:val="243782"/>
                <w:sz w:val="12"/>
              </w:rPr>
              <w:t>in 2027</w:t>
            </w:r>
          </w:p>
          <w:p>
            <w:pPr>
              <w:pStyle w:val="TableContents"/>
              <w:bidi w:val="0"/>
              <w:spacing w:lineRule="auto" w:line="288" w:before="0" w:after="0"/>
              <w:jc w:val="center"/>
              <w:rPr>
                <w:color w:val="243782"/>
              </w:rPr>
            </w:pPr>
            <w:r>
              <w:rPr>
                <w:color w:val="243782"/>
              </w:rPr>
              <w:t>    </w:t>
            </w:r>
          </w:p>
        </w:tc>
      </w:tr>
      <w:tr>
        <w:trPr/>
        <w:tc>
          <w:tcPr>
            <w:tcW w:w="1645" w:type="dxa"/>
            <w:gridSpan w:val="6"/>
            <w:vMerge w:val="continue"/>
            <w:tcBorders>
              <w:top w:val="single" w:sz="8" w:space="0" w:color="4C639D"/>
              <w:left w:val="single" w:sz="8" w:space="0" w:color="4C639D"/>
            </w:tcBorders>
            <w:tcMar>
              <w:top w:w="52" w:type="dxa"/>
              <w:bottom w:w="0" w:type="dxa"/>
              <w:right w:w="0" w:type="dxa"/>
            </w:tcMar>
            <w:vAlign w:val="center"/>
          </w:tcPr>
          <w:p>
            <w:pPr>
              <w:pStyle w:val="Normal"/>
              <w:bidi w:val="0"/>
              <w:jc w:val="left"/>
              <w:rPr/>
            </w:pPr>
            <w:r>
              <w:rPr/>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613" w:type="dxa"/>
            <w:gridSpan w:val="3"/>
            <w:vMerge w:val="continue"/>
            <w:tcBorders>
              <w:top w:val="single" w:sz="8" w:space="0" w:color="4C639D"/>
            </w:tcBorders>
            <w:shd w:fill="243782" w:val="clear"/>
            <w:tcMar>
              <w:top w:w="52" w:type="dxa"/>
              <w:left w:w="0" w:type="dxa"/>
              <w:bottom w:w="0" w:type="dxa"/>
              <w:right w:w="0" w:type="dxa"/>
            </w:tcMar>
            <w:vAlign w:val="center"/>
          </w:tcPr>
          <w:p>
            <w:pPr>
              <w:pStyle w:val="Normal"/>
              <w:bidi w:val="0"/>
              <w:jc w:val="left"/>
              <w:rPr/>
            </w:pPr>
            <w:r>
              <w:rPr/>
            </w:r>
          </w:p>
        </w:tc>
        <w:tc>
          <w:tcPr>
            <w:tcW w:w="327" w:type="dxa"/>
            <w:gridSpan w:val="3"/>
            <w:tcBorders>
              <w:left w:val="single" w:sz="8" w:space="0" w:color="4C639D"/>
              <w:right w:val="single" w:sz="8" w:space="0" w:color="4C639D"/>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613" w:type="dxa"/>
            <w:gridSpan w:val="3"/>
            <w:vMerge w:val="continue"/>
            <w:tcBorders>
              <w:top w:val="single" w:sz="8" w:space="0" w:color="4C639D"/>
              <w:left w:val="single" w:sz="8" w:space="0" w:color="4C639D"/>
            </w:tcBorders>
            <w:shd w:fill="243782" w:val="clear"/>
            <w:tcMar>
              <w:top w:w="52" w:type="dxa"/>
              <w:bottom w:w="0" w:type="dxa"/>
              <w:right w:w="0" w:type="dxa"/>
            </w:tcMar>
            <w:vAlign w:val="center"/>
          </w:tcPr>
          <w:p>
            <w:pPr>
              <w:pStyle w:val="Normal"/>
              <w:bidi w:val="0"/>
              <w:jc w:val="left"/>
              <w:rPr/>
            </w:pPr>
            <w:r>
              <w:rPr/>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892" w:type="dxa"/>
            <w:gridSpan w:val="6"/>
            <w:vMerge w:val="continue"/>
            <w:tcBorders>
              <w:top w:val="single" w:sz="8" w:space="0" w:color="4C639D"/>
              <w:left w:val="single" w:sz="8" w:space="0" w:color="4C639D"/>
              <w:bottom w:val="single" w:sz="8" w:space="0" w:color="4C639D"/>
            </w:tcBorders>
            <w:tcMar>
              <w:top w:w="52" w:type="dxa"/>
              <w:bottom w:w="30" w:type="dxa"/>
              <w:right w:w="0" w:type="dxa"/>
            </w:tcMar>
            <w:vAlign w:val="center"/>
          </w:tcPr>
          <w:p>
            <w:pPr>
              <w:pStyle w:val="Normal"/>
              <w:bidi w:val="0"/>
              <w:jc w:val="left"/>
              <w:rPr/>
            </w:pPr>
            <w:r>
              <w:rPr/>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624" w:type="dxa"/>
            <w:gridSpan w:val="3"/>
            <w:vMerge w:val="continue"/>
            <w:tcBorders>
              <w:top w:val="single" w:sz="8" w:space="0" w:color="4C639D"/>
              <w:left w:val="single" w:sz="8" w:space="0" w:color="4C639D"/>
            </w:tcBorders>
            <w:shd w:fill="243782" w:val="clear"/>
            <w:tcMar>
              <w:top w:w="52" w:type="dxa"/>
              <w:bottom w:w="0" w:type="dxa"/>
              <w:right w:w="0" w:type="dxa"/>
            </w:tcMar>
            <w:vAlign w:val="center"/>
          </w:tcPr>
          <w:p>
            <w:pPr>
              <w:pStyle w:val="Normal"/>
              <w:bidi w:val="0"/>
              <w:jc w:val="left"/>
              <w:rPr/>
            </w:pPr>
            <w:r>
              <w:rPr/>
            </w:r>
          </w:p>
        </w:tc>
        <w:tc>
          <w:tcPr>
            <w:tcW w:w="327" w:type="dxa"/>
            <w:gridSpan w:val="3"/>
            <w:tcBorders>
              <w:left w:val="single" w:sz="8" w:space="0" w:color="4C639D"/>
              <w:right w:val="single" w:sz="8" w:space="0" w:color="4C639D"/>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624" w:type="dxa"/>
            <w:gridSpan w:val="3"/>
            <w:vMerge w:val="continue"/>
            <w:tcBorders>
              <w:top w:val="single" w:sz="8" w:space="0" w:color="4C639D"/>
              <w:left w:val="single" w:sz="8" w:space="0" w:color="4C639D"/>
            </w:tcBorders>
            <w:shd w:fill="243782" w:val="clear"/>
            <w:tcMar>
              <w:top w:w="52" w:type="dxa"/>
              <w:bottom w:w="0" w:type="dxa"/>
              <w:right w:w="0" w:type="dxa"/>
            </w:tcMar>
            <w:vAlign w:val="center"/>
          </w:tcPr>
          <w:p>
            <w:pPr>
              <w:pStyle w:val="Normal"/>
              <w:bidi w:val="0"/>
              <w:jc w:val="left"/>
              <w:rPr/>
            </w:pPr>
            <w:r>
              <w:rPr/>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892" w:type="dxa"/>
            <w:gridSpan w:val="6"/>
            <w:vMerge w:val="continue"/>
            <w:tcBorders>
              <w:top w:val="single" w:sz="8" w:space="0" w:color="4C639D"/>
              <w:bottom w:val="single" w:sz="8" w:space="0" w:color="4C639D"/>
            </w:tcBorders>
            <w:tcMar>
              <w:top w:w="52" w:type="dxa"/>
              <w:left w:w="0" w:type="dxa"/>
              <w:bottom w:w="30" w:type="dxa"/>
              <w:right w:w="0" w:type="dxa"/>
            </w:tcMar>
            <w:vAlign w:val="center"/>
          </w:tcPr>
          <w:p>
            <w:pPr>
              <w:pStyle w:val="Normal"/>
              <w:bidi w:val="0"/>
              <w:jc w:val="left"/>
              <w:rPr/>
            </w:pPr>
            <w:r>
              <w:rPr/>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vMerge w:val="restart"/>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9"/>
              </w:rPr>
            </w:pPr>
            <w:r>
              <w:rPr>
                <w:rFonts w:ascii="Encode Sans;sans-serif" w:hAnsi="Encode Sans;sans-serif"/>
                <w:b/>
                <w:color w:val="243782"/>
                <w:sz w:val="9"/>
              </w:rPr>
              <w:t>I</w:t>
              <w:br/>
              <w:t>F</w:t>
              <w:br/>
              <w:t>R</w:t>
              <w:br/>
              <w:t>S</w:t>
            </w:r>
          </w:p>
        </w:tc>
        <w:tc>
          <w:tcPr>
            <w:tcW w:w="1243" w:type="dxa"/>
            <w:gridSpan w:val="3"/>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3"/>
              </w:rPr>
            </w:pPr>
            <w:r>
              <w:rPr>
                <w:rFonts w:ascii="Encode Sans;sans-serif" w:hAnsi="Encode Sans;sans-serif"/>
                <w:b w:val="false"/>
                <w:color w:val="000000"/>
                <w:sz w:val="13"/>
              </w:rPr>
              <w:t>Net revenues</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43,482</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38,448</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4C639D"/>
              <w:left w:val="single" w:sz="8" w:space="0" w:color="4C639D"/>
              <w:bottom w:val="single" w:sz="8" w:space="0" w:color="DBDBDB"/>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+13%</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81,614</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74,261</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4C639D"/>
              <w:left w:val="single" w:sz="8" w:space="0" w:color="4C639D"/>
              <w:bottom w:val="single" w:sz="8" w:space="0" w:color="DBDBDB"/>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+10%</w:t>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vMerge w:val="continue"/>
            <w:tcBorders>
              <w:top w:val="single" w:sz="8" w:space="0" w:color="4C639D"/>
              <w:left w:val="single" w:sz="8" w:space="0" w:color="4C639D"/>
            </w:tcBorders>
            <w:tcMar>
              <w:top w:w="52" w:type="dxa"/>
              <w:bottom w:w="0" w:type="dxa"/>
              <w:right w:w="0" w:type="dxa"/>
            </w:tcMar>
            <w:vAlign w:val="center"/>
          </w:tcPr>
          <w:p>
            <w:pPr>
              <w:pStyle w:val="Normal"/>
              <w:bidi w:val="0"/>
              <w:jc w:val="left"/>
              <w:rPr/>
            </w:pPr>
            <w:r>
              <w:rPr/>
            </w:r>
          </w:p>
        </w:tc>
        <w:tc>
          <w:tcPr>
            <w:tcW w:w="124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3"/>
              </w:rPr>
            </w:pPr>
            <w:r>
              <w:rPr>
                <w:rFonts w:ascii="Encode Sans;sans-serif" w:hAnsi="Encode Sans;sans-serif"/>
                <w:b w:val="false"/>
                <w:color w:val="000000"/>
                <w:sz w:val="13"/>
              </w:rPr>
              <w:t>Net profit/(loss)</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293</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(1,869)</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left w:val="single" w:sz="8" w:space="0" w:color="4C639D"/>
              <w:bottom w:val="single" w:sz="8" w:space="0" w:color="DBDBDB"/>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n.m.</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670</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(2,256)</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left w:val="single" w:sz="8" w:space="0" w:color="4C639D"/>
              <w:bottom w:val="single" w:sz="8" w:space="0" w:color="DBDBDB"/>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n.m.</w:t>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vMerge w:val="continue"/>
            <w:tcBorders>
              <w:top w:val="single" w:sz="8" w:space="0" w:color="4C639D"/>
              <w:left w:val="single" w:sz="8" w:space="0" w:color="4C639D"/>
            </w:tcBorders>
            <w:tcMar>
              <w:top w:w="52" w:type="dxa"/>
              <w:bottom w:w="0" w:type="dxa"/>
              <w:right w:w="0" w:type="dxa"/>
            </w:tcMar>
            <w:vAlign w:val="center"/>
          </w:tcPr>
          <w:p>
            <w:pPr>
              <w:pStyle w:val="Normal"/>
              <w:bidi w:val="0"/>
              <w:jc w:val="left"/>
              <w:rPr/>
            </w:pPr>
            <w:r>
              <w:rPr/>
            </w:r>
          </w:p>
        </w:tc>
        <w:tc>
          <w:tcPr>
            <w:tcW w:w="124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3"/>
              </w:rPr>
            </w:pPr>
            <w:r>
              <w:rPr>
                <w:rFonts w:ascii="Encode Sans;sans-serif" w:hAnsi="Encode Sans;sans-serif"/>
                <w:b w:val="false"/>
                <w:color w:val="000000"/>
                <w:sz w:val="13"/>
              </w:rPr>
              <w:t>Diluted EPS</w:t>
            </w:r>
          </w:p>
        </w:tc>
        <w:tc>
          <w:tcPr>
            <w:tcW w:w="327" w:type="dxa"/>
            <w:gridSpan w:val="3"/>
            <w:tcBorders>
              <w:left w:val="single" w:sz="8" w:space="0" w:color="4C639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0.07</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(0.65)</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left w:val="single" w:sz="8" w:space="0" w:color="4C639D"/>
              <w:bottom w:val="single" w:sz="8" w:space="0" w:color="DBDBDB"/>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n.m.</w:t>
            </w:r>
          </w:p>
        </w:tc>
        <w:tc>
          <w:tcPr>
            <w:tcW w:w="327" w:type="dxa"/>
            <w:gridSpan w:val="3"/>
            <w:tcBorders>
              <w:left w:val="single" w:sz="8" w:space="0" w:color="4C639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0.20</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(0.78)</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left w:val="single" w:sz="8" w:space="0" w:color="4C639D"/>
              <w:bottom w:val="single" w:sz="8" w:space="0" w:color="DBDBDB"/>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n.m.</w:t>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vMerge w:val="continue"/>
            <w:tcBorders>
              <w:top w:val="single" w:sz="8" w:space="0" w:color="4C639D"/>
              <w:left w:val="single" w:sz="8" w:space="0" w:color="4C639D"/>
            </w:tcBorders>
            <w:tcMar>
              <w:top w:w="52" w:type="dxa"/>
              <w:bottom w:w="0" w:type="dxa"/>
              <w:right w:w="0" w:type="dxa"/>
            </w:tcMar>
            <w:vAlign w:val="center"/>
          </w:tcPr>
          <w:p>
            <w:pPr>
              <w:pStyle w:val="Normal"/>
              <w:bidi w:val="0"/>
              <w:jc w:val="left"/>
              <w:rPr/>
            </w:pPr>
            <w:r>
              <w:rPr/>
            </w:r>
          </w:p>
        </w:tc>
        <w:tc>
          <w:tcPr>
            <w:tcW w:w="124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3"/>
              </w:rPr>
            </w:pPr>
            <w:r>
              <w:rPr>
                <w:rFonts w:ascii="Encode Sans;sans-serif" w:hAnsi="Encode Sans;sans-serif"/>
                <w:b w:val="false"/>
                <w:color w:val="000000"/>
                <w:sz w:val="13"/>
              </w:rPr>
              <w:t>Cash flows from operating activities</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(169)</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559</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left w:val="single" w:sz="8" w:space="0" w:color="4C639D"/>
              <w:bottom w:val="single" w:sz="8" w:space="0" w:color="4C639D"/>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(130)%</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(2,887)</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(2,287)</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left w:val="single" w:sz="8" w:space="0" w:color="4C639D"/>
              <w:bottom w:val="single" w:sz="8" w:space="0" w:color="4C639D"/>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(26)%</w:t>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vMerge w:val="restart"/>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9"/>
              </w:rPr>
            </w:pPr>
            <w:r>
              <w:rPr>
                <w:rFonts w:ascii="Encode Sans;sans-serif" w:hAnsi="Encode Sans;sans-serif"/>
                <w:b/>
                <w:color w:val="243782"/>
                <w:sz w:val="9"/>
              </w:rPr>
              <w:t>N</w:t>
              <w:br/>
              <w:t>O</w:t>
              <w:br/>
              <w:t xml:space="preserve">N </w:t>
              <w:br/>
              <w:t xml:space="preserve">- </w:t>
              <w:br/>
              <w:t>G</w:t>
              <w:br/>
              <w:t>A</w:t>
              <w:br/>
              <w:t>A</w:t>
              <w:br/>
              <w:t>P</w:t>
            </w:r>
          </w:p>
        </w:tc>
        <w:tc>
          <w:tcPr>
            <w:tcW w:w="1243" w:type="dxa"/>
            <w:gridSpan w:val="3"/>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3"/>
              </w:rPr>
              <w:t>Adjusted operating income/(loss)</w:t>
            </w:r>
            <w:r>
              <w:rPr>
                <w:rFonts w:ascii="Encode Sans;sans-serif" w:hAnsi="Encode Sans;sans-serif"/>
                <w:b w:val="false"/>
                <w:color w:val="000000"/>
                <w:sz w:val="8"/>
              </w:rPr>
              <w:t xml:space="preserve">(1) </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773</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4C639D"/>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213</w:t>
            </w:r>
          </w:p>
        </w:tc>
        <w:tc>
          <w:tcPr>
            <w:tcW w:w="327" w:type="dxa"/>
            <w:gridSpan w:val="3"/>
            <w:tcBorders>
              <w:top w:val="single" w:sz="8" w:space="0" w:color="4C639D"/>
              <w:left w:val="single" w:sz="8" w:space="0" w:color="4C639D"/>
              <w:right w:val="single" w:sz="8" w:space="0" w:color="4C639D"/>
            </w:tcBorders>
            <w:tcMar>
              <w:bottom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4C639D"/>
            </w:tcBorders>
            <w:shd w:fill="F2F2F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+263%</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1,733</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4C639D"/>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540</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4C639D"/>
              <w:left w:val="single" w:sz="8" w:space="0" w:color="4C639D"/>
            </w:tcBorders>
            <w:shd w:fill="F2F2F2"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+221%</w:t>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vMerge w:val="continue"/>
            <w:tcBorders>
              <w:top w:val="single" w:sz="8" w:space="0" w:color="4C639D"/>
              <w:left w:val="single" w:sz="8" w:space="0" w:color="4C639D"/>
            </w:tcBorders>
            <w:tcMar>
              <w:top w:w="52" w:type="dxa"/>
              <w:bottom w:w="0" w:type="dxa"/>
              <w:right w:w="0" w:type="dxa"/>
            </w:tcMar>
            <w:vAlign w:val="center"/>
          </w:tcPr>
          <w:p>
            <w:pPr>
              <w:pStyle w:val="Normal"/>
              <w:bidi w:val="0"/>
              <w:jc w:val="left"/>
              <w:rPr/>
            </w:pPr>
            <w:r>
              <w:rPr/>
            </w:r>
          </w:p>
        </w:tc>
        <w:tc>
          <w:tcPr>
            <w:tcW w:w="124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3"/>
              </w:rPr>
              <w:t>Adjusted operating income margin</w:t>
            </w:r>
            <w:r>
              <w:rPr>
                <w:rFonts w:ascii="Encode Sans;sans-serif" w:hAnsi="Encode Sans;sans-serif"/>
                <w:b w:val="false"/>
                <w:color w:val="000000"/>
                <w:sz w:val="8"/>
              </w:rPr>
              <w:t>(2)</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1.8%</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0.6%</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DBDBDB"/>
              <w:left w:val="single" w:sz="8" w:space="0" w:color="4C639D"/>
            </w:tcBorders>
            <w:shd w:fill="F2F2F2" w:val="clear"/>
            <w:tcMar>
              <w:top w:w="52"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3"/>
              </w:rPr>
            </w:pPr>
            <w:r>
              <w:rPr>
                <w:rFonts w:ascii="Encode Sans;sans-serif" w:hAnsi="Encode Sans;sans-serif"/>
                <w:b w:val="false"/>
                <w:color w:val="000000"/>
                <w:sz w:val="13"/>
              </w:rPr>
              <w:t>120 </w:t>
            </w:r>
          </w:p>
        </w:tc>
        <w:tc>
          <w:tcPr>
            <w:tcW w:w="110"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DBDBDB"/>
              <w:bottom w:val="single" w:sz="8" w:space="0" w:color="DBDBDB"/>
            </w:tcBorders>
            <w:shd w:fill="F2F2F2" w:val="clear"/>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3"/>
              </w:rPr>
            </w:pPr>
            <w:r>
              <w:rPr>
                <w:rFonts w:ascii="Encode Sans;sans-serif" w:hAnsi="Encode Sans;sans-serif"/>
                <w:b w:val="false"/>
                <w:color w:val="000000"/>
                <w:sz w:val="13"/>
              </w:rPr>
              <w:t>bps</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2.1%</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0.7%</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DBDBDB"/>
              <w:left w:val="single" w:sz="8" w:space="0" w:color="4C639D"/>
            </w:tcBorders>
            <w:shd w:fill="F2F2F2" w:val="clear"/>
            <w:tcMar>
              <w:top w:w="52"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3"/>
              </w:rPr>
            </w:pPr>
            <w:r>
              <w:rPr>
                <w:rFonts w:ascii="Encode Sans;sans-serif" w:hAnsi="Encode Sans;sans-serif"/>
                <w:b w:val="false"/>
                <w:color w:val="000000"/>
                <w:sz w:val="13"/>
              </w:rPr>
              <w:t>140 </w:t>
            </w:r>
          </w:p>
        </w:tc>
        <w:tc>
          <w:tcPr>
            <w:tcW w:w="110"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DBDBDB"/>
              <w:bottom w:val="single" w:sz="8" w:space="0" w:color="DBDBDB"/>
            </w:tcBorders>
            <w:shd w:fill="F2F2F2" w:val="clear"/>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3"/>
              </w:rPr>
            </w:pPr>
            <w:r>
              <w:rPr>
                <w:rFonts w:ascii="Encode Sans;sans-serif" w:hAnsi="Encode Sans;sans-serif"/>
                <w:b w:val="false"/>
                <w:color w:val="000000"/>
                <w:sz w:val="13"/>
              </w:rPr>
              <w:t>bps</w:t>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vMerge w:val="continue"/>
            <w:tcBorders>
              <w:top w:val="single" w:sz="8" w:space="0" w:color="4C639D"/>
              <w:left w:val="single" w:sz="8" w:space="0" w:color="4C639D"/>
            </w:tcBorders>
            <w:tcMar>
              <w:top w:w="52" w:type="dxa"/>
              <w:bottom w:w="0" w:type="dxa"/>
              <w:right w:w="0" w:type="dxa"/>
            </w:tcMar>
            <w:vAlign w:val="center"/>
          </w:tcPr>
          <w:p>
            <w:pPr>
              <w:pStyle w:val="Normal"/>
              <w:bidi w:val="0"/>
              <w:jc w:val="left"/>
              <w:rPr/>
            </w:pPr>
            <w:r>
              <w:rPr/>
            </w:r>
          </w:p>
        </w:tc>
        <w:tc>
          <w:tcPr>
            <w:tcW w:w="124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3"/>
              </w:rPr>
              <w:t>Adjusted diluted EPS</w:t>
            </w:r>
            <w:r>
              <w:rPr>
                <w:rFonts w:ascii="Encode Sans;sans-serif" w:hAnsi="Encode Sans;sans-serif"/>
                <w:b w:val="false"/>
                <w:color w:val="000000"/>
                <w:sz w:val="8"/>
              </w:rPr>
              <w:t>(5)</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0.12</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0.15</w:t>
            </w:r>
          </w:p>
        </w:tc>
        <w:tc>
          <w:tcPr>
            <w:tcW w:w="327" w:type="dxa"/>
            <w:gridSpan w:val="3"/>
            <w:tcBorders>
              <w:top w:val="single" w:sz="8" w:space="0" w:color="DBDBDB"/>
              <w:left w:val="single" w:sz="8" w:space="0" w:color="4C639D"/>
              <w:right w:val="single" w:sz="8" w:space="0" w:color="4C639D"/>
            </w:tcBorders>
            <w:tcMar>
              <w:bottom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bottom w:val="single" w:sz="8" w:space="0" w:color="DBDBDB"/>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(20)%</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0.32</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0.18</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left w:val="single" w:sz="8" w:space="0" w:color="4C639D"/>
              <w:bottom w:val="single" w:sz="8" w:space="0" w:color="DBDBDB"/>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+78%</w:t>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vMerge w:val="continue"/>
            <w:tcBorders>
              <w:top w:val="single" w:sz="8" w:space="0" w:color="4C639D"/>
              <w:left w:val="single" w:sz="8" w:space="0" w:color="4C639D"/>
            </w:tcBorders>
            <w:tcMar>
              <w:top w:w="52" w:type="dxa"/>
              <w:bottom w:w="0" w:type="dxa"/>
              <w:right w:w="0" w:type="dxa"/>
            </w:tcMar>
            <w:vAlign w:val="center"/>
          </w:tcPr>
          <w:p>
            <w:pPr>
              <w:pStyle w:val="Normal"/>
              <w:bidi w:val="0"/>
              <w:jc w:val="left"/>
              <w:rPr/>
            </w:pPr>
            <w:r>
              <w:rPr/>
            </w:r>
          </w:p>
        </w:tc>
        <w:tc>
          <w:tcPr>
            <w:tcW w:w="124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3"/>
              </w:rPr>
              <w:t>Industrial free cash flows</w:t>
            </w:r>
            <w:r>
              <w:rPr>
                <w:rFonts w:ascii="Encode Sans;sans-serif" w:hAnsi="Encode Sans;sans-serif"/>
                <w:b w:val="false"/>
                <w:color w:val="000000"/>
                <w:sz w:val="8"/>
              </w:rPr>
              <w:t>(3)</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1,000</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31</w:t>
            </w:r>
          </w:p>
        </w:tc>
        <w:tc>
          <w:tcPr>
            <w:tcW w:w="327" w:type="dxa"/>
            <w:gridSpan w:val="3"/>
            <w:tcBorders>
              <w:top w:val="single" w:sz="8" w:space="0" w:color="DBDBDB"/>
              <w:left w:val="single" w:sz="8" w:space="0" w:color="4C639D"/>
              <w:right w:val="single" w:sz="8" w:space="0" w:color="4C639D"/>
            </w:tcBorders>
            <w:tcMar>
              <w:bottom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n.m.</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(921)</w:t>
            </w:r>
          </w:p>
        </w:tc>
        <w:tc>
          <w:tcPr>
            <w:tcW w:w="327" w:type="dxa"/>
            <w:gridSpan w:val="3"/>
            <w:tcBorders>
              <w:top w:val="single" w:sz="8" w:space="0" w:color="DBDBDB"/>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(3,005)</w:t>
            </w:r>
          </w:p>
        </w:tc>
        <w:tc>
          <w:tcPr>
            <w:tcW w:w="327" w:type="dxa"/>
            <w:gridSpan w:val="3"/>
            <w:tcBorders>
              <w:top w:val="single" w:sz="8" w:space="0" w:color="DBDBDB"/>
              <w:left w:val="single" w:sz="8" w:space="0" w:color="4C639D"/>
              <w:right w:val="single" w:sz="8" w:space="0" w:color="4C639D"/>
            </w:tcBorders>
            <w:tcMar>
              <w:bottom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+69%</w:t>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vMerge w:val="restart"/>
            <w:tcBorders>
              <w:top w:val="single" w:sz="8" w:space="0" w:color="4C639D"/>
              <w:left w:val="single" w:sz="8" w:space="0" w:color="4C639D"/>
              <w:bottom w:val="single" w:sz="8" w:space="0" w:color="4C639D"/>
            </w:tcBorders>
            <w:tcMar>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3"/>
              </w:rPr>
              <w:t>Consolidated shipments</w:t>
            </w:r>
            <w:r>
              <w:rPr>
                <w:rFonts w:ascii="Encode Sans;sans-serif" w:hAnsi="Encode Sans;sans-serif"/>
                <w:b w:val="false"/>
                <w:color w:val="000000"/>
                <w:sz w:val="8"/>
              </w:rPr>
              <w:t>(6)</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1,597</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4C639D"/>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1,447</w:t>
            </w:r>
          </w:p>
        </w:tc>
        <w:tc>
          <w:tcPr>
            <w:tcW w:w="327" w:type="dxa"/>
            <w:gridSpan w:val="3"/>
            <w:tcBorders>
              <w:top w:val="single" w:sz="8" w:space="0" w:color="4C639D"/>
              <w:left w:val="single" w:sz="8" w:space="0" w:color="4C639D"/>
              <w:right w:val="single" w:sz="8" w:space="0" w:color="4C639D"/>
            </w:tcBorders>
            <w:tcMar>
              <w:bottom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4C639D"/>
              <w:bottom w:val="single" w:sz="8" w:space="0" w:color="DBDBDB"/>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+10%</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4C639D"/>
              <w:left w:val="single" w:sz="8" w:space="0" w:color="4C639D"/>
            </w:tcBorders>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2,958</w:t>
            </w:r>
          </w:p>
        </w:tc>
        <w:tc>
          <w:tcPr>
            <w:tcW w:w="327" w:type="dxa"/>
            <w:gridSpan w:val="3"/>
            <w:tcBorders>
              <w:top w:val="single" w:sz="8" w:space="0" w:color="4C639D"/>
              <w:left w:val="single" w:sz="8" w:space="0" w:color="4C639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4C639D"/>
              <w:left w:val="single" w:sz="8" w:space="0" w:color="4C639D"/>
            </w:tcBorders>
            <w:shd w:fill="FFFFFF" w:val="clear"/>
            <w:tcMar>
              <w:top w:w="52"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2,664</w:t>
            </w:r>
          </w:p>
        </w:tc>
        <w:tc>
          <w:tcPr>
            <w:tcW w:w="327" w:type="dxa"/>
            <w:gridSpan w:val="3"/>
            <w:tcBorders>
              <w:top w:val="single" w:sz="8" w:space="0" w:color="4C639D"/>
              <w:left w:val="single" w:sz="8" w:space="0" w:color="4C639D"/>
              <w:right w:val="single" w:sz="8" w:space="0" w:color="4C639D"/>
            </w:tcBorders>
            <w:tcMar>
              <w:bottom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4C639D"/>
              <w:bottom w:val="single" w:sz="8" w:space="0" w:color="DBDBDB"/>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+11%</w:t>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vMerge w:val="continue"/>
            <w:tcBorders>
              <w:top w:val="single" w:sz="8" w:space="0" w:color="4C639D"/>
              <w:left w:val="single" w:sz="8" w:space="0" w:color="4C639D"/>
              <w:bottom w:val="single" w:sz="8" w:space="0" w:color="4C639D"/>
            </w:tcBorders>
            <w:tcMar>
              <w:right w:w="0" w:type="dxa"/>
            </w:tcMar>
            <w:vAlign w:val="center"/>
          </w:tcPr>
          <w:p>
            <w:pPr>
              <w:pStyle w:val="Normal"/>
              <w:bidi w:val="0"/>
              <w:jc w:val="left"/>
              <w:rPr/>
            </w:pPr>
            <w:r>
              <w:rPr/>
            </w:r>
          </w:p>
        </w:tc>
        <w:tc>
          <w:tcPr>
            <w:tcW w:w="1243" w:type="dxa"/>
            <w:gridSpan w:val="3"/>
            <w:tcBorders>
              <w:top w:val="single" w:sz="8" w:space="0" w:color="DBDBDB"/>
              <w:left w:val="single" w:sz="8" w:space="0" w:color="4C639D"/>
              <w:bottom w:val="single" w:sz="8" w:space="0" w:color="4C639D"/>
            </w:tcBorders>
            <w:tcMar>
              <w:top w:w="52"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3"/>
              </w:rPr>
              <w:t>Combined shipments</w:t>
            </w:r>
            <w:r>
              <w:rPr>
                <w:rFonts w:ascii="Encode Sans;sans-serif" w:hAnsi="Encode Sans;sans-serif"/>
                <w:b w:val="false"/>
                <w:color w:val="000000"/>
                <w:sz w:val="8"/>
              </w:rPr>
              <w:t>(6)</w:t>
            </w:r>
          </w:p>
        </w:tc>
        <w:tc>
          <w:tcPr>
            <w:tcW w:w="327" w:type="dxa"/>
            <w:gridSpan w:val="3"/>
            <w:tcBorders>
              <w:top w:val="single" w:sz="8" w:space="0" w:color="DBDBDB"/>
              <w:left w:val="single" w:sz="8" w:space="0" w:color="4C639D"/>
              <w:bottom w:val="single" w:sz="8" w:space="0" w:color="4C639D"/>
            </w:tcBorders>
            <w:tcMar>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bottom w:val="single" w:sz="8" w:space="0" w:color="4C639D"/>
            </w:tcBorders>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1,603</w:t>
            </w:r>
          </w:p>
        </w:tc>
        <w:tc>
          <w:tcPr>
            <w:tcW w:w="327" w:type="dxa"/>
            <w:gridSpan w:val="3"/>
            <w:tcBorders>
              <w:top w:val="single" w:sz="8" w:space="0" w:color="DBDBDB"/>
              <w:left w:val="single" w:sz="8" w:space="0" w:color="4C639D"/>
              <w:bottom w:val="single" w:sz="8" w:space="0" w:color="4C639D"/>
            </w:tcBorders>
            <w:tcMar>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DBDBDB"/>
              <w:left w:val="single" w:sz="8" w:space="0" w:color="4C639D"/>
              <w:bottom w:val="single" w:sz="8" w:space="0" w:color="4C639D"/>
            </w:tcBorders>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1,457</w:t>
            </w:r>
          </w:p>
        </w:tc>
        <w:tc>
          <w:tcPr>
            <w:tcW w:w="327" w:type="dxa"/>
            <w:gridSpan w:val="3"/>
            <w:tcBorders>
              <w:top w:val="single" w:sz="8" w:space="0" w:color="DBDBDB"/>
              <w:left w:val="single" w:sz="8" w:space="0" w:color="4C639D"/>
              <w:bottom w:val="single" w:sz="8" w:space="0" w:color="4C639D"/>
            </w:tcBorders>
            <w:tcMar>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left w:val="single" w:sz="8" w:space="0" w:color="4C639D"/>
              <w:bottom w:val="single" w:sz="8" w:space="0" w:color="4C639D"/>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+10%</w:t>
            </w:r>
          </w:p>
        </w:tc>
        <w:tc>
          <w:tcPr>
            <w:tcW w:w="327" w:type="dxa"/>
            <w:gridSpan w:val="3"/>
            <w:tcBorders>
              <w:top w:val="single" w:sz="8" w:space="0" w:color="DBDBDB"/>
              <w:left w:val="single" w:sz="8" w:space="0" w:color="4C639D"/>
              <w:bottom w:val="single" w:sz="8" w:space="0" w:color="4C639D"/>
            </w:tcBorders>
            <w:tcMar>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bottom w:val="single" w:sz="8" w:space="0" w:color="4C639D"/>
            </w:tcBorders>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2,968</w:t>
            </w:r>
          </w:p>
        </w:tc>
        <w:tc>
          <w:tcPr>
            <w:tcW w:w="327" w:type="dxa"/>
            <w:gridSpan w:val="3"/>
            <w:tcBorders>
              <w:top w:val="single" w:sz="8" w:space="0" w:color="DBDBDB"/>
              <w:left w:val="single" w:sz="8" w:space="0" w:color="4C639D"/>
              <w:bottom w:val="single" w:sz="8" w:space="0" w:color="4C639D"/>
            </w:tcBorders>
            <w:tcMar>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DBDBDB"/>
              <w:left w:val="single" w:sz="8" w:space="0" w:color="4C639D"/>
              <w:bottom w:val="single" w:sz="8" w:space="0" w:color="4C639D"/>
            </w:tcBorders>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2,690</w:t>
            </w:r>
          </w:p>
        </w:tc>
        <w:tc>
          <w:tcPr>
            <w:tcW w:w="327" w:type="dxa"/>
            <w:gridSpan w:val="3"/>
            <w:tcBorders>
              <w:top w:val="single" w:sz="8" w:space="0" w:color="DBDBDB"/>
              <w:left w:val="single" w:sz="8" w:space="0" w:color="4C639D"/>
              <w:bottom w:val="single" w:sz="8" w:space="0" w:color="4C639D"/>
            </w:tcBorders>
            <w:tcMar>
              <w:right w:w="0" w:type="dxa"/>
            </w:tcMar>
            <w:vAlign w:val="center"/>
          </w:tcPr>
          <w:p>
            <w:pPr>
              <w:pStyle w:val="TableContents"/>
              <w:bidi w:val="0"/>
              <w:spacing w:before="0" w:after="283"/>
              <w:jc w:val="left"/>
              <w:rPr>
                <w:sz w:val="4"/>
                <w:szCs w:val="4"/>
              </w:rPr>
            </w:pPr>
            <w:r>
              <w:rPr>
                <w:sz w:val="4"/>
                <w:szCs w:val="4"/>
              </w:rPr>
            </w:r>
          </w:p>
        </w:tc>
        <w:tc>
          <w:tcPr>
            <w:tcW w:w="892" w:type="dxa"/>
            <w:gridSpan w:val="6"/>
            <w:tcBorders>
              <w:top w:val="single" w:sz="8" w:space="0" w:color="DBDBDB"/>
              <w:left w:val="single" w:sz="8" w:space="0" w:color="4C639D"/>
              <w:bottom w:val="single" w:sz="8" w:space="0" w:color="4C639D"/>
            </w:tcBorders>
            <w:shd w:fill="F2F2F2" w:val="clear"/>
            <w:tcMar>
              <w:top w:w="52"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3"/>
              </w:rPr>
            </w:pPr>
            <w:r>
              <w:rPr>
                <w:rFonts w:ascii="Encode Sans;sans-serif" w:hAnsi="Encode Sans;sans-serif"/>
                <w:b w:val="false"/>
                <w:color w:val="000000"/>
                <w:sz w:val="13"/>
              </w:rPr>
              <w:t>+10%</w:t>
            </w:r>
          </w:p>
        </w:tc>
        <w:tc>
          <w:tcPr>
            <w:tcW w:w="327" w:type="dxa"/>
            <w:gridSpan w:val="3"/>
            <w:tcBorders>
              <w:left w:val="single" w:sz="8" w:space="0" w:color="4C639D"/>
              <w:right w:val="single" w:sz="8" w:space="0" w:color="4C639D"/>
            </w:tcBorders>
            <w:tcMar>
              <w:top w:w="0" w:type="dxa"/>
              <w:bottom w:w="0" w:type="dxa"/>
            </w:tcMar>
            <w:vAlign w:val="center"/>
          </w:tcPr>
          <w:p>
            <w:pPr>
              <w:pStyle w:val="TableContents"/>
              <w:bidi w:val="0"/>
              <w:spacing w:before="0" w:after="283"/>
              <w:jc w:val="left"/>
              <w:rPr>
                <w:sz w:val="4"/>
                <w:szCs w:val="4"/>
              </w:rPr>
            </w:pPr>
            <w:r>
              <w:rPr>
                <w:sz w:val="4"/>
                <w:szCs w:val="4"/>
              </w:rPr>
            </w:r>
          </w:p>
        </w:tc>
        <w:tc>
          <w:tcPr>
            <w:tcW w:w="2013" w:type="dxa"/>
            <w:gridSpan w:val="3"/>
            <w:vMerge w:val="continue"/>
            <w:tcBorders>
              <w:top w:val="single" w:sz="8" w:space="0" w:color="4C639D"/>
              <w:left w:val="single" w:sz="8" w:space="0" w:color="4C639D"/>
              <w:bottom w:val="single" w:sz="8" w:space="0" w:color="4C639D"/>
              <w:right w:val="single" w:sz="8" w:space="0" w:color="4C639D"/>
            </w:tcBorders>
            <w:tcMar>
              <w:top w:w="52" w:type="dxa"/>
              <w:bottom w:w="30" w:type="dxa"/>
            </w:tcMar>
            <w:vAlign w:val="center"/>
          </w:tcPr>
          <w:p>
            <w:pPr>
              <w:pStyle w:val="Normal"/>
              <w:bidi w:val="0"/>
              <w:jc w:val="left"/>
              <w:rPr/>
            </w:pPr>
            <w:r>
              <w:rPr/>
            </w:r>
          </w:p>
        </w:tc>
      </w:tr>
      <w:tr>
        <w:trPr/>
        <w:tc>
          <w:tcPr>
            <w:tcW w:w="40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40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40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40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40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60"/>
        <w:ind w:left="0" w:right="0" w:hanging="180"/>
        <w:jc w:val="center"/>
        <w:rPr>
          <w:rFonts w:ascii="Encode Sans;sans-serif" w:hAnsi="Encode Sans;sans-serif"/>
          <w:b w:val="false"/>
          <w:i/>
          <w:color w:val="000000"/>
          <w:sz w:val="14"/>
        </w:rPr>
      </w:pPr>
      <w:r>
        <w:rPr>
          <w:rFonts w:ascii="Encode Sans;sans-serif" w:hAnsi="Encode Sans;sans-serif"/>
          <w:b w:val="false"/>
          <w:i/>
          <w:color w:val="000000"/>
          <w:sz w:val="14"/>
        </w:rPr>
        <w:t>________________________________________________________________________________________________________________________________________</w:t>
      </w:r>
    </w:p>
    <w:p>
      <w:pPr>
        <w:pStyle w:val="TextBody"/>
        <w:bidi w:val="0"/>
        <w:spacing w:lineRule="auto" w:line="268" w:before="60" w:after="283"/>
        <w:ind w:left="0" w:right="0" w:hanging="180"/>
        <w:jc w:val="left"/>
        <w:rPr/>
      </w:pPr>
      <w:r>
        <w:rPr>
          <w:rFonts w:ascii="Encode Sans;sans-serif" w:hAnsi="Encode Sans;sans-serif"/>
          <w:b w:val="false"/>
          <w:i/>
          <w:color w:val="000000"/>
          <w:sz w:val="14"/>
        </w:rPr>
        <w:t>All</w:t>
      </w:r>
      <w:r>
        <w:rPr>
          <w:color w:val="000000"/>
        </w:rPr>
        <w:t xml:space="preserve"> </w:t>
      </w:r>
      <w:r>
        <w:rPr>
          <w:rFonts w:ascii="Encode Sans;sans-serif" w:hAnsi="Encode Sans;sans-serif"/>
          <w:b w:val="false"/>
          <w:color w:val="000000"/>
          <w:sz w:val="14"/>
        </w:rPr>
        <w:t>reported data is unaudited. Reference should be made to the section “Safe Harbor Statement” included elsewhere within this document</w:t>
      </w:r>
    </w:p>
    <w:p>
      <w:pPr>
        <w:pStyle w:val="TextBody"/>
        <w:bidi w:val="0"/>
        <w:spacing w:lineRule="auto" w:line="288" w:before="0" w:after="0"/>
        <w:jc w:val="left"/>
        <w:rPr>
          <w:rFonts w:ascii="Encode Sans;sans-serif" w:hAnsi="Encode Sans;sans-serif"/>
          <w:b w:val="false"/>
          <w:color w:val="000000"/>
          <w:sz w:val="14"/>
        </w:rPr>
      </w:pPr>
      <w:r>
        <w:rPr>
          <w:rFonts w:ascii="Encode Sans;sans-serif" w:hAnsi="Encode Sans;sans-serif"/>
          <w:b w:val="false"/>
          <w:color w:val="000000"/>
          <w:sz w:val="14"/>
        </w:rPr>
        <w:t>n.m. - not meaningful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428875" cy="6858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19100"/>
                <wp:effectExtent l="0" t="0" r="0" b="0"/>
                <wp:wrapNone/>
                <wp:docPr id="8" name="Frame5"/>
                <a:graphic xmlns:a="http://schemas.openxmlformats.org/drawingml/2006/main">
                  <a:graphicData uri="http://schemas.microsoft.com/office/word/2010/wordprocessingShape">
                    <wps:wsp>
                      <wps:cNvSpPr txBox="1"/>
                      <wps:spPr>
                        <a:xfrm>
                          <a:off x="0" y="0"/>
                          <a:ext cx="6480175" cy="419100"/>
                        </a:xfrm>
                        <a:prstGeom prst="rect"/>
                        <a:solidFill>
                          <a:srgbClr val="FFFFFF"/>
                        </a:solidFill>
                      </wps:spPr>
                      <wps:txbx>
                        <w:txbxContent>
                          <w:p>
                            <w:pPr>
                              <w:pStyle w:val="TextBody"/>
                              <w:bidi w:val="0"/>
                              <w:spacing w:lineRule="auto" w:line="276" w:before="0" w:after="0"/>
                              <w:jc w:val="left"/>
                              <w:rPr>
                                <w:rFonts w:ascii="Encode Sans;sans-serif" w:hAnsi="Encode Sans;sans-serif"/>
                                <w:b w:val="false"/>
                                <w:color w:val="000000"/>
                                <w:sz w:val="12"/>
                              </w:rPr>
                            </w:pPr>
                            <w:r>
                              <w:rPr>
                                <w:rFonts w:ascii="Encode Sans;sans-serif" w:hAnsi="Encode Sans;sans-serif"/>
                                <w:b w:val="false"/>
                                <w:color w:val="000000"/>
                                <w:sz w:val="12"/>
                              </w:rPr>
                              <w:t>Refer to pages 11-12 for explanation of the items referenced on this page</w:t>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76" w:before="0" w:after="0"/>
                        <w:jc w:val="left"/>
                        <w:rPr>
                          <w:rFonts w:ascii="Encode Sans;sans-serif" w:hAnsi="Encode Sans;sans-serif"/>
                          <w:b w:val="false"/>
                          <w:color w:val="000000"/>
                          <w:sz w:val="12"/>
                        </w:rPr>
                      </w:pPr>
                      <w:r>
                        <w:rPr>
                          <w:rFonts w:ascii="Encode Sans;sans-serif" w:hAnsi="Encode Sans;sans-serif"/>
                          <w:b w:val="false"/>
                          <w:color w:val="000000"/>
                          <w:sz w:val="12"/>
                        </w:rPr>
                        <w:t>Refer to pages 11-12 for explanation of the items referenced on this page</w:t>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r>
        <w:rPr>
          <w:rFonts w:ascii="Encode Sans;sans-serif" w:hAnsi="Encode Sans;sans-serif"/>
          <w:b w:val="false"/>
          <w:color w:val="000000"/>
          <w:sz w:val="17"/>
        </w:rPr>
        <w:t>AMSTERDAM – July 30, 2026 — Stellantis reported Q2 2026 financial results, with Net revenues increasing 13% year-over-year to €43.5 billion. The improvement was primarily driven by North America, up 32% year-over-year, and supported by South America, up 6% year-over-year, while Enlarged Europe was flat and Middle East &amp; Africa and Asia Pacific were down slightly</w:t>
      </w:r>
      <w:r>
        <w:rPr>
          <w:rFonts w:ascii="Encode Sans;sans-serif" w:hAnsi="Encode Sans;sans-serif"/>
          <w:b w:val="false"/>
          <w:color w:val="242424"/>
          <w:sz w:val="17"/>
        </w:rPr>
        <w:t>. Net profit improved to €0.3 billion in Q2 2026, reflecting higher volumes and a gradual improvement in operating performance.</w:t>
      </w:r>
    </w:p>
    <w:p>
      <w:pPr>
        <w:pStyle w:val="TextBody"/>
        <w:bidi w:val="0"/>
        <w:spacing w:before="0" w:after="0"/>
        <w:jc w:val="left"/>
        <w:rPr/>
      </w:pPr>
      <w:r>
        <w:rPr/>
      </w:r>
    </w:p>
    <w:p>
      <w:pPr>
        <w:pStyle w:val="TextBody"/>
        <w:bidi w:val="0"/>
        <w:spacing w:lineRule="auto" w:line="276" w:before="0" w:after="0"/>
        <w:jc w:val="left"/>
        <w:rPr/>
      </w:pPr>
      <w:r>
        <w:rPr>
          <w:rFonts w:ascii="Encode Sans;sans-serif" w:hAnsi="Encode Sans;sans-serif"/>
          <w:b w:val="false"/>
          <w:color w:val="242424"/>
          <w:sz w:val="17"/>
        </w:rPr>
        <w:t>Adjusted operating income</w:t>
      </w:r>
      <w:r>
        <w:rPr>
          <w:rFonts w:ascii="Encode Sans;sans-serif" w:hAnsi="Encode Sans;sans-serif"/>
          <w:b w:val="false"/>
          <w:color w:val="242424"/>
          <w:sz w:val="11"/>
        </w:rPr>
        <w:t>(1)</w:t>
      </w:r>
      <w:r>
        <w:rPr>
          <w:color w:val="242424"/>
        </w:rPr>
        <w:t xml:space="preserve"> </w:t>
      </w:r>
      <w:r>
        <w:rPr>
          <w:rFonts w:ascii="Encode Sans;sans-serif" w:hAnsi="Encode Sans;sans-serif"/>
          <w:b w:val="false"/>
          <w:color w:val="242424"/>
          <w:sz w:val="17"/>
        </w:rPr>
        <w:t>was €0.8 billion, representing an AOI margin</w:t>
      </w:r>
      <w:r>
        <w:rPr>
          <w:rFonts w:ascii="Encode Sans;sans-serif" w:hAnsi="Encode Sans;sans-serif"/>
          <w:b w:val="false"/>
          <w:color w:val="242424"/>
          <w:sz w:val="11"/>
        </w:rPr>
        <w:t xml:space="preserve">(2) </w:t>
      </w:r>
      <w:r>
        <w:rPr>
          <w:rFonts w:ascii="Encode Sans;sans-serif" w:hAnsi="Encode Sans;sans-serif"/>
          <w:b w:val="false"/>
          <w:color w:val="242424"/>
          <w:sz w:val="17"/>
        </w:rPr>
        <w:t>of 1.8%, with all regions delivering positive results except Enlarged Europe, with an AOI margin</w:t>
      </w:r>
      <w:r>
        <w:rPr>
          <w:rFonts w:ascii="Encode Sans;sans-serif" w:hAnsi="Encode Sans;sans-serif"/>
          <w:b w:val="false"/>
          <w:color w:val="242424"/>
          <w:sz w:val="11"/>
        </w:rPr>
        <w:t>(2)</w:t>
      </w:r>
      <w:r>
        <w:rPr>
          <w:color w:val="242424"/>
        </w:rPr>
        <w:t xml:space="preserve"> </w:t>
      </w:r>
      <w:r>
        <w:rPr>
          <w:rFonts w:ascii="Encode Sans;sans-serif" w:hAnsi="Encode Sans;sans-serif"/>
          <w:b w:val="false"/>
          <w:color w:val="242424"/>
          <w:sz w:val="17"/>
        </w:rPr>
        <w:t>of (0.6%).</w:t>
      </w:r>
    </w:p>
    <w:p>
      <w:pPr>
        <w:pStyle w:val="TextBody"/>
        <w:bidi w:val="0"/>
        <w:spacing w:before="0" w:after="0"/>
        <w:jc w:val="left"/>
        <w:rPr/>
      </w:pPr>
      <w:r>
        <w:rPr/>
      </w:r>
    </w:p>
    <w:p>
      <w:pPr>
        <w:pStyle w:val="TextBody"/>
        <w:bidi w:val="0"/>
        <w:spacing w:lineRule="auto" w:line="276" w:before="0" w:after="0"/>
        <w:jc w:val="left"/>
        <w:rPr/>
      </w:pPr>
      <w:r>
        <w:rPr>
          <w:rFonts w:ascii="Encode Sans;sans-serif" w:hAnsi="Encode Sans;sans-serif"/>
          <w:b w:val="false"/>
          <w:color w:val="242424"/>
          <w:sz w:val="17"/>
        </w:rPr>
        <w:t>Industrial free cash flows</w:t>
      </w:r>
      <w:r>
        <w:rPr>
          <w:rFonts w:ascii="Encode Sans;sans-serif" w:hAnsi="Encode Sans;sans-serif"/>
          <w:b w:val="false"/>
          <w:color w:val="242424"/>
          <w:sz w:val="11"/>
        </w:rPr>
        <w:t>(3)</w:t>
      </w:r>
      <w:r>
        <w:rPr>
          <w:color w:val="242424"/>
        </w:rPr>
        <w:t xml:space="preserve"> </w:t>
      </w:r>
      <w:r>
        <w:rPr>
          <w:rFonts w:ascii="Encode Sans;sans-serif" w:hAnsi="Encode Sans;sans-serif"/>
          <w:b w:val="false"/>
          <w:color w:val="242424"/>
          <w:sz w:val="17"/>
        </w:rPr>
        <w:t>wer</w:t>
      </w:r>
      <w:r>
        <w:rPr>
          <w:rFonts w:ascii="Encode Sans;sans-serif" w:hAnsi="Encode Sans;sans-serif"/>
          <w:b w:val="false"/>
          <w:color w:val="000000"/>
          <w:sz w:val="17"/>
        </w:rPr>
        <w:t>e €1.0 billion in Q2 2026, an improvement of €1.0 bill</w:t>
      </w:r>
      <w:r>
        <w:rPr>
          <w:rFonts w:ascii="Encode Sans;sans-serif" w:hAnsi="Encode Sans;sans-serif"/>
          <w:b w:val="false"/>
          <w:color w:val="242424"/>
          <w:sz w:val="17"/>
        </w:rPr>
        <w:t>ion versus Q2 2025,</w:t>
      </w:r>
      <w:r>
        <w:rPr>
          <w:color w:val="000000"/>
        </w:rPr>
        <w:t xml:space="preserve"> </w:t>
      </w:r>
      <w:r>
        <w:rPr>
          <w:rFonts w:ascii="Encode Sans;sans-serif" w:hAnsi="Encode Sans;sans-serif"/>
          <w:b w:val="false"/>
          <w:color w:val="000000"/>
          <w:sz w:val="17"/>
        </w:rPr>
        <w:t>reflecting improved operating performance</w:t>
      </w:r>
      <w:r>
        <w:rPr>
          <w:rFonts w:ascii="Encode Sans;sans-serif" w:hAnsi="Encode Sans;sans-serif"/>
          <w:b w:val="false"/>
          <w:color w:val="242424"/>
          <w:sz w:val="17"/>
        </w:rPr>
        <w:t>.</w:t>
      </w:r>
    </w:p>
    <w:p>
      <w:pPr>
        <w:pStyle w:val="TextBody"/>
        <w:bidi w:val="0"/>
        <w:spacing w:before="0" w:after="0"/>
        <w:jc w:val="left"/>
        <w:rPr/>
      </w:pPr>
      <w:r>
        <w:rPr/>
      </w:r>
    </w:p>
    <w:p>
      <w:pPr>
        <w:pStyle w:val="TextBody"/>
        <w:bidi w:val="0"/>
        <w:spacing w:lineRule="auto" w:line="276" w:before="0" w:after="0"/>
        <w:jc w:val="left"/>
        <w:rPr>
          <w:rFonts w:ascii="Encode Sans;sans-serif" w:hAnsi="Encode Sans;sans-serif"/>
          <w:b/>
          <w:color w:val="000000"/>
          <w:sz w:val="17"/>
        </w:rPr>
      </w:pPr>
      <w:r>
        <w:rPr>
          <w:rFonts w:ascii="Encode Sans;sans-serif" w:hAnsi="Encode Sans;sans-serif"/>
          <w:b/>
          <w:color w:val="000000"/>
          <w:sz w:val="17"/>
        </w:rPr>
        <w:t>As FaSTLAne 2030 is underway, Stellantis is confirming its 2026 financial guidance, noting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Encode Sans;sans-serif" w:hAnsi="Encode Sans;sans-serif"/>
          <w:b w:val="false"/>
          <w:color w:val="000000"/>
          <w:sz w:val="17"/>
        </w:rPr>
        <w:t>Net tariff headwind now estimated at €1.0 billion to €1.2 billion; H1 2026 net tariff costs were €0.3 billion, including an International Emergency Economic Powers Act (IEEPA) tariff refund of €0.4 billion</w:t>
      </w:r>
    </w:p>
    <w:p>
      <w:pPr>
        <w:pStyle w:val="TextBody"/>
        <w:bidi w:val="0"/>
        <w:spacing w:lineRule="auto" w:line="276" w:before="0" w:after="0"/>
        <w:ind w:left="0" w:right="0" w:hanging="360"/>
        <w:jc w:val="left"/>
        <w:rPr/>
      </w:pPr>
      <w:r>
        <w:rPr>
          <w:color w:val="000000"/>
        </w:rPr>
        <w:t>•</w:t>
      </w:r>
      <w:r>
        <w:rPr>
          <w:rFonts w:ascii="Encode Sans;sans-serif" w:hAnsi="Encode Sans;sans-serif"/>
          <w:b w:val="false"/>
          <w:color w:val="000000"/>
          <w:sz w:val="17"/>
        </w:rPr>
        <w:t>Includes ~€2 billion of cash payments related to H2 2025 charges, of which €0.9 billion was paid in H1 2026</w:t>
      </w:r>
    </w:p>
    <w:p>
      <w:pPr>
        <w:pStyle w:val="TextBody"/>
        <w:bidi w:val="0"/>
        <w:spacing w:lineRule="auto" w:line="288" w:before="0" w:after="0"/>
        <w:ind w:left="0" w:right="0" w:hanging="360"/>
        <w:jc w:val="left"/>
        <w:rPr/>
      </w:pPr>
      <w:r>
        <w:rPr>
          <w:color w:val="000000"/>
        </w:rPr>
        <w:t>•</w:t>
      </w:r>
      <w:r>
        <w:rPr>
          <w:rFonts w:ascii="Encode Sans;sans-serif" w:hAnsi="Encode Sans;sans-serif"/>
          <w:b w:val="false"/>
          <w:color w:val="000000"/>
          <w:sz w:val="17"/>
        </w:rPr>
        <w:t>Full-year capital expenditures and R&amp;D spending estimated at 6.5% - 7.0% of Net revenues; consistent with the FaSTLAne 2030 investment plan for this year</w:t>
      </w:r>
    </w:p>
    <w:p>
      <w:pPr>
        <w:pStyle w:val="TextBody"/>
        <w:bidi w:val="0"/>
        <w:spacing w:lineRule="auto" w:line="288" w:before="0" w:after="0"/>
        <w:ind w:left="0" w:right="0" w:hanging="360"/>
        <w:jc w:val="left"/>
        <w:rPr/>
      </w:pPr>
      <w:r>
        <w:rPr>
          <w:color w:val="000000"/>
        </w:rPr>
        <w:t>•</w:t>
      </w:r>
      <w:r>
        <w:rPr>
          <w:rFonts w:ascii="Encode Sans;sans-serif" w:hAnsi="Encode Sans;sans-serif"/>
          <w:b w:val="false"/>
          <w:color w:val="000000"/>
          <w:sz w:val="17"/>
        </w:rPr>
        <w:t>H2 2026 performance expected to be weighted toward Q4, following Q3 summer production shutdown and continued operational performance improvements</w:t>
      </w:r>
    </w:p>
    <w:p>
      <w:pPr>
        <w:pStyle w:val="TextBody"/>
        <w:bidi w:val="0"/>
        <w:spacing w:before="0" w:after="0"/>
        <w:jc w:val="left"/>
        <w:rPr/>
      </w:pPr>
      <w:r>
        <w:rPr/>
      </w:r>
    </w:p>
    <w:p>
      <w:pPr>
        <w:pStyle w:val="TextBody"/>
        <w:bidi w:val="0"/>
        <w:spacing w:lineRule="auto" w:line="276" w:before="0" w:after="0"/>
        <w:jc w:val="left"/>
        <w:rPr>
          <w:rFonts w:ascii="Encode Sans;sans-serif" w:hAnsi="Encode Sans;sans-serif"/>
          <w:b w:val="false"/>
          <w:color w:val="000000"/>
          <w:sz w:val="17"/>
        </w:rPr>
      </w:pPr>
      <w:r>
        <w:rPr>
          <w:rFonts w:ascii="Encode Sans;sans-serif" w:hAnsi="Encode Sans;sans-serif"/>
          <w:b w:val="false"/>
          <w:color w:val="000000"/>
          <w:sz w:val="17"/>
        </w:rPr>
        <w:t>Regional results for the quarter demonstrated progress across key markets.</w:t>
      </w:r>
    </w:p>
    <w:p>
      <w:pPr>
        <w:pStyle w:val="TextBody"/>
        <w:bidi w:val="0"/>
        <w:spacing w:before="0" w:after="0"/>
        <w:jc w:val="left"/>
        <w:rPr/>
      </w:pPr>
      <w:r>
        <w:rPr/>
      </w:r>
    </w:p>
    <w:p>
      <w:pPr>
        <w:pStyle w:val="TextBody"/>
        <w:bidi w:val="0"/>
        <w:spacing w:lineRule="auto" w:line="276" w:before="0" w:after="0"/>
        <w:jc w:val="both"/>
        <w:rPr/>
      </w:pPr>
      <w:r>
        <w:rPr>
          <w:rFonts w:ascii="Encode Sans;sans-serif" w:hAnsi="Encode Sans;sans-serif"/>
          <w:b/>
          <w:color w:val="000000"/>
          <w:sz w:val="17"/>
        </w:rPr>
        <w:t xml:space="preserve">North America: </w:t>
      </w:r>
      <w:r>
        <w:rPr>
          <w:rFonts w:ascii="Encode Sans;sans-serif" w:hAnsi="Encode Sans;sans-serif"/>
          <w:b w:val="false"/>
          <w:color w:val="000000"/>
          <w:sz w:val="17"/>
        </w:rPr>
        <w:t>Sales increased 6% versus Q2 2025, achieving the fourth consecutive quarter of year-over-year growth with 6% increase in the U.S., 1</w:t>
      </w:r>
      <w:r>
        <w:rPr>
          <w:rFonts w:ascii="Encode Sans;sans-serif" w:hAnsi="Encode Sans;sans-serif"/>
          <w:b w:val="false"/>
          <w:color w:val="242424"/>
          <w:sz w:val="17"/>
        </w:rPr>
        <w:t>%</w:t>
      </w:r>
      <w:r>
        <w:rPr>
          <w:color w:val="000000"/>
        </w:rPr>
        <w:t xml:space="preserve"> </w:t>
      </w:r>
      <w:r>
        <w:rPr>
          <w:rFonts w:ascii="Encode Sans;sans-serif" w:hAnsi="Encode Sans;sans-serif"/>
          <w:b w:val="false"/>
          <w:color w:val="000000"/>
          <w:sz w:val="17"/>
        </w:rPr>
        <w:t>decrease in Canada an</w:t>
      </w:r>
      <w:r>
        <w:rPr>
          <w:rFonts w:ascii="Encode Sans;sans-serif" w:hAnsi="Encode Sans;sans-serif"/>
          <w:b w:val="false"/>
          <w:color w:val="242424"/>
          <w:sz w:val="17"/>
        </w:rPr>
        <w:t>d</w:t>
      </w:r>
      <w:r>
        <w:rPr>
          <w:color w:val="000000"/>
        </w:rPr>
        <w:t xml:space="preserve"> </w:t>
      </w:r>
      <w:r>
        <w:rPr>
          <w:rFonts w:ascii="Encode Sans;sans-serif" w:hAnsi="Encode Sans;sans-serif"/>
          <w:b w:val="false"/>
          <w:color w:val="242424"/>
          <w:sz w:val="17"/>
        </w:rPr>
        <w:t>17%</w:t>
      </w:r>
      <w:r>
        <w:rPr>
          <w:color w:val="000000"/>
        </w:rPr>
        <w:t xml:space="preserve"> </w:t>
      </w:r>
      <w:r>
        <w:rPr>
          <w:rFonts w:ascii="Encode Sans;sans-serif" w:hAnsi="Encode Sans;sans-serif"/>
          <w:b w:val="false"/>
          <w:color w:val="000000"/>
          <w:sz w:val="17"/>
        </w:rPr>
        <w:t>increase in Mexico (increased 19% including Leapmotor</w:t>
      </w:r>
      <w:r>
        <w:rPr>
          <w:rFonts w:ascii="Encode Sans;sans-serif" w:hAnsi="Encode Sans;sans-serif"/>
          <w:b w:val="false"/>
          <w:color w:val="000000"/>
          <w:sz w:val="11"/>
        </w:rPr>
        <w:t>(7)</w:t>
      </w:r>
      <w:r>
        <w:rPr>
          <w:rFonts w:ascii="Encode Sans;sans-serif" w:hAnsi="Encode Sans;sans-serif"/>
          <w:b w:val="false"/>
          <w:color w:val="000000"/>
          <w:sz w:val="17"/>
        </w:rPr>
        <w:t xml:space="preserve">). Stellantis outperformed the U.S. industry trend which was down 0.3% in Q2 2026, including year-over-year increases in retail sales of Jeep® Grand Wagoneer up 43%, Ram 1500 up 9%, Dodge Durango up 9%, and Chrysler Pacifica up 7%. North America market share increased to 7.4%, up 40 basis points year-over-year, driven by new product and powertrain offerings, as well as Ram, whose U.S. sales increased approximately 11% year-over-year. Additionally, Mexico's sales increased 17% (19% year-over-year including Leapmotor), delivering the strongest Q2 on record. </w:t>
      </w:r>
    </w:p>
    <w:p>
      <w:pPr>
        <w:pStyle w:val="TextBody"/>
        <w:bidi w:val="0"/>
        <w:spacing w:before="0" w:after="0"/>
        <w:jc w:val="both"/>
        <w:rPr/>
      </w:pPr>
      <w:r>
        <w:rPr/>
      </w:r>
    </w:p>
    <w:p>
      <w:pPr>
        <w:pStyle w:val="TextBody"/>
        <w:bidi w:val="0"/>
        <w:spacing w:lineRule="auto" w:line="276" w:before="0" w:after="0"/>
        <w:jc w:val="both"/>
        <w:rPr/>
      </w:pPr>
      <w:r>
        <w:rPr>
          <w:rFonts w:ascii="Encode Sans;sans-serif" w:hAnsi="Encode Sans;sans-serif"/>
          <w:b/>
          <w:color w:val="000000"/>
          <w:sz w:val="17"/>
        </w:rPr>
        <w:t xml:space="preserve">Enlarged Europe: </w:t>
      </w:r>
      <w:r>
        <w:rPr>
          <w:rFonts w:ascii="Encode Sans;sans-serif" w:hAnsi="Encode Sans;sans-serif"/>
          <w:b w:val="false"/>
          <w:color w:val="000000"/>
          <w:sz w:val="17"/>
        </w:rPr>
        <w:t>EU30 sales increased 3% versus Q2 2025, 7% including Leapmotor</w:t>
      </w:r>
      <w:r>
        <w:rPr>
          <w:rFonts w:ascii="Encode Sans;sans-serif" w:hAnsi="Encode Sans;sans-serif"/>
          <w:b w:val="false"/>
          <w:color w:val="000000"/>
          <w:sz w:val="11"/>
        </w:rPr>
        <w:t>(7)</w:t>
      </w:r>
      <w:r>
        <w:rPr>
          <w:rFonts w:ascii="Encode Sans;sans-serif" w:hAnsi="Encode Sans;sans-serif"/>
          <w:b w:val="false"/>
          <w:color w:val="000000"/>
          <w:sz w:val="17"/>
        </w:rPr>
        <w:t xml:space="preserve">, driven primarily by Smart Car. </w:t>
      </w:r>
      <w:r>
        <w:rPr>
          <w:rFonts w:ascii="Encode Sans;sans-serif" w:hAnsi="Encode Sans;sans-serif"/>
          <w:b w:val="false"/>
          <w:color w:val="242424"/>
          <w:sz w:val="17"/>
        </w:rPr>
        <w:t>EU30 market share was 16.0%, down 80 basis points year-over-year or 16.8% includi</w:t>
      </w:r>
      <w:r>
        <w:rPr>
          <w:rFonts w:ascii="Encode Sans;sans-serif" w:hAnsi="Encode Sans;sans-serif"/>
          <w:b w:val="false"/>
          <w:color w:val="000000"/>
          <w:sz w:val="17"/>
        </w:rPr>
        <w:t>ng Leapmotor</w:t>
      </w:r>
      <w:r>
        <w:rPr>
          <w:rFonts w:ascii="Encode Sans;sans-serif" w:hAnsi="Encode Sans;sans-serif"/>
          <w:b w:val="false"/>
          <w:color w:val="000000"/>
          <w:sz w:val="11"/>
        </w:rPr>
        <w:t>(7)</w:t>
      </w:r>
      <w:r>
        <w:rPr>
          <w:rFonts w:ascii="Encode Sans;sans-serif" w:hAnsi="Encode Sans;sans-serif"/>
          <w:b w:val="false"/>
          <w:color w:val="000000"/>
          <w:sz w:val="17"/>
        </w:rPr>
        <w:t>, down 10 basis points. Sales growth was supported by a diversified portfolio across BEV, hybrid and ICE powertrains, including the launch of the Fiat Grande Panda ICE on the Smart Car platform. The C-SUV portfolio continues to strengthen, supported by DS N°7, Lancia Gamma and Jeep® Compass 4xe. Stellantis reaffirmed its leadership in the EU30 LCV segment, achieving a 28.7% market share. Leapmotor continues to gain momentum with sales growing sixfold year-over-year.</w:t>
      </w:r>
    </w:p>
    <w:p>
      <w:pPr>
        <w:pStyle w:val="TextBody"/>
        <w:bidi w:val="0"/>
        <w:spacing w:lineRule="auto" w:line="268" w:before="0" w:after="0"/>
        <w:jc w:val="left"/>
        <w:rPr/>
      </w:pPr>
      <w:r>
        <w:rPr>
          <w:rFonts w:ascii="Encode Sans;sans-serif" w:hAnsi="Encode Sans;sans-serif"/>
          <w:b w:val="false"/>
          <w:color w:val="000000"/>
          <w:sz w:val="17"/>
        </w:rPr>
        <w:br/>
      </w:r>
      <w:r>
        <w:rPr>
          <w:rFonts w:ascii="Encode Sans;sans-serif" w:hAnsi="Encode Sans;sans-serif"/>
          <w:b/>
          <w:color w:val="000000"/>
          <w:sz w:val="17"/>
        </w:rPr>
        <w:t xml:space="preserve">South America: </w:t>
      </w:r>
      <w:r>
        <w:rPr>
          <w:rFonts w:ascii="Encode Sans;sans-serif" w:hAnsi="Encode Sans;sans-serif"/>
          <w:b w:val="false"/>
          <w:color w:val="000000"/>
          <w:sz w:val="17"/>
        </w:rPr>
        <w:t>Sales decreased 2% versus Q2 2025, 1% including Leapmotor</w:t>
      </w:r>
      <w:r>
        <w:rPr>
          <w:rFonts w:ascii="Encode Sans;sans-serif" w:hAnsi="Encode Sans;sans-serif"/>
          <w:b w:val="false"/>
          <w:color w:val="000000"/>
          <w:sz w:val="11"/>
        </w:rPr>
        <w:t>(7)</w:t>
      </w:r>
      <w:r>
        <w:rPr>
          <w:rFonts w:ascii="Encode Sans;sans-serif" w:hAnsi="Encode Sans;sans-serif"/>
          <w:b w:val="false"/>
          <w:color w:val="000000"/>
          <w:sz w:val="17"/>
        </w:rPr>
        <w:t>. Despite a market share decrease, Stellantis maintained its regional leadership with a 19.1% market share, 19.4% including Leapmotor</w:t>
      </w:r>
      <w:r>
        <w:rPr>
          <w:rFonts w:ascii="Encode Sans;sans-serif" w:hAnsi="Encode Sans;sans-serif"/>
          <w:b w:val="false"/>
          <w:color w:val="000000"/>
          <w:sz w:val="11"/>
        </w:rPr>
        <w:t>(7)</w:t>
      </w:r>
      <w:r>
        <w:rPr>
          <w:rFonts w:ascii="Encode Sans;sans-serif" w:hAnsi="Encode Sans;sans-serif"/>
          <w:b w:val="false"/>
          <w:color w:val="000000"/>
          <w:sz w:val="17"/>
        </w:rPr>
        <w:t>. Stellantis maintains No. 1 positions in Brazil and Argentina, with market shares of 25.6% and 26%, respectively. Overall, Q2 2026 Ram sales in Brazil grew 10% year-over-year and ~30% year-over-year in June 2026, strengthening Stellantis' position in the important Brazilian pickup market.</w:t>
      </w:r>
    </w:p>
    <w:p>
      <w:pPr>
        <w:pStyle w:val="TextBody"/>
        <w:bidi w:val="0"/>
        <w:spacing w:before="0" w:after="0"/>
        <w:jc w:val="left"/>
        <w:rPr/>
      </w:pPr>
      <w:r>
        <w:rPr/>
      </w:r>
    </w:p>
    <w:p>
      <w:pPr>
        <w:pStyle w:val="TextBody"/>
        <w:bidi w:val="0"/>
        <w:spacing w:lineRule="auto" w:line="276" w:before="0" w:after="0"/>
        <w:jc w:val="left"/>
        <w:rPr/>
      </w:pPr>
      <w:r>
        <w:rPr>
          <w:rFonts w:ascii="Encode Sans;sans-serif" w:hAnsi="Encode Sans;sans-serif"/>
          <w:b/>
          <w:color w:val="000000"/>
          <w:sz w:val="17"/>
        </w:rPr>
        <w:t>Middle East &amp; Africa:</w:t>
      </w:r>
      <w:r>
        <w:rPr>
          <w:color w:val="000000"/>
        </w:rPr>
        <w:t xml:space="preserve"> </w:t>
      </w:r>
      <w:r>
        <w:rPr>
          <w:rFonts w:ascii="Encode Sans;sans-serif" w:hAnsi="Encode Sans;sans-serif"/>
          <w:b w:val="false"/>
          <w:color w:val="000000"/>
          <w:sz w:val="17"/>
        </w:rPr>
        <w:t>The region remained resilient in Q2 2026 despite a challenging market environment. While sales declined 6%, market share increased by 20 basis points year-over-year against an approximately 8% regional industry contraction. The region retained its No. 2 position in passenger car and LCV sales and gained leadership in LCVs, with a 24.7% market share. Growth was supported by Türkiye, which maintained its No. 1 position across passenger car and LCV segments, and by Algeria, which achieved a record quarter with more than 20,000 locally produced and sold units. The region also benefited from LCV leadership across key markets and recent launches in Türkiye, Tunisia, Morocco and Egypt.</w:t>
      </w:r>
    </w:p>
    <w:p>
      <w:pPr>
        <w:pStyle w:val="TextBody"/>
        <w:bidi w:val="0"/>
        <w:spacing w:before="0" w:after="0"/>
        <w:jc w:val="left"/>
        <w:rPr/>
      </w:pPr>
      <w:r>
        <w:rPr/>
      </w:r>
    </w:p>
    <w:p>
      <w:pPr>
        <w:pStyle w:val="TextBody"/>
        <w:bidi w:val="0"/>
        <w:spacing w:lineRule="auto" w:line="276" w:before="0" w:after="0"/>
        <w:jc w:val="left"/>
        <w:rPr/>
      </w:pPr>
      <w:r>
        <w:rPr>
          <w:rFonts w:ascii="Encode Sans;sans-serif" w:hAnsi="Encode Sans;sans-serif"/>
          <w:b/>
          <w:color w:val="000000"/>
          <w:sz w:val="17"/>
        </w:rPr>
        <w:t>Asia Pacific:</w:t>
      </w:r>
      <w:r>
        <w:rPr>
          <w:color w:val="000000"/>
        </w:rPr>
        <w:t xml:space="preserve"> </w:t>
      </w:r>
      <w:r>
        <w:rPr>
          <w:rFonts w:ascii="Encode Sans;sans-serif" w:hAnsi="Encode Sans;sans-serif"/>
          <w:b w:val="false"/>
          <w:color w:val="000000"/>
          <w:sz w:val="17"/>
        </w:rPr>
        <w:t>June 2026 deliveries reached a 6-month high. Sales decreased 29% versus Q2 2025, 22% including Leapmotor</w:t>
      </w:r>
      <w:r>
        <w:rPr>
          <w:rFonts w:ascii="Encode Sans;sans-serif" w:hAnsi="Encode Sans;sans-serif"/>
          <w:b w:val="false"/>
          <w:color w:val="000000"/>
          <w:sz w:val="11"/>
        </w:rPr>
        <w:t>(7)</w:t>
      </w:r>
      <w:r>
        <w:rPr>
          <w:rFonts w:ascii="Encode Sans;sans-serif" w:hAnsi="Encode Sans;sans-serif"/>
          <w:b w:val="false"/>
          <w:color w:val="000000"/>
          <w:sz w:val="17"/>
        </w:rPr>
        <w:t xml:space="preserve">, driven primarily by declines in the Peugeot 408. Q2 2026 market share decreased slightly to 0.2%. Local Leapmotor-branded vehicle assembly in Malaysia implemented for the C10, and the B10 launch remains on track for Q3 2026. Additionally, partnership announced with DFM to develop and manufacture Peugeot and Jeep models in China. </w:t>
      </w:r>
    </w:p>
    <w:p>
      <w:pPr>
        <w:pStyle w:val="TextBody"/>
        <w:bidi w:val="0"/>
        <w:spacing w:before="0" w:after="0"/>
        <w:jc w:val="both"/>
        <w:rPr/>
      </w:pPr>
      <w:r>
        <w:rPr/>
      </w:r>
    </w:p>
    <w:p>
      <w:pPr>
        <w:pStyle w:val="TextBody"/>
        <w:bidi w:val="0"/>
        <w:spacing w:lineRule="auto" w:line="300" w:before="0" w:after="0"/>
        <w:jc w:val="both"/>
        <w:rPr>
          <w:rFonts w:ascii="Encode Sans;sans-serif" w:hAnsi="Encode Sans;sans-serif"/>
          <w:b/>
          <w:color w:val="000000"/>
          <w:sz w:val="17"/>
        </w:rPr>
      </w:pPr>
      <w:r>
        <w:rPr>
          <w:rFonts w:ascii="Encode Sans;sans-serif" w:hAnsi="Encode Sans;sans-serif"/>
          <w:b/>
          <w:color w:val="000000"/>
          <w:sz w:val="17"/>
        </w:rPr>
        <w:t xml:space="preserve">Upcoming Events </w:t>
      </w:r>
    </w:p>
    <w:p>
      <w:pPr>
        <w:pStyle w:val="TextBody"/>
        <w:bidi w:val="0"/>
        <w:spacing w:before="0" w:after="0"/>
        <w:jc w:val="both"/>
        <w:rPr/>
      </w:pPr>
      <w:r>
        <w:rPr/>
      </w:r>
    </w:p>
    <w:p>
      <w:pPr>
        <w:pStyle w:val="TextBody"/>
        <w:bidi w:val="0"/>
        <w:spacing w:lineRule="auto" w:line="300" w:before="0" w:after="120"/>
        <w:ind w:left="0" w:right="0" w:hanging="360"/>
        <w:jc w:val="both"/>
        <w:rPr/>
      </w:pPr>
      <w:r>
        <w:rPr>
          <w:color w:val="000000"/>
        </w:rPr>
        <w:t>•</w:t>
      </w:r>
      <w:r>
        <w:rPr>
          <w:rFonts w:ascii="Encode Sans;sans-serif" w:hAnsi="Encode Sans;sans-serif"/>
          <w:b w:val="false"/>
          <w:color w:val="000000"/>
          <w:sz w:val="17"/>
        </w:rPr>
        <w:t>Q2 2026 Results Call with Management - July 30, 2026, at 2:00 p.m. CEST / 8:00 a.m. EDT. The webcast and recorded replay will be accessible under the Investors section of the Stellantis corporate website (www.stellantis.com).</w:t>
      </w:r>
    </w:p>
    <w:p>
      <w:pPr>
        <w:pStyle w:val="TextBody"/>
        <w:bidi w:val="0"/>
        <w:spacing w:lineRule="auto" w:line="288" w:before="0" w:after="120"/>
        <w:jc w:val="left"/>
        <w:rPr/>
      </w:pPr>
      <w:r>
        <w:rPr>
          <w:rFonts w:ascii="Encode Sans;sans-serif" w:hAnsi="Encode Sans;sans-serif"/>
          <w:b/>
          <w:color w:val="000000"/>
          <w:sz w:val="17"/>
        </w:rPr>
        <w:t>About Stellantis</w:t>
        <w:br/>
      </w:r>
      <w:r>
        <w:rPr>
          <w:rFonts w:ascii="Encode Sans;sans-serif" w:hAnsi="Encode Sans;sans-serif"/>
          <w:b w:val="false"/>
          <w:color w:val="000000"/>
          <w:sz w:val="17"/>
        </w:rPr>
        <w:t>Stellantis (NYSE: STLA / Euronext Milan: STLAM / Euronext Paris: STLAP) is a leading global automaker, dedicated to giving its customers the freedom to choose the way they move, embracing the latest technologies and creating value for all its stakeholders. Its unique portfolio of iconic and innovative brands includes Abarth, Alfa Romeo, Chrysler, Citroën, Dodge, DS Automobiles, FIAT, Jeep</w:t>
      </w:r>
      <w:r>
        <w:rPr>
          <w:rFonts w:ascii="Encode Sans;sans-serif" w:hAnsi="Encode Sans;sans-serif"/>
          <w:b w:val="false"/>
          <w:color w:val="000000"/>
          <w:sz w:val="11"/>
        </w:rPr>
        <w:t>®</w:t>
      </w:r>
      <w:r>
        <w:rPr>
          <w:rFonts w:ascii="Encode Sans;sans-serif" w:hAnsi="Encode Sans;sans-serif"/>
          <w:b w:val="false"/>
          <w:color w:val="000000"/>
          <w:sz w:val="17"/>
        </w:rPr>
        <w:t>, Lancia, Maserati, Opel, Peugeot, Ram, Vauxhall, Free2move and Leasys. For more information, visit https://www.stellantis.com.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428875" cy="6858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4790"/>
                <wp:effectExtent l="0" t="0" r="0" b="0"/>
                <wp:wrapNone/>
                <wp:docPr id="10" name="Frame6"/>
                <a:graphic xmlns:a="http://schemas.openxmlformats.org/drawingml/2006/main">
                  <a:graphicData uri="http://schemas.microsoft.com/office/word/2010/wordprocessingShape">
                    <wps:wsp>
                      <wps:cNvSpPr txBox="1"/>
                      <wps:spPr>
                        <a:xfrm>
                          <a:off x="0" y="0"/>
                          <a:ext cx="6480175" cy="224790"/>
                        </a:xfrm>
                        <a:prstGeom prst="rect"/>
                        <a:solidFill>
                          <a:srgbClr val="FFFFFF"/>
                        </a:solidFill>
                      </wps:spPr>
                      <wps:txb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2</w:t>
                      </w:r>
                    </w:p>
                  </w:txbxContent>
                </v:textbox>
                <w10:wrap type="none"/>
              </v:rect>
            </w:pict>
          </mc:Fallback>
        </mc:AlternateContent>
      </w:r>
    </w:p>
    <w:p>
      <w:pPr>
        <w:pStyle w:val="TextBody"/>
        <w:bidi w:val="0"/>
        <w:spacing w:lineRule="auto" w:line="288" w:before="0" w:after="0"/>
        <w:jc w:val="left"/>
        <w:rPr>
          <w:rFonts w:ascii="Encode Sans;sans-serif" w:hAnsi="Encode Sans;sans-serif"/>
          <w:b w:val="false"/>
          <w:color w:val="243782"/>
          <w:sz w:val="24"/>
        </w:rPr>
      </w:pPr>
      <w:r>
        <w:rPr>
          <w:rFonts w:ascii="Encode Sans;sans-serif" w:hAnsi="Encode Sans;sans-serif"/>
          <w:b w:val="false"/>
          <w:color w:val="243782"/>
          <w:sz w:val="24"/>
        </w:rPr>
        <w:t>SEGMENT PERFORMANCE - Q2 2026*</w:t>
      </w:r>
    </w:p>
    <w:tbl>
      <w:tblPr>
        <w:tblW w:w="10205" w:type="dxa"/>
        <w:jc w:val="left"/>
        <w:tblInd w:w="0" w:type="dxa"/>
        <w:tblLayout w:type="fixed"/>
        <w:tblCellMar>
          <w:top w:w="28" w:type="dxa"/>
          <w:left w:w="28" w:type="dxa"/>
          <w:bottom w:w="28" w:type="dxa"/>
          <w:right w:w="28" w:type="dxa"/>
        </w:tblCellMar>
      </w:tblPr>
      <w:tblGrid>
        <w:gridCol w:w="903"/>
        <w:gridCol w:w="328"/>
        <w:gridCol w:w="328"/>
        <w:gridCol w:w="330"/>
        <w:gridCol w:w="122"/>
        <w:gridCol w:w="122"/>
        <w:gridCol w:w="122"/>
        <w:gridCol w:w="122"/>
        <w:gridCol w:w="122"/>
        <w:gridCol w:w="122"/>
        <w:gridCol w:w="119"/>
        <w:gridCol w:w="119"/>
        <w:gridCol w:w="119"/>
        <w:gridCol w:w="122"/>
        <w:gridCol w:w="122"/>
        <w:gridCol w:w="122"/>
        <w:gridCol w:w="122"/>
        <w:gridCol w:w="122"/>
        <w:gridCol w:w="122"/>
        <w:gridCol w:w="181"/>
        <w:gridCol w:w="181"/>
        <w:gridCol w:w="182"/>
        <w:gridCol w:w="179"/>
        <w:gridCol w:w="179"/>
        <w:gridCol w:w="184"/>
        <w:gridCol w:w="137"/>
        <w:gridCol w:w="137"/>
        <w:gridCol w:w="138"/>
        <w:gridCol w:w="295"/>
        <w:gridCol w:w="295"/>
        <w:gridCol w:w="296"/>
        <w:gridCol w:w="301"/>
        <w:gridCol w:w="301"/>
        <w:gridCol w:w="302"/>
        <w:gridCol w:w="118"/>
        <w:gridCol w:w="118"/>
        <w:gridCol w:w="118"/>
        <w:gridCol w:w="118"/>
        <w:gridCol w:w="118"/>
        <w:gridCol w:w="118"/>
        <w:gridCol w:w="115"/>
        <w:gridCol w:w="115"/>
        <w:gridCol w:w="115"/>
        <w:gridCol w:w="118"/>
        <w:gridCol w:w="118"/>
        <w:gridCol w:w="118"/>
        <w:gridCol w:w="118"/>
        <w:gridCol w:w="118"/>
        <w:gridCol w:w="118"/>
        <w:gridCol w:w="145"/>
        <w:gridCol w:w="145"/>
        <w:gridCol w:w="146"/>
        <w:gridCol w:w="175"/>
        <w:gridCol w:w="175"/>
        <w:gridCol w:w="176"/>
        <w:gridCol w:w="131"/>
        <w:gridCol w:w="131"/>
        <w:gridCol w:w="222"/>
      </w:tblGrid>
      <w:tr>
        <w:trPr/>
        <w:tc>
          <w:tcPr>
            <w:tcW w:w="90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sz w:val="4"/>
                <w:szCs w:val="4"/>
              </w:rPr>
            </w:pPr>
            <w:r>
              <w:rPr>
                <w:sz w:val="4"/>
                <w:szCs w:val="4"/>
              </w:rPr>
            </w:r>
          </w:p>
        </w:tc>
        <w:tc>
          <w:tcPr>
            <w:tcW w:w="3351"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22"/>
              </w:rPr>
            </w:pPr>
            <w:r>
              <w:rPr>
                <w:rFonts w:ascii="Encode Sans;sans-serif" w:hAnsi="Encode Sans;sans-serif"/>
                <w:b w:val="false"/>
                <w:color w:val="243782"/>
                <w:sz w:val="22"/>
              </w:rPr>
              <w:t>NORTH AMERICA</w:t>
            </w:r>
          </w:p>
        </w:tc>
        <w:tc>
          <w:tcPr>
            <w:tcW w:w="954" w:type="dxa"/>
            <w:gridSpan w:val="6"/>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22"/>
              </w:rPr>
            </w:pPr>
            <w:r>
              <w:rPr>
                <w:rFonts w:ascii="Encode Sans;sans-serif" w:hAnsi="Encode Sans;sans-serif"/>
                <w:b w:val="false"/>
                <w:color w:val="243782"/>
                <w:sz w:val="22"/>
              </w:rPr>
              <w:t>ENLARGED EUROPE</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Encode Sans;sans-serif" w:hAnsi="Encode Sans;sans-serif"/>
                <w:b w:val="false"/>
                <w:color w:val="000000"/>
                <w:sz w:val="12"/>
              </w:rPr>
              <w:t xml:space="preserve">million, except as otherwise stated </w:t>
            </w:r>
          </w:p>
        </w:tc>
        <w:tc>
          <w:tcPr>
            <w:tcW w:w="732" w:type="dxa"/>
            <w:gridSpan w:val="6"/>
            <w:tcBorders>
              <w:top w:val="single" w:sz="8" w:space="0" w:color="4C639D"/>
              <w:bottom w:val="single" w:sz="8" w:space="0" w:color="FFFFFF"/>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FFFFFF"/>
                <w:sz w:val="16"/>
              </w:rPr>
            </w:pPr>
            <w:r>
              <w:rPr>
                <w:rFonts w:ascii="Encode Sans;sans-serif" w:hAnsi="Encode Sans;sans-serif"/>
                <w:b w:val="false"/>
                <w:i/>
                <w:color w:val="FFFFFF"/>
                <w:sz w:val="16"/>
              </w:rPr>
              <w:t>Q2 2026</w:t>
            </w:r>
          </w:p>
        </w:tc>
        <w:tc>
          <w:tcPr>
            <w:tcW w:w="35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op w:val="single" w:sz="8" w:space="0" w:color="4C639D"/>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Q2 2025</w:t>
            </w:r>
          </w:p>
        </w:tc>
        <w:tc>
          <w:tcPr>
            <w:tcW w:w="544"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Change</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Encode Sans;sans-serif" w:hAnsi="Encode Sans;sans-serif"/>
                <w:b w:val="false"/>
                <w:color w:val="000000"/>
                <w:sz w:val="12"/>
              </w:rPr>
              <w:t xml:space="preserve">million, except as otherwise stated </w:t>
            </w:r>
          </w:p>
        </w:tc>
        <w:tc>
          <w:tcPr>
            <w:tcW w:w="708" w:type="dxa"/>
            <w:gridSpan w:val="6"/>
            <w:tcBorders>
              <w:top w:val="single" w:sz="8" w:space="0" w:color="4C639D"/>
              <w:bottom w:val="single" w:sz="8" w:space="0" w:color="FFFFFF"/>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FFFFFF"/>
                <w:sz w:val="16"/>
              </w:rPr>
            </w:pPr>
            <w:r>
              <w:rPr>
                <w:rFonts w:ascii="Encode Sans;sans-serif" w:hAnsi="Encode Sans;sans-serif"/>
                <w:b w:val="false"/>
                <w:i/>
                <w:color w:val="FFFFFF"/>
                <w:sz w:val="16"/>
              </w:rPr>
              <w:t>Q2 2026</w:t>
            </w:r>
          </w:p>
        </w:tc>
        <w:tc>
          <w:tcPr>
            <w:tcW w:w="345"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top w:val="single" w:sz="8" w:space="0" w:color="4C639D"/>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Q2 2025</w:t>
            </w:r>
          </w:p>
        </w:tc>
        <w:tc>
          <w:tcPr>
            <w:tcW w:w="436"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Change</w:t>
            </w:r>
          </w:p>
        </w:tc>
      </w:tr>
      <w:tr>
        <w:trPr/>
        <w:tc>
          <w:tcPr>
            <w:tcW w:w="903" w:type="dxa"/>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Shipments</w:t>
            </w:r>
            <w:r>
              <w:rPr>
                <w:color w:val="000000"/>
              </w:rPr>
              <w:t xml:space="preserve"> </w:t>
            </w:r>
            <w:r>
              <w:rPr>
                <w:rFonts w:ascii="Encode Sans;sans-serif" w:hAnsi="Encode Sans;sans-serif"/>
                <w:b w:val="false"/>
                <w:color w:val="000000"/>
                <w:sz w:val="14"/>
              </w:rPr>
              <w:t>(000s)</w:t>
            </w:r>
          </w:p>
        </w:tc>
        <w:tc>
          <w:tcPr>
            <w:tcW w:w="1352" w:type="dxa"/>
            <w:gridSpan w:val="6"/>
            <w:tcBorders>
              <w:top w:val="single" w:sz="8" w:space="0" w:color="FFFFFF"/>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445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6"/>
            <w:tcBorders>
              <w:top w:val="single" w:sz="8" w:space="0" w:color="4C639D"/>
              <w:bottom w:val="single" w:sz="4" w:space="0" w:color="7D7D7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323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+122</w:t>
            </w:r>
          </w:p>
        </w:tc>
        <w:tc>
          <w:tcPr>
            <w:tcW w:w="542"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Shipments</w:t>
            </w:r>
            <w:r>
              <w:rPr>
                <w:color w:val="000000"/>
              </w:rPr>
              <w:t xml:space="preserve"> </w:t>
            </w:r>
            <w:r>
              <w:rPr>
                <w:rFonts w:ascii="Encode Sans;sans-serif" w:hAnsi="Encode Sans;sans-serif"/>
                <w:b w:val="false"/>
                <w:color w:val="000000"/>
                <w:sz w:val="14"/>
              </w:rPr>
              <w:t>(000s)</w:t>
            </w:r>
          </w:p>
        </w:tc>
        <w:tc>
          <w:tcPr>
            <w:tcW w:w="1258" w:type="dxa"/>
            <w:gridSpan w:val="6"/>
            <w:tcBorders>
              <w:top w:val="single" w:sz="8" w:space="0" w:color="FFFFFF"/>
              <w:bottom w:val="single" w:sz="4" w:space="0" w:color="B6B6B6"/>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762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op w:val="single" w:sz="8" w:space="0" w:color="4C639D"/>
              <w:bottom w:val="single" w:sz="4" w:space="0" w:color="B6B6B6"/>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723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+39</w:t>
            </w:r>
          </w:p>
        </w:tc>
        <w:tc>
          <w:tcPr>
            <w:tcW w:w="526"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Pr>
          <w:p>
            <w:pPr>
              <w:pStyle w:val="TableContents"/>
              <w:bidi w:val="0"/>
              <w:spacing w:before="0" w:after="283"/>
              <w:jc w:val="left"/>
              <w:rPr>
                <w:sz w:val="4"/>
                <w:szCs w:val="4"/>
              </w:rPr>
            </w:pPr>
            <w:r>
              <w:rPr>
                <w:sz w:val="4"/>
                <w:szCs w:val="4"/>
              </w:rPr>
            </w:r>
          </w:p>
        </w:tc>
      </w:tr>
      <w:tr>
        <w:trPr/>
        <w:tc>
          <w:tcPr>
            <w:tcW w:w="903" w:type="dxa"/>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w:t>
            </w:r>
          </w:p>
        </w:tc>
        <w:tc>
          <w:tcPr>
            <w:tcW w:w="1352" w:type="dxa"/>
            <w:gridSpan w:val="6"/>
            <w:tcBorders>
              <w:top w:val="single" w:sz="4" w:space="0" w:color="7D7D7D"/>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18,193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6"/>
            <w:tcBorders>
              <w:top w:val="single" w:sz="4" w:space="0" w:color="7D7D7D"/>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13,834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32%</w:t>
            </w:r>
          </w:p>
        </w:tc>
        <w:tc>
          <w:tcPr>
            <w:tcW w:w="542" w:type="dxa"/>
            <w:gridSpan w:val="3"/>
            <w:tcBorders>
              <w:top w:val="single" w:sz="4" w:space="0" w:color="7D7D7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w:t>
            </w:r>
          </w:p>
        </w:tc>
        <w:tc>
          <w:tcPr>
            <w:tcW w:w="1258" w:type="dxa"/>
            <w:gridSpan w:val="6"/>
            <w:tcBorders>
              <w:top w:val="single" w:sz="4" w:space="0" w:color="B6B6B6"/>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16,426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op w:val="single" w:sz="4" w:space="0" w:color="B6B6B6"/>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16,387</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0.2%</w:t>
            </w:r>
          </w:p>
        </w:tc>
        <w:tc>
          <w:tcPr>
            <w:tcW w:w="526"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w:t>
            </w:r>
          </w:p>
        </w:tc>
        <w:tc>
          <w:tcPr>
            <w:tcW w:w="732" w:type="dxa"/>
            <w:gridSpan w:val="6"/>
            <w:tcBorders>
              <w:top w:val="single" w:sz="4" w:space="0" w:color="929292"/>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284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(440)</w:t>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n.m.</w:t>
            </w:r>
          </w:p>
        </w:tc>
        <w:tc>
          <w:tcPr>
            <w:tcW w:w="412"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w:t>
            </w:r>
          </w:p>
        </w:tc>
        <w:tc>
          <w:tcPr>
            <w:tcW w:w="708" w:type="dxa"/>
            <w:gridSpan w:val="6"/>
            <w:tcBorders>
              <w:top w:val="single" w:sz="4" w:space="0" w:color="929292"/>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(94)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(359)</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74%</w:t>
            </w:r>
          </w:p>
        </w:tc>
        <w:tc>
          <w:tcPr>
            <w:tcW w:w="484"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 margin</w:t>
            </w:r>
          </w:p>
        </w:tc>
        <w:tc>
          <w:tcPr>
            <w:tcW w:w="732" w:type="dxa"/>
            <w:gridSpan w:val="6"/>
            <w:tcBorders>
              <w:top w:val="single" w:sz="4" w:space="0" w:color="929292"/>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1.6%</w:t>
            </w:r>
          </w:p>
        </w:tc>
        <w:tc>
          <w:tcPr>
            <w:tcW w:w="357"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op w:val="single" w:sz="4" w:space="0" w:color="929292"/>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(3.2)%</w:t>
            </w:r>
          </w:p>
        </w:tc>
        <w:tc>
          <w:tcPr>
            <w:tcW w:w="544"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4" w:space="0" w:color="7D7D7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+480</w:t>
            </w:r>
          </w:p>
        </w:tc>
        <w:tc>
          <w:tcPr>
            <w:tcW w:w="412"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bps</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 margin</w:t>
            </w:r>
          </w:p>
        </w:tc>
        <w:tc>
          <w:tcPr>
            <w:tcW w:w="708" w:type="dxa"/>
            <w:gridSpan w:val="6"/>
            <w:tcBorders>
              <w:top w:val="single" w:sz="4" w:space="0" w:color="929292"/>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(0.6)%</w:t>
            </w:r>
          </w:p>
        </w:tc>
        <w:tc>
          <w:tcPr>
            <w:tcW w:w="345"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6"/>
            <w:tcBorders>
              <w:top w:val="single" w:sz="4" w:space="0" w:color="929292"/>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(2.2)%</w:t>
            </w:r>
          </w:p>
        </w:tc>
        <w:tc>
          <w:tcPr>
            <w:tcW w:w="436"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7D7D7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+160</w:t>
            </w:r>
          </w:p>
        </w:tc>
        <w:tc>
          <w:tcPr>
            <w:tcW w:w="484" w:type="dxa"/>
            <w:gridSpan w:val="3"/>
            <w:tcBorders>
              <w:top w:val="single" w:sz="4" w:space="0" w:color="B6B6B6"/>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bps</w:t>
            </w:r>
          </w:p>
        </w:tc>
      </w:tr>
      <w:tr>
        <w:trPr/>
        <w:tc>
          <w:tcPr>
            <w:tcW w:w="903" w:type="dxa"/>
            <w:tcBorders/>
            <w:vAlign w:val="center"/>
          </w:tcPr>
          <w:p>
            <w:pPr>
              <w:pStyle w:val="TableContents"/>
              <w:bidi w:val="0"/>
              <w:spacing w:before="0" w:after="283"/>
              <w:jc w:val="left"/>
              <w:rPr>
                <w:sz w:val="4"/>
                <w:szCs w:val="4"/>
              </w:rPr>
            </w:pPr>
            <w:r>
              <w:rPr>
                <w:sz w:val="4"/>
                <w:szCs w:val="4"/>
              </w:rPr>
            </w:r>
          </w:p>
        </w:tc>
        <w:tc>
          <w:tcPr>
            <w:tcW w:w="4305" w:type="dxa"/>
            <w:gridSpan w:val="27"/>
            <w:tcBorders/>
            <w:tcMar>
              <w:top w:w="0" w:type="dxa"/>
              <w:left w:w="0" w:type="dxa"/>
              <w:bottom w:w="0" w:type="dxa"/>
              <w:right w:w="0" w:type="dxa"/>
            </w:tcMar>
            <w:vAlign w:val="center"/>
          </w:tcPr>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Shipments</w:t>
            </w:r>
            <w:r>
              <w:rPr>
                <w:color w:val="000000"/>
              </w:rPr>
              <w:t xml:space="preserve"> </w:t>
            </w:r>
            <w:r>
              <w:rPr>
                <w:rFonts w:ascii="Encode Sans;sans-serif" w:hAnsi="Encode Sans;sans-serif"/>
                <w:b w:val="false"/>
                <w:color w:val="000000"/>
                <w:sz w:val="14"/>
              </w:rPr>
              <w:t>increased 38%, primarily driven by new or refreshed products and powertrain offerings, including Ram 1500 HEMI V8 and Ram 1500 TRX SRT®, Jeep® Grand Wagoneer and Cherokee HEV and Chrysler Pacifica; increase also reflects inventory build ahead of the planned summer production shutdown</w:t>
            </w:r>
          </w:p>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Net revenues</w:t>
            </w:r>
            <w:r>
              <w:rPr>
                <w:color w:val="000000"/>
              </w:rPr>
              <w:t xml:space="preserve"> </w:t>
            </w:r>
            <w:r>
              <w:rPr>
                <w:rFonts w:ascii="Encode Sans;sans-serif" w:hAnsi="Encode Sans;sans-serif"/>
                <w:b w:val="false"/>
                <w:color w:val="000000"/>
                <w:sz w:val="14"/>
              </w:rPr>
              <w:t>increased 32%, primarily driven by higher volumes, partially offset by unfavorable foreign exchange translation impacts</w:t>
            </w:r>
          </w:p>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Adjusted operating income/(loss)</w:t>
            </w:r>
            <w:r>
              <w:rPr>
                <w:color w:val="000000"/>
              </w:rPr>
              <w:t xml:space="preserve"> </w:t>
            </w:r>
            <w:r>
              <w:rPr>
                <w:rFonts w:ascii="Encode Sans;sans-serif" w:hAnsi="Encode Sans;sans-serif"/>
                <w:b w:val="false"/>
                <w:color w:val="000000"/>
                <w:sz w:val="14"/>
              </w:rPr>
              <w:t>improved by €0.7 billion driven by higher volumes, operational performance improvements, and reduction of regulatory expenses, partially offset by raw material inflation and higher recall campaign costs</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27"/>
            <w:tcBorders/>
            <w:tcMar>
              <w:top w:w="0" w:type="dxa"/>
              <w:left w:w="0" w:type="dxa"/>
              <w:bottom w:w="0" w:type="dxa"/>
              <w:right w:w="0" w:type="dxa"/>
            </w:tcMar>
            <w:vAlign w:val="center"/>
          </w:tcPr>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Shipments</w:t>
            </w:r>
            <w:r>
              <w:rPr>
                <w:color w:val="000000"/>
              </w:rPr>
              <w:t xml:space="preserve"> </w:t>
            </w:r>
            <w:r>
              <w:rPr>
                <w:rFonts w:ascii="Encode Sans;sans-serif" w:hAnsi="Encode Sans;sans-serif"/>
                <w:b w:val="false"/>
                <w:color w:val="000000"/>
                <w:sz w:val="14"/>
              </w:rPr>
              <w:t>increased 5%, primarily driven by higher volumes of Fiat 500 and Grande Panda, Citroën C3 Aircross, Opel/Vauxhall Frontera, Jeep® Compass and Leapmotor-branded vehicles, notably T03 and B10</w:t>
            </w:r>
          </w:p>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Net revenues</w:t>
            </w:r>
            <w:r>
              <w:rPr>
                <w:color w:val="000000"/>
              </w:rPr>
              <w:t xml:space="preserve"> </w:t>
            </w:r>
            <w:r>
              <w:rPr>
                <w:rFonts w:ascii="Encode Sans;sans-serif" w:hAnsi="Encode Sans;sans-serif"/>
                <w:b w:val="false"/>
                <w:color w:val="000000"/>
                <w:sz w:val="14"/>
              </w:rPr>
              <w:t>flat as higher volumes were offset by negative net pricing</w:t>
            </w:r>
          </w:p>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Adjusted operating income</w:t>
            </w:r>
            <w:r>
              <w:rPr>
                <w:color w:val="000000"/>
              </w:rPr>
              <w:t xml:space="preserve"> </w:t>
            </w:r>
            <w:r>
              <w:rPr>
                <w:rFonts w:ascii="Encode Sans;sans-serif" w:hAnsi="Encode Sans;sans-serif"/>
                <w:b w:val="false"/>
                <w:color w:val="000000"/>
                <w:sz w:val="14"/>
              </w:rPr>
              <w:t>improved by €0.3 billion driven mainly by increased volumes, operational performance improvements and lower recall campaign costs, partially offset by negative net pricing and raw material inflation</w:t>
            </w:r>
          </w:p>
        </w:tc>
      </w:tr>
    </w:tbl>
    <w:tbl>
      <w:tblPr>
        <w:tblW w:w="10205" w:type="dxa"/>
        <w:jc w:val="left"/>
        <w:tblInd w:w="0" w:type="dxa"/>
        <w:tblLayout w:type="fixed"/>
        <w:tblCellMar>
          <w:top w:w="28" w:type="dxa"/>
          <w:left w:w="28" w:type="dxa"/>
          <w:bottom w:w="28" w:type="dxa"/>
          <w:right w:w="28" w:type="dxa"/>
        </w:tblCellMar>
      </w:tblPr>
      <w:tblGrid>
        <w:gridCol w:w="1125"/>
        <w:gridCol w:w="389"/>
        <w:gridCol w:w="317"/>
        <w:gridCol w:w="319"/>
        <w:gridCol w:w="120"/>
        <w:gridCol w:w="120"/>
        <w:gridCol w:w="120"/>
        <w:gridCol w:w="120"/>
        <w:gridCol w:w="120"/>
        <w:gridCol w:w="120"/>
        <w:gridCol w:w="119"/>
        <w:gridCol w:w="119"/>
        <w:gridCol w:w="119"/>
        <w:gridCol w:w="120"/>
        <w:gridCol w:w="120"/>
        <w:gridCol w:w="120"/>
        <w:gridCol w:w="120"/>
        <w:gridCol w:w="120"/>
        <w:gridCol w:w="120"/>
        <w:gridCol w:w="119"/>
        <w:gridCol w:w="119"/>
        <w:gridCol w:w="119"/>
        <w:gridCol w:w="193"/>
        <w:gridCol w:w="147"/>
        <w:gridCol w:w="141"/>
        <w:gridCol w:w="134"/>
        <w:gridCol w:w="134"/>
        <w:gridCol w:w="135"/>
        <w:gridCol w:w="297"/>
        <w:gridCol w:w="297"/>
        <w:gridCol w:w="298"/>
        <w:gridCol w:w="326"/>
        <w:gridCol w:w="326"/>
        <w:gridCol w:w="327"/>
        <w:gridCol w:w="121"/>
        <w:gridCol w:w="121"/>
        <w:gridCol w:w="121"/>
        <w:gridCol w:w="121"/>
        <w:gridCol w:w="121"/>
        <w:gridCol w:w="121"/>
        <w:gridCol w:w="118"/>
        <w:gridCol w:w="118"/>
        <w:gridCol w:w="118"/>
        <w:gridCol w:w="121"/>
        <w:gridCol w:w="121"/>
        <w:gridCol w:w="121"/>
        <w:gridCol w:w="121"/>
        <w:gridCol w:w="121"/>
        <w:gridCol w:w="121"/>
        <w:gridCol w:w="118"/>
        <w:gridCol w:w="118"/>
        <w:gridCol w:w="118"/>
        <w:gridCol w:w="195"/>
        <w:gridCol w:w="149"/>
        <w:gridCol w:w="142"/>
        <w:gridCol w:w="134"/>
        <w:gridCol w:w="134"/>
        <w:gridCol w:w="232"/>
      </w:tblGrid>
      <w:tr>
        <w:trPr/>
        <w:tc>
          <w:tcPr>
            <w:tcW w:w="11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sz w:val="4"/>
                <w:szCs w:val="4"/>
              </w:rPr>
            </w:pPr>
            <w:r>
              <w:rPr>
                <w:sz w:val="4"/>
                <w:szCs w:val="4"/>
              </w:rPr>
            </w:r>
          </w:p>
        </w:tc>
        <w:tc>
          <w:tcPr>
            <w:tcW w:w="3179"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22"/>
              </w:rPr>
            </w:pPr>
            <w:r>
              <w:rPr>
                <w:rFonts w:ascii="Encode Sans;sans-serif" w:hAnsi="Encode Sans;sans-serif"/>
                <w:b w:val="false"/>
                <w:color w:val="243782"/>
                <w:sz w:val="22"/>
              </w:rPr>
              <w:t>MIDDLE EAST &amp; AFRICA</w:t>
            </w:r>
          </w:p>
        </w:tc>
        <w:tc>
          <w:tcPr>
            <w:tcW w:w="884" w:type="dxa"/>
            <w:gridSpan w:val="6"/>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22"/>
              </w:rPr>
            </w:pPr>
            <w:r>
              <w:rPr>
                <w:rFonts w:ascii="Encode Sans;sans-serif" w:hAnsi="Encode Sans;sans-serif"/>
                <w:b w:val="false"/>
                <w:color w:val="243782"/>
                <w:sz w:val="22"/>
              </w:rPr>
              <w:t>SOUTH AMERICA</w:t>
            </w:r>
          </w:p>
        </w:tc>
        <w:tc>
          <w:tcPr>
            <w:tcW w:w="986" w:type="dxa"/>
            <w:gridSpan w:val="6"/>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Encode Sans;sans-serif" w:hAnsi="Encode Sans;sans-serif"/>
                <w:b w:val="false"/>
                <w:color w:val="000000"/>
                <w:sz w:val="12"/>
              </w:rPr>
              <w:t xml:space="preserve">million, except as otherwise stated </w:t>
            </w:r>
          </w:p>
        </w:tc>
        <w:tc>
          <w:tcPr>
            <w:tcW w:w="720" w:type="dxa"/>
            <w:gridSpan w:val="6"/>
            <w:tcBorders>
              <w:top w:val="single" w:sz="8" w:space="0" w:color="4C639D"/>
              <w:bottom w:val="single" w:sz="8" w:space="0" w:color="FFFFFF"/>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FFFFFF"/>
                <w:sz w:val="16"/>
              </w:rPr>
            </w:pPr>
            <w:r>
              <w:rPr>
                <w:rFonts w:ascii="Encode Sans;sans-serif" w:hAnsi="Encode Sans;sans-serif"/>
                <w:b w:val="false"/>
                <w:i/>
                <w:color w:val="FFFFFF"/>
                <w:sz w:val="16"/>
              </w:rPr>
              <w:t>Q2 2026</w:t>
            </w:r>
          </w:p>
        </w:tc>
        <w:tc>
          <w:tcPr>
            <w:tcW w:w="35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6"/>
            <w:tcBorders>
              <w:top w:val="single" w:sz="8" w:space="0" w:color="4C639D"/>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Q2 2025</w:t>
            </w:r>
          </w:p>
        </w:tc>
        <w:tc>
          <w:tcPr>
            <w:tcW w:w="35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Change</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Encode Sans;sans-serif" w:hAnsi="Encode Sans;sans-serif"/>
                <w:b w:val="false"/>
                <w:color w:val="000000"/>
                <w:sz w:val="12"/>
              </w:rPr>
              <w:t xml:space="preserve">million, except as otherwise stated </w:t>
            </w:r>
          </w:p>
        </w:tc>
        <w:tc>
          <w:tcPr>
            <w:tcW w:w="726" w:type="dxa"/>
            <w:gridSpan w:val="6"/>
            <w:tcBorders>
              <w:top w:val="single" w:sz="8" w:space="0" w:color="4C639D"/>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FFFFFF"/>
                <w:sz w:val="16"/>
              </w:rPr>
            </w:pPr>
            <w:r>
              <w:rPr>
                <w:rFonts w:ascii="Encode Sans;sans-serif" w:hAnsi="Encode Sans;sans-serif"/>
                <w:b w:val="false"/>
                <w:i/>
                <w:color w:val="FFFFFF"/>
                <w:sz w:val="16"/>
              </w:rPr>
              <w:t>Q2 2026</w:t>
            </w:r>
          </w:p>
        </w:tc>
        <w:tc>
          <w:tcPr>
            <w:tcW w:w="354"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6"/>
            <w:tcBorders>
              <w:top w:val="single" w:sz="8" w:space="0" w:color="4C639D"/>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Q2 2025</w:t>
            </w:r>
          </w:p>
        </w:tc>
        <w:tc>
          <w:tcPr>
            <w:tcW w:w="354"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Change</w:t>
            </w:r>
          </w:p>
        </w:tc>
      </w:tr>
      <w:tr>
        <w:trPr/>
        <w:tc>
          <w:tcPr>
            <w:tcW w:w="1125" w:type="dxa"/>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Combined shipments</w:t>
            </w:r>
            <w:r>
              <w:rPr>
                <w:rFonts w:ascii="Encode Sans;sans-serif" w:hAnsi="Encode Sans;sans-serif"/>
                <w:b w:val="false"/>
                <w:color w:val="000000"/>
                <w:sz w:val="9"/>
              </w:rPr>
              <w:t>(6)</w:t>
            </w:r>
            <w:r>
              <w:rPr>
                <w:color w:val="000000"/>
              </w:rPr>
              <w:t xml:space="preserve"> </w:t>
            </w:r>
            <w:r>
              <w:rPr>
                <w:rFonts w:ascii="Encode Sans;sans-serif" w:hAnsi="Encode Sans;sans-serif"/>
                <w:b w:val="false"/>
                <w:color w:val="000000"/>
                <w:sz w:val="14"/>
              </w:rPr>
              <w:t>(000s)</w:t>
            </w:r>
          </w:p>
        </w:tc>
        <w:tc>
          <w:tcPr>
            <w:tcW w:w="1385" w:type="dxa"/>
            <w:gridSpan w:val="6"/>
            <w:tcBorders>
              <w:top w:val="single" w:sz="8" w:space="0" w:color="FFFFFF"/>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128</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6"/>
            <w:tcBorders>
              <w:top w:val="single" w:sz="8" w:space="0" w:color="4C639D"/>
              <w:bottom w:val="single" w:sz="4" w:space="0" w:color="7D7D7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135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(7)</w:t>
            </w:r>
          </w:p>
        </w:tc>
        <w:tc>
          <w:tcPr>
            <w:tcW w:w="481"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Shipments</w:t>
            </w:r>
            <w:r>
              <w:rPr>
                <w:color w:val="000000"/>
              </w:rPr>
              <w:t xml:space="preserve"> </w:t>
            </w:r>
            <w:r>
              <w:rPr>
                <w:rFonts w:ascii="Encode Sans;sans-serif" w:hAnsi="Encode Sans;sans-serif"/>
                <w:b w:val="false"/>
                <w:color w:val="000000"/>
                <w:sz w:val="14"/>
              </w:rPr>
              <w:t>(000s)</w:t>
            </w:r>
          </w:p>
        </w:tc>
        <w:tc>
          <w:tcPr>
            <w:tcW w:w="1342" w:type="dxa"/>
            <w:gridSpan w:val="6"/>
            <w:tcBorders>
              <w:top w:val="single" w:sz="8" w:space="0" w:color="4C639D"/>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253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6"/>
            <w:tcBorders>
              <w:top w:val="single" w:sz="8" w:space="0" w:color="4C639D"/>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260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(7)</w:t>
            </w:r>
          </w:p>
        </w:tc>
        <w:tc>
          <w:tcPr>
            <w:tcW w:w="486"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tcPr>
          <w:p>
            <w:pPr>
              <w:pStyle w:val="TableContents"/>
              <w:bidi w:val="0"/>
              <w:spacing w:before="0" w:after="283"/>
              <w:jc w:val="left"/>
              <w:rPr>
                <w:sz w:val="4"/>
                <w:szCs w:val="4"/>
              </w:rPr>
            </w:pPr>
            <w:r>
              <w:rPr>
                <w:sz w:val="4"/>
                <w:szCs w:val="4"/>
              </w:rPr>
            </w:r>
          </w:p>
        </w:tc>
      </w:tr>
      <w:tr>
        <w:trPr/>
        <w:tc>
          <w:tcPr>
            <w:tcW w:w="1125" w:type="dxa"/>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Consolidated shipments</w:t>
            </w:r>
            <w:r>
              <w:rPr>
                <w:rFonts w:ascii="Encode Sans;sans-serif" w:hAnsi="Encode Sans;sans-serif"/>
                <w:b w:val="false"/>
                <w:color w:val="000000"/>
                <w:sz w:val="9"/>
              </w:rPr>
              <w:t xml:space="preserve">(6) </w:t>
            </w:r>
            <w:r>
              <w:rPr>
                <w:rFonts w:ascii="Encode Sans;sans-serif" w:hAnsi="Encode Sans;sans-serif"/>
                <w:b w:val="false"/>
                <w:color w:val="000000"/>
                <w:sz w:val="14"/>
              </w:rPr>
              <w:t>(000s)</w:t>
            </w:r>
          </w:p>
        </w:tc>
        <w:tc>
          <w:tcPr>
            <w:tcW w:w="1385" w:type="dxa"/>
            <w:gridSpan w:val="6"/>
            <w:tcBorders>
              <w:top w:val="single" w:sz="4" w:space="0" w:color="7D7D7D"/>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121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6"/>
            <w:tcBorders>
              <w:top w:val="single" w:sz="4" w:space="0" w:color="7D7D7D"/>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(4)</w:t>
            </w:r>
          </w:p>
        </w:tc>
        <w:tc>
          <w:tcPr>
            <w:tcW w:w="481" w:type="dxa"/>
            <w:gridSpan w:val="3"/>
            <w:tcBorders>
              <w:top w:val="single" w:sz="4" w:space="0" w:color="7D7D7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w:t>
            </w:r>
          </w:p>
        </w:tc>
        <w:tc>
          <w:tcPr>
            <w:tcW w:w="1342" w:type="dxa"/>
            <w:gridSpan w:val="6"/>
            <w:tcBorders>
              <w:top w:val="single" w:sz="4" w:space="0" w:color="929292"/>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4,338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4,092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6%</w:t>
            </w:r>
          </w:p>
        </w:tc>
        <w:tc>
          <w:tcPr>
            <w:tcW w:w="486"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w:t>
            </w:r>
          </w:p>
        </w:tc>
        <w:tc>
          <w:tcPr>
            <w:tcW w:w="720" w:type="dxa"/>
            <w:gridSpan w:val="6"/>
            <w:tcBorders>
              <w:top w:val="single" w:sz="4" w:space="0" w:color="929292"/>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2,565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2,674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(4)%</w:t>
            </w:r>
          </w:p>
        </w:tc>
        <w:tc>
          <w:tcPr>
            <w:tcW w:w="403"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w:t>
            </w:r>
          </w:p>
        </w:tc>
        <w:tc>
          <w:tcPr>
            <w:tcW w:w="726" w:type="dxa"/>
            <w:gridSpan w:val="6"/>
            <w:tcBorders>
              <w:top w:val="single" w:sz="4" w:space="0" w:color="929292"/>
              <w:bottom w:val="single" w:sz="4" w:space="0" w:color="B6B6B6"/>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402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6"/>
            <w:tcBorders>
              <w:top w:val="single" w:sz="4" w:space="0" w:color="929292"/>
              <w:bottom w:val="single" w:sz="4" w:space="0" w:color="B6B6B6"/>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782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(49)%</w:t>
            </w:r>
          </w:p>
        </w:tc>
        <w:tc>
          <w:tcPr>
            <w:tcW w:w="50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w:t>
            </w:r>
          </w:p>
        </w:tc>
        <w:tc>
          <w:tcPr>
            <w:tcW w:w="720" w:type="dxa"/>
            <w:gridSpan w:val="6"/>
            <w:tcBorders>
              <w:top w:val="single" w:sz="4" w:space="0" w:color="929292"/>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329</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392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(16)%</w:t>
            </w:r>
          </w:p>
        </w:tc>
        <w:tc>
          <w:tcPr>
            <w:tcW w:w="40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top w:val="single" w:sz="4" w:space="0" w:color="B6B6B6"/>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 margin</w:t>
            </w:r>
          </w:p>
        </w:tc>
        <w:tc>
          <w:tcPr>
            <w:tcW w:w="726" w:type="dxa"/>
            <w:gridSpan w:val="6"/>
            <w:vMerge w:val="restart"/>
            <w:tcBorders>
              <w:top w:val="single" w:sz="4" w:space="0" w:color="B6B6B6"/>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9.3%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6"/>
            <w:vMerge w:val="restart"/>
            <w:tcBorders>
              <w:top w:val="single" w:sz="4" w:space="0" w:color="B6B6B6"/>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19.1%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vMerge w:val="restart"/>
            <w:tcBorders>
              <w:top w:val="single" w:sz="4" w:space="0" w:color="7D7D7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(980)</w:t>
            </w:r>
          </w:p>
        </w:tc>
        <w:tc>
          <w:tcPr>
            <w:tcW w:w="500" w:type="dxa"/>
            <w:gridSpan w:val="3"/>
            <w:vMerge w:val="restart"/>
            <w:tcBorders>
              <w:top w:val="single" w:sz="4" w:space="0" w:color="B6B6B6"/>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bps</w:t>
            </w:r>
          </w:p>
        </w:tc>
      </w:tr>
      <w:tr>
        <w:trPr/>
        <w:tc>
          <w:tcPr>
            <w:tcW w:w="1125" w:type="dxa"/>
            <w:tcBorders/>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 margin</w:t>
            </w:r>
          </w:p>
        </w:tc>
        <w:tc>
          <w:tcPr>
            <w:tcW w:w="720" w:type="dxa"/>
            <w:gridSpan w:val="6"/>
            <w:tcBorders>
              <w:top w:val="single" w:sz="4" w:space="0" w:color="929292"/>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12.8%</w:t>
            </w:r>
          </w:p>
        </w:tc>
        <w:tc>
          <w:tcPr>
            <w:tcW w:w="357"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6"/>
            <w:tcBorders>
              <w:top w:val="single" w:sz="4" w:space="0" w:color="929292"/>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14.7%</w:t>
            </w:r>
          </w:p>
        </w:tc>
        <w:tc>
          <w:tcPr>
            <w:tcW w:w="357"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7D7D7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(190)</w:t>
            </w:r>
          </w:p>
        </w:tc>
        <w:tc>
          <w:tcPr>
            <w:tcW w:w="403" w:type="dxa"/>
            <w:gridSpan w:val="3"/>
            <w:tcBorders>
              <w:top w:val="single" w:sz="4" w:space="0" w:color="B6B6B6"/>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bps</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top w:val="single" w:sz="4" w:space="0" w:color="B6B6B6"/>
              <w:bottom w:val="single" w:sz="8" w:space="0" w:color="4C639D"/>
            </w:tcBorders>
            <w:tcMar>
              <w:top w:w="52" w:type="dxa"/>
              <w:left w:w="0" w:type="dxa"/>
              <w:bottom w:w="30" w:type="dxa"/>
              <w:right w:w="0" w:type="dxa"/>
            </w:tcMar>
            <w:vAlign w:val="center"/>
          </w:tcPr>
          <w:p>
            <w:pPr>
              <w:pStyle w:val="Normal"/>
              <w:bidi w:val="0"/>
              <w:jc w:val="left"/>
              <w:rPr/>
            </w:pPr>
            <w:r>
              <w:rPr/>
            </w:r>
          </w:p>
        </w:tc>
        <w:tc>
          <w:tcPr>
            <w:tcW w:w="726" w:type="dxa"/>
            <w:gridSpan w:val="6"/>
            <w:vMerge w:val="continue"/>
            <w:tcBorders>
              <w:top w:val="single" w:sz="4" w:space="0" w:color="B6B6B6"/>
              <w:bottom w:val="single" w:sz="8" w:space="0" w:color="4C639D"/>
            </w:tcBorders>
            <w:shd w:fill="243782" w:val="clear"/>
            <w:tcMar>
              <w:top w:w="52" w:type="dxa"/>
              <w:left w:w="0" w:type="dxa"/>
              <w:bottom w:w="30" w:type="dxa"/>
              <w:right w:w="0" w:type="dxa"/>
            </w:tcMar>
            <w:vAlign w:val="center"/>
          </w:tcPr>
          <w:p>
            <w:pPr>
              <w:pStyle w:val="Normal"/>
              <w:bidi w:val="0"/>
              <w:jc w:val="left"/>
              <w:rPr/>
            </w:pPr>
            <w:r>
              <w:rPr/>
            </w:r>
          </w:p>
        </w:tc>
        <w:tc>
          <w:tcPr>
            <w:tcW w:w="354"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6"/>
            <w:vMerge w:val="continue"/>
            <w:tcBorders>
              <w:top w:val="single" w:sz="4" w:space="0" w:color="B6B6B6"/>
              <w:bottom w:val="single" w:sz="8" w:space="0" w:color="4C639D"/>
            </w:tcBorders>
            <w:shd w:fill="F2F2F2" w:val="clear"/>
            <w:tcMar>
              <w:top w:w="52" w:type="dxa"/>
              <w:left w:w="0" w:type="dxa"/>
              <w:bottom w:w="30" w:type="dxa"/>
              <w:right w:w="0" w:type="dxa"/>
            </w:tcMar>
            <w:vAlign w:val="center"/>
          </w:tcPr>
          <w:p>
            <w:pPr>
              <w:pStyle w:val="Normal"/>
              <w:bidi w:val="0"/>
              <w:jc w:val="left"/>
              <w:rPr/>
            </w:pPr>
            <w:r>
              <w:rPr/>
            </w:r>
          </w:p>
        </w:tc>
        <w:tc>
          <w:tcPr>
            <w:tcW w:w="354"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vMerge w:val="continue"/>
            <w:tcBorders>
              <w:top w:val="single" w:sz="4" w:space="0" w:color="7D7D7D"/>
              <w:bottom w:val="single" w:sz="8" w:space="0" w:color="4C639D"/>
            </w:tcBorders>
            <w:tcMar>
              <w:top w:w="52" w:type="dxa"/>
              <w:left w:w="0" w:type="dxa"/>
              <w:bottom w:w="30" w:type="dxa"/>
              <w:right w:w="0" w:type="dxa"/>
            </w:tcMar>
            <w:vAlign w:val="center"/>
          </w:tcPr>
          <w:p>
            <w:pPr>
              <w:pStyle w:val="Normal"/>
              <w:bidi w:val="0"/>
              <w:jc w:val="left"/>
              <w:rPr/>
            </w:pPr>
            <w:r>
              <w:rPr/>
            </w:r>
          </w:p>
        </w:tc>
        <w:tc>
          <w:tcPr>
            <w:tcW w:w="500" w:type="dxa"/>
            <w:gridSpan w:val="3"/>
            <w:vMerge w:val="continue"/>
            <w:tcBorders>
              <w:top w:val="single" w:sz="4" w:space="0" w:color="B6B6B6"/>
              <w:bottom w:val="single" w:sz="8" w:space="0" w:color="4C639D"/>
            </w:tcBorders>
            <w:tcMar>
              <w:top w:w="52" w:type="dxa"/>
              <w:left w:w="0" w:type="dxa"/>
              <w:bottom w:w="30" w:type="dxa"/>
              <w:right w:w="0" w:type="dxa"/>
            </w:tcMar>
            <w:vAlign w:val="center"/>
          </w:tcPr>
          <w:p>
            <w:pPr>
              <w:pStyle w:val="Normal"/>
              <w:bidi w:val="0"/>
              <w:jc w:val="left"/>
              <w:rPr/>
            </w:pPr>
            <w:r>
              <w:rPr/>
            </w:r>
          </w:p>
        </w:tc>
      </w:tr>
      <w:tr>
        <w:trPr/>
        <w:tc>
          <w:tcPr>
            <w:tcW w:w="1125" w:type="dxa"/>
            <w:tcBorders/>
            <w:vAlign w:val="center"/>
          </w:tcPr>
          <w:p>
            <w:pPr>
              <w:pStyle w:val="TableContents"/>
              <w:bidi w:val="0"/>
              <w:spacing w:before="0" w:after="283"/>
              <w:jc w:val="left"/>
              <w:rPr>
                <w:sz w:val="4"/>
                <w:szCs w:val="4"/>
              </w:rPr>
            </w:pPr>
            <w:r>
              <w:rPr>
                <w:sz w:val="4"/>
                <w:szCs w:val="4"/>
              </w:rPr>
            </w:r>
          </w:p>
        </w:tc>
        <w:tc>
          <w:tcPr>
            <w:tcW w:w="4063" w:type="dxa"/>
            <w:gridSpan w:val="27"/>
            <w:tcBorders/>
            <w:tcMar>
              <w:top w:w="0" w:type="dxa"/>
              <w:left w:w="0" w:type="dxa"/>
              <w:bottom w:w="0" w:type="dxa"/>
              <w:right w:w="0" w:type="dxa"/>
            </w:tcMar>
            <w:vAlign w:val="center"/>
          </w:tcPr>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Consolidated shipments</w:t>
            </w:r>
            <w:r>
              <w:rPr>
                <w:color w:val="000000"/>
              </w:rPr>
              <w:t xml:space="preserve"> </w:t>
            </w:r>
            <w:r>
              <w:rPr>
                <w:rFonts w:ascii="Encode Sans;sans-serif" w:hAnsi="Encode Sans;sans-serif"/>
                <w:b w:val="false"/>
                <w:color w:val="000000"/>
                <w:sz w:val="14"/>
              </w:rPr>
              <w:t>decreased 3%, reflecting the industry decline in Türkiye and Gulf Cooperation Council countries largely due to the regional conflict, partially offset by higher volumes in Algeria</w:t>
            </w:r>
          </w:p>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Net revenues</w:t>
            </w:r>
            <w:r>
              <w:rPr>
                <w:color w:val="000000"/>
              </w:rPr>
              <w:t xml:space="preserve"> </w:t>
            </w:r>
            <w:r>
              <w:rPr>
                <w:rFonts w:ascii="Encode Sans;sans-serif" w:hAnsi="Encode Sans;sans-serif"/>
                <w:b w:val="false"/>
                <w:color w:val="000000"/>
                <w:sz w:val="14"/>
              </w:rPr>
              <w:t>declined 4%, primarily due to unfavorable foreign exchange translation effects from the Turkish Lira partially offset by positive net pricing</w:t>
            </w:r>
          </w:p>
          <w:p>
            <w:pPr>
              <w:pStyle w:val="TableContents"/>
              <w:bidi w:val="0"/>
              <w:spacing w:lineRule="auto" w:line="288" w:before="0" w:after="40"/>
              <w:ind w:left="0" w:right="0" w:hanging="180"/>
              <w:jc w:val="left"/>
              <w:rPr/>
            </w:pPr>
            <w:r>
              <w:rPr>
                <w:color w:val="243782"/>
              </w:rPr>
              <w:t>•</w:t>
            </w:r>
            <w:r>
              <w:rPr>
                <w:rFonts w:ascii="Encode Sans;sans-serif" w:hAnsi="Encode Sans;sans-serif"/>
                <w:b/>
                <w:color w:val="243782"/>
                <w:sz w:val="14"/>
              </w:rPr>
              <w:t>Adjusted operating income</w:t>
            </w:r>
            <w:r>
              <w:rPr>
                <w:color w:val="000000"/>
              </w:rPr>
              <w:t xml:space="preserve"> </w:t>
            </w:r>
            <w:r>
              <w:rPr>
                <w:rFonts w:ascii="Encode Sans;sans-serif" w:hAnsi="Encode Sans;sans-serif"/>
                <w:b w:val="false"/>
                <w:color w:val="000000"/>
                <w:sz w:val="14"/>
              </w:rPr>
              <w:t>declined by €0.1 billion, primarily due to unfavorable foreign exchange effects related to Turkish Lira devaluation, partially offset by positive net pricing, favorable mix and improved industrial costs</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7"/>
            <w:tcBorders/>
            <w:tcMar>
              <w:top w:w="0" w:type="dxa"/>
              <w:left w:w="0" w:type="dxa"/>
              <w:bottom w:w="0" w:type="dxa"/>
              <w:right w:w="0" w:type="dxa"/>
            </w:tcMar>
            <w:vAlign w:val="center"/>
          </w:tcPr>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Shipments</w:t>
            </w:r>
            <w:r>
              <w:rPr>
                <w:color w:val="000000"/>
              </w:rPr>
              <w:t xml:space="preserve"> </w:t>
            </w:r>
            <w:r>
              <w:rPr>
                <w:rFonts w:ascii="Encode Sans;sans-serif" w:hAnsi="Encode Sans;sans-serif"/>
                <w:b w:val="false"/>
                <w:color w:val="000000"/>
                <w:sz w:val="14"/>
              </w:rPr>
              <w:t>decreased 3%, driven primarily by lower volumes in Argentina and Chile, partially offset by higher volumes in Brazil</w:t>
            </w:r>
          </w:p>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Net revenues</w:t>
            </w:r>
            <w:r>
              <w:rPr>
                <w:color w:val="000000"/>
              </w:rPr>
              <w:t xml:space="preserve"> </w:t>
            </w:r>
            <w:r>
              <w:rPr>
                <w:rFonts w:ascii="Encode Sans;sans-serif" w:hAnsi="Encode Sans;sans-serif"/>
                <w:b w:val="false"/>
                <w:color w:val="000000"/>
                <w:sz w:val="14"/>
              </w:rPr>
              <w:t>increased 6%, mainly reflecting positive foreign exchange translation effects, favorable mix and positive net pricing, partially offset by lower volumes</w:t>
            </w:r>
          </w:p>
          <w:p>
            <w:pPr>
              <w:pStyle w:val="TableContents"/>
              <w:bidi w:val="0"/>
              <w:spacing w:lineRule="auto" w:line="288" w:before="0" w:after="40"/>
              <w:ind w:left="0" w:right="0" w:hanging="180"/>
              <w:jc w:val="left"/>
              <w:rPr/>
            </w:pPr>
            <w:r>
              <w:rPr>
                <w:color w:val="000000"/>
              </w:rPr>
              <w:t>•</w:t>
            </w:r>
            <w:r>
              <w:rPr>
                <w:rFonts w:ascii="Encode Sans;sans-serif" w:hAnsi="Encode Sans;sans-serif"/>
                <w:b/>
                <w:color w:val="243782"/>
                <w:sz w:val="14"/>
              </w:rPr>
              <w:t>Adjusted operating income</w:t>
            </w:r>
            <w:r>
              <w:rPr>
                <w:color w:val="000000"/>
              </w:rPr>
              <w:t xml:space="preserve"> </w:t>
            </w:r>
            <w:r>
              <w:rPr>
                <w:rFonts w:ascii="Encode Sans;sans-serif" w:hAnsi="Encode Sans;sans-serif"/>
                <w:b w:val="false"/>
                <w:color w:val="000000"/>
                <w:sz w:val="14"/>
              </w:rPr>
              <w:t>declined by €0.4 billion, primarily due to the non-repeat of a Brazilian indirect tax credit recognized in Q2 '25, and lower volumes in Argentina, partially offset by favorable net pricing and improved industrial costs</w:t>
            </w:r>
          </w:p>
        </w:tc>
      </w:tr>
    </w:tbl>
    <w:tbl>
      <w:tblPr>
        <w:tblW w:w="10205" w:type="dxa"/>
        <w:jc w:val="left"/>
        <w:tblInd w:w="0" w:type="dxa"/>
        <w:tblLayout w:type="fixed"/>
        <w:tblCellMar>
          <w:top w:w="28" w:type="dxa"/>
          <w:left w:w="28" w:type="dxa"/>
          <w:bottom w:w="28" w:type="dxa"/>
          <w:right w:w="28" w:type="dxa"/>
        </w:tblCellMar>
      </w:tblPr>
      <w:tblGrid>
        <w:gridCol w:w="1137"/>
        <w:gridCol w:w="1063"/>
        <w:gridCol w:w="1063"/>
        <w:gridCol w:w="1067"/>
        <w:gridCol w:w="221"/>
        <w:gridCol w:w="221"/>
        <w:gridCol w:w="221"/>
        <w:gridCol w:w="221"/>
        <w:gridCol w:w="221"/>
        <w:gridCol w:w="221"/>
        <w:gridCol w:w="192"/>
        <w:gridCol w:w="192"/>
        <w:gridCol w:w="192"/>
        <w:gridCol w:w="221"/>
        <w:gridCol w:w="221"/>
        <w:gridCol w:w="221"/>
        <w:gridCol w:w="221"/>
        <w:gridCol w:w="221"/>
        <w:gridCol w:w="221"/>
        <w:gridCol w:w="241"/>
        <w:gridCol w:w="241"/>
        <w:gridCol w:w="243"/>
        <w:gridCol w:w="291"/>
        <w:gridCol w:w="291"/>
        <w:gridCol w:w="292"/>
        <w:gridCol w:w="220"/>
        <w:gridCol w:w="220"/>
        <w:gridCol w:w="222"/>
        <w:gridCol w:w="109"/>
        <w:gridCol w:w="109"/>
        <w:gridCol w:w="168"/>
      </w:tblGrid>
      <w:tr>
        <w:trPr/>
        <w:tc>
          <w:tcPr>
            <w:tcW w:w="113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sz w:val="4"/>
                <w:szCs w:val="4"/>
              </w:rPr>
            </w:pPr>
            <w:r>
              <w:rPr>
                <w:sz w:val="4"/>
                <w:szCs w:val="4"/>
              </w:rPr>
            </w:r>
          </w:p>
        </w:tc>
        <w:tc>
          <w:tcPr>
            <w:tcW w:w="7146"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22"/>
              </w:rPr>
            </w:pPr>
            <w:r>
              <w:rPr>
                <w:rFonts w:ascii="Encode Sans;sans-serif" w:hAnsi="Encode Sans;sans-serif"/>
                <w:b w:val="false"/>
                <w:color w:val="243782"/>
                <w:sz w:val="22"/>
              </w:rPr>
              <w:t>ASIA PACIFIC</w:t>
            </w:r>
          </w:p>
        </w:tc>
        <w:tc>
          <w:tcPr>
            <w:tcW w:w="1536" w:type="dxa"/>
            <w:gridSpan w:val="6"/>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sz w:val="4"/>
                <w:szCs w:val="4"/>
              </w:rPr>
            </w:pPr>
            <w:r>
              <w:rPr>
                <w:sz w:val="4"/>
                <w:szCs w:val="4"/>
              </w:rPr>
            </w:r>
          </w:p>
        </w:tc>
        <w:tc>
          <w:tcPr>
            <w:tcW w:w="3193"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Encode Sans;sans-serif" w:hAnsi="Encode Sans;sans-serif"/>
                <w:b w:val="false"/>
                <w:color w:val="000000"/>
                <w:sz w:val="12"/>
              </w:rPr>
              <w:t xml:space="preserve">million, except as otherwise stated </w:t>
            </w:r>
          </w:p>
        </w:tc>
        <w:tc>
          <w:tcPr>
            <w:tcW w:w="1326" w:type="dxa"/>
            <w:gridSpan w:val="6"/>
            <w:tcBorders>
              <w:top w:val="single" w:sz="8" w:space="0" w:color="4C639D"/>
              <w:bottom w:val="single" w:sz="8" w:space="0" w:color="FFFFFF"/>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FFFFFF"/>
                <w:sz w:val="16"/>
              </w:rPr>
            </w:pPr>
            <w:r>
              <w:rPr>
                <w:rFonts w:ascii="Encode Sans;sans-serif" w:hAnsi="Encode Sans;sans-serif"/>
                <w:b w:val="false"/>
                <w:i/>
                <w:color w:val="FFFFFF"/>
                <w:sz w:val="16"/>
              </w:rPr>
              <w:t>Q2 2026</w:t>
            </w:r>
          </w:p>
        </w:tc>
        <w:tc>
          <w:tcPr>
            <w:tcW w:w="576"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6"/>
            <w:tcBorders>
              <w:top w:val="single" w:sz="8" w:space="0" w:color="4C639D"/>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Q2 2025</w:t>
            </w:r>
          </w:p>
        </w:tc>
        <w:tc>
          <w:tcPr>
            <w:tcW w:w="725"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Change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Shipments</w:t>
            </w:r>
            <w:r>
              <w:rPr>
                <w:rFonts w:ascii="Encode Sans;sans-serif" w:hAnsi="Encode Sans;sans-serif"/>
                <w:b w:val="false"/>
                <w:color w:val="000000"/>
                <w:sz w:val="9"/>
              </w:rPr>
              <w:t>(6)</w:t>
            </w:r>
            <w:r>
              <w:rPr>
                <w:color w:val="000000"/>
              </w:rPr>
              <w:t xml:space="preserve"> </w:t>
            </w:r>
            <w:r>
              <w:rPr>
                <w:rFonts w:ascii="Encode Sans;sans-serif" w:hAnsi="Encode Sans;sans-serif"/>
                <w:b w:val="false"/>
                <w:color w:val="000000"/>
                <w:sz w:val="14"/>
              </w:rPr>
              <w:t>(000s)</w:t>
            </w:r>
          </w:p>
        </w:tc>
        <w:tc>
          <w:tcPr>
            <w:tcW w:w="3856" w:type="dxa"/>
            <w:gridSpan w:val="6"/>
            <w:tcBorders>
              <w:top w:val="single" w:sz="8" w:space="0" w:color="FFFFFF"/>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6"/>
            <w:tcBorders>
              <w:top w:val="single" w:sz="8" w:space="0" w:color="4C639D"/>
              <w:bottom w:val="single" w:sz="4" w:space="0" w:color="7D7D7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74"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Pr>
          <w:p>
            <w:pPr>
              <w:pStyle w:val="TableContents"/>
              <w:bidi w:val="0"/>
              <w:spacing w:before="0" w:after="283"/>
              <w:jc w:val="left"/>
              <w:rPr>
                <w:sz w:val="4"/>
                <w:szCs w:val="4"/>
              </w:rPr>
            </w:pPr>
            <w:r>
              <w:rPr>
                <w:sz w:val="4"/>
                <w:szCs w:val="4"/>
              </w:rPr>
            </w:r>
          </w:p>
        </w:tc>
      </w:tr>
      <w:tr>
        <w:trPr/>
        <w:tc>
          <w:tcPr>
            <w:tcW w:w="1137" w:type="dxa"/>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w:t>
            </w:r>
          </w:p>
        </w:tc>
        <w:tc>
          <w:tcPr>
            <w:tcW w:w="3856" w:type="dxa"/>
            <w:gridSpan w:val="6"/>
            <w:tcBorders>
              <w:top w:val="single" w:sz="4" w:space="0" w:color="929292"/>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499</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6"/>
            <w:tcBorders>
              <w:top w:val="single" w:sz="4" w:space="0" w:color="7D7D7D"/>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524</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(5)%</w:t>
            </w:r>
          </w:p>
        </w:tc>
        <w:tc>
          <w:tcPr>
            <w:tcW w:w="874"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sz w:val="4"/>
                <w:szCs w:val="4"/>
              </w:rPr>
            </w:pPr>
            <w:r>
              <w:rPr>
                <w:sz w:val="4"/>
                <w:szCs w:val="4"/>
              </w:rPr>
            </w:r>
          </w:p>
        </w:tc>
        <w:tc>
          <w:tcPr>
            <w:tcW w:w="3193"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w:t>
            </w:r>
          </w:p>
        </w:tc>
        <w:tc>
          <w:tcPr>
            <w:tcW w:w="1326" w:type="dxa"/>
            <w:gridSpan w:val="6"/>
            <w:tcBorders>
              <w:top w:val="single" w:sz="4" w:space="0" w:color="929292"/>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27</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20</w:t>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35%</w:t>
            </w:r>
          </w:p>
        </w:tc>
        <w:tc>
          <w:tcPr>
            <w:tcW w:w="662"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sz w:val="4"/>
                <w:szCs w:val="4"/>
              </w:rPr>
            </w:pPr>
            <w:r>
              <w:rPr>
                <w:sz w:val="4"/>
                <w:szCs w:val="4"/>
              </w:rPr>
            </w:r>
          </w:p>
        </w:tc>
        <w:tc>
          <w:tcPr>
            <w:tcW w:w="3193" w:type="dxa"/>
            <w:gridSpan w:val="3"/>
            <w:tcBorders>
              <w:bottom w:val="single" w:sz="8" w:space="0" w:color="4C639D"/>
            </w:tcBorders>
            <w:tcMar>
              <w:top w:w="0"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 margin</w:t>
            </w:r>
          </w:p>
        </w:tc>
        <w:tc>
          <w:tcPr>
            <w:tcW w:w="1326" w:type="dxa"/>
            <w:gridSpan w:val="6"/>
            <w:tcBorders>
              <w:top w:val="single" w:sz="4" w:space="0" w:color="929292"/>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5.4%</w:t>
            </w:r>
          </w:p>
        </w:tc>
        <w:tc>
          <w:tcPr>
            <w:tcW w:w="576"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6"/>
            <w:tcBorders>
              <w:top w:val="single" w:sz="4" w:space="0" w:color="929292"/>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3.8%</w:t>
            </w:r>
          </w:p>
        </w:tc>
        <w:tc>
          <w:tcPr>
            <w:tcW w:w="725"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4" w:space="0" w:color="7D7D7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+160</w:t>
            </w:r>
          </w:p>
        </w:tc>
        <w:tc>
          <w:tcPr>
            <w:tcW w:w="662" w:type="dxa"/>
            <w:gridSpan w:val="3"/>
            <w:tcBorders>
              <w:top w:val="single" w:sz="4" w:space="0" w:color="B6B6B6"/>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bps</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sz w:val="4"/>
                <w:szCs w:val="4"/>
              </w:rPr>
            </w:pPr>
            <w:r>
              <w:rPr>
                <w:sz w:val="4"/>
                <w:szCs w:val="4"/>
              </w:rPr>
            </w:r>
          </w:p>
        </w:tc>
        <w:tc>
          <w:tcPr>
            <w:tcW w:w="8682" w:type="dxa"/>
            <w:gridSpan w:val="27"/>
            <w:tcBorders/>
            <w:tcMar>
              <w:top w:w="0" w:type="dxa"/>
              <w:left w:w="0" w:type="dxa"/>
              <w:bottom w:w="0" w:type="dxa"/>
              <w:right w:w="0" w:type="dxa"/>
            </w:tcMar>
            <w:vAlign w:val="center"/>
          </w:tcPr>
          <w:p>
            <w:pPr>
              <w:pStyle w:val="TableContents"/>
              <w:bidi w:val="0"/>
              <w:spacing w:lineRule="auto" w:line="288" w:before="0" w:after="60"/>
              <w:ind w:left="0" w:right="0" w:hanging="180"/>
              <w:jc w:val="left"/>
              <w:rPr/>
            </w:pPr>
            <w:r>
              <w:rPr>
                <w:color w:val="000000"/>
              </w:rPr>
              <w:t>•</w:t>
            </w:r>
            <w:r>
              <w:rPr>
                <w:rFonts w:ascii="Encode Sans;sans-serif" w:hAnsi="Encode Sans;sans-serif"/>
                <w:b/>
                <w:color w:val="243782"/>
                <w:sz w:val="14"/>
              </w:rPr>
              <w:t>Shipments</w:t>
            </w:r>
            <w:r>
              <w:rPr>
                <w:color w:val="000000"/>
              </w:rPr>
              <w:t xml:space="preserve"> </w:t>
            </w:r>
            <w:r>
              <w:rPr>
                <w:rFonts w:ascii="Encode Sans;sans-serif" w:hAnsi="Encode Sans;sans-serif"/>
                <w:b w:val="false"/>
                <w:color w:val="000000"/>
                <w:sz w:val="14"/>
              </w:rPr>
              <w:t xml:space="preserve">were relatively flat, reflecting higher volumes in South East Asia and India, partially offset by lower volumes in South Korea and Japan </w:t>
            </w:r>
          </w:p>
          <w:p>
            <w:pPr>
              <w:pStyle w:val="TableContents"/>
              <w:bidi w:val="0"/>
              <w:spacing w:lineRule="auto" w:line="288" w:before="0" w:after="60"/>
              <w:ind w:left="0" w:right="0" w:hanging="180"/>
              <w:jc w:val="left"/>
              <w:rPr/>
            </w:pPr>
            <w:r>
              <w:rPr>
                <w:color w:val="000000"/>
              </w:rPr>
              <w:t>•</w:t>
            </w:r>
            <w:r>
              <w:rPr>
                <w:rFonts w:ascii="Encode Sans;sans-serif" w:hAnsi="Encode Sans;sans-serif"/>
                <w:b/>
                <w:color w:val="243782"/>
                <w:sz w:val="14"/>
              </w:rPr>
              <w:t>Net revenues</w:t>
            </w:r>
            <w:r>
              <w:rPr>
                <w:color w:val="000000"/>
              </w:rPr>
              <w:t xml:space="preserve"> </w:t>
            </w:r>
            <w:r>
              <w:rPr>
                <w:rFonts w:ascii="Encode Sans;sans-serif" w:hAnsi="Encode Sans;sans-serif"/>
                <w:b w:val="false"/>
                <w:color w:val="000000"/>
                <w:sz w:val="14"/>
              </w:rPr>
              <w:t>decreased 5%, driven by unfavorable mix and negative foreign exchange translation effects more than offsetting higher volumes and positive net pricing</w:t>
            </w:r>
          </w:p>
          <w:p>
            <w:pPr>
              <w:pStyle w:val="TableContents"/>
              <w:bidi w:val="0"/>
              <w:spacing w:lineRule="auto" w:line="288" w:before="0" w:after="40"/>
              <w:ind w:left="0" w:right="0" w:hanging="180"/>
              <w:jc w:val="left"/>
              <w:rPr/>
            </w:pPr>
            <w:r>
              <w:rPr>
                <w:color w:val="243782"/>
              </w:rPr>
              <w:t>•</w:t>
            </w:r>
            <w:r>
              <w:rPr>
                <w:rFonts w:ascii="Encode Sans;sans-serif" w:hAnsi="Encode Sans;sans-serif"/>
                <w:b/>
                <w:color w:val="243782"/>
                <w:sz w:val="14"/>
              </w:rPr>
              <w:t>Adjusted operating income</w:t>
            </w:r>
            <w:r>
              <w:rPr>
                <w:color w:val="000000"/>
              </w:rPr>
              <w:t xml:space="preserve"> </w:t>
            </w:r>
            <w:r>
              <w:rPr>
                <w:rFonts w:ascii="Encode Sans;sans-serif" w:hAnsi="Encode Sans;sans-serif"/>
                <w:b w:val="false"/>
                <w:color w:val="000000"/>
                <w:sz w:val="14"/>
              </w:rPr>
              <w:t>improved by €7 million, primarily driven by improved industrial costs, positive net pricing and favorable mix, partially offset by unfavorable foreign exchange effects mainly from the Japanese Yen and the Indian Rupee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0" w:after="0"/>
        <w:jc w:val="left"/>
        <w:rPr>
          <w:rFonts w:ascii="Encode Sans;sans-serif" w:hAnsi="Encode Sans;sans-serif"/>
          <w:b w:val="false"/>
          <w:color w:val="000000"/>
          <w:sz w:val="10"/>
        </w:rPr>
      </w:pPr>
      <w:r>
        <w:rPr>
          <w:rFonts w:ascii="Encode Sans;sans-serif" w:hAnsi="Encode Sans;sans-serif"/>
          <w:b w:val="false"/>
          <w:color w:val="000000"/>
          <w:sz w:val="10"/>
        </w:rPr>
        <w:t>n.m. = not meaningful</w:t>
      </w:r>
    </w:p>
    <w:p>
      <w:pPr>
        <w:pStyle w:val="TextBody"/>
        <w:bidi w:val="0"/>
        <w:spacing w:lineRule="auto" w:line="288" w:before="0" w:after="0"/>
        <w:jc w:val="left"/>
        <w:rPr>
          <w:rFonts w:ascii="Encode Sans;sans-serif" w:hAnsi="Encode Sans;sans-serif"/>
          <w:b w:val="false"/>
          <w:color w:val="000000"/>
          <w:sz w:val="10"/>
        </w:rPr>
      </w:pPr>
      <w:r>
        <w:rPr>
          <w:rFonts w:ascii="Encode Sans;sans-serif" w:hAnsi="Encode Sans;sans-serif"/>
          <w:b w:val="false"/>
          <w:color w:val="000000"/>
          <w:sz w:val="10"/>
        </w:rPr>
        <w:t>(*) Effective January 2026, the Company’s segment structure was updated to align with how the Chief Operating Decision Maker (“CODM”) reviews performance and allocates resources. Under the revised structure, the CODM reviews the business through the following operating and reportable segments: North America; Enlarged Europe; Middle East &amp; Africa; South America; and Asia Pacific. Refer to Note 8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428875" cy="6858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4790"/>
                <wp:effectExtent l="0" t="0" r="0" b="0"/>
                <wp:wrapNone/>
                <wp:docPr id="12" name="Frame7"/>
                <a:graphic xmlns:a="http://schemas.openxmlformats.org/drawingml/2006/main">
                  <a:graphicData uri="http://schemas.microsoft.com/office/word/2010/wordprocessingShape">
                    <wps:wsp>
                      <wps:cNvSpPr txBox="1"/>
                      <wps:spPr>
                        <a:xfrm>
                          <a:off x="0" y="0"/>
                          <a:ext cx="6480175" cy="224790"/>
                        </a:xfrm>
                        <a:prstGeom prst="rect"/>
                        <a:solidFill>
                          <a:srgbClr val="FFFFFF"/>
                        </a:solidFill>
                      </wps:spPr>
                      <wps:txb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3</w:t>
                      </w:r>
                    </w:p>
                  </w:txbxContent>
                </v:textbox>
                <w10:wrap type="none"/>
              </v:rect>
            </w:pict>
          </mc:Fallback>
        </mc:AlternateContent>
      </w:r>
    </w:p>
    <w:p>
      <w:pPr>
        <w:pStyle w:val="TextBody"/>
        <w:bidi w:val="0"/>
        <w:spacing w:lineRule="auto" w:line="288" w:before="0" w:after="120"/>
        <w:jc w:val="left"/>
        <w:rPr>
          <w:rFonts w:ascii="Encode Sans;sans-serif" w:hAnsi="Encode Sans;sans-serif"/>
          <w:b w:val="false"/>
          <w:color w:val="243782"/>
          <w:sz w:val="24"/>
        </w:rPr>
      </w:pPr>
      <w:r>
        <w:rPr>
          <w:rFonts w:ascii="Encode Sans;sans-serif" w:hAnsi="Encode Sans;sans-serif"/>
          <w:b w:val="false"/>
          <w:color w:val="243782"/>
          <w:sz w:val="24"/>
        </w:rPr>
        <w:t>SEGMENT PERFORMANCE - H1 2026*</w:t>
      </w:r>
    </w:p>
    <w:tbl>
      <w:tblPr>
        <w:tblW w:w="10205" w:type="dxa"/>
        <w:jc w:val="left"/>
        <w:tblInd w:w="0" w:type="dxa"/>
        <w:tblLayout w:type="fixed"/>
        <w:tblCellMar>
          <w:top w:w="28" w:type="dxa"/>
          <w:left w:w="28" w:type="dxa"/>
          <w:bottom w:w="28" w:type="dxa"/>
          <w:right w:w="28" w:type="dxa"/>
        </w:tblCellMar>
      </w:tblPr>
      <w:tblGrid>
        <w:gridCol w:w="997"/>
        <w:gridCol w:w="353"/>
        <w:gridCol w:w="353"/>
        <w:gridCol w:w="355"/>
        <w:gridCol w:w="117"/>
        <w:gridCol w:w="117"/>
        <w:gridCol w:w="117"/>
        <w:gridCol w:w="117"/>
        <w:gridCol w:w="117"/>
        <w:gridCol w:w="117"/>
        <w:gridCol w:w="109"/>
        <w:gridCol w:w="109"/>
        <w:gridCol w:w="109"/>
        <w:gridCol w:w="117"/>
        <w:gridCol w:w="117"/>
        <w:gridCol w:w="117"/>
        <w:gridCol w:w="117"/>
        <w:gridCol w:w="117"/>
        <w:gridCol w:w="117"/>
        <w:gridCol w:w="165"/>
        <w:gridCol w:w="165"/>
        <w:gridCol w:w="166"/>
        <w:gridCol w:w="140"/>
        <w:gridCol w:w="140"/>
        <w:gridCol w:w="141"/>
        <w:gridCol w:w="125"/>
        <w:gridCol w:w="125"/>
        <w:gridCol w:w="126"/>
        <w:gridCol w:w="326"/>
        <w:gridCol w:w="326"/>
        <w:gridCol w:w="328"/>
        <w:gridCol w:w="353"/>
        <w:gridCol w:w="353"/>
        <w:gridCol w:w="355"/>
        <w:gridCol w:w="117"/>
        <w:gridCol w:w="117"/>
        <w:gridCol w:w="117"/>
        <w:gridCol w:w="117"/>
        <w:gridCol w:w="117"/>
        <w:gridCol w:w="117"/>
        <w:gridCol w:w="109"/>
        <w:gridCol w:w="109"/>
        <w:gridCol w:w="109"/>
        <w:gridCol w:w="117"/>
        <w:gridCol w:w="117"/>
        <w:gridCol w:w="117"/>
        <w:gridCol w:w="117"/>
        <w:gridCol w:w="117"/>
        <w:gridCol w:w="117"/>
        <w:gridCol w:w="165"/>
        <w:gridCol w:w="165"/>
        <w:gridCol w:w="166"/>
        <w:gridCol w:w="135"/>
        <w:gridCol w:w="135"/>
        <w:gridCol w:w="135"/>
        <w:gridCol w:w="124"/>
        <w:gridCol w:w="124"/>
        <w:gridCol w:w="202"/>
      </w:tblGrid>
      <w:tr>
        <w:trPr/>
        <w:tc>
          <w:tcPr>
            <w:tcW w:w="99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997" w:type="dxa"/>
            <w:tcBorders/>
            <w:vAlign w:val="center"/>
          </w:tcPr>
          <w:p>
            <w:pPr>
              <w:pStyle w:val="TableContents"/>
              <w:bidi w:val="0"/>
              <w:spacing w:before="0" w:after="283"/>
              <w:jc w:val="left"/>
              <w:rPr>
                <w:sz w:val="4"/>
                <w:szCs w:val="4"/>
              </w:rPr>
            </w:pPr>
            <w:r>
              <w:rPr>
                <w:sz w:val="4"/>
                <w:szCs w:val="4"/>
              </w:rPr>
            </w:r>
          </w:p>
        </w:tc>
        <w:tc>
          <w:tcPr>
            <w:tcW w:w="3288"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22"/>
              </w:rPr>
            </w:pPr>
            <w:r>
              <w:rPr>
                <w:rFonts w:ascii="Encode Sans;sans-serif" w:hAnsi="Encode Sans;sans-serif"/>
                <w:b w:val="false"/>
                <w:color w:val="243782"/>
                <w:sz w:val="22"/>
              </w:rPr>
              <w:t>NORTH AMERICA</w:t>
            </w:r>
          </w:p>
        </w:tc>
        <w:tc>
          <w:tcPr>
            <w:tcW w:w="797" w:type="dxa"/>
            <w:gridSpan w:val="6"/>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22"/>
              </w:rPr>
            </w:pPr>
            <w:r>
              <w:rPr>
                <w:rFonts w:ascii="Encode Sans;sans-serif" w:hAnsi="Encode Sans;sans-serif"/>
                <w:b w:val="false"/>
                <w:color w:val="243782"/>
                <w:sz w:val="22"/>
              </w:rPr>
              <w:t>ENLARGED EUROPE</w:t>
            </w:r>
          </w:p>
        </w:tc>
        <w:tc>
          <w:tcPr>
            <w:tcW w:w="855" w:type="dxa"/>
            <w:gridSpan w:val="6"/>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tcBorders/>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Encode Sans;sans-serif" w:hAnsi="Encode Sans;sans-serif"/>
                <w:b w:val="false"/>
                <w:color w:val="000000"/>
                <w:sz w:val="12"/>
              </w:rPr>
              <w:t xml:space="preserve">million, except as otherwise stated </w:t>
            </w:r>
          </w:p>
        </w:tc>
        <w:tc>
          <w:tcPr>
            <w:tcW w:w="702" w:type="dxa"/>
            <w:gridSpan w:val="6"/>
            <w:tcBorders>
              <w:top w:val="single" w:sz="8" w:space="0" w:color="4C639D"/>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FFFFFF"/>
                <w:sz w:val="16"/>
              </w:rPr>
            </w:pPr>
            <w:r>
              <w:rPr>
                <w:rFonts w:ascii="Encode Sans;sans-serif" w:hAnsi="Encode Sans;sans-serif"/>
                <w:b w:val="false"/>
                <w:i/>
                <w:color w:val="FFFFFF"/>
                <w:sz w:val="16"/>
              </w:rPr>
              <w:t>YTD 2026</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4C639D"/>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YTD 2025</w:t>
            </w:r>
          </w:p>
        </w:tc>
        <w:tc>
          <w:tcPr>
            <w:tcW w:w="496"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Change</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Encode Sans;sans-serif" w:hAnsi="Encode Sans;sans-serif"/>
                <w:b w:val="false"/>
                <w:color w:val="000000"/>
                <w:sz w:val="12"/>
              </w:rPr>
              <w:t xml:space="preserve">million, except as otherwise stated </w:t>
            </w:r>
          </w:p>
        </w:tc>
        <w:tc>
          <w:tcPr>
            <w:tcW w:w="702" w:type="dxa"/>
            <w:gridSpan w:val="6"/>
            <w:tcBorders>
              <w:top w:val="single" w:sz="8" w:space="0" w:color="4C639D"/>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FFFFFF"/>
                <w:sz w:val="16"/>
              </w:rPr>
            </w:pPr>
            <w:r>
              <w:rPr>
                <w:rFonts w:ascii="Encode Sans;sans-serif" w:hAnsi="Encode Sans;sans-serif"/>
                <w:b w:val="false"/>
                <w:i/>
                <w:color w:val="FFFFFF"/>
                <w:sz w:val="16"/>
              </w:rPr>
              <w:t>YTD 2026</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4C639D"/>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YTD 2025</w:t>
            </w:r>
          </w:p>
        </w:tc>
        <w:tc>
          <w:tcPr>
            <w:tcW w:w="496"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Change</w:t>
            </w:r>
          </w:p>
        </w:tc>
      </w:tr>
      <w:tr>
        <w:trPr/>
        <w:tc>
          <w:tcPr>
            <w:tcW w:w="997" w:type="dxa"/>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Shipments</w:t>
            </w:r>
            <w:r>
              <w:rPr>
                <w:color w:val="000000"/>
              </w:rPr>
              <w:t xml:space="preserve"> </w:t>
            </w:r>
            <w:r>
              <w:rPr>
                <w:rFonts w:ascii="Encode Sans;sans-serif" w:hAnsi="Encode Sans;sans-serif"/>
                <w:b w:val="false"/>
                <w:color w:val="000000"/>
                <w:sz w:val="14"/>
              </w:rPr>
              <w:t>(000s)</w:t>
            </w:r>
          </w:p>
        </w:tc>
        <w:tc>
          <w:tcPr>
            <w:tcW w:w="1412" w:type="dxa"/>
            <w:gridSpan w:val="6"/>
            <w:tcBorders>
              <w:top w:val="single" w:sz="8" w:space="0" w:color="4C639D"/>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824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op w:val="single" w:sz="8" w:space="0" w:color="4C639D"/>
              <w:bottom w:val="single" w:sz="4" w:space="0" w:color="7D7D7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648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+176</w:t>
            </w:r>
          </w:p>
        </w:tc>
        <w:tc>
          <w:tcPr>
            <w:tcW w:w="421"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Shipments</w:t>
            </w:r>
            <w:r>
              <w:rPr>
                <w:color w:val="000000"/>
              </w:rPr>
              <w:t xml:space="preserve"> </w:t>
            </w:r>
            <w:r>
              <w:rPr>
                <w:rFonts w:ascii="Encode Sans;sans-serif" w:hAnsi="Encode Sans;sans-serif"/>
                <w:b w:val="false"/>
                <w:color w:val="000000"/>
                <w:sz w:val="14"/>
              </w:rPr>
              <w:t>(000s)</w:t>
            </w:r>
          </w:p>
        </w:tc>
        <w:tc>
          <w:tcPr>
            <w:tcW w:w="1412" w:type="dxa"/>
            <w:gridSpan w:val="6"/>
            <w:tcBorders>
              <w:top w:val="single" w:sz="8" w:space="0" w:color="4C639D"/>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1,399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op w:val="single" w:sz="8" w:space="0" w:color="4C639D"/>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1,291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+108</w:t>
            </w:r>
          </w:p>
        </w:tc>
        <w:tc>
          <w:tcPr>
            <w:tcW w:w="405"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Pr>
          <w:p>
            <w:pPr>
              <w:pStyle w:val="TableContents"/>
              <w:bidi w:val="0"/>
              <w:spacing w:before="0" w:after="283"/>
              <w:jc w:val="left"/>
              <w:rPr>
                <w:sz w:val="4"/>
                <w:szCs w:val="4"/>
              </w:rPr>
            </w:pPr>
            <w:r>
              <w:rPr>
                <w:sz w:val="4"/>
                <w:szCs w:val="4"/>
              </w:rPr>
            </w:r>
          </w:p>
        </w:tc>
      </w:tr>
      <w:tr>
        <w:trPr/>
        <w:tc>
          <w:tcPr>
            <w:tcW w:w="997" w:type="dxa"/>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w:t>
            </w:r>
          </w:p>
        </w:tc>
        <w:tc>
          <w:tcPr>
            <w:tcW w:w="1412" w:type="dxa"/>
            <w:gridSpan w:val="6"/>
            <w:tcBorders>
              <w:top w:val="single" w:sz="4" w:space="0" w:color="7D7D7D"/>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34,307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op w:val="single" w:sz="4" w:space="0" w:color="7D7D7D"/>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28,303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21%</w:t>
            </w:r>
          </w:p>
        </w:tc>
        <w:tc>
          <w:tcPr>
            <w:tcW w:w="421"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w:t>
            </w:r>
          </w:p>
        </w:tc>
        <w:tc>
          <w:tcPr>
            <w:tcW w:w="1412" w:type="dxa"/>
            <w:gridSpan w:val="6"/>
            <w:tcBorders>
              <w:top w:val="single" w:sz="4" w:space="0" w:color="7D7D7D"/>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30,801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30,557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w:t>
            </w:r>
          </w:p>
        </w:tc>
        <w:tc>
          <w:tcPr>
            <w:tcW w:w="405" w:type="dxa"/>
            <w:gridSpan w:val="3"/>
            <w:tcBorders>
              <w:top w:val="single" w:sz="4" w:space="0" w:color="7D7D7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Pr>
          <w:p>
            <w:pPr>
              <w:pStyle w:val="TableContents"/>
              <w:bidi w:val="0"/>
              <w:spacing w:before="0" w:after="283"/>
              <w:jc w:val="left"/>
              <w:rPr>
                <w:sz w:val="4"/>
                <w:szCs w:val="4"/>
              </w:rPr>
            </w:pPr>
            <w:r>
              <w:rPr>
                <w:sz w:val="4"/>
                <w:szCs w:val="4"/>
              </w:rPr>
            </w:r>
          </w:p>
        </w:tc>
      </w:tr>
      <w:tr>
        <w:trPr/>
        <w:tc>
          <w:tcPr>
            <w:tcW w:w="997" w:type="dxa"/>
            <w:tcBorders/>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w:t>
            </w:r>
          </w:p>
        </w:tc>
        <w:tc>
          <w:tcPr>
            <w:tcW w:w="702" w:type="dxa"/>
            <w:gridSpan w:val="6"/>
            <w:tcBorders>
              <w:top w:val="single" w:sz="4" w:space="0" w:color="7D7D7D"/>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547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(982)</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n.m.</w:t>
            </w:r>
          </w:p>
        </w:tc>
        <w:tc>
          <w:tcPr>
            <w:tcW w:w="376"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w:t>
            </w:r>
          </w:p>
        </w:tc>
        <w:tc>
          <w:tcPr>
            <w:tcW w:w="702" w:type="dxa"/>
            <w:gridSpan w:val="6"/>
            <w:tcBorders>
              <w:top w:val="single" w:sz="4" w:space="0" w:color="7D7D7D"/>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(67)</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(28)%</w:t>
            </w:r>
          </w:p>
        </w:tc>
        <w:tc>
          <w:tcPr>
            <w:tcW w:w="450"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tcBorders/>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 margin</w:t>
            </w:r>
          </w:p>
        </w:tc>
        <w:tc>
          <w:tcPr>
            <w:tcW w:w="702" w:type="dxa"/>
            <w:gridSpan w:val="6"/>
            <w:tcBorders>
              <w:top w:val="single" w:sz="4" w:space="0" w:color="929292"/>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1.6%</w:t>
            </w:r>
          </w:p>
        </w:tc>
        <w:tc>
          <w:tcPr>
            <w:tcW w:w="327"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4" w:space="0" w:color="929292"/>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(3.5)%</w:t>
            </w:r>
          </w:p>
        </w:tc>
        <w:tc>
          <w:tcPr>
            <w:tcW w:w="496"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n.m.</w:t>
            </w:r>
          </w:p>
        </w:tc>
        <w:tc>
          <w:tcPr>
            <w:tcW w:w="376"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bps</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 margin</w:t>
            </w:r>
          </w:p>
        </w:tc>
        <w:tc>
          <w:tcPr>
            <w:tcW w:w="702" w:type="dxa"/>
            <w:gridSpan w:val="6"/>
            <w:tcBorders>
              <w:top w:val="single" w:sz="4" w:space="0" w:color="929292"/>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(0.3)%</w:t>
            </w:r>
          </w:p>
        </w:tc>
        <w:tc>
          <w:tcPr>
            <w:tcW w:w="327"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4" w:space="0" w:color="929292"/>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(0.2)%</w:t>
            </w:r>
          </w:p>
        </w:tc>
        <w:tc>
          <w:tcPr>
            <w:tcW w:w="496"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(10)</w:t>
            </w:r>
          </w:p>
        </w:tc>
        <w:tc>
          <w:tcPr>
            <w:tcW w:w="450"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bps</w:t>
            </w:r>
          </w:p>
        </w:tc>
      </w:tr>
    </w:tbl>
    <w:tbl>
      <w:tblPr>
        <w:tblW w:w="10205" w:type="dxa"/>
        <w:jc w:val="left"/>
        <w:tblInd w:w="0" w:type="dxa"/>
        <w:tblLayout w:type="fixed"/>
        <w:tblCellMar>
          <w:top w:w="28" w:type="dxa"/>
          <w:left w:w="28" w:type="dxa"/>
          <w:bottom w:w="28" w:type="dxa"/>
          <w:right w:w="28" w:type="dxa"/>
        </w:tblCellMar>
      </w:tblPr>
      <w:tblGrid>
        <w:gridCol w:w="1330"/>
        <w:gridCol w:w="400"/>
        <w:gridCol w:w="339"/>
        <w:gridCol w:w="340"/>
        <w:gridCol w:w="116"/>
        <w:gridCol w:w="116"/>
        <w:gridCol w:w="116"/>
        <w:gridCol w:w="116"/>
        <w:gridCol w:w="116"/>
        <w:gridCol w:w="116"/>
        <w:gridCol w:w="112"/>
        <w:gridCol w:w="112"/>
        <w:gridCol w:w="112"/>
        <w:gridCol w:w="116"/>
        <w:gridCol w:w="116"/>
        <w:gridCol w:w="116"/>
        <w:gridCol w:w="116"/>
        <w:gridCol w:w="116"/>
        <w:gridCol w:w="116"/>
        <w:gridCol w:w="112"/>
        <w:gridCol w:w="112"/>
        <w:gridCol w:w="112"/>
        <w:gridCol w:w="178"/>
        <w:gridCol w:w="141"/>
        <w:gridCol w:w="143"/>
        <w:gridCol w:w="125"/>
        <w:gridCol w:w="125"/>
        <w:gridCol w:w="126"/>
        <w:gridCol w:w="321"/>
        <w:gridCol w:w="321"/>
        <w:gridCol w:w="322"/>
        <w:gridCol w:w="400"/>
        <w:gridCol w:w="339"/>
        <w:gridCol w:w="340"/>
        <w:gridCol w:w="198"/>
        <w:gridCol w:w="198"/>
        <w:gridCol w:w="199"/>
        <w:gridCol w:w="109"/>
        <w:gridCol w:w="109"/>
        <w:gridCol w:w="109"/>
        <w:gridCol w:w="116"/>
        <w:gridCol w:w="116"/>
        <w:gridCol w:w="116"/>
        <w:gridCol w:w="116"/>
        <w:gridCol w:w="116"/>
        <w:gridCol w:w="116"/>
        <w:gridCol w:w="109"/>
        <w:gridCol w:w="109"/>
        <w:gridCol w:w="109"/>
        <w:gridCol w:w="180"/>
        <w:gridCol w:w="140"/>
        <w:gridCol w:w="134"/>
        <w:gridCol w:w="124"/>
        <w:gridCol w:w="124"/>
        <w:gridCol w:w="204"/>
      </w:tblGrid>
      <w:tr>
        <w:trPr/>
        <w:tc>
          <w:tcPr>
            <w:tcW w:w="133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330" w:type="dxa"/>
            <w:tcBorders/>
            <w:vAlign w:val="center"/>
          </w:tcPr>
          <w:p>
            <w:pPr>
              <w:pStyle w:val="TableContents"/>
              <w:bidi w:val="0"/>
              <w:spacing w:before="0" w:after="283"/>
              <w:jc w:val="left"/>
              <w:rPr>
                <w:sz w:val="4"/>
                <w:szCs w:val="4"/>
              </w:rPr>
            </w:pPr>
            <w:r>
              <w:rPr>
                <w:sz w:val="4"/>
                <w:szCs w:val="4"/>
              </w:rPr>
            </w:r>
          </w:p>
        </w:tc>
        <w:tc>
          <w:tcPr>
            <w:tcW w:w="3143"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22"/>
              </w:rPr>
            </w:pPr>
            <w:r>
              <w:rPr>
                <w:rFonts w:ascii="Encode Sans;sans-serif" w:hAnsi="Encode Sans;sans-serif"/>
                <w:b w:val="false"/>
                <w:color w:val="243782"/>
                <w:sz w:val="22"/>
              </w:rPr>
              <w:t>MIDDLE EAST &amp; AFRICA</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22"/>
              </w:rPr>
            </w:pPr>
            <w:r>
              <w:rPr>
                <w:rFonts w:ascii="Encode Sans;sans-serif" w:hAnsi="Encode Sans;sans-serif"/>
                <w:b w:val="false"/>
                <w:color w:val="243782"/>
                <w:sz w:val="22"/>
              </w:rPr>
              <w:t>SOUTH AMERICA</w:t>
            </w:r>
          </w:p>
        </w:tc>
        <w:tc>
          <w:tcPr>
            <w:tcW w:w="906" w:type="dxa"/>
            <w:gridSpan w:val="6"/>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Encode Sans;sans-serif" w:hAnsi="Encode Sans;sans-serif"/>
                <w:b w:val="false"/>
                <w:color w:val="000000"/>
                <w:sz w:val="12"/>
              </w:rPr>
              <w:t xml:space="preserve">million, except as otherwise stated </w:t>
            </w:r>
          </w:p>
        </w:tc>
        <w:tc>
          <w:tcPr>
            <w:tcW w:w="696" w:type="dxa"/>
            <w:gridSpan w:val="6"/>
            <w:tcBorders>
              <w:top w:val="single" w:sz="8" w:space="0" w:color="4C639D"/>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FFFFFF"/>
                <w:sz w:val="16"/>
              </w:rPr>
            </w:pPr>
            <w:r>
              <w:rPr>
                <w:rFonts w:ascii="Encode Sans;sans-serif" w:hAnsi="Encode Sans;sans-serif"/>
                <w:b w:val="false"/>
                <w:i/>
                <w:color w:val="FFFFFF"/>
                <w:sz w:val="16"/>
              </w:rPr>
              <w:t>YTD 2026</w:t>
            </w:r>
          </w:p>
        </w:tc>
        <w:tc>
          <w:tcPr>
            <w:tcW w:w="336"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6"/>
            <w:tcBorders>
              <w:top w:val="single" w:sz="8" w:space="0" w:color="4C639D"/>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YTD 2025</w:t>
            </w:r>
          </w:p>
        </w:tc>
        <w:tc>
          <w:tcPr>
            <w:tcW w:w="336"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Change</w:t>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Encode Sans;sans-serif" w:hAnsi="Encode Sans;sans-serif"/>
                <w:b w:val="false"/>
                <w:color w:val="000000"/>
                <w:sz w:val="12"/>
              </w:rPr>
              <w:t xml:space="preserve">million, except as otherwise stated </w:t>
            </w:r>
          </w:p>
        </w:tc>
        <w:tc>
          <w:tcPr>
            <w:tcW w:w="595" w:type="dxa"/>
            <w:gridSpan w:val="3"/>
            <w:tcBorders>
              <w:top w:val="single" w:sz="8" w:space="0" w:color="4C639D"/>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FFFFFF"/>
                <w:sz w:val="16"/>
              </w:rPr>
            </w:pPr>
            <w:r>
              <w:rPr>
                <w:rFonts w:ascii="Encode Sans;sans-serif" w:hAnsi="Encode Sans;sans-serif"/>
                <w:b w:val="false"/>
                <w:i/>
                <w:color w:val="FFFFFF"/>
                <w:sz w:val="16"/>
              </w:rPr>
              <w:t>YTD 2026</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6"/>
            <w:tcBorders>
              <w:top w:val="single" w:sz="8" w:space="0" w:color="4C639D"/>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YTD 2025</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Change</w:t>
            </w:r>
          </w:p>
        </w:tc>
      </w:tr>
      <w:tr>
        <w:trPr/>
        <w:tc>
          <w:tcPr>
            <w:tcW w:w="1330" w:type="dxa"/>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Combined shipments</w:t>
            </w:r>
            <w:r>
              <w:rPr>
                <w:rFonts w:ascii="Encode Sans;sans-serif" w:hAnsi="Encode Sans;sans-serif"/>
                <w:b w:val="false"/>
                <w:color w:val="000000"/>
                <w:sz w:val="9"/>
              </w:rPr>
              <w:t>(6)</w:t>
            </w:r>
            <w:r>
              <w:rPr>
                <w:color w:val="000000"/>
              </w:rPr>
              <w:t xml:space="preserve"> </w:t>
            </w:r>
            <w:r>
              <w:rPr>
                <w:rFonts w:ascii="Encode Sans;sans-serif" w:hAnsi="Encode Sans;sans-serif"/>
                <w:b w:val="false"/>
                <w:color w:val="000000"/>
                <w:sz w:val="14"/>
              </w:rPr>
              <w:t>(000s)</w:t>
            </w:r>
          </w:p>
        </w:tc>
        <w:tc>
          <w:tcPr>
            <w:tcW w:w="1427" w:type="dxa"/>
            <w:gridSpan w:val="6"/>
            <w:tcBorders>
              <w:top w:val="single" w:sz="4" w:space="0" w:color="7D7D7D"/>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243</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6"/>
            <w:tcBorders>
              <w:top w:val="single" w:sz="8" w:space="0" w:color="4C639D"/>
              <w:bottom w:val="single" w:sz="4" w:space="0" w:color="7D7D7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251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(8)</w:t>
            </w:r>
          </w:p>
        </w:tc>
        <w:tc>
          <w:tcPr>
            <w:tcW w:w="462"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vMerge w:val="restart"/>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Shipments (000s)</w:t>
            </w:r>
          </w:p>
        </w:tc>
        <w:tc>
          <w:tcPr>
            <w:tcW w:w="1079" w:type="dxa"/>
            <w:gridSpan w:val="3"/>
            <w:vMerge w:val="restart"/>
            <w:tcBorders>
              <w:top w:val="single" w:sz="8" w:space="0" w:color="FFFFFF"/>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472</w:t>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6"/>
            <w:vMerge w:val="restart"/>
            <w:tcBorders>
              <w:top w:val="single" w:sz="8" w:space="0" w:color="4C639D"/>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471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w:t>
            </w:r>
          </w:p>
        </w:tc>
        <w:tc>
          <w:tcPr>
            <w:tcW w:w="454"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Pr>
          <w:p>
            <w:pPr>
              <w:pStyle w:val="TableContents"/>
              <w:bidi w:val="0"/>
              <w:spacing w:before="0" w:after="283"/>
              <w:jc w:val="left"/>
              <w:rPr>
                <w:sz w:val="4"/>
                <w:szCs w:val="4"/>
              </w:rPr>
            </w:pPr>
            <w:r>
              <w:rPr>
                <w:sz w:val="4"/>
                <w:szCs w:val="4"/>
              </w:rPr>
            </w:r>
          </w:p>
        </w:tc>
      </w:tr>
      <w:tr>
        <w:trPr/>
        <w:tc>
          <w:tcPr>
            <w:tcW w:w="1330" w:type="dxa"/>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Consolidated shipments</w:t>
            </w:r>
            <w:r>
              <w:rPr>
                <w:rFonts w:ascii="Encode Sans;sans-serif" w:hAnsi="Encode Sans;sans-serif"/>
                <w:b w:val="false"/>
                <w:color w:val="000000"/>
                <w:sz w:val="9"/>
              </w:rPr>
              <w:t xml:space="preserve">(6) </w:t>
            </w:r>
            <w:r>
              <w:rPr>
                <w:rFonts w:ascii="Encode Sans;sans-serif" w:hAnsi="Encode Sans;sans-serif"/>
                <w:b w:val="false"/>
                <w:color w:val="000000"/>
                <w:sz w:val="14"/>
              </w:rPr>
              <w:t>(000s)</w:t>
            </w:r>
          </w:p>
        </w:tc>
        <w:tc>
          <w:tcPr>
            <w:tcW w:w="1427" w:type="dxa"/>
            <w:gridSpan w:val="6"/>
            <w:tcBorders>
              <w:top w:val="single" w:sz="4" w:space="0" w:color="7D7D7D"/>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232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6"/>
            <w:tcBorders>
              <w:top w:val="single" w:sz="4" w:space="0" w:color="7D7D7D"/>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+7</w:t>
            </w:r>
          </w:p>
        </w:tc>
        <w:tc>
          <w:tcPr>
            <w:tcW w:w="462" w:type="dxa"/>
            <w:gridSpan w:val="3"/>
            <w:tcBorders>
              <w:top w:val="single" w:sz="4" w:space="0" w:color="7D7D7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vMerge w:val="continue"/>
            <w:tcBorders>
              <w:top w:val="single" w:sz="4" w:space="0" w:color="7D7D7D"/>
            </w:tcBorders>
            <w:tcMar>
              <w:top w:w="52" w:type="dxa"/>
              <w:left w:w="0" w:type="dxa"/>
              <w:bottom w:w="0" w:type="dxa"/>
              <w:right w:w="0" w:type="dxa"/>
            </w:tcMar>
            <w:vAlign w:val="center"/>
          </w:tcPr>
          <w:p>
            <w:pPr>
              <w:pStyle w:val="Normal"/>
              <w:bidi w:val="0"/>
              <w:jc w:val="left"/>
              <w:rPr/>
            </w:pPr>
            <w:r>
              <w:rPr/>
            </w:r>
          </w:p>
        </w:tc>
        <w:tc>
          <w:tcPr>
            <w:tcW w:w="1079" w:type="dxa"/>
            <w:gridSpan w:val="3"/>
            <w:vMerge w:val="continue"/>
            <w:tcBorders>
              <w:top w:val="single" w:sz="8" w:space="0" w:color="FFFFFF"/>
            </w:tcBorders>
            <w:shd w:fill="243782" w:val="clear"/>
            <w:tcMar>
              <w:top w:w="52" w:type="dxa"/>
              <w:left w:w="0" w:type="dxa"/>
              <w:bottom w:w="0" w:type="dxa"/>
              <w:right w:w="0" w:type="dxa"/>
            </w:tcMar>
            <w:vAlign w:val="center"/>
          </w:tcPr>
          <w:p>
            <w:pPr>
              <w:pStyle w:val="Normal"/>
              <w:bidi w:val="0"/>
              <w:jc w:val="left"/>
              <w:rPr/>
            </w:pPr>
            <w:r>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6"/>
            <w:vMerge w:val="continue"/>
            <w:tcBorders>
              <w:top w:val="single" w:sz="8" w:space="0" w:color="4C639D"/>
              <w:bottom w:val="single" w:sz="4" w:space="0" w:color="929292"/>
            </w:tcBorders>
            <w:shd w:fill="F2F2F2" w:val="clear"/>
            <w:tcMar>
              <w:top w:w="52" w:type="dxa"/>
              <w:left w:w="0" w:type="dxa"/>
              <w:bottom w:w="30" w:type="dxa"/>
              <w:right w:w="0" w:type="dxa"/>
            </w:tcMar>
            <w:vAlign w:val="center"/>
          </w:tcPr>
          <w:p>
            <w:pPr>
              <w:pStyle w:val="Normal"/>
              <w:bidi w:val="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op w:val="single" w:sz="8" w:space="0" w:color="4C639D"/>
            </w:tcBorders>
            <w:tcMar>
              <w:top w:w="52" w:type="dxa"/>
              <w:left w:w="0" w:type="dxa"/>
              <w:bottom w:w="0" w:type="dxa"/>
              <w:right w:w="0" w:type="dxa"/>
            </w:tcMar>
            <w:vAlign w:val="center"/>
          </w:tcPr>
          <w:p>
            <w:pPr>
              <w:pStyle w:val="Normal"/>
              <w:bidi w:val="0"/>
              <w:jc w:val="left"/>
              <w:rPr/>
            </w:pPr>
            <w:r>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Pr>
          <w:p>
            <w:pPr>
              <w:pStyle w:val="TableContents"/>
              <w:bidi w:val="0"/>
              <w:spacing w:before="0" w:after="283"/>
              <w:jc w:val="left"/>
              <w:rPr>
                <w:sz w:val="4"/>
                <w:szCs w:val="4"/>
              </w:rPr>
            </w:pPr>
            <w:r>
              <w:rPr>
                <w:sz w:val="4"/>
                <w:szCs w:val="4"/>
              </w:rPr>
            </w:r>
          </w:p>
        </w:tc>
      </w:tr>
      <w:tr>
        <w:trPr/>
        <w:tc>
          <w:tcPr>
            <w:tcW w:w="1330"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w:t>
            </w:r>
          </w:p>
        </w:tc>
        <w:tc>
          <w:tcPr>
            <w:tcW w:w="696" w:type="dxa"/>
            <w:gridSpan w:val="6"/>
            <w:tcBorders>
              <w:top w:val="single" w:sz="4" w:space="0" w:color="7D7D7D"/>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4,953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4,962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(0.2)%</w:t>
            </w:r>
          </w:p>
        </w:tc>
        <w:tc>
          <w:tcPr>
            <w:tcW w:w="376" w:type="dxa"/>
            <w:gridSpan w:val="3"/>
            <w:tcBorders>
              <w:top w:val="single" w:sz="4" w:space="0" w:color="7D7D7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w:t>
            </w:r>
          </w:p>
        </w:tc>
        <w:tc>
          <w:tcPr>
            <w:tcW w:w="595" w:type="dxa"/>
            <w:gridSpan w:val="3"/>
            <w:tcBorders>
              <w:top w:val="single" w:sz="4" w:space="0" w:color="929292"/>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7,961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7,771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w:t>
            </w:r>
          </w:p>
        </w:tc>
        <w:tc>
          <w:tcPr>
            <w:tcW w:w="452"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w:t>
            </w:r>
          </w:p>
        </w:tc>
        <w:tc>
          <w:tcPr>
            <w:tcW w:w="696" w:type="dxa"/>
            <w:gridSpan w:val="6"/>
            <w:tcBorders>
              <w:top w:val="single" w:sz="4" w:space="0" w:color="7D7D7D"/>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611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768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(20)%</w:t>
            </w:r>
          </w:p>
        </w:tc>
        <w:tc>
          <w:tcPr>
            <w:tcW w:w="376"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w:t>
            </w:r>
          </w:p>
        </w:tc>
        <w:tc>
          <w:tcPr>
            <w:tcW w:w="595" w:type="dxa"/>
            <w:gridSpan w:val="3"/>
            <w:tcBorders>
              <w:top w:val="single" w:sz="4" w:space="0" w:color="929292"/>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795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1,189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(33)%</w:t>
            </w:r>
          </w:p>
        </w:tc>
        <w:tc>
          <w:tcPr>
            <w:tcW w:w="452"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 margin</w:t>
            </w:r>
          </w:p>
        </w:tc>
        <w:tc>
          <w:tcPr>
            <w:tcW w:w="696" w:type="dxa"/>
            <w:gridSpan w:val="6"/>
            <w:tcBorders>
              <w:top w:val="single" w:sz="4" w:space="0" w:color="929292"/>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12.3%</w:t>
            </w:r>
          </w:p>
        </w:tc>
        <w:tc>
          <w:tcPr>
            <w:tcW w:w="336"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6"/>
            <w:tcBorders>
              <w:top w:val="single" w:sz="4" w:space="0" w:color="929292"/>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15.5%</w:t>
            </w:r>
          </w:p>
        </w:tc>
        <w:tc>
          <w:tcPr>
            <w:tcW w:w="336"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(320)</w:t>
            </w:r>
          </w:p>
        </w:tc>
        <w:tc>
          <w:tcPr>
            <w:tcW w:w="376"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bps</w:t>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 margin</w:t>
            </w:r>
          </w:p>
        </w:tc>
        <w:tc>
          <w:tcPr>
            <w:tcW w:w="595" w:type="dxa"/>
            <w:gridSpan w:val="3"/>
            <w:tcBorders>
              <w:top w:val="single" w:sz="4" w:space="0" w:color="929292"/>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10.0%</w:t>
            </w:r>
          </w:p>
        </w:tc>
        <w:tc>
          <w:tcPr>
            <w:tcW w:w="327"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6"/>
            <w:tcBorders>
              <w:top w:val="single" w:sz="4" w:space="0" w:color="929292"/>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15.3%</w:t>
            </w:r>
          </w:p>
        </w:tc>
        <w:tc>
          <w:tcPr>
            <w:tcW w:w="327"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(530)</w:t>
            </w:r>
          </w:p>
        </w:tc>
        <w:tc>
          <w:tcPr>
            <w:tcW w:w="452"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bps</w:t>
            </w:r>
          </w:p>
        </w:tc>
      </w:tr>
    </w:tbl>
    <w:tbl>
      <w:tblPr>
        <w:tblW w:w="7587" w:type="dxa"/>
        <w:jc w:val="left"/>
        <w:tblInd w:w="0" w:type="dxa"/>
        <w:tblLayout w:type="fixed"/>
        <w:tblCellMar>
          <w:top w:w="28" w:type="dxa"/>
          <w:left w:w="28" w:type="dxa"/>
          <w:bottom w:w="28" w:type="dxa"/>
          <w:right w:w="28" w:type="dxa"/>
        </w:tblCellMar>
      </w:tblPr>
      <w:tblGrid>
        <w:gridCol w:w="1396"/>
        <w:gridCol w:w="814"/>
        <w:gridCol w:w="814"/>
        <w:gridCol w:w="817"/>
        <w:gridCol w:w="150"/>
        <w:gridCol w:w="150"/>
        <w:gridCol w:w="150"/>
        <w:gridCol w:w="150"/>
        <w:gridCol w:w="150"/>
        <w:gridCol w:w="150"/>
        <w:gridCol w:w="109"/>
        <w:gridCol w:w="109"/>
        <w:gridCol w:w="109"/>
        <w:gridCol w:w="150"/>
        <w:gridCol w:w="150"/>
        <w:gridCol w:w="150"/>
        <w:gridCol w:w="150"/>
        <w:gridCol w:w="150"/>
        <w:gridCol w:w="150"/>
        <w:gridCol w:w="150"/>
        <w:gridCol w:w="150"/>
        <w:gridCol w:w="150"/>
        <w:gridCol w:w="140"/>
        <w:gridCol w:w="140"/>
        <w:gridCol w:w="141"/>
        <w:gridCol w:w="125"/>
        <w:gridCol w:w="125"/>
        <w:gridCol w:w="126"/>
        <w:gridCol w:w="109"/>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283"/>
              <w:jc w:val="left"/>
              <w:rPr>
                <w:sz w:val="4"/>
                <w:szCs w:val="4"/>
              </w:rPr>
            </w:pPr>
            <w:r>
              <w:rPr>
                <w:sz w:val="4"/>
                <w:szCs w:val="4"/>
              </w:rPr>
            </w:r>
          </w:p>
        </w:tc>
        <w:tc>
          <w:tcPr>
            <w:tcW w:w="5022"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22"/>
              </w:rPr>
            </w:pPr>
            <w:r>
              <w:rPr>
                <w:rFonts w:ascii="Encode Sans;sans-serif" w:hAnsi="Encode Sans;sans-serif"/>
                <w:b w:val="false"/>
                <w:color w:val="243782"/>
                <w:sz w:val="22"/>
              </w:rPr>
              <w:t>ASIA PACIFIC</w:t>
            </w:r>
          </w:p>
        </w:tc>
        <w:tc>
          <w:tcPr>
            <w:tcW w:w="797" w:type="dxa"/>
            <w:gridSpan w:val="6"/>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Encode Sans;sans-serif" w:hAnsi="Encode Sans;sans-serif"/>
                <w:b w:val="false"/>
                <w:color w:val="000000"/>
                <w:sz w:val="12"/>
              </w:rPr>
              <w:t xml:space="preserve">million, except as otherwise stated </w:t>
            </w:r>
          </w:p>
        </w:tc>
        <w:tc>
          <w:tcPr>
            <w:tcW w:w="900" w:type="dxa"/>
            <w:gridSpan w:val="6"/>
            <w:tcBorders>
              <w:top w:val="single" w:sz="8" w:space="0" w:color="4C639D"/>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FFFFFF"/>
                <w:sz w:val="16"/>
              </w:rPr>
            </w:pPr>
            <w:r>
              <w:rPr>
                <w:rFonts w:ascii="Encode Sans;sans-serif" w:hAnsi="Encode Sans;sans-serif"/>
                <w:b w:val="false"/>
                <w:i/>
                <w:color w:val="FFFFFF"/>
                <w:sz w:val="16"/>
              </w:rPr>
              <w:t>YTD 2026</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6"/>
            <w:tcBorders>
              <w:top w:val="single" w:sz="8" w:space="0" w:color="4C639D"/>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YTD 2025</w:t>
            </w:r>
          </w:p>
        </w:tc>
        <w:tc>
          <w:tcPr>
            <w:tcW w:w="450"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i/>
                <w:color w:val="243782"/>
                <w:sz w:val="16"/>
              </w:rPr>
            </w:pPr>
            <w:r>
              <w:rPr>
                <w:rFonts w:ascii="Encode Sans;sans-serif" w:hAnsi="Encode Sans;sans-serif"/>
                <w:b w:val="false"/>
                <w:i/>
                <w:color w:val="243782"/>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tcBorders>
              <w:top w:val="single" w:sz="4" w:space="0" w:color="7D7D7D"/>
            </w:tcBorders>
            <w:tcMar>
              <w:top w:w="52" w:type="dxa"/>
              <w:left w:w="0" w:type="dxa"/>
              <w:bottom w:w="0" w:type="dxa"/>
              <w:right w:w="0" w:type="dxa"/>
            </w:tcMar>
            <w:vAlign w:val="center"/>
          </w:tcPr>
          <w:p>
            <w:pPr>
              <w:pStyle w:val="TableContents"/>
              <w:bidi w:val="0"/>
              <w:spacing w:lineRule="auto" w:line="288" w:before="0" w:after="0"/>
              <w:jc w:val="left"/>
              <w:rPr>
                <w:rFonts w:ascii="Encode Sans;sans-serif" w:hAnsi="Encode Sans;sans-serif"/>
                <w:b w:val="false"/>
                <w:color w:val="000000"/>
                <w:sz w:val="14"/>
              </w:rPr>
            </w:pPr>
            <w:r>
              <w:rPr>
                <w:rFonts w:ascii="Encode Sans;sans-serif" w:hAnsi="Encode Sans;sans-serif"/>
                <w:b w:val="false"/>
                <w:color w:val="000000"/>
                <w:sz w:val="14"/>
              </w:rPr>
              <w:t>Shipments (000s)</w:t>
            </w:r>
          </w:p>
        </w:tc>
        <w:tc>
          <w:tcPr>
            <w:tcW w:w="2895" w:type="dxa"/>
            <w:gridSpan w:val="6"/>
            <w:tcBorders>
              <w:top w:val="single" w:sz="8" w:space="0" w:color="4C639D"/>
              <w:bottom w:val="single" w:sz="4" w:space="0" w:color="7D7D7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31</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6"/>
            <w:tcBorders>
              <w:top w:val="single" w:sz="8" w:space="0" w:color="4C639D"/>
              <w:bottom w:val="single" w:sz="4" w:space="0" w:color="7D7D7D"/>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29</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+2</w:t>
            </w:r>
          </w:p>
        </w:tc>
        <w:tc>
          <w:tcPr>
            <w:tcW w:w="421"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396" w:type="dxa"/>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w:t>
            </w:r>
          </w:p>
        </w:tc>
        <w:tc>
          <w:tcPr>
            <w:tcW w:w="2895" w:type="dxa"/>
            <w:gridSpan w:val="6"/>
            <w:tcBorders>
              <w:top w:val="single" w:sz="4" w:space="0" w:color="7D7D7D"/>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934</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6"/>
            <w:tcBorders>
              <w:top w:val="single" w:sz="4" w:space="0" w:color="7D7D7D"/>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1,010</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(8)%</w:t>
            </w:r>
          </w:p>
        </w:tc>
        <w:tc>
          <w:tcPr>
            <w:tcW w:w="421" w:type="dxa"/>
            <w:gridSpan w:val="3"/>
            <w:tcBorders>
              <w:top w:val="single" w:sz="4" w:space="0" w:color="7D7D7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929292"/>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w:t>
            </w:r>
          </w:p>
        </w:tc>
        <w:tc>
          <w:tcPr>
            <w:tcW w:w="900" w:type="dxa"/>
            <w:gridSpan w:val="6"/>
            <w:tcBorders>
              <w:top w:val="single" w:sz="4" w:space="0" w:color="929292"/>
              <w:bottom w:val="single" w:sz="4" w:space="0" w:color="929292"/>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6"/>
            <w:tcBorders>
              <w:top w:val="single" w:sz="4" w:space="0" w:color="929292"/>
              <w:bottom w:val="single" w:sz="4" w:space="0" w:color="929292"/>
            </w:tcBorders>
            <w:shd w:fill="F2F2F2" w:val="clear"/>
            <w:tcMar>
              <w:top w:w="52"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7D7D7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n.m.</w:t>
            </w:r>
          </w:p>
        </w:tc>
        <w:tc>
          <w:tcPr>
            <w:tcW w:w="376" w:type="dxa"/>
            <w:gridSpan w:val="3"/>
            <w:tcBorders>
              <w:top w:val="single" w:sz="4" w:space="0" w:color="7D7D7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AOI margin</w:t>
            </w:r>
          </w:p>
        </w:tc>
        <w:tc>
          <w:tcPr>
            <w:tcW w:w="900" w:type="dxa"/>
            <w:gridSpan w:val="6"/>
            <w:tcBorders>
              <w:top w:val="single" w:sz="4" w:space="0" w:color="929292"/>
              <w:bottom w:val="single" w:sz="8" w:space="0" w:color="4C639D"/>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FFFFFF"/>
                <w:sz w:val="14"/>
              </w:rPr>
            </w:pPr>
            <w:r>
              <w:rPr>
                <w:rFonts w:ascii="Encode Sans;sans-serif" w:hAnsi="Encode Sans;sans-serif"/>
                <w:b w:val="false"/>
                <w:color w:val="FFFFFF"/>
                <w:sz w:val="14"/>
              </w:rPr>
              <w:t>(0.3)%</w:t>
            </w:r>
          </w:p>
        </w:tc>
        <w:tc>
          <w:tcPr>
            <w:tcW w:w="327"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6"/>
            <w:tcBorders>
              <w:top w:val="single" w:sz="4" w:space="0" w:color="929292"/>
              <w:bottom w:val="single" w:sz="8" w:space="0" w:color="4C639D"/>
            </w:tcBorders>
            <w:shd w:fill="F2F2F2" w:val="clear"/>
            <w:tcMar>
              <w:top w:w="52"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r>
              <w:rPr>
                <w:rFonts w:ascii="Encode Sans;sans-serif" w:hAnsi="Encode Sans;sans-serif"/>
                <w:b w:val="false"/>
                <w:color w:val="000000"/>
                <w:sz w:val="14"/>
              </w:rPr>
              <w:t>%</w:t>
            </w:r>
          </w:p>
        </w:tc>
        <w:tc>
          <w:tcPr>
            <w:tcW w:w="450" w:type="dxa"/>
            <w:gridSpan w:val="3"/>
            <w:tcBorders>
              <w:bottom w:val="single" w:sz="8" w:space="0" w:color="4C639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000000"/>
                <w:sz w:val="14"/>
              </w:rPr>
            </w:pPr>
            <w:r>
              <w:rPr>
                <w:rFonts w:ascii="Encode Sans;sans-serif" w:hAnsi="Encode Sans;sans-serif"/>
                <w:b w:val="false"/>
                <w:color w:val="000000"/>
                <w:sz w:val="14"/>
              </w:rPr>
              <w:t>(30)</w:t>
            </w:r>
          </w:p>
        </w:tc>
        <w:tc>
          <w:tcPr>
            <w:tcW w:w="376" w:type="dxa"/>
            <w:gridSpan w:val="3"/>
            <w:tcBorders>
              <w:top w:val="single" w:sz="4" w:space="0" w:color="929292"/>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bps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Encode Sans;sans-serif" w:hAnsi="Encode Sans;sans-serif"/>
          <w:b w:val="false"/>
          <w:color w:val="000000"/>
          <w:sz w:val="10"/>
        </w:rPr>
      </w:pPr>
      <w:r>
        <w:rPr>
          <w:rFonts w:ascii="Encode Sans;sans-serif" w:hAnsi="Encode Sans;sans-serif"/>
          <w:b w:val="false"/>
          <w:color w:val="000000"/>
          <w:sz w:val="10"/>
        </w:rPr>
        <w:t>n.m. = not meaningful</w:t>
      </w:r>
    </w:p>
    <w:p>
      <w:pPr>
        <w:pStyle w:val="TextBody"/>
        <w:bidi w:val="0"/>
        <w:spacing w:before="100" w:after="283"/>
        <w:jc w:val="left"/>
        <w:rPr/>
      </w:pPr>
      <w:r>
        <w:rPr/>
      </w:r>
    </w:p>
    <w:p>
      <w:pPr>
        <w:pStyle w:val="TextBody"/>
        <w:bidi w:val="0"/>
        <w:spacing w:lineRule="auto" w:line="288" w:before="100" w:after="60"/>
        <w:jc w:val="both"/>
        <w:rPr>
          <w:rFonts w:ascii="Encode Sans;sans-serif" w:hAnsi="Encode Sans;sans-serif"/>
          <w:b w:val="false"/>
          <w:color w:val="000000"/>
          <w:sz w:val="14"/>
        </w:rPr>
      </w:pPr>
      <w:r>
        <w:rPr>
          <w:rFonts w:ascii="Encode Sans;sans-serif" w:hAnsi="Encode Sans;sans-serif"/>
          <w:b w:val="false"/>
          <w:color w:val="000000"/>
          <w:sz w:val="14"/>
        </w:rPr>
        <w:t>(*) Effective January 2026, the Company’s segment structure was updated to align with how the Chief Operating Decision Maker (“CODM”) reviews performance and allocates resources. Under the revised structure, the CODM reviews the business through the following operating and reportable segments: North America; Enlarged Europe; Middle East &amp; Africa; South America; and Asia Pacific. Refer to Note 8 for additional information.</w:t>
      </w:r>
    </w:p>
    <w:p>
      <w:pPr>
        <w:pStyle w:val="TextBody"/>
        <w:bidi w:val="0"/>
        <w:spacing w:before="10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428875" cy="6858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4790"/>
                <wp:effectExtent l="0" t="0" r="0" b="0"/>
                <wp:wrapNone/>
                <wp:docPr id="14" name="Frame8"/>
                <a:graphic xmlns:a="http://schemas.openxmlformats.org/drawingml/2006/main">
                  <a:graphicData uri="http://schemas.microsoft.com/office/word/2010/wordprocessingShape">
                    <wps:wsp>
                      <wps:cNvSpPr txBox="1"/>
                      <wps:spPr>
                        <a:xfrm>
                          <a:off x="0" y="0"/>
                          <a:ext cx="6480175" cy="224790"/>
                        </a:xfrm>
                        <a:prstGeom prst="rect"/>
                        <a:solidFill>
                          <a:srgbClr val="FFFFFF"/>
                        </a:solidFill>
                      </wps:spPr>
                      <wps:txb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4</w:t>
                      </w:r>
                    </w:p>
                  </w:txbxContent>
                </v:textbox>
                <w10:wrap type="none"/>
              </v:rect>
            </w:pict>
          </mc:Fallback>
        </mc:AlternateContent>
      </w:r>
    </w:p>
    <w:p>
      <w:pPr>
        <w:pStyle w:val="TextBody"/>
        <w:bidi w:val="0"/>
        <w:spacing w:lineRule="auto" w:line="288" w:before="0" w:after="120"/>
        <w:jc w:val="left"/>
        <w:rPr>
          <w:rFonts w:ascii="Encode Sans;sans-serif" w:hAnsi="Encode Sans;sans-serif"/>
          <w:b w:val="false"/>
          <w:color w:val="243782"/>
          <w:sz w:val="28"/>
        </w:rPr>
      </w:pPr>
      <w:r>
        <w:rPr>
          <w:rFonts w:ascii="Encode Sans;sans-serif" w:hAnsi="Encode Sans;sans-serif"/>
          <w:b w:val="false"/>
          <w:color w:val="243782"/>
          <w:sz w:val="28"/>
        </w:rPr>
        <w:t xml:space="preserve">Reconciliations </w:t>
      </w:r>
    </w:p>
    <w:p>
      <w:pPr>
        <w:pStyle w:val="TextBody"/>
        <w:bidi w:val="0"/>
        <w:spacing w:lineRule="auto" w:line="288" w:before="0" w:after="120"/>
        <w:jc w:val="left"/>
        <w:rPr/>
      </w:pPr>
      <w:r>
        <w:rPr>
          <w:rFonts w:ascii="Encode Sans;sans-serif" w:hAnsi="Encode Sans;sans-serif"/>
          <w:b w:val="false"/>
          <w:color w:val="243782"/>
          <w:sz w:val="19"/>
        </w:rPr>
        <w:t xml:space="preserve">Net revenues from external customers to Net revenues and </w:t>
      </w:r>
      <w:r>
        <w:rPr>
          <w:rFonts w:ascii="Encode Sans;sans-serif" w:hAnsi="Encode Sans;sans-serif"/>
          <w:b w:val="false"/>
          <w:color w:val="243782"/>
          <w:sz w:val="20"/>
        </w:rPr>
        <w:t>Net profit to Adjusted operating income</w:t>
      </w:r>
    </w:p>
    <w:tbl>
      <w:tblPr>
        <w:tblW w:w="10205" w:type="dxa"/>
        <w:jc w:val="left"/>
        <w:tblInd w:w="0" w:type="dxa"/>
        <w:tblLayout w:type="fixed"/>
        <w:tblCellMar>
          <w:top w:w="28" w:type="dxa"/>
          <w:left w:w="28" w:type="dxa"/>
          <w:bottom w:w="28" w:type="dxa"/>
          <w:right w:w="28" w:type="dxa"/>
        </w:tblCellMar>
      </w:tblPr>
      <w:tblGrid>
        <w:gridCol w:w="297"/>
        <w:gridCol w:w="260"/>
        <w:gridCol w:w="263"/>
        <w:gridCol w:w="286"/>
        <w:gridCol w:w="286"/>
        <w:gridCol w:w="287"/>
        <w:gridCol w:w="109"/>
        <w:gridCol w:w="109"/>
        <w:gridCol w:w="109"/>
        <w:gridCol w:w="398"/>
        <w:gridCol w:w="273"/>
        <w:gridCol w:w="274"/>
        <w:gridCol w:w="109"/>
        <w:gridCol w:w="109"/>
        <w:gridCol w:w="109"/>
        <w:gridCol w:w="363"/>
        <w:gridCol w:w="314"/>
        <w:gridCol w:w="315"/>
        <w:gridCol w:w="109"/>
        <w:gridCol w:w="109"/>
        <w:gridCol w:w="109"/>
        <w:gridCol w:w="309"/>
        <w:gridCol w:w="289"/>
        <w:gridCol w:w="290"/>
        <w:gridCol w:w="109"/>
        <w:gridCol w:w="109"/>
        <w:gridCol w:w="109"/>
        <w:gridCol w:w="312"/>
        <w:gridCol w:w="273"/>
        <w:gridCol w:w="274"/>
        <w:gridCol w:w="109"/>
        <w:gridCol w:w="109"/>
        <w:gridCol w:w="109"/>
        <w:gridCol w:w="230"/>
        <w:gridCol w:w="215"/>
        <w:gridCol w:w="216"/>
        <w:gridCol w:w="109"/>
        <w:gridCol w:w="109"/>
        <w:gridCol w:w="109"/>
        <w:gridCol w:w="285"/>
        <w:gridCol w:w="286"/>
        <w:gridCol w:w="212"/>
        <w:gridCol w:w="109"/>
        <w:gridCol w:w="109"/>
        <w:gridCol w:w="109"/>
        <w:gridCol w:w="330"/>
        <w:gridCol w:w="331"/>
        <w:gridCol w:w="448"/>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tcPr>
          <w:p>
            <w:pPr>
              <w:pStyle w:val="TableContents"/>
              <w:bidi w:val="0"/>
              <w:spacing w:before="0" w:after="283"/>
              <w:jc w:val="left"/>
              <w:rPr>
                <w:sz w:val="4"/>
                <w:szCs w:val="4"/>
              </w:rPr>
            </w:pPr>
            <w:r>
              <w:rPr>
                <w:sz w:val="4"/>
                <w:szCs w:val="4"/>
              </w:rPr>
            </w:r>
          </w:p>
        </w:tc>
      </w:tr>
      <w:tr>
        <w:trPr/>
        <w:tc>
          <w:tcPr>
            <w:tcW w:w="820" w:type="dxa"/>
            <w:gridSpan w:val="3"/>
            <w:tcBorders>
              <w:top w:val="single" w:sz="8" w:space="0" w:color="4C639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243782"/>
                <w:sz w:val="24"/>
              </w:rPr>
            </w:pPr>
            <w:r>
              <w:rPr>
                <w:rFonts w:ascii="Encode Sans;sans-serif" w:hAnsi="Encode Sans;sans-serif"/>
                <w:b w:val="false"/>
                <w:color w:val="243782"/>
                <w:sz w:val="24"/>
              </w:rPr>
              <w:t>Q2 2026</w:t>
            </w:r>
          </w:p>
        </w:tc>
        <w:tc>
          <w:tcPr>
            <w:tcW w:w="859" w:type="dxa"/>
            <w:gridSpan w:val="3"/>
            <w:tcBorders>
              <w:top w:val="single" w:sz="8" w:space="0" w:color="4C639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243782"/>
                <w:sz w:val="14"/>
              </w:rPr>
            </w:pPr>
            <w:r>
              <w:rPr>
                <w:rFonts w:ascii="Encode Sans;sans-serif" w:hAnsi="Encode Sans;sans-serif"/>
                <w:b w:val="false"/>
                <w:color w:val="243782"/>
                <w:sz w:val="14"/>
              </w:rPr>
              <w:t>(€ million)</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NORTH AMERICA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ENLARGED EUROPE</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MIDDLE EAST &amp; AFRICA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SOUTH AMERICA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2"/>
              </w:rPr>
            </w:pPr>
            <w:r>
              <w:rPr>
                <w:rFonts w:ascii="Encode Sans;sans-serif" w:hAnsi="Encode Sans;sans-serif"/>
                <w:b/>
                <w:color w:val="243782"/>
                <w:sz w:val="12"/>
              </w:rPr>
              <w:t>ASIA PACIFIC</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center"/>
              <w:rPr/>
            </w:pPr>
            <w:r>
              <w:rPr>
                <w:rFonts w:ascii="Encode Sans;sans-serif" w:hAnsi="Encode Sans;sans-serif"/>
                <w:b/>
                <w:color w:val="243782"/>
                <w:sz w:val="13"/>
              </w:rPr>
              <w:t>OTHER</w:t>
            </w:r>
            <w:r>
              <w:rPr>
                <w:rFonts w:ascii="Encode Sans;sans-serif" w:hAnsi="Encode Sans;sans-serif"/>
                <w:b/>
                <w:color w:val="243782"/>
                <w:sz w:val="8"/>
              </w:rPr>
              <w:t>(*)</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4C639D"/>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3"/>
              </w:rPr>
            </w:pPr>
            <w:r>
              <w:rPr>
                <w:rFonts w:ascii="Encode Sans;sans-serif" w:hAnsi="Encode Sans;sans-serif"/>
                <w:b/>
                <w:color w:val="FFFFFF"/>
                <w:sz w:val="13"/>
              </w:rPr>
              <w:t>STELLANTIS</w:t>
            </w:r>
          </w:p>
        </w:tc>
      </w:tr>
      <w:tr>
        <w:trPr/>
        <w:tc>
          <w:tcPr>
            <w:tcW w:w="1679" w:type="dxa"/>
            <w:gridSpan w:val="6"/>
            <w:tcBorders>
              <w:bottom w:val="single" w:sz="8" w:space="0" w:color="DBDBDB"/>
            </w:tcBorders>
            <w:tcMar>
              <w:top w:w="0"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 from external customers</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18,193 </w:t>
            </w:r>
          </w:p>
        </w:tc>
        <w:tc>
          <w:tcPr>
            <w:tcW w:w="274"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16,423 </w:t>
            </w:r>
          </w:p>
        </w:tc>
        <w:tc>
          <w:tcPr>
            <w:tcW w:w="315"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2,566 </w:t>
            </w:r>
          </w:p>
        </w:tc>
        <w:tc>
          <w:tcPr>
            <w:tcW w:w="290"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4,294 </w:t>
            </w:r>
          </w:p>
        </w:tc>
        <w:tc>
          <w:tcPr>
            <w:tcW w:w="274"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499 </w:t>
            </w:r>
          </w:p>
        </w:tc>
        <w:tc>
          <w:tcPr>
            <w:tcW w:w="216"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1,507 </w:t>
            </w:r>
          </w:p>
        </w:tc>
        <w:tc>
          <w:tcPr>
            <w:tcW w:w="212"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4C639D"/>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43,482</w:t>
            </w:r>
            <w:r>
              <w:rPr>
                <w:color w:val="FFFFFF"/>
              </w:rPr>
              <w:t> </w:t>
            </w:r>
          </w:p>
        </w:tc>
        <w:tc>
          <w:tcPr>
            <w:tcW w:w="448" w:type="dxa"/>
            <w:tcBorders>
              <w:top w:val="single" w:sz="8" w:space="0" w:color="4C639D"/>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 from transactions with other segments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3 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(1)</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44 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(46)</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Net revenues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18,193</w:t>
            </w:r>
            <w:r>
              <w:rPr>
                <w:color w:val="FFFFFF"/>
              </w:rPr>
              <w:t> </w:t>
            </w:r>
          </w:p>
        </w:tc>
        <w:tc>
          <w:tcPr>
            <w:tcW w:w="274"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16,426</w:t>
            </w:r>
            <w:r>
              <w:rPr>
                <w:color w:val="FFFFFF"/>
              </w:rPr>
              <w:t> </w:t>
            </w:r>
          </w:p>
        </w:tc>
        <w:tc>
          <w:tcPr>
            <w:tcW w:w="315"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2,565</w:t>
            </w:r>
            <w:r>
              <w:rPr>
                <w:color w:val="FFFFFF"/>
              </w:rPr>
              <w:t> </w:t>
            </w:r>
          </w:p>
        </w:tc>
        <w:tc>
          <w:tcPr>
            <w:tcW w:w="290"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4,338</w:t>
            </w:r>
            <w:r>
              <w:rPr>
                <w:color w:val="FFFFFF"/>
              </w:rPr>
              <w:t> </w:t>
            </w:r>
          </w:p>
        </w:tc>
        <w:tc>
          <w:tcPr>
            <w:tcW w:w="274"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499</w:t>
            </w:r>
            <w:r>
              <w:rPr>
                <w:color w:val="FFFFFF"/>
              </w:rPr>
              <w:t> </w:t>
            </w:r>
          </w:p>
        </w:tc>
        <w:tc>
          <w:tcPr>
            <w:tcW w:w="216"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1,461</w:t>
            </w:r>
            <w:r>
              <w:rPr>
                <w:color w:val="FFFFFF"/>
              </w:rPr>
              <w:t> </w:t>
            </w:r>
          </w:p>
        </w:tc>
        <w:tc>
          <w:tcPr>
            <w:tcW w:w="212"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43,482</w:t>
            </w:r>
            <w:r>
              <w:rPr>
                <w:color w:val="FFFFFF"/>
              </w:rPr>
              <w:t> </w:t>
            </w:r>
          </w:p>
        </w:tc>
        <w:tc>
          <w:tcPr>
            <w:tcW w:w="448"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Net profit/(loss)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293</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Tax expense/(benefit)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207</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financial expenses/(income)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202</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Operating income/(loss)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702</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Adjustments: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DBDBDB"/>
            </w:tcBorders>
            <w:shd w:fill="4C639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Restructuring and other costs, net of reversals</w:t>
            </w:r>
            <w:r>
              <w:rPr>
                <w:rFonts w:ascii="Encode Sans;sans-serif" w:hAnsi="Encode Sans;sans-serif"/>
                <w:b w:val="false"/>
                <w:color w:val="000000"/>
                <w:sz w:val="9"/>
              </w:rPr>
              <w:t>(A)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(14)</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358</w:t>
            </w: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37</w:t>
            </w: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w:t>
            </w: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w:t>
            </w: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384</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Takata airbags recall campaign</w:t>
            </w:r>
            <w:r>
              <w:rPr>
                <w:rFonts w:ascii="Encode Sans;sans-serif" w:hAnsi="Encode Sans;sans-serif"/>
                <w:b w:val="false"/>
                <w:color w:val="000000"/>
                <w:sz w:val="9"/>
              </w:rPr>
              <w:t>(B)</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51</w:t>
            </w: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w:t>
            </w: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52</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Costs related to product plan realignments and program cancellations</w:t>
            </w:r>
            <w:r>
              <w:rPr>
                <w:rFonts w:ascii="Encode Sans;sans-serif" w:hAnsi="Encode Sans;sans-serif"/>
                <w:b w:val="false"/>
                <w:color w:val="000000"/>
                <w:sz w:val="9"/>
              </w:rPr>
              <w:t>(C)</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40</w:t>
            </w: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40</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U.S. Greenhouse gas ("GHG") regulation change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Renegotiated regulatory purchase commitments of credits</w:t>
            </w:r>
            <w:r>
              <w:rPr>
                <w:rFonts w:ascii="Encode Sans;sans-serif" w:hAnsi="Encode Sans;sans-serif"/>
                <w:b w:val="false"/>
                <w:color w:val="000000"/>
                <w:sz w:val="9"/>
              </w:rPr>
              <w:t>(D)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(317)</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(317)</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(Gains)/losses on disposal of investments</w:t>
            </w:r>
            <w:r>
              <w:rPr>
                <w:rFonts w:ascii="Encode Sans;sans-serif" w:hAnsi="Encode Sans;sans-serif"/>
                <w:b w:val="false"/>
                <w:color w:val="000000"/>
                <w:sz w:val="9"/>
              </w:rPr>
              <w:t>(E)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(2)</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(69)</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(71)</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Other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(9)</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(4)</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w:t>
            </w: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(4)</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(2)</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(17)</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Total adjustments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(300)</w:t>
            </w:r>
          </w:p>
        </w:tc>
        <w:tc>
          <w:tcPr>
            <w:tcW w:w="274"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405</w:t>
            </w:r>
            <w:r>
              <w:rPr>
                <w:color w:val="4C639D"/>
              </w:rPr>
              <w:t> </w:t>
            </w:r>
          </w:p>
        </w:tc>
        <w:tc>
          <w:tcPr>
            <w:tcW w:w="315"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w:t>
            </w:r>
            <w:r>
              <w:rPr>
                <w:color w:val="4C639D"/>
              </w:rPr>
              <w:t> </w:t>
            </w:r>
          </w:p>
        </w:tc>
        <w:tc>
          <w:tcPr>
            <w:tcW w:w="290"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36</w:t>
            </w:r>
            <w:r>
              <w:rPr>
                <w:color w:val="4C639D"/>
              </w:rPr>
              <w:t> </w:t>
            </w:r>
          </w:p>
        </w:tc>
        <w:tc>
          <w:tcPr>
            <w:tcW w:w="274"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(3)</w:t>
            </w:r>
          </w:p>
        </w:tc>
        <w:tc>
          <w:tcPr>
            <w:tcW w:w="216"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(69)</w:t>
            </w:r>
          </w:p>
        </w:tc>
        <w:tc>
          <w:tcPr>
            <w:tcW w:w="212"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71</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color w:val="4C639D"/>
                <w:sz w:val="14"/>
              </w:rPr>
              <w:t>Adjusted operating income</w:t>
            </w:r>
            <w:r>
              <w:rPr>
                <w:rFonts w:ascii="Encode Sans;sans-serif" w:hAnsi="Encode Sans;sans-serif"/>
                <w:b/>
                <w:color w:val="4C639D"/>
                <w:sz w:val="9"/>
              </w:rPr>
              <w:t>(1)</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284</w:t>
            </w:r>
            <w:r>
              <w:rPr>
                <w:color w:val="FFFFFF"/>
              </w:rPr>
              <w:t> </w:t>
            </w:r>
          </w:p>
        </w:tc>
        <w:tc>
          <w:tcPr>
            <w:tcW w:w="274"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(94)</w:t>
            </w:r>
          </w:p>
        </w:tc>
        <w:tc>
          <w:tcPr>
            <w:tcW w:w="315"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329</w:t>
            </w:r>
            <w:r>
              <w:rPr>
                <w:color w:val="FFFFFF"/>
              </w:rPr>
              <w:t> </w:t>
            </w:r>
          </w:p>
        </w:tc>
        <w:tc>
          <w:tcPr>
            <w:tcW w:w="290"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402</w:t>
            </w:r>
            <w:r>
              <w:rPr>
                <w:color w:val="FFFFFF"/>
              </w:rPr>
              <w:t> </w:t>
            </w:r>
          </w:p>
        </w:tc>
        <w:tc>
          <w:tcPr>
            <w:tcW w:w="274"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27</w:t>
            </w:r>
            <w:r>
              <w:rPr>
                <w:color w:val="FFFFFF"/>
              </w:rPr>
              <w:t> </w:t>
            </w:r>
          </w:p>
        </w:tc>
        <w:tc>
          <w:tcPr>
            <w:tcW w:w="216"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(175)</w:t>
            </w:r>
          </w:p>
        </w:tc>
        <w:tc>
          <w:tcPr>
            <w:tcW w:w="212"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773</w:t>
            </w:r>
            <w:r>
              <w:rPr>
                <w:color w:val="FFFFFF"/>
              </w:rPr>
              <w:t> </w:t>
            </w:r>
          </w:p>
        </w:tc>
        <w:tc>
          <w:tcPr>
            <w:tcW w:w="448"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Encode Sans;sans-serif" w:hAnsi="Encode Sans;sans-serif"/>
          <w:b w:val="false"/>
          <w:color w:val="000000"/>
          <w:sz w:val="10"/>
        </w:rPr>
      </w:pPr>
      <w:r>
        <w:rPr>
          <w:rFonts w:ascii="Encode Sans;sans-serif" w:hAnsi="Encode Sans;sans-serif"/>
          <w:b w:val="false"/>
          <w:color w:val="000000"/>
          <w:sz w:val="10"/>
        </w:rPr>
        <w:t>________________________________________________________________________________________________________________________________________________________________________________________</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 Other activities, unallocated items and eliminations</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(A) Primarily related to workforce reductions, mainly in Enlarged Europe</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(B) Related to stop-drive campaign on certain vehicles mainly in Enlarged Europe</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(C) Primarily related to costs incurred as result of product plan realignments and program cancellations in North America</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(D) Includes a net gain of €317 million within Cost of revenues related to renegotiated contractual commitments for the purchase of regulatory compliance credits</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(E) Comprised primarily of gains recognized as a result of the loss of significant influence over Archer Aviation inc. ("Archer")and the resulting termination of the equity method, and a dilution gain related to the investment in Comau Group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drawing>
          <wp:inline distT="0" distB="0" distL="0" distR="0">
            <wp:extent cx="2428875" cy="6858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4790"/>
                <wp:effectExtent l="0" t="0" r="0" b="0"/>
                <wp:wrapNone/>
                <wp:docPr id="16" name="Frame9"/>
                <a:graphic xmlns:a="http://schemas.openxmlformats.org/drawingml/2006/main">
                  <a:graphicData uri="http://schemas.microsoft.com/office/word/2010/wordprocessingShape">
                    <wps:wsp>
                      <wps:cNvSpPr txBox="1"/>
                      <wps:spPr>
                        <a:xfrm>
                          <a:off x="0" y="0"/>
                          <a:ext cx="6480175" cy="224790"/>
                        </a:xfrm>
                        <a:prstGeom prst="rect"/>
                        <a:solidFill>
                          <a:srgbClr val="FFFFFF"/>
                        </a:solidFill>
                      </wps:spPr>
                      <wps:txb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2"/>
        <w:gridCol w:w="256"/>
        <w:gridCol w:w="258"/>
        <w:gridCol w:w="281"/>
        <w:gridCol w:w="281"/>
        <w:gridCol w:w="282"/>
        <w:gridCol w:w="109"/>
        <w:gridCol w:w="109"/>
        <w:gridCol w:w="109"/>
        <w:gridCol w:w="399"/>
        <w:gridCol w:w="276"/>
        <w:gridCol w:w="277"/>
        <w:gridCol w:w="109"/>
        <w:gridCol w:w="109"/>
        <w:gridCol w:w="109"/>
        <w:gridCol w:w="365"/>
        <w:gridCol w:w="317"/>
        <w:gridCol w:w="318"/>
        <w:gridCol w:w="109"/>
        <w:gridCol w:w="109"/>
        <w:gridCol w:w="109"/>
        <w:gridCol w:w="314"/>
        <w:gridCol w:w="294"/>
        <w:gridCol w:w="295"/>
        <w:gridCol w:w="109"/>
        <w:gridCol w:w="109"/>
        <w:gridCol w:w="109"/>
        <w:gridCol w:w="314"/>
        <w:gridCol w:w="275"/>
        <w:gridCol w:w="276"/>
        <w:gridCol w:w="109"/>
        <w:gridCol w:w="109"/>
        <w:gridCol w:w="109"/>
        <w:gridCol w:w="231"/>
        <w:gridCol w:w="216"/>
        <w:gridCol w:w="217"/>
        <w:gridCol w:w="109"/>
        <w:gridCol w:w="109"/>
        <w:gridCol w:w="109"/>
        <w:gridCol w:w="278"/>
        <w:gridCol w:w="278"/>
        <w:gridCol w:w="213"/>
        <w:gridCol w:w="109"/>
        <w:gridCol w:w="109"/>
        <w:gridCol w:w="109"/>
        <w:gridCol w:w="330"/>
        <w:gridCol w:w="331"/>
        <w:gridCol w:w="452"/>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tcPr>
          <w:p>
            <w:pPr>
              <w:pStyle w:val="TableContents"/>
              <w:bidi w:val="0"/>
              <w:spacing w:before="0" w:after="283"/>
              <w:jc w:val="left"/>
              <w:rPr>
                <w:sz w:val="4"/>
                <w:szCs w:val="4"/>
              </w:rPr>
            </w:pPr>
            <w:r>
              <w:rPr>
                <w:sz w:val="4"/>
                <w:szCs w:val="4"/>
              </w:rPr>
            </w:r>
          </w:p>
        </w:tc>
      </w:tr>
      <w:tr>
        <w:trPr/>
        <w:tc>
          <w:tcPr>
            <w:tcW w:w="806" w:type="dxa"/>
            <w:gridSpan w:val="3"/>
            <w:tcBorders>
              <w:top w:val="single" w:sz="8" w:space="0" w:color="4C639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243782"/>
                <w:sz w:val="24"/>
              </w:rPr>
            </w:pPr>
            <w:r>
              <w:rPr>
                <w:rFonts w:ascii="Encode Sans;sans-serif" w:hAnsi="Encode Sans;sans-serif"/>
                <w:b w:val="false"/>
                <w:color w:val="243782"/>
                <w:sz w:val="24"/>
              </w:rPr>
              <w:t>Q2 2025</w:t>
            </w:r>
          </w:p>
        </w:tc>
        <w:tc>
          <w:tcPr>
            <w:tcW w:w="844" w:type="dxa"/>
            <w:gridSpan w:val="3"/>
            <w:tcBorders>
              <w:top w:val="single" w:sz="8" w:space="0" w:color="4C639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243782"/>
                <w:sz w:val="14"/>
              </w:rPr>
            </w:pPr>
            <w:r>
              <w:rPr>
                <w:rFonts w:ascii="Encode Sans;sans-serif" w:hAnsi="Encode Sans;sans-serif"/>
                <w:b w:val="false"/>
                <w:color w:val="243782"/>
                <w:sz w:val="14"/>
              </w:rPr>
              <w:t>(€ million)</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NORTH AMERICA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ENLARGED EUROPE</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MIDDLE EAST &amp; AFRICA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SOUTH AMERICA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2"/>
              </w:rPr>
            </w:pPr>
            <w:r>
              <w:rPr>
                <w:rFonts w:ascii="Encode Sans;sans-serif" w:hAnsi="Encode Sans;sans-serif"/>
                <w:b/>
                <w:color w:val="243782"/>
                <w:sz w:val="12"/>
              </w:rPr>
              <w:t>ASIA PACIFIC</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center"/>
              <w:rPr/>
            </w:pPr>
            <w:r>
              <w:rPr>
                <w:rFonts w:ascii="Encode Sans;sans-serif" w:hAnsi="Encode Sans;sans-serif"/>
                <w:b/>
                <w:color w:val="243782"/>
                <w:sz w:val="13"/>
              </w:rPr>
              <w:t>OTHER</w:t>
            </w:r>
            <w:r>
              <w:rPr>
                <w:rFonts w:ascii="Encode Sans;sans-serif" w:hAnsi="Encode Sans;sans-serif"/>
                <w:b/>
                <w:color w:val="243782"/>
                <w:sz w:val="8"/>
              </w:rPr>
              <w:t>(*)</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4C639D"/>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3"/>
              </w:rPr>
            </w:pPr>
            <w:r>
              <w:rPr>
                <w:rFonts w:ascii="Encode Sans;sans-serif" w:hAnsi="Encode Sans;sans-serif"/>
                <w:b/>
                <w:color w:val="FFFFFF"/>
                <w:sz w:val="13"/>
              </w:rPr>
              <w:t>STELLANTIS</w:t>
            </w:r>
          </w:p>
        </w:tc>
      </w:tr>
      <w:tr>
        <w:trPr/>
        <w:tc>
          <w:tcPr>
            <w:tcW w:w="1650" w:type="dxa"/>
            <w:gridSpan w:val="6"/>
            <w:tcBorders>
              <w:bottom w:val="single" w:sz="8" w:space="0" w:color="DBDBDB"/>
            </w:tcBorders>
            <w:tcMar>
              <w:top w:w="0"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 from external customers</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13,834 </w:t>
            </w:r>
          </w:p>
        </w:tc>
        <w:tc>
          <w:tcPr>
            <w:tcW w:w="277"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16,387 </w:t>
            </w:r>
          </w:p>
        </w:tc>
        <w:tc>
          <w:tcPr>
            <w:tcW w:w="318"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2,674 </w:t>
            </w:r>
          </w:p>
        </w:tc>
        <w:tc>
          <w:tcPr>
            <w:tcW w:w="295"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4,030 </w:t>
            </w:r>
          </w:p>
        </w:tc>
        <w:tc>
          <w:tcPr>
            <w:tcW w:w="276"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521 </w:t>
            </w:r>
          </w:p>
        </w:tc>
        <w:tc>
          <w:tcPr>
            <w:tcW w:w="217"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1,002 </w:t>
            </w:r>
          </w:p>
        </w:tc>
        <w:tc>
          <w:tcPr>
            <w:tcW w:w="213"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4C639D"/>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38,448</w:t>
            </w:r>
            <w:r>
              <w:rPr>
                <w:color w:val="FFFFFF"/>
              </w:rPr>
              <w:t> </w:t>
            </w:r>
          </w:p>
        </w:tc>
        <w:tc>
          <w:tcPr>
            <w:tcW w:w="452" w:type="dxa"/>
            <w:tcBorders>
              <w:top w:val="single" w:sz="8" w:space="0" w:color="4C639D"/>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 from transactions with other segments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62 </w:t>
            </w:r>
          </w:p>
        </w:tc>
        <w:tc>
          <w:tcPr>
            <w:tcW w:w="27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3 </w:t>
            </w:r>
          </w:p>
        </w:tc>
        <w:tc>
          <w:tcPr>
            <w:tcW w:w="21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(65)</w:t>
            </w:r>
          </w:p>
        </w:tc>
        <w:tc>
          <w:tcPr>
            <w:tcW w:w="2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Net revenues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13,834</w:t>
            </w:r>
            <w:r>
              <w:rPr>
                <w:color w:val="FFFFFF"/>
              </w:rPr>
              <w:t> </w:t>
            </w:r>
          </w:p>
        </w:tc>
        <w:tc>
          <w:tcPr>
            <w:tcW w:w="277"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16,387</w:t>
            </w:r>
            <w:r>
              <w:rPr>
                <w:color w:val="FFFFFF"/>
              </w:rPr>
              <w:t> </w:t>
            </w:r>
          </w:p>
        </w:tc>
        <w:tc>
          <w:tcPr>
            <w:tcW w:w="318"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2,674</w:t>
            </w:r>
            <w:r>
              <w:rPr>
                <w:color w:val="FFFFFF"/>
              </w:rPr>
              <w:t> </w:t>
            </w:r>
          </w:p>
        </w:tc>
        <w:tc>
          <w:tcPr>
            <w:tcW w:w="295"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4,092</w:t>
            </w:r>
            <w:r>
              <w:rPr>
                <w:color w:val="FFFFFF"/>
              </w:rPr>
              <w:t> </w:t>
            </w:r>
          </w:p>
        </w:tc>
        <w:tc>
          <w:tcPr>
            <w:tcW w:w="276"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524</w:t>
            </w:r>
            <w:r>
              <w:rPr>
                <w:color w:val="FFFFFF"/>
              </w:rPr>
              <w:t> </w:t>
            </w:r>
          </w:p>
        </w:tc>
        <w:tc>
          <w:tcPr>
            <w:tcW w:w="217"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937</w:t>
            </w:r>
            <w:r>
              <w:rPr>
                <w:color w:val="FFFFFF"/>
              </w:rPr>
              <w:t> </w:t>
            </w:r>
          </w:p>
        </w:tc>
        <w:tc>
          <w:tcPr>
            <w:tcW w:w="213"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38,448</w:t>
            </w:r>
            <w:r>
              <w:rPr>
                <w:color w:val="FFFFFF"/>
              </w:rPr>
              <w:t> </w:t>
            </w:r>
          </w:p>
        </w:tc>
        <w:tc>
          <w:tcPr>
            <w:tcW w:w="452"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Net profit/(loss)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(1,869)</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Tax expense/(benefit)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(588)</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financial expenses/(income)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63</w:t>
            </w:r>
            <w:r>
              <w:rPr>
                <w:color w:val="FFFFFF"/>
              </w:rPr>
              <w:t> </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Operating income/(loss)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(2,394)</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Adjustments: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DBDBDB"/>
            </w:tcBorders>
            <w:shd w:fill="4C639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Restructuring and other costs, net of reversals</w:t>
            </w:r>
            <w:r>
              <w:rPr>
                <w:rFonts w:ascii="Encode Sans;sans-serif" w:hAnsi="Encode Sans;sans-serif"/>
                <w:b w:val="false"/>
                <w:color w:val="000000"/>
                <w:sz w:val="9"/>
              </w:rPr>
              <w:t>(A)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(3)</w:t>
            </w:r>
          </w:p>
        </w:tc>
        <w:tc>
          <w:tcPr>
            <w:tcW w:w="27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370</w:t>
            </w:r>
            <w:r>
              <w:rPr>
                <w:color w:val="4C639D"/>
              </w:rPr>
              <w:t> </w:t>
            </w:r>
          </w:p>
        </w:tc>
        <w:tc>
          <w:tcPr>
            <w:tcW w:w="3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4</w:t>
            </w:r>
            <w:r>
              <w:rPr>
                <w:color w:val="4C639D"/>
              </w:rPr>
              <w:t> </w:t>
            </w:r>
          </w:p>
        </w:tc>
        <w:tc>
          <w:tcPr>
            <w:tcW w:w="27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28</w:t>
            </w:r>
            <w:r>
              <w:rPr>
                <w:color w:val="4C639D"/>
              </w:rPr>
              <w:t> </w:t>
            </w:r>
          </w:p>
        </w:tc>
        <w:tc>
          <w:tcPr>
            <w:tcW w:w="2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399</w:t>
            </w:r>
            <w:r>
              <w:rPr>
                <w:color w:val="FFFFFF"/>
              </w:rPr>
              <w:t> </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Takata airbags recall campaign</w:t>
            </w:r>
            <w:r>
              <w:rPr>
                <w:rFonts w:ascii="Encode Sans;sans-serif" w:hAnsi="Encode Sans;sans-serif"/>
                <w:b w:val="false"/>
                <w:color w:val="000000"/>
                <w:sz w:val="9"/>
              </w:rPr>
              <w:t>(B)</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174</w:t>
            </w:r>
            <w:r>
              <w:rPr>
                <w:color w:val="4C639D"/>
              </w:rPr>
              <w:t> </w:t>
            </w:r>
          </w:p>
        </w:tc>
        <w:tc>
          <w:tcPr>
            <w:tcW w:w="3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174</w:t>
            </w:r>
            <w:r>
              <w:rPr>
                <w:color w:val="FFFFFF"/>
              </w:rPr>
              <w:t> </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Platform impairments</w:t>
            </w:r>
            <w:r>
              <w:rPr>
                <w:rFonts w:ascii="Encode Sans;sans-serif" w:hAnsi="Encode Sans;sans-serif"/>
                <w:b w:val="false"/>
                <w:color w:val="000000"/>
                <w:sz w:val="9"/>
              </w:rPr>
              <w:t>(C)</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578</w:t>
            </w:r>
            <w:r>
              <w:rPr>
                <w:color w:val="4C639D"/>
              </w:rPr>
              <w:t> </w:t>
            </w:r>
          </w:p>
        </w:tc>
        <w:tc>
          <w:tcPr>
            <w:tcW w:w="3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578</w:t>
            </w:r>
            <w:r>
              <w:rPr>
                <w:color w:val="FFFFFF"/>
              </w:rPr>
              <w:t> </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Costs related to program cancellations</w:t>
            </w:r>
            <w:r>
              <w:rPr>
                <w:rFonts w:ascii="Encode Sans;sans-serif" w:hAnsi="Encode Sans;sans-serif"/>
                <w:b w:val="false"/>
                <w:color w:val="000000"/>
                <w:sz w:val="9"/>
              </w:rPr>
              <w:t>(D)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165</w:t>
            </w:r>
            <w:r>
              <w:rPr>
                <w:color w:val="4C639D"/>
              </w:rPr>
              <w:t> </w:t>
            </w:r>
          </w:p>
        </w:tc>
        <w:tc>
          <w:tcPr>
            <w:tcW w:w="27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122</w:t>
            </w:r>
            <w:r>
              <w:rPr>
                <w:color w:val="4C639D"/>
              </w:rPr>
              <w:t> </w:t>
            </w:r>
          </w:p>
        </w:tc>
        <w:tc>
          <w:tcPr>
            <w:tcW w:w="3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8</w:t>
            </w:r>
            <w:r>
              <w:rPr>
                <w:color w:val="4C639D"/>
              </w:rPr>
              <w:t> </w:t>
            </w:r>
          </w:p>
        </w:tc>
        <w:tc>
          <w:tcPr>
            <w:tcW w:w="2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w:t>
            </w:r>
            <w:r>
              <w:rPr>
                <w:color w:val="4C639D"/>
              </w:rPr>
              <w:t> </w:t>
            </w:r>
          </w:p>
        </w:tc>
        <w:tc>
          <w:tcPr>
            <w:tcW w:w="21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296</w:t>
            </w:r>
            <w:r>
              <w:rPr>
                <w:color w:val="FFFFFF"/>
              </w:rPr>
              <w:t> </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Fuel cell program discontinuation</w:t>
            </w:r>
            <w:r>
              <w:rPr>
                <w:rFonts w:ascii="Encode Sans;sans-serif" w:hAnsi="Encode Sans;sans-serif"/>
                <w:b w:val="false"/>
                <w:color w:val="000000"/>
                <w:sz w:val="9"/>
              </w:rPr>
              <w:t>(E)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733</w:t>
            </w:r>
            <w:r>
              <w:rPr>
                <w:color w:val="4C639D"/>
              </w:rPr>
              <w:t> </w:t>
            </w:r>
          </w:p>
        </w:tc>
        <w:tc>
          <w:tcPr>
            <w:tcW w:w="3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733</w:t>
            </w:r>
            <w:r>
              <w:rPr>
                <w:color w:val="FFFFFF"/>
              </w:rPr>
              <w:t> </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CAFE penalty rate</w:t>
            </w:r>
            <w:r>
              <w:rPr>
                <w:rFonts w:ascii="Encode Sans;sans-serif" w:hAnsi="Encode Sans;sans-serif"/>
                <w:b w:val="false"/>
                <w:color w:val="000000"/>
                <w:sz w:val="9"/>
              </w:rPr>
              <w:t>(F)</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269</w:t>
            </w:r>
            <w:r>
              <w:rPr>
                <w:color w:val="4C639D"/>
              </w:rPr>
              <w:t> </w:t>
            </w:r>
          </w:p>
        </w:tc>
        <w:tc>
          <w:tcPr>
            <w:tcW w:w="27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3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269</w:t>
            </w:r>
            <w:r>
              <w:rPr>
                <w:color w:val="FFFFFF"/>
              </w:rPr>
              <w:t> </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Stellantis Türkiye disposal</w:t>
            </w:r>
            <w:r>
              <w:rPr>
                <w:rFonts w:ascii="Encode Sans;sans-serif" w:hAnsi="Encode Sans;sans-serif"/>
                <w:b w:val="false"/>
                <w:color w:val="000000"/>
                <w:sz w:val="9"/>
              </w:rPr>
              <w:t>(G)</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3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246</w:t>
            </w:r>
            <w:r>
              <w:rPr>
                <w:color w:val="4C639D"/>
              </w:rPr>
              <w:t> </w:t>
            </w:r>
          </w:p>
        </w:tc>
        <w:tc>
          <w:tcPr>
            <w:tcW w:w="2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246</w:t>
            </w:r>
            <w:r>
              <w:rPr>
                <w:color w:val="FFFFFF"/>
              </w:rPr>
              <w:t> </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Other</w:t>
            </w:r>
            <w:r>
              <w:rPr>
                <w:rFonts w:ascii="Encode Sans;sans-serif" w:hAnsi="Encode Sans;sans-serif"/>
                <w:b w:val="false"/>
                <w:color w:val="000000"/>
                <w:sz w:val="9"/>
              </w:rPr>
              <w:t>(H)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(63)</w:t>
            </w:r>
          </w:p>
        </w:tc>
        <w:tc>
          <w:tcPr>
            <w:tcW w:w="27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5</w:t>
            </w:r>
            <w:r>
              <w:rPr>
                <w:color w:val="4C639D"/>
              </w:rPr>
              <w:t> </w:t>
            </w:r>
          </w:p>
        </w:tc>
        <w:tc>
          <w:tcPr>
            <w:tcW w:w="318"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(1)</w:t>
            </w:r>
          </w:p>
        </w:tc>
        <w:tc>
          <w:tcPr>
            <w:tcW w:w="27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(1)</w:t>
            </w:r>
          </w:p>
        </w:tc>
        <w:tc>
          <w:tcPr>
            <w:tcW w:w="217"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(28)</w:t>
            </w:r>
          </w:p>
        </w:tc>
        <w:tc>
          <w:tcPr>
            <w:tcW w:w="213"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(88)</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Total adjustments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368</w:t>
            </w:r>
            <w:r>
              <w:rPr>
                <w:color w:val="4C639D"/>
              </w:rPr>
              <w:t> </w:t>
            </w:r>
          </w:p>
        </w:tc>
        <w:tc>
          <w:tcPr>
            <w:tcW w:w="277"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1,982</w:t>
            </w:r>
            <w:r>
              <w:rPr>
                <w:color w:val="4C639D"/>
              </w:rPr>
              <w:t> </w:t>
            </w:r>
          </w:p>
        </w:tc>
        <w:tc>
          <w:tcPr>
            <w:tcW w:w="318"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254</w:t>
            </w:r>
            <w:r>
              <w:rPr>
                <w:color w:val="4C639D"/>
              </w:rPr>
              <w:t> </w:t>
            </w:r>
          </w:p>
        </w:tc>
        <w:tc>
          <w:tcPr>
            <w:tcW w:w="295"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w:t>
            </w:r>
            <w:r>
              <w:rPr>
                <w:color w:val="4C639D"/>
              </w:rPr>
              <w:t> </w:t>
            </w:r>
          </w:p>
        </w:tc>
        <w:tc>
          <w:tcPr>
            <w:tcW w:w="276"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7"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3"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2,607</w:t>
            </w:r>
            <w:r>
              <w:rPr>
                <w:color w:val="FFFFFF"/>
              </w:rPr>
              <w:t> </w:t>
            </w:r>
          </w:p>
        </w:tc>
        <w:tc>
          <w:tcPr>
            <w:tcW w:w="45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6"/>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color w:val="4C639D"/>
                <w:sz w:val="14"/>
              </w:rPr>
              <w:t>Adjusted operating income</w:t>
            </w:r>
            <w:r>
              <w:rPr>
                <w:rFonts w:ascii="Encode Sans;sans-serif" w:hAnsi="Encode Sans;sans-serif"/>
                <w:b/>
                <w:color w:val="4C639D"/>
                <w:sz w:val="9"/>
              </w:rPr>
              <w:t>(1)</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(440)</w:t>
            </w:r>
          </w:p>
        </w:tc>
        <w:tc>
          <w:tcPr>
            <w:tcW w:w="277"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(359)</w:t>
            </w:r>
          </w:p>
        </w:tc>
        <w:tc>
          <w:tcPr>
            <w:tcW w:w="318"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392</w:t>
            </w:r>
            <w:r>
              <w:rPr>
                <w:color w:val="FFFFFF"/>
              </w:rPr>
              <w:t> </w:t>
            </w:r>
          </w:p>
        </w:tc>
        <w:tc>
          <w:tcPr>
            <w:tcW w:w="295"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782</w:t>
            </w:r>
            <w:r>
              <w:rPr>
                <w:color w:val="FFFFFF"/>
              </w:rPr>
              <w:t> </w:t>
            </w:r>
          </w:p>
        </w:tc>
        <w:tc>
          <w:tcPr>
            <w:tcW w:w="276"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20</w:t>
            </w:r>
            <w:r>
              <w:rPr>
                <w:color w:val="FFFFFF"/>
              </w:rPr>
              <w:t> </w:t>
            </w:r>
          </w:p>
        </w:tc>
        <w:tc>
          <w:tcPr>
            <w:tcW w:w="217"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(182)</w:t>
            </w:r>
          </w:p>
        </w:tc>
        <w:tc>
          <w:tcPr>
            <w:tcW w:w="213"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213</w:t>
            </w:r>
            <w:r>
              <w:rPr>
                <w:color w:val="FFFFFF"/>
              </w:rPr>
              <w:t> </w:t>
            </w:r>
          </w:p>
        </w:tc>
        <w:tc>
          <w:tcPr>
            <w:tcW w:w="452"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Encode Sans;sans-serif" w:hAnsi="Encode Sans;sans-serif"/>
          <w:b w:val="false"/>
          <w:color w:val="000000"/>
          <w:sz w:val="10"/>
        </w:rPr>
      </w:pPr>
      <w:r>
        <w:rPr>
          <w:rFonts w:ascii="Encode Sans;sans-serif" w:hAnsi="Encode Sans;sans-serif"/>
          <w:b w:val="false"/>
          <w:color w:val="000000"/>
          <w:sz w:val="10"/>
        </w:rPr>
        <w:t>________________________________________________________________________________________________________________________________________________________________________________________</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 Other activities, unallocated items and eliminations</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(A) Primarily related to workforce reductions, mainly in Enlarged Europe</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(B) Related to stop-drive campaign on certain vehicles in Enlarged Europe announced in June 2025</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(C) Due to reduced volumes, platforms used for Maserati and Alfa Romeo vehicles were impaired and recognized in Enlarged Europe for €578 million</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(D) Primarily related to costs incurred as result of program cancellations</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(E) During the three months ended June 30, 2025, Stellantis decided to discontinue its fuel cell strategy. As a result, the following items have been impaired: (i) investment in Symbio (€179 million), (ii) loans granted to Symbio (€162 million), (iii) capitalized development expenditures and property, plant and equipment related to fuel cells (€329 million) and (iv) in addition, provisions for risks were recognized (€63 million)</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(F) As a result of the elimination of CAFE fines with the enactment of One Big Beautiful Bill Act, net expense of €269 million included (i) elimination of the CAFE provision of €844 million, (ii) impairment of the regulatory credit assets of €609 million, and (iii) onerous contracts related to contractual purchase commitments for CAFE credits of €504 million</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(G) Sale of Stellantis Türkiye to the Company’s joint venture, Tofas, for which the Company recognized an estimated loss on disposal of €246 million, driven primarily by the recycling of the cumulative translation reserve from Equity to the Consolidated Income Statement upon disposal</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 xml:space="preserve">(H) Comprised primarily of (i) adjustments to costs previously recognized to support the workforce during the transformation of certain plants in North America, (ii) gains on disposal of investments in Enlarged Europe and (iii) a gain from dilution related to the investment in Archer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drawing>
          <wp:inline distT="0" distB="0" distL="0" distR="0">
            <wp:extent cx="2428875" cy="6858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4790"/>
                <wp:effectExtent l="0" t="0" r="0" b="0"/>
                <wp:wrapNone/>
                <wp:docPr id="18" name="Frame10"/>
                <a:graphic xmlns:a="http://schemas.openxmlformats.org/drawingml/2006/main">
                  <a:graphicData uri="http://schemas.microsoft.com/office/word/2010/wordprocessingShape">
                    <wps:wsp>
                      <wps:cNvSpPr txBox="1"/>
                      <wps:spPr>
                        <a:xfrm>
                          <a:off x="0" y="0"/>
                          <a:ext cx="6480175" cy="224790"/>
                        </a:xfrm>
                        <a:prstGeom prst="rect"/>
                        <a:solidFill>
                          <a:srgbClr val="FFFFFF"/>
                        </a:solidFill>
                      </wps:spPr>
                      <wps:txb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9"/>
        <w:gridCol w:w="262"/>
        <w:gridCol w:w="265"/>
        <w:gridCol w:w="284"/>
        <w:gridCol w:w="284"/>
        <w:gridCol w:w="285"/>
        <w:gridCol w:w="109"/>
        <w:gridCol w:w="109"/>
        <w:gridCol w:w="109"/>
        <w:gridCol w:w="398"/>
        <w:gridCol w:w="273"/>
        <w:gridCol w:w="274"/>
        <w:gridCol w:w="109"/>
        <w:gridCol w:w="109"/>
        <w:gridCol w:w="109"/>
        <w:gridCol w:w="363"/>
        <w:gridCol w:w="314"/>
        <w:gridCol w:w="315"/>
        <w:gridCol w:w="109"/>
        <w:gridCol w:w="109"/>
        <w:gridCol w:w="109"/>
        <w:gridCol w:w="309"/>
        <w:gridCol w:w="289"/>
        <w:gridCol w:w="290"/>
        <w:gridCol w:w="109"/>
        <w:gridCol w:w="109"/>
        <w:gridCol w:w="109"/>
        <w:gridCol w:w="312"/>
        <w:gridCol w:w="273"/>
        <w:gridCol w:w="274"/>
        <w:gridCol w:w="109"/>
        <w:gridCol w:w="109"/>
        <w:gridCol w:w="109"/>
        <w:gridCol w:w="230"/>
        <w:gridCol w:w="215"/>
        <w:gridCol w:w="216"/>
        <w:gridCol w:w="109"/>
        <w:gridCol w:w="109"/>
        <w:gridCol w:w="109"/>
        <w:gridCol w:w="285"/>
        <w:gridCol w:w="286"/>
        <w:gridCol w:w="212"/>
        <w:gridCol w:w="109"/>
        <w:gridCol w:w="109"/>
        <w:gridCol w:w="109"/>
        <w:gridCol w:w="330"/>
        <w:gridCol w:w="331"/>
        <w:gridCol w:w="448"/>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4C639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243782"/>
                <w:sz w:val="24"/>
              </w:rPr>
            </w:pPr>
            <w:r>
              <w:rPr>
                <w:rFonts w:ascii="Encode Sans;sans-serif" w:hAnsi="Encode Sans;sans-serif"/>
                <w:b w:val="false"/>
                <w:color w:val="243782"/>
                <w:sz w:val="24"/>
              </w:rPr>
              <w:t>YTD 2026</w:t>
            </w:r>
          </w:p>
        </w:tc>
        <w:tc>
          <w:tcPr>
            <w:tcW w:w="853" w:type="dxa"/>
            <w:gridSpan w:val="3"/>
            <w:tcBorders>
              <w:top w:val="single" w:sz="8" w:space="0" w:color="4C639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243782"/>
                <w:sz w:val="14"/>
              </w:rPr>
            </w:pPr>
            <w:r>
              <w:rPr>
                <w:rFonts w:ascii="Encode Sans;sans-serif" w:hAnsi="Encode Sans;sans-serif"/>
                <w:b w:val="false"/>
                <w:color w:val="243782"/>
                <w:sz w:val="14"/>
              </w:rPr>
              <w:t>(€ million)</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NORTH AMERICA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ENLARGED EUROPE</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MIDDLE EAST &amp; AFRICA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SOUTH AMERICA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2"/>
              </w:rPr>
            </w:pPr>
            <w:r>
              <w:rPr>
                <w:rFonts w:ascii="Encode Sans;sans-serif" w:hAnsi="Encode Sans;sans-serif"/>
                <w:b/>
                <w:color w:val="243782"/>
                <w:sz w:val="12"/>
              </w:rPr>
              <w:t>ASIA PACIFIC</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center"/>
              <w:rPr/>
            </w:pPr>
            <w:r>
              <w:rPr>
                <w:rFonts w:ascii="Encode Sans;sans-serif" w:hAnsi="Encode Sans;sans-serif"/>
                <w:b/>
                <w:color w:val="243782"/>
                <w:sz w:val="13"/>
              </w:rPr>
              <w:t>OTHER</w:t>
            </w:r>
            <w:r>
              <w:rPr>
                <w:rFonts w:ascii="Encode Sans;sans-serif" w:hAnsi="Encode Sans;sans-serif"/>
                <w:b/>
                <w:color w:val="243782"/>
                <w:sz w:val="8"/>
              </w:rPr>
              <w:t>(*)</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4C639D"/>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3"/>
              </w:rPr>
            </w:pPr>
            <w:r>
              <w:rPr>
                <w:rFonts w:ascii="Encode Sans;sans-serif" w:hAnsi="Encode Sans;sans-serif"/>
                <w:b/>
                <w:color w:val="FFFFFF"/>
                <w:sz w:val="13"/>
              </w:rPr>
              <w:t>STELLANTIS</w:t>
            </w:r>
          </w:p>
        </w:tc>
      </w:tr>
      <w:tr>
        <w:trPr/>
        <w:tc>
          <w:tcPr>
            <w:tcW w:w="1679" w:type="dxa"/>
            <w:gridSpan w:val="6"/>
            <w:tcBorders>
              <w:bottom w:val="single" w:sz="8" w:space="0" w:color="DBDBDB"/>
            </w:tcBorders>
            <w:tcMar>
              <w:top w:w="0"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 from external customers</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34,307 </w:t>
            </w:r>
          </w:p>
        </w:tc>
        <w:tc>
          <w:tcPr>
            <w:tcW w:w="274"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30,797 </w:t>
            </w:r>
          </w:p>
        </w:tc>
        <w:tc>
          <w:tcPr>
            <w:tcW w:w="315"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4,953 </w:t>
            </w:r>
          </w:p>
        </w:tc>
        <w:tc>
          <w:tcPr>
            <w:tcW w:w="290"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7,877 </w:t>
            </w:r>
          </w:p>
        </w:tc>
        <w:tc>
          <w:tcPr>
            <w:tcW w:w="274"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934 </w:t>
            </w:r>
          </w:p>
        </w:tc>
        <w:tc>
          <w:tcPr>
            <w:tcW w:w="216"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2,746 </w:t>
            </w:r>
          </w:p>
        </w:tc>
        <w:tc>
          <w:tcPr>
            <w:tcW w:w="212"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4C639D"/>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81,614</w:t>
            </w:r>
            <w:r>
              <w:rPr>
                <w:color w:val="FFFFFF"/>
              </w:rPr>
              <w:t> </w:t>
            </w:r>
          </w:p>
        </w:tc>
        <w:tc>
          <w:tcPr>
            <w:tcW w:w="448" w:type="dxa"/>
            <w:tcBorders>
              <w:top w:val="single" w:sz="8" w:space="0" w:color="4C639D"/>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 from transactions with other segments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4 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84 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(88)</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Net revenues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34,307</w:t>
            </w:r>
            <w:r>
              <w:rPr>
                <w:color w:val="FFFFFF"/>
              </w:rPr>
              <w:t> </w:t>
            </w:r>
          </w:p>
        </w:tc>
        <w:tc>
          <w:tcPr>
            <w:tcW w:w="274"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30,801</w:t>
            </w:r>
            <w:r>
              <w:rPr>
                <w:color w:val="FFFFFF"/>
              </w:rPr>
              <w:t> </w:t>
            </w:r>
          </w:p>
        </w:tc>
        <w:tc>
          <w:tcPr>
            <w:tcW w:w="315"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4,953</w:t>
            </w:r>
            <w:r>
              <w:rPr>
                <w:color w:val="FFFFFF"/>
              </w:rPr>
              <w:t> </w:t>
            </w:r>
          </w:p>
        </w:tc>
        <w:tc>
          <w:tcPr>
            <w:tcW w:w="290"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7,961</w:t>
            </w:r>
            <w:r>
              <w:rPr>
                <w:color w:val="FFFFFF"/>
              </w:rPr>
              <w:t> </w:t>
            </w:r>
          </w:p>
        </w:tc>
        <w:tc>
          <w:tcPr>
            <w:tcW w:w="274"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934</w:t>
            </w:r>
            <w:r>
              <w:rPr>
                <w:color w:val="FFFFFF"/>
              </w:rPr>
              <w:t> </w:t>
            </w:r>
          </w:p>
        </w:tc>
        <w:tc>
          <w:tcPr>
            <w:tcW w:w="216"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2,658</w:t>
            </w:r>
            <w:r>
              <w:rPr>
                <w:color w:val="FFFFFF"/>
              </w:rPr>
              <w:t> </w:t>
            </w:r>
          </w:p>
        </w:tc>
        <w:tc>
          <w:tcPr>
            <w:tcW w:w="212"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81,614</w:t>
            </w:r>
            <w:r>
              <w:rPr>
                <w:color w:val="FFFFFF"/>
              </w:rPr>
              <w:t> </w:t>
            </w:r>
          </w:p>
        </w:tc>
        <w:tc>
          <w:tcPr>
            <w:tcW w:w="448"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Net profit/(loss)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670</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Tax expense/(benefit)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368</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financial expenses/(income)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352</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Operating income/(loss)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1,390</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Adjustments: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DBDBDB"/>
            </w:tcBorders>
            <w:shd w:fill="4C639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Restructuring and other costs, net of reversals</w:t>
            </w:r>
            <w:r>
              <w:rPr>
                <w:rFonts w:ascii="Encode Sans;sans-serif" w:hAnsi="Encode Sans;sans-serif"/>
                <w:b w:val="false"/>
                <w:color w:val="000000"/>
                <w:sz w:val="9"/>
              </w:rPr>
              <w:t>(A)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(21)</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458</w:t>
            </w: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4</w:t>
            </w: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37</w:t>
            </w: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w:t>
            </w: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w:t>
            </w: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482</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Takata airbags recall campaign</w:t>
            </w:r>
            <w:r>
              <w:rPr>
                <w:rFonts w:ascii="Encode Sans;sans-serif" w:hAnsi="Encode Sans;sans-serif"/>
                <w:b w:val="false"/>
                <w:color w:val="000000"/>
                <w:sz w:val="9"/>
              </w:rPr>
              <w:t>(B)</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100</w:t>
            </w: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5</w:t>
            </w: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w:t>
            </w: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106</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Costs related to product plan realignments and program cancellations</w:t>
            </w:r>
            <w:r>
              <w:rPr>
                <w:rFonts w:ascii="Encode Sans;sans-serif" w:hAnsi="Encode Sans;sans-serif"/>
                <w:b w:val="false"/>
                <w:color w:val="000000"/>
                <w:sz w:val="9"/>
              </w:rPr>
              <w:t>(C)</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221</w:t>
            </w: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(25)</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196</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U.S. GHG regulation change</w:t>
            </w:r>
            <w:r>
              <w:rPr>
                <w:rFonts w:ascii="Encode Sans;sans-serif" w:hAnsi="Encode Sans;sans-serif"/>
                <w:b w:val="false"/>
                <w:color w:val="000000"/>
                <w:sz w:val="9"/>
              </w:rPr>
              <w:t>(D)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(66)</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(66)</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Renegotiated regulatory purchase commitments of credits</w:t>
            </w:r>
            <w:r>
              <w:rPr>
                <w:rFonts w:ascii="Encode Sans;sans-serif" w:hAnsi="Encode Sans;sans-serif"/>
                <w:b w:val="false"/>
                <w:color w:val="000000"/>
                <w:sz w:val="9"/>
              </w:rPr>
              <w:t>(E)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(317)</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(317)</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(Gains)/losses on disposal of investments</w:t>
            </w:r>
            <w:r>
              <w:rPr>
                <w:rFonts w:ascii="Encode Sans;sans-serif" w:hAnsi="Encode Sans;sans-serif"/>
                <w:b w:val="false"/>
                <w:color w:val="000000"/>
                <w:sz w:val="9"/>
              </w:rPr>
              <w:t>(F)</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12</w:t>
            </w:r>
            <w:r>
              <w:rPr>
                <w:color w:val="4C639D"/>
              </w:rPr>
              <w:t> </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(2)</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(69)</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(59)</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Other</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8</w:t>
            </w: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(3)</w:t>
            </w:r>
          </w:p>
        </w:tc>
        <w:tc>
          <w:tcPr>
            <w:tcW w:w="315"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w:t>
            </w:r>
            <w:r>
              <w:rPr>
                <w:color w:val="4C639D"/>
              </w:rPr>
              <w:t> </w:t>
            </w:r>
          </w:p>
        </w:tc>
        <w:tc>
          <w:tcPr>
            <w:tcW w:w="290"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(4)</w:t>
            </w:r>
          </w:p>
        </w:tc>
        <w:tc>
          <w:tcPr>
            <w:tcW w:w="21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(2)</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Total adjustments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(175)</w:t>
            </w:r>
          </w:p>
        </w:tc>
        <w:tc>
          <w:tcPr>
            <w:tcW w:w="274"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542</w:t>
            </w:r>
            <w:r>
              <w:rPr>
                <w:color w:val="4C639D"/>
              </w:rPr>
              <w:t> </w:t>
            </w:r>
          </w:p>
        </w:tc>
        <w:tc>
          <w:tcPr>
            <w:tcW w:w="315"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11</w:t>
            </w:r>
            <w:r>
              <w:rPr>
                <w:color w:val="4C639D"/>
              </w:rPr>
              <w:t> </w:t>
            </w:r>
          </w:p>
        </w:tc>
        <w:tc>
          <w:tcPr>
            <w:tcW w:w="290"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36</w:t>
            </w:r>
            <w:r>
              <w:rPr>
                <w:color w:val="4C639D"/>
              </w:rPr>
              <w:t> </w:t>
            </w:r>
          </w:p>
        </w:tc>
        <w:tc>
          <w:tcPr>
            <w:tcW w:w="274"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(2)</w:t>
            </w:r>
          </w:p>
        </w:tc>
        <w:tc>
          <w:tcPr>
            <w:tcW w:w="216"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(69)</w:t>
            </w:r>
          </w:p>
        </w:tc>
        <w:tc>
          <w:tcPr>
            <w:tcW w:w="212"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343</w:t>
            </w:r>
            <w:r>
              <w:rPr>
                <w:color w:val="FFFFFF"/>
              </w:rPr>
              <w:t> </w:t>
            </w:r>
          </w:p>
        </w:tc>
        <w:tc>
          <w:tcPr>
            <w:tcW w:w="448"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color w:val="4C639D"/>
                <w:sz w:val="14"/>
              </w:rPr>
              <w:t>Adjusted operating income</w:t>
            </w:r>
            <w:r>
              <w:rPr>
                <w:rFonts w:ascii="Encode Sans;sans-serif" w:hAnsi="Encode Sans;sans-serif"/>
                <w:b/>
                <w:color w:val="4C639D"/>
                <w:sz w:val="9"/>
              </w:rPr>
              <w:t>(1)</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547</w:t>
            </w:r>
            <w:r>
              <w:rPr>
                <w:color w:val="FFFFFF"/>
              </w:rPr>
              <w:t> </w:t>
            </w:r>
          </w:p>
        </w:tc>
        <w:tc>
          <w:tcPr>
            <w:tcW w:w="274"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(86)</w:t>
            </w:r>
          </w:p>
        </w:tc>
        <w:tc>
          <w:tcPr>
            <w:tcW w:w="315"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611</w:t>
            </w:r>
            <w:r>
              <w:rPr>
                <w:color w:val="FFFFFF"/>
              </w:rPr>
              <w:t> </w:t>
            </w:r>
          </w:p>
        </w:tc>
        <w:tc>
          <w:tcPr>
            <w:tcW w:w="290"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795</w:t>
            </w:r>
            <w:r>
              <w:rPr>
                <w:color w:val="FFFFFF"/>
              </w:rPr>
              <w:t> </w:t>
            </w:r>
          </w:p>
        </w:tc>
        <w:tc>
          <w:tcPr>
            <w:tcW w:w="274"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(3)</w:t>
            </w:r>
          </w:p>
        </w:tc>
        <w:tc>
          <w:tcPr>
            <w:tcW w:w="216"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(131)</w:t>
            </w:r>
          </w:p>
        </w:tc>
        <w:tc>
          <w:tcPr>
            <w:tcW w:w="212"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1,733</w:t>
            </w:r>
            <w:r>
              <w:rPr>
                <w:color w:val="FFFFFF"/>
              </w:rPr>
              <w:t> </w:t>
            </w:r>
          </w:p>
        </w:tc>
        <w:tc>
          <w:tcPr>
            <w:tcW w:w="448"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 Other activities, unallocated items and eliminations</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(A) Primarily related to workforce reductions, mainly in Enlarged Europe</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(B) Related to stop-drive campaign on certain vehicles mainly in Enlarged Europe</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(C) Primarily related to costs incurred as result of product plan realignments and program cancellations, including €221 million recognized in North America, as well as a provision reversal of €25 million in Enlarged Europe</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(D) Following the repeal of the U.S. GHG emissions standards, the Company recognized a gain of €66 million within Cost of revenues. The net gain consisted of an impairment of GHG-related Other intangible assets of €284 million and the elimination of the related GHG provision of €350 million</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(E) Includes a net gain of €317 million within Cost of revenues related to renegotiated contractual commitments for the purchase of regulatory compliance credits</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(F) Comprised primarily of (i) gains recognized as a result of the loss of significant influence over Archer and the resulting termination of the equity method, and a dilution gain related to the investment in Comau Group, and (ii) gains/(losses) recognized on the disposal of non-significant assets in Enlarged Europe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drawing>
          <wp:inline distT="0" distB="0" distL="0" distR="0">
            <wp:extent cx="2428875" cy="6858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4790"/>
                <wp:effectExtent l="0" t="0" r="0" b="0"/>
                <wp:wrapNone/>
                <wp:docPr id="20" name="Frame11"/>
                <a:graphic xmlns:a="http://schemas.openxmlformats.org/drawingml/2006/main">
                  <a:graphicData uri="http://schemas.microsoft.com/office/word/2010/wordprocessingShape">
                    <wps:wsp>
                      <wps:cNvSpPr txBox="1"/>
                      <wps:spPr>
                        <a:xfrm>
                          <a:off x="0" y="0"/>
                          <a:ext cx="6480175" cy="224790"/>
                        </a:xfrm>
                        <a:prstGeom prst="rect"/>
                        <a:solidFill>
                          <a:srgbClr val="FFFFFF"/>
                        </a:solidFill>
                      </wps:spPr>
                      <wps:txb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8"/>
        <w:gridCol w:w="244"/>
        <w:gridCol w:w="246"/>
        <w:gridCol w:w="272"/>
        <w:gridCol w:w="272"/>
        <w:gridCol w:w="273"/>
        <w:gridCol w:w="109"/>
        <w:gridCol w:w="109"/>
        <w:gridCol w:w="109"/>
        <w:gridCol w:w="398"/>
        <w:gridCol w:w="270"/>
        <w:gridCol w:w="272"/>
        <w:gridCol w:w="109"/>
        <w:gridCol w:w="109"/>
        <w:gridCol w:w="109"/>
        <w:gridCol w:w="361"/>
        <w:gridCol w:w="311"/>
        <w:gridCol w:w="312"/>
        <w:gridCol w:w="109"/>
        <w:gridCol w:w="109"/>
        <w:gridCol w:w="109"/>
        <w:gridCol w:w="305"/>
        <w:gridCol w:w="285"/>
        <w:gridCol w:w="286"/>
        <w:gridCol w:w="109"/>
        <w:gridCol w:w="109"/>
        <w:gridCol w:w="109"/>
        <w:gridCol w:w="310"/>
        <w:gridCol w:w="270"/>
        <w:gridCol w:w="271"/>
        <w:gridCol w:w="109"/>
        <w:gridCol w:w="109"/>
        <w:gridCol w:w="109"/>
        <w:gridCol w:w="329"/>
        <w:gridCol w:w="244"/>
        <w:gridCol w:w="214"/>
        <w:gridCol w:w="109"/>
        <w:gridCol w:w="109"/>
        <w:gridCol w:w="109"/>
        <w:gridCol w:w="285"/>
        <w:gridCol w:w="286"/>
        <w:gridCol w:w="212"/>
        <w:gridCol w:w="109"/>
        <w:gridCol w:w="109"/>
        <w:gridCol w:w="109"/>
        <w:gridCol w:w="330"/>
        <w:gridCol w:w="331"/>
        <w:gridCol w:w="449"/>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tcPr>
          <w:p>
            <w:pPr>
              <w:pStyle w:val="TableContents"/>
              <w:bidi w:val="0"/>
              <w:spacing w:before="0" w:after="283"/>
              <w:jc w:val="left"/>
              <w:rPr>
                <w:sz w:val="4"/>
                <w:szCs w:val="4"/>
              </w:rPr>
            </w:pPr>
            <w:r>
              <w:rPr>
                <w:sz w:val="4"/>
                <w:szCs w:val="4"/>
              </w:rPr>
            </w:r>
          </w:p>
        </w:tc>
      </w:tr>
      <w:tr>
        <w:trPr/>
        <w:tc>
          <w:tcPr>
            <w:tcW w:w="768" w:type="dxa"/>
            <w:gridSpan w:val="3"/>
            <w:tcBorders>
              <w:top w:val="single" w:sz="8" w:space="0" w:color="4C639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243782"/>
                <w:sz w:val="24"/>
              </w:rPr>
            </w:pPr>
            <w:r>
              <w:rPr>
                <w:rFonts w:ascii="Encode Sans;sans-serif" w:hAnsi="Encode Sans;sans-serif"/>
                <w:b w:val="false"/>
                <w:color w:val="243782"/>
                <w:sz w:val="24"/>
              </w:rPr>
              <w:t>YTD 2025</w:t>
            </w:r>
          </w:p>
        </w:tc>
        <w:tc>
          <w:tcPr>
            <w:tcW w:w="817" w:type="dxa"/>
            <w:gridSpan w:val="3"/>
            <w:tcBorders>
              <w:top w:val="single" w:sz="8" w:space="0" w:color="4C639D"/>
              <w:bottom w:val="single" w:sz="8" w:space="0" w:color="4C639D"/>
            </w:tcBorders>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val="false"/>
                <w:color w:val="243782"/>
                <w:sz w:val="14"/>
              </w:rPr>
            </w:pPr>
            <w:r>
              <w:rPr>
                <w:rFonts w:ascii="Encode Sans;sans-serif" w:hAnsi="Encode Sans;sans-serif"/>
                <w:b w:val="false"/>
                <w:color w:val="243782"/>
                <w:sz w:val="14"/>
              </w:rPr>
              <w:t>(€ million)</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NORTH AMERICA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ENLARGED EUROPE</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MIDDLE EAST &amp; AFRICA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3"/>
              </w:rPr>
            </w:pPr>
            <w:r>
              <w:rPr>
                <w:rFonts w:ascii="Encode Sans;sans-serif" w:hAnsi="Encode Sans;sans-serif"/>
                <w:b/>
                <w:color w:val="243782"/>
                <w:sz w:val="13"/>
              </w:rPr>
              <w:t>SOUTH AMERICA</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2"/>
              </w:rPr>
            </w:pPr>
            <w:r>
              <w:rPr>
                <w:rFonts w:ascii="Encode Sans;sans-serif" w:hAnsi="Encode Sans;sans-serif"/>
                <w:b/>
                <w:color w:val="243782"/>
                <w:sz w:val="12"/>
              </w:rPr>
              <w:t>ASIA PACIFIC</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center"/>
              <w:rPr/>
            </w:pPr>
            <w:r>
              <w:rPr>
                <w:rFonts w:ascii="Encode Sans;sans-serif" w:hAnsi="Encode Sans;sans-serif"/>
                <w:b/>
                <w:color w:val="243782"/>
                <w:sz w:val="13"/>
              </w:rPr>
              <w:t>OTHER</w:t>
            </w:r>
            <w:r>
              <w:rPr>
                <w:rFonts w:ascii="Encode Sans;sans-serif" w:hAnsi="Encode Sans;sans-serif"/>
                <w:b/>
                <w:color w:val="243782"/>
                <w:sz w:val="8"/>
              </w:rPr>
              <w:t>(*)</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C639D"/>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3"/>
              </w:rPr>
            </w:pPr>
            <w:r>
              <w:rPr>
                <w:rFonts w:ascii="Encode Sans;sans-serif" w:hAnsi="Encode Sans;sans-serif"/>
                <w:b/>
                <w:color w:val="FFFFFF"/>
                <w:sz w:val="13"/>
              </w:rPr>
              <w:t>STELLANTIS</w:t>
            </w:r>
          </w:p>
        </w:tc>
      </w:tr>
      <w:tr>
        <w:trPr/>
        <w:tc>
          <w:tcPr>
            <w:tcW w:w="1585" w:type="dxa"/>
            <w:gridSpan w:val="6"/>
            <w:tcBorders>
              <w:bottom w:val="single" w:sz="8" w:space="0" w:color="DBDBDB"/>
            </w:tcBorders>
            <w:tcMar>
              <w:top w:w="0"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 from external customers</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28,303 </w:t>
            </w:r>
          </w:p>
        </w:tc>
        <w:tc>
          <w:tcPr>
            <w:tcW w:w="272"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30,555 </w:t>
            </w:r>
          </w:p>
        </w:tc>
        <w:tc>
          <w:tcPr>
            <w:tcW w:w="312"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4,956 </w:t>
            </w:r>
          </w:p>
        </w:tc>
        <w:tc>
          <w:tcPr>
            <w:tcW w:w="286"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7,698 </w:t>
            </w:r>
          </w:p>
        </w:tc>
        <w:tc>
          <w:tcPr>
            <w:tcW w:w="271"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1,006 </w:t>
            </w:r>
          </w:p>
        </w:tc>
        <w:tc>
          <w:tcPr>
            <w:tcW w:w="214"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1,743 </w:t>
            </w:r>
          </w:p>
        </w:tc>
        <w:tc>
          <w:tcPr>
            <w:tcW w:w="212" w:type="dxa"/>
            <w:tcBorders>
              <w:top w:val="single" w:sz="8" w:space="0" w:color="4C639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4C639D"/>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74,261</w:t>
            </w:r>
            <w:r>
              <w:rPr>
                <w:color w:val="FFFFFF"/>
              </w:rPr>
              <w:t> </w:t>
            </w:r>
          </w:p>
        </w:tc>
        <w:tc>
          <w:tcPr>
            <w:tcW w:w="449" w:type="dxa"/>
            <w:tcBorders>
              <w:top w:val="single" w:sz="8" w:space="0" w:color="4C639D"/>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revenues from transactions with other segments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2 </w:t>
            </w:r>
          </w:p>
        </w:tc>
        <w:tc>
          <w:tcPr>
            <w:tcW w:w="3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6 </w:t>
            </w:r>
          </w:p>
        </w:tc>
        <w:tc>
          <w:tcPr>
            <w:tcW w:w="28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73 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4 </w:t>
            </w:r>
          </w:p>
        </w:tc>
        <w:tc>
          <w:tcPr>
            <w:tcW w:w="21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val="false"/>
                <w:color w:val="000000"/>
                <w:sz w:val="14"/>
              </w:rPr>
            </w:pPr>
            <w:r>
              <w:rPr>
                <w:rFonts w:ascii="Encode Sans;sans-serif" w:hAnsi="Encode Sans;sans-serif"/>
                <w:b w:val="false"/>
                <w:color w:val="000000"/>
                <w:sz w:val="14"/>
              </w:rPr>
              <w:t>(85)</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Net revenues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28,303</w:t>
            </w:r>
            <w:r>
              <w:rPr>
                <w:color w:val="FFFFFF"/>
              </w:rPr>
              <w:t> </w:t>
            </w:r>
          </w:p>
        </w:tc>
        <w:tc>
          <w:tcPr>
            <w:tcW w:w="272"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30,557</w:t>
            </w:r>
            <w:r>
              <w:rPr>
                <w:color w:val="FFFFFF"/>
              </w:rPr>
              <w:t> </w:t>
            </w:r>
          </w:p>
        </w:tc>
        <w:tc>
          <w:tcPr>
            <w:tcW w:w="312"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4,962</w:t>
            </w:r>
            <w:r>
              <w:rPr>
                <w:color w:val="FFFFFF"/>
              </w:rPr>
              <w:t> </w:t>
            </w:r>
          </w:p>
        </w:tc>
        <w:tc>
          <w:tcPr>
            <w:tcW w:w="286"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7,771</w:t>
            </w:r>
            <w:r>
              <w:rPr>
                <w:color w:val="FFFFFF"/>
              </w:rPr>
              <w:t> </w:t>
            </w:r>
          </w:p>
        </w:tc>
        <w:tc>
          <w:tcPr>
            <w:tcW w:w="271"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1,010</w:t>
            </w:r>
            <w:r>
              <w:rPr>
                <w:color w:val="FFFFFF"/>
              </w:rPr>
              <w:t> </w:t>
            </w:r>
          </w:p>
        </w:tc>
        <w:tc>
          <w:tcPr>
            <w:tcW w:w="214"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1,658</w:t>
            </w:r>
            <w:r>
              <w:rPr>
                <w:color w:val="FFFFFF"/>
              </w:rPr>
              <w:t> </w:t>
            </w:r>
          </w:p>
        </w:tc>
        <w:tc>
          <w:tcPr>
            <w:tcW w:w="212"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2437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74,261</w:t>
            </w:r>
            <w:r>
              <w:rPr>
                <w:color w:val="FFFFFF"/>
              </w:rPr>
              <w:t> </w:t>
            </w:r>
          </w:p>
        </w:tc>
        <w:tc>
          <w:tcPr>
            <w:tcW w:w="449"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Net profit/(loss)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(2,256)</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Tax expense/(benefit)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(614)</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Net financial expenses/(income)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160</w:t>
            </w:r>
            <w:r>
              <w:rPr>
                <w:color w:val="FFFFFF"/>
              </w:rPr>
              <w:t> </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4"/>
              </w:rPr>
            </w:pPr>
            <w:r>
              <w:rPr>
                <w:rFonts w:ascii="Encode Sans;sans-serif" w:hAnsi="Encode Sans;sans-serif"/>
                <w:b/>
                <w:color w:val="243782"/>
                <w:sz w:val="14"/>
              </w:rPr>
              <w:t>Operating income/(loss)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(2,710)</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Adjustments: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DBDBDB"/>
            </w:tcBorders>
            <w:shd w:fill="4C639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Restructuring and other costs, net of reversals</w:t>
            </w:r>
            <w:r>
              <w:rPr>
                <w:rFonts w:ascii="Encode Sans;sans-serif" w:hAnsi="Encode Sans;sans-serif"/>
                <w:b w:val="false"/>
                <w:color w:val="000000"/>
                <w:sz w:val="9"/>
              </w:rPr>
              <w:t>(A)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(41)</w:t>
            </w:r>
          </w:p>
        </w:tc>
        <w:tc>
          <w:tcPr>
            <w:tcW w:w="27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531</w:t>
            </w:r>
            <w:r>
              <w:rPr>
                <w:color w:val="4C639D"/>
              </w:rPr>
              <w:t> </w:t>
            </w:r>
          </w:p>
        </w:tc>
        <w:tc>
          <w:tcPr>
            <w:tcW w:w="3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8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4</w:t>
            </w:r>
            <w:r>
              <w:rPr>
                <w:color w:val="4C639D"/>
              </w:rPr>
              <w:t>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28</w:t>
            </w: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522</w:t>
            </w:r>
            <w:r>
              <w:rPr>
                <w:color w:val="FFFFFF"/>
              </w:rPr>
              <w:t> </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Takata airbags recall campaign</w:t>
            </w:r>
            <w:r>
              <w:rPr>
                <w:rFonts w:ascii="Encode Sans;sans-serif" w:hAnsi="Encode Sans;sans-serif"/>
                <w:b w:val="false"/>
                <w:color w:val="000000"/>
                <w:sz w:val="9"/>
              </w:rPr>
              <w:t>(B)</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239</w:t>
            </w:r>
            <w:r>
              <w:rPr>
                <w:color w:val="4C639D"/>
              </w:rPr>
              <w:t> </w:t>
            </w:r>
          </w:p>
        </w:tc>
        <w:tc>
          <w:tcPr>
            <w:tcW w:w="3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8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239</w:t>
            </w:r>
            <w:r>
              <w:rPr>
                <w:color w:val="FFFFFF"/>
              </w:rPr>
              <w:t> </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Platform impairments</w:t>
            </w:r>
            <w:r>
              <w:rPr>
                <w:rFonts w:ascii="Encode Sans;sans-serif" w:hAnsi="Encode Sans;sans-serif"/>
                <w:b w:val="false"/>
                <w:color w:val="000000"/>
                <w:sz w:val="9"/>
              </w:rPr>
              <w:t>(C)</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578</w:t>
            </w:r>
            <w:r>
              <w:rPr>
                <w:color w:val="4C639D"/>
              </w:rPr>
              <w:t> </w:t>
            </w:r>
          </w:p>
        </w:tc>
        <w:tc>
          <w:tcPr>
            <w:tcW w:w="3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8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578</w:t>
            </w:r>
            <w:r>
              <w:rPr>
                <w:color w:val="FFFFFF"/>
              </w:rPr>
              <w:t> </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Costs related to program cancellations</w:t>
            </w:r>
            <w:r>
              <w:rPr>
                <w:rFonts w:ascii="Encode Sans;sans-serif" w:hAnsi="Encode Sans;sans-serif"/>
                <w:b w:val="false"/>
                <w:color w:val="000000"/>
                <w:sz w:val="9"/>
              </w:rPr>
              <w:t>(D)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327</w:t>
            </w:r>
            <w:r>
              <w:rPr>
                <w:color w:val="4C639D"/>
              </w:rPr>
              <w:t> </w:t>
            </w:r>
          </w:p>
        </w:tc>
        <w:tc>
          <w:tcPr>
            <w:tcW w:w="27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134</w:t>
            </w:r>
            <w:r>
              <w:rPr>
                <w:color w:val="4C639D"/>
              </w:rPr>
              <w:t> </w:t>
            </w:r>
          </w:p>
        </w:tc>
        <w:tc>
          <w:tcPr>
            <w:tcW w:w="3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8</w:t>
            </w:r>
            <w:r>
              <w:rPr>
                <w:color w:val="4C639D"/>
              </w:rPr>
              <w:t> </w:t>
            </w:r>
          </w:p>
        </w:tc>
        <w:tc>
          <w:tcPr>
            <w:tcW w:w="28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319</w:t>
            </w:r>
            <w:r>
              <w:rPr>
                <w:color w:val="4C639D"/>
              </w:rPr>
              <w:t>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1</w:t>
            </w:r>
            <w:r>
              <w:rPr>
                <w:color w:val="4C639D"/>
              </w:rPr>
              <w:t> </w:t>
            </w:r>
          </w:p>
        </w:tc>
        <w:tc>
          <w:tcPr>
            <w:tcW w:w="21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789</w:t>
            </w:r>
            <w:r>
              <w:rPr>
                <w:color w:val="FFFFFF"/>
              </w:rPr>
              <w:t> </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Fuel cell program discontinuation</w:t>
            </w:r>
            <w:r>
              <w:rPr>
                <w:rFonts w:ascii="Encode Sans;sans-serif" w:hAnsi="Encode Sans;sans-serif"/>
                <w:b w:val="false"/>
                <w:color w:val="000000"/>
                <w:sz w:val="9"/>
              </w:rPr>
              <w:t>(E)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733</w:t>
            </w:r>
            <w:r>
              <w:rPr>
                <w:color w:val="4C639D"/>
              </w:rPr>
              <w:t> </w:t>
            </w:r>
          </w:p>
        </w:tc>
        <w:tc>
          <w:tcPr>
            <w:tcW w:w="3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8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733</w:t>
            </w:r>
            <w:r>
              <w:rPr>
                <w:color w:val="FFFFFF"/>
              </w:rPr>
              <w:t> </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CAFE penalty rate</w:t>
            </w:r>
            <w:r>
              <w:rPr>
                <w:rFonts w:ascii="Encode Sans;sans-serif" w:hAnsi="Encode Sans;sans-serif"/>
                <w:b w:val="false"/>
                <w:color w:val="000000"/>
                <w:sz w:val="9"/>
              </w:rPr>
              <w:t>(F)</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269</w:t>
            </w:r>
            <w:r>
              <w:rPr>
                <w:color w:val="4C639D"/>
              </w:rPr>
              <w:t> </w:t>
            </w:r>
          </w:p>
        </w:tc>
        <w:tc>
          <w:tcPr>
            <w:tcW w:w="27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3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8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269</w:t>
            </w:r>
            <w:r>
              <w:rPr>
                <w:color w:val="FFFFFF"/>
              </w:rPr>
              <w:t> </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Stellantis Türkiye disposal</w:t>
            </w:r>
            <w:r>
              <w:rPr>
                <w:rFonts w:ascii="Encode Sans;sans-serif" w:hAnsi="Encode Sans;sans-serif"/>
                <w:b w:val="false"/>
                <w:color w:val="000000"/>
                <w:sz w:val="9"/>
              </w:rPr>
              <w:t>(G)</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3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246</w:t>
            </w:r>
            <w:r>
              <w:rPr>
                <w:color w:val="4C639D"/>
              </w:rPr>
              <w:t> </w:t>
            </w:r>
          </w:p>
        </w:tc>
        <w:tc>
          <w:tcPr>
            <w:tcW w:w="28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246</w:t>
            </w:r>
            <w:r>
              <w:rPr>
                <w:color w:val="FFFFFF"/>
              </w:rPr>
              <w:t> </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4"/>
              </w:rPr>
              <w:t>Other</w:t>
            </w:r>
            <w:r>
              <w:rPr>
                <w:rFonts w:ascii="Encode Sans;sans-serif" w:hAnsi="Encode Sans;sans-serif"/>
                <w:b w:val="false"/>
                <w:color w:val="000000"/>
                <w:sz w:val="9"/>
              </w:rPr>
              <w:t>(H)</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(83)</w:t>
            </w:r>
          </w:p>
        </w:tc>
        <w:tc>
          <w:tcPr>
            <w:tcW w:w="27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(23)</w:t>
            </w:r>
          </w:p>
        </w:tc>
        <w:tc>
          <w:tcPr>
            <w:tcW w:w="3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8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color w:val="4C639D"/>
              </w:rPr>
            </w:pPr>
            <w:r>
              <w:rPr>
                <w:color w:val="4C639D"/>
              </w:rPr>
              <w:t>—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w:t>
            </w:r>
            <w:r>
              <w:rPr>
                <w:color w:val="4C639D"/>
              </w:rPr>
              <w:t> </w:t>
            </w:r>
          </w:p>
        </w:tc>
        <w:tc>
          <w:tcPr>
            <w:tcW w:w="21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4C639D"/>
                <w:sz w:val="14"/>
              </w:rPr>
            </w:pPr>
            <w:r>
              <w:rPr>
                <w:rFonts w:ascii="Encode Sans;sans-serif" w:hAnsi="Encode Sans;sans-serif"/>
                <w:b/>
                <w:color w:val="4C639D"/>
                <w:sz w:val="14"/>
              </w:rPr>
              <w:t>(22)</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(126)</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4"/>
              </w:rPr>
            </w:pPr>
            <w:r>
              <w:rPr>
                <w:rFonts w:ascii="Encode Sans;sans-serif" w:hAnsi="Encode Sans;sans-serif"/>
                <w:b w:val="false"/>
                <w:color w:val="000000"/>
                <w:sz w:val="14"/>
              </w:rPr>
              <w:t>Total adjustments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472</w:t>
            </w:r>
            <w:r>
              <w:rPr>
                <w:color w:val="4C639D"/>
              </w:rPr>
              <w:t> </w:t>
            </w:r>
          </w:p>
        </w:tc>
        <w:tc>
          <w:tcPr>
            <w:tcW w:w="27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2,192</w:t>
            </w:r>
            <w:r>
              <w:rPr>
                <w:color w:val="4C639D"/>
              </w:rPr>
              <w:t> </w:t>
            </w:r>
          </w:p>
        </w:tc>
        <w:tc>
          <w:tcPr>
            <w:tcW w:w="3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254</w:t>
            </w:r>
            <w:r>
              <w:rPr>
                <w:color w:val="4C639D"/>
              </w:rPr>
              <w:t> </w:t>
            </w:r>
          </w:p>
        </w:tc>
        <w:tc>
          <w:tcPr>
            <w:tcW w:w="28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323</w:t>
            </w:r>
            <w:r>
              <w:rPr>
                <w:color w:val="4C639D"/>
              </w:rPr>
              <w:t> </w:t>
            </w:r>
          </w:p>
        </w:tc>
        <w:tc>
          <w:tcPr>
            <w:tcW w:w="271"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3</w:t>
            </w:r>
            <w:r>
              <w:rPr>
                <w:color w:val="4C639D"/>
              </w:rPr>
              <w:t> </w:t>
            </w:r>
          </w:p>
        </w:tc>
        <w:tc>
          <w:tcPr>
            <w:tcW w:w="214"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4C639D"/>
                <w:sz w:val="14"/>
              </w:rPr>
              <w:t>6</w:t>
            </w:r>
            <w:r>
              <w:rPr>
                <w:color w:val="4C639D"/>
              </w:rPr>
              <w:t> </w:t>
            </w:r>
          </w:p>
        </w:tc>
        <w:tc>
          <w:tcPr>
            <w:tcW w:w="212"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3,250</w:t>
            </w:r>
            <w:r>
              <w:rPr>
                <w:color w:val="FFFFFF"/>
              </w:rPr>
              <w:t> </w:t>
            </w:r>
          </w:p>
        </w:tc>
        <w:tc>
          <w:tcPr>
            <w:tcW w:w="44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6"/>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color w:val="4C639D"/>
                <w:sz w:val="14"/>
              </w:rPr>
              <w:t>Adjusted operating income</w:t>
            </w:r>
            <w:r>
              <w:rPr>
                <w:rFonts w:ascii="Encode Sans;sans-serif" w:hAnsi="Encode Sans;sans-serif"/>
                <w:b/>
                <w:color w:val="4C639D"/>
                <w:sz w:val="9"/>
              </w:rPr>
              <w:t>(1)</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(982)</w:t>
            </w:r>
          </w:p>
        </w:tc>
        <w:tc>
          <w:tcPr>
            <w:tcW w:w="272"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(67)</w:t>
            </w:r>
          </w:p>
        </w:tc>
        <w:tc>
          <w:tcPr>
            <w:tcW w:w="312"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768</w:t>
            </w:r>
            <w:r>
              <w:rPr>
                <w:color w:val="FFFFFF"/>
              </w:rPr>
              <w:t> </w:t>
            </w:r>
          </w:p>
        </w:tc>
        <w:tc>
          <w:tcPr>
            <w:tcW w:w="286"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1,189</w:t>
            </w:r>
            <w:r>
              <w:rPr>
                <w:color w:val="FFFFFF"/>
              </w:rPr>
              <w:t> </w:t>
            </w:r>
          </w:p>
        </w:tc>
        <w:tc>
          <w:tcPr>
            <w:tcW w:w="271"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color w:val="FFFFFF"/>
              </w:rPr>
            </w:pPr>
            <w:r>
              <w:rPr>
                <w:color w:val="FFFFFF"/>
              </w:rPr>
              <w:t>— </w:t>
            </w:r>
          </w:p>
        </w:tc>
        <w:tc>
          <w:tcPr>
            <w:tcW w:w="214"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4"/>
              </w:rPr>
            </w:pPr>
            <w:r>
              <w:rPr>
                <w:rFonts w:ascii="Encode Sans;sans-serif" w:hAnsi="Encode Sans;sans-serif"/>
                <w:b/>
                <w:color w:val="FFFFFF"/>
                <w:sz w:val="14"/>
              </w:rPr>
              <w:t>(368)</w:t>
            </w:r>
          </w:p>
        </w:tc>
        <w:tc>
          <w:tcPr>
            <w:tcW w:w="212"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243782"/>
            </w:tcBorders>
            <w:shd w:fill="243782"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4"/>
              </w:rPr>
              <w:t>540</w:t>
            </w:r>
            <w:r>
              <w:rPr>
                <w:color w:val="FFFFFF"/>
              </w:rPr>
              <w:t> </w:t>
            </w:r>
          </w:p>
        </w:tc>
        <w:tc>
          <w:tcPr>
            <w:tcW w:w="449"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 Other activities, unallocated items and eliminations</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 xml:space="preserve">(A) Primarily related to workforce reductions, mainly in Enlarged Europe, partially offset by a €41 million reduction in estimated North America restructuring costs </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(B) Related to stop-drive campaign on certain vehicles in Enlarged Europe announced in June 2025</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(C) Due to reduced volumes, platforms used for Maserati and Alfa Romeo vehicles were impaired and recognized in Enlarged Europe for €578 million</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(D) Primarily related to costs incurred as result of program cancellations</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(E) During the six months ended June 30, 2025, Stellantis decided to discontinue its fuel cell strategy. As a result, the following items have been impaired: (i) investment in Symbio (€179 million), (ii) loans granted to Symbio (€162 million), (iii) capitalized development expenditures and PPE related to fuel cells (€329 million) and (iv) in addition, provisions for risks were recognized (€63 million)</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(F) As a result of the elimination of CAFE fines with the enactment of the One Big Beautiful Bill Act, the Company recognized a net expense of €97 million, comprised of net €172 million of CAFE credits recognized as a reduction of Cost of revenues, which remains included in Adjusted operating income as these amounts reduced prior year CAFE fines, and a net expense of €269 million, which is excluded from AOI and comprised of (i) elimination of the CAFE provision of €844 million, (ii) impairment of the regulatory credit assets of €609 million, and (iii) onerous contracts related to contractual purchase commitments for CAFE credits of €504 million</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(G) Sale of Stellantis Türkiye to the Company’s joint venture, Tofas, for which the Company recognized an estimated loss on disposal of €246 million, driven primarily by the recycling of the cumulative translation reserve from Equity to the Consolidated Income Statement upon disposal</w:t>
      </w:r>
    </w:p>
    <w:p>
      <w:pPr>
        <w:pStyle w:val="TextBody"/>
        <w:bidi w:val="0"/>
        <w:spacing w:lineRule="auto" w:line="288"/>
        <w:jc w:val="left"/>
        <w:rPr>
          <w:rFonts w:ascii="Encode Sans;sans-serif" w:hAnsi="Encode Sans;sans-serif"/>
          <w:b w:val="false"/>
          <w:color w:val="000000"/>
          <w:sz w:val="13"/>
        </w:rPr>
      </w:pPr>
      <w:r>
        <w:rPr>
          <w:rFonts w:ascii="Encode Sans;sans-serif" w:hAnsi="Encode Sans;sans-serif"/>
          <w:b w:val="false"/>
          <w:color w:val="000000"/>
          <w:sz w:val="13"/>
        </w:rPr>
        <w:t xml:space="preserve">(H) Comprised primarily of (i) adjustments to costs previously recognized to support the workforce during the transformation of certain plants in North America, (ii) gains on sales of real estate in Enlarged Europe, and (iii) a gain from dilution related to the investment in Archer </w:t>
      </w:r>
    </w:p>
    <w:p>
      <w:pPr>
        <w:pStyle w:val="TextBody"/>
        <w:bidi w:val="0"/>
        <w:spacing w:before="0" w:after="0"/>
        <w:jc w:val="center"/>
        <w:rPr/>
      </w:pPr>
      <w:r>
        <w:rPr/>
        <w:drawing>
          <wp:inline distT="0" distB="0" distL="0" distR="0">
            <wp:extent cx="2428875" cy="6858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4790"/>
                <wp:effectExtent l="0" t="0" r="0" b="0"/>
                <wp:wrapNone/>
                <wp:docPr id="22" name="Frame12"/>
                <a:graphic xmlns:a="http://schemas.openxmlformats.org/drawingml/2006/main">
                  <a:graphicData uri="http://schemas.microsoft.com/office/word/2010/wordprocessingShape">
                    <wps:wsp>
                      <wps:cNvSpPr txBox="1"/>
                      <wps:spPr>
                        <a:xfrm>
                          <a:off x="0" y="0"/>
                          <a:ext cx="6480175" cy="224790"/>
                        </a:xfrm>
                        <a:prstGeom prst="rect"/>
                        <a:solidFill>
                          <a:srgbClr val="FFFFFF"/>
                        </a:solidFill>
                      </wps:spPr>
                      <wps:txb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8</w:t>
                      </w:r>
                    </w:p>
                  </w:txbxContent>
                </v:textbox>
                <w10:wrap type="none"/>
              </v:rect>
            </w:pict>
          </mc:Fallback>
        </mc:AlternateContent>
      </w:r>
    </w:p>
    <w:p>
      <w:pPr>
        <w:pStyle w:val="TextBody"/>
        <w:bidi w:val="0"/>
        <w:spacing w:lineRule="auto" w:line="288" w:before="0" w:after="0"/>
        <w:jc w:val="left"/>
        <w:rPr/>
      </w:pPr>
      <w:r>
        <w:rPr>
          <w:rFonts w:ascii="Encode Sans;sans-serif" w:hAnsi="Encode Sans;sans-serif"/>
          <w:b w:val="false"/>
          <w:color w:val="243782"/>
          <w:sz w:val="20"/>
        </w:rPr>
        <w:t>Diluted EPS to Adjusted diluted EPS</w:t>
      </w:r>
      <w:r>
        <w:rPr>
          <w:rFonts w:ascii="Encode Sans;sans-serif" w:hAnsi="Encode Sans;sans-serif"/>
          <w:b w:val="false"/>
          <w:color w:val="243782"/>
          <w:sz w:val="13"/>
        </w:rPr>
        <w:t xml:space="preserve">(5) </w:t>
      </w:r>
    </w:p>
    <w:tbl>
      <w:tblPr>
        <w:tblW w:w="10205" w:type="dxa"/>
        <w:jc w:val="left"/>
        <w:tblInd w:w="0" w:type="dxa"/>
        <w:tblLayout w:type="fixed"/>
        <w:tblCellMar>
          <w:top w:w="28" w:type="dxa"/>
          <w:left w:w="28" w:type="dxa"/>
          <w:bottom w:w="28" w:type="dxa"/>
          <w:right w:w="28" w:type="dxa"/>
        </w:tblCellMar>
      </w:tblPr>
      <w:tblGrid>
        <w:gridCol w:w="875"/>
        <w:gridCol w:w="576"/>
        <w:gridCol w:w="576"/>
        <w:gridCol w:w="576"/>
        <w:gridCol w:w="576"/>
        <w:gridCol w:w="593"/>
        <w:gridCol w:w="109"/>
        <w:gridCol w:w="109"/>
        <w:gridCol w:w="109"/>
        <w:gridCol w:w="607"/>
        <w:gridCol w:w="414"/>
        <w:gridCol w:w="232"/>
        <w:gridCol w:w="109"/>
        <w:gridCol w:w="109"/>
        <w:gridCol w:w="109"/>
        <w:gridCol w:w="509"/>
        <w:gridCol w:w="512"/>
        <w:gridCol w:w="232"/>
        <w:gridCol w:w="109"/>
        <w:gridCol w:w="109"/>
        <w:gridCol w:w="109"/>
        <w:gridCol w:w="607"/>
        <w:gridCol w:w="414"/>
        <w:gridCol w:w="246"/>
        <w:gridCol w:w="109"/>
        <w:gridCol w:w="109"/>
        <w:gridCol w:w="109"/>
        <w:gridCol w:w="509"/>
        <w:gridCol w:w="512"/>
        <w:gridCol w:w="331"/>
      </w:tblGrid>
      <w:tr>
        <w:trPr/>
        <w:tc>
          <w:tcPr>
            <w:tcW w:w="8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72" w:type="dxa"/>
            <w:gridSpan w:val="6"/>
            <w:tcBorders>
              <w:bottom w:val="single" w:sz="8" w:space="0" w:color="4C639D"/>
            </w:tcBorders>
            <w:tcMar>
              <w:top w:w="0"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243782"/>
                <w:sz w:val="13"/>
              </w:rPr>
            </w:pPr>
            <w:r>
              <w:rPr>
                <w:rFonts w:ascii="Encode Sans;sans-serif" w:hAnsi="Encode Sans;sans-serif"/>
                <w:b w:val="false"/>
                <w:color w:val="243782"/>
                <w:sz w:val="13"/>
              </w:rPr>
              <w:t>Results from continuing operations</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4C639D"/>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243782"/>
                <w:sz w:val="16"/>
              </w:rPr>
            </w:pPr>
            <w:r>
              <w:rPr>
                <w:rFonts w:ascii="Encode Sans;sans-serif" w:hAnsi="Encode Sans;sans-serif"/>
                <w:b w:val="false"/>
                <w:color w:val="243782"/>
                <w:sz w:val="16"/>
              </w:rPr>
              <w:t>(€ million, except as otherwise stated)</w:t>
            </w:r>
          </w:p>
        </w:tc>
        <w:tc>
          <w:tcPr>
            <w:tcW w:w="327" w:type="dxa"/>
            <w:gridSpan w:val="3"/>
            <w:tcBorders>
              <w:top w:val="single" w:sz="8" w:space="0" w:color="4C639D"/>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243782"/>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6"/>
              </w:rPr>
            </w:pPr>
            <w:r>
              <w:rPr>
                <w:rFonts w:ascii="Encode Sans;sans-serif" w:hAnsi="Encode Sans;sans-serif"/>
                <w:b/>
                <w:color w:val="FFFFFF"/>
                <w:sz w:val="16"/>
              </w:rPr>
              <w:t>Q2 2026</w:t>
            </w:r>
          </w:p>
        </w:tc>
        <w:tc>
          <w:tcPr>
            <w:tcW w:w="327" w:type="dxa"/>
            <w:gridSpan w:val="3"/>
            <w:tcBorders>
              <w:top w:val="single" w:sz="8" w:space="0" w:color="24378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243782"/>
            </w:tcBorders>
            <w:shd w:fill="F2F2F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6"/>
              </w:rPr>
            </w:pPr>
            <w:r>
              <w:rPr>
                <w:rFonts w:ascii="Encode Sans;sans-serif" w:hAnsi="Encode Sans;sans-serif"/>
                <w:b/>
                <w:color w:val="243782"/>
                <w:sz w:val="16"/>
              </w:rPr>
              <w:t>Q2 2025</w:t>
            </w:r>
          </w:p>
        </w:tc>
        <w:tc>
          <w:tcPr>
            <w:tcW w:w="327" w:type="dxa"/>
            <w:gridSpan w:val="3"/>
            <w:tcBorders>
              <w:top w:val="single" w:sz="8" w:space="0" w:color="24378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243782"/>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6"/>
              </w:rPr>
            </w:pPr>
            <w:r>
              <w:rPr>
                <w:rFonts w:ascii="Encode Sans;sans-serif" w:hAnsi="Encode Sans;sans-serif"/>
                <w:b/>
                <w:color w:val="FFFFFF"/>
                <w:sz w:val="16"/>
              </w:rPr>
              <w:t>YTD 2026</w:t>
            </w:r>
          </w:p>
        </w:tc>
        <w:tc>
          <w:tcPr>
            <w:tcW w:w="327" w:type="dxa"/>
            <w:gridSpan w:val="3"/>
            <w:tcBorders>
              <w:top w:val="single" w:sz="8" w:space="0" w:color="24378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243782"/>
            </w:tcBorders>
            <w:shd w:fill="F2F2F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6"/>
              </w:rPr>
            </w:pPr>
            <w:r>
              <w:rPr>
                <w:rFonts w:ascii="Encode Sans;sans-serif" w:hAnsi="Encode Sans;sans-serif"/>
                <w:b/>
                <w:color w:val="243782"/>
                <w:sz w:val="16"/>
              </w:rPr>
              <w:t>YTD 2025</w:t>
            </w:r>
          </w:p>
        </w:tc>
      </w:tr>
      <w:tr>
        <w:trPr/>
        <w:tc>
          <w:tcPr>
            <w:tcW w:w="3772" w:type="dxa"/>
            <w:gridSpan w:val="6"/>
            <w:tcBorders>
              <w:top w:val="single" w:sz="8" w:space="0" w:color="DBDBDB"/>
              <w:left w:val="single" w:sz="8" w:space="0" w:color="FFFFFF"/>
              <w:bottom w:val="single" w:sz="8" w:space="0" w:color="DBDBDB"/>
            </w:tcBorders>
            <w:tcMar>
              <w:top w:w="52"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5"/>
              </w:rPr>
            </w:pPr>
            <w:r>
              <w:rPr>
                <w:rFonts w:ascii="Encode Sans;sans-serif" w:hAnsi="Encode Sans;sans-serif"/>
                <w:b/>
                <w:color w:val="243782"/>
                <w:sz w:val="15"/>
              </w:rPr>
              <w:t>Net profit/(loss) attributable to owners of the parent</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266</w:t>
            </w:r>
            <w:r>
              <w:rPr>
                <w:color w:val="FFFFFF"/>
              </w:rPr>
              <w:t> </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rFonts w:ascii="Encode Sans;sans-serif" w:hAnsi="Encode Sans;sans-serif"/>
                <w:b/>
                <w:color w:val="243782"/>
                <w:sz w:val="15"/>
              </w:rPr>
            </w:pPr>
            <w:r>
              <w:rPr>
                <w:rFonts w:ascii="Encode Sans;sans-serif" w:hAnsi="Encode Sans;sans-serif"/>
                <w:b/>
                <w:color w:val="243782"/>
                <w:sz w:val="15"/>
              </w:rPr>
              <w:t>(1,869)</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656</w:t>
            </w:r>
            <w:r>
              <w:rPr>
                <w:color w:val="FFFFFF"/>
              </w:rPr>
              <w:t> </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rFonts w:ascii="Encode Sans;sans-serif" w:hAnsi="Encode Sans;sans-serif"/>
                <w:b/>
                <w:color w:val="243782"/>
                <w:sz w:val="15"/>
              </w:rPr>
            </w:pPr>
            <w:r>
              <w:rPr>
                <w:rFonts w:ascii="Encode Sans;sans-serif" w:hAnsi="Encode Sans;sans-serif"/>
                <w:b/>
                <w:color w:val="243782"/>
                <w:sz w:val="15"/>
              </w:rPr>
              <w:t>(2,240)</w:t>
            </w:r>
          </w:p>
        </w:tc>
        <w:tc>
          <w:tcPr>
            <w:tcW w:w="331"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bottom w:val="single" w:sz="8" w:space="0" w:color="DBDBDB"/>
            </w:tcBorders>
            <w:tcMar>
              <w:top w:w="52"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5"/>
              </w:rPr>
              <w:t>Coupon and tax impacts on Hybrid perpetual notes</w:t>
            </w:r>
            <w:r>
              <w:rPr>
                <w:rFonts w:ascii="Encode Sans;sans-serif" w:hAnsi="Encode Sans;sans-serif"/>
                <w:b w:val="false"/>
                <w:color w:val="000000"/>
                <w:sz w:val="10"/>
              </w:rPr>
              <w:t>(A)</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(72)</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(64)</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331"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bottom w:val="single" w:sz="8" w:space="0" w:color="DBDBDB"/>
            </w:tcBorders>
            <w:tcMar>
              <w:top w:w="52"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Weighted average number of shares outstanding (000)</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2,898,791</w:t>
            </w:r>
            <w:r>
              <w:rPr>
                <w:color w:val="FFFFFF"/>
              </w:rPr>
              <w:t> </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2,884,704</w:t>
            </w:r>
            <w:r>
              <w:rPr>
                <w:color w:val="243782"/>
              </w:rPr>
              <w:t> </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2,898,144</w:t>
            </w:r>
            <w:r>
              <w:rPr>
                <w:color w:val="FFFFFF"/>
              </w:rPr>
              <w:t> </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2,882,611</w:t>
            </w:r>
            <w:r>
              <w:rPr>
                <w:color w:val="243782"/>
              </w:rPr>
              <w:t> </w:t>
            </w:r>
          </w:p>
        </w:tc>
        <w:tc>
          <w:tcPr>
            <w:tcW w:w="331"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bottom w:val="single" w:sz="8" w:space="0" w:color="DBDBDB"/>
            </w:tcBorders>
            <w:tcMar>
              <w:top w:w="52"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5"/>
              </w:rPr>
              <w:t>Number of shares deployable for share-based compensation (000)</w:t>
            </w:r>
            <w:r>
              <w:rPr>
                <w:rFonts w:ascii="Encode Sans;sans-serif" w:hAnsi="Encode Sans;sans-serif"/>
                <w:b w:val="false"/>
                <w:color w:val="000000"/>
                <w:sz w:val="10"/>
              </w:rPr>
              <w:t>(B)</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18,903</w:t>
            </w:r>
            <w:r>
              <w:rPr>
                <w:color w:val="FFFFFF"/>
              </w:rPr>
              <w:t> </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11,233</w:t>
            </w:r>
            <w:r>
              <w:rPr>
                <w:color w:val="FFFFFF"/>
              </w:rPr>
              <w:t> </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color w:val="243782"/>
              </w:rPr>
            </w:pPr>
            <w:r>
              <w:rPr>
                <w:color w:val="243782"/>
              </w:rPr>
              <w:t>— </w:t>
            </w:r>
          </w:p>
        </w:tc>
        <w:tc>
          <w:tcPr>
            <w:tcW w:w="331"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bottom w:val="single" w:sz="8" w:space="0" w:color="DBDBDB"/>
            </w:tcBorders>
            <w:tcMar>
              <w:top w:w="52"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Weighted average number of shares outstanding for diluted earnings per share (000)</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2,917,694</w:t>
            </w:r>
            <w:r>
              <w:rPr>
                <w:color w:val="FFFFFF"/>
              </w:rPr>
              <w:t> </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2,884,704</w:t>
            </w:r>
            <w:r>
              <w:rPr>
                <w:color w:val="243782"/>
              </w:rPr>
              <w:t> </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2,909,377</w:t>
            </w:r>
            <w:r>
              <w:rPr>
                <w:color w:val="FFFFFF"/>
              </w:rPr>
              <w:t> </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2,882,611</w:t>
            </w:r>
            <w:r>
              <w:rPr>
                <w:color w:val="243782"/>
              </w:rPr>
              <w:t> </w:t>
            </w:r>
          </w:p>
        </w:tc>
        <w:tc>
          <w:tcPr>
            <w:tcW w:w="331"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bottom w:val="single" w:sz="8" w:space="0" w:color="DBDBDB"/>
            </w:tcBorders>
            <w:tcMar>
              <w:top w:w="52"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5"/>
              </w:rPr>
            </w:pPr>
            <w:r>
              <w:rPr>
                <w:rFonts w:ascii="Encode Sans;sans-serif" w:hAnsi="Encode Sans;sans-serif"/>
                <w:b/>
                <w:color w:val="243782"/>
                <w:sz w:val="15"/>
              </w:rPr>
              <w:t>Diluted earnings/(loss) per share (A) (€/share)</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0.07</w:t>
            </w:r>
            <w:r>
              <w:rPr>
                <w:color w:val="FFFFFF"/>
              </w:rPr>
              <w:t> </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rFonts w:ascii="Encode Sans;sans-serif" w:hAnsi="Encode Sans;sans-serif"/>
                <w:b/>
                <w:color w:val="243782"/>
                <w:sz w:val="15"/>
              </w:rPr>
            </w:pPr>
            <w:r>
              <w:rPr>
                <w:rFonts w:ascii="Encode Sans;sans-serif" w:hAnsi="Encode Sans;sans-serif"/>
                <w:b/>
                <w:color w:val="243782"/>
                <w:sz w:val="15"/>
              </w:rPr>
              <w:t>(0.65)</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0.20</w:t>
            </w:r>
            <w:r>
              <w:rPr>
                <w:color w:val="FFFFFF"/>
              </w:rPr>
              <w:t> </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rFonts w:ascii="Encode Sans;sans-serif" w:hAnsi="Encode Sans;sans-serif"/>
                <w:b/>
                <w:color w:val="243782"/>
                <w:sz w:val="15"/>
              </w:rPr>
            </w:pPr>
            <w:r>
              <w:rPr>
                <w:rFonts w:ascii="Encode Sans;sans-serif" w:hAnsi="Encode Sans;sans-serif"/>
                <w:b/>
                <w:color w:val="243782"/>
                <w:sz w:val="15"/>
              </w:rPr>
              <w:t>(0.78)</w:t>
            </w:r>
          </w:p>
        </w:tc>
        <w:tc>
          <w:tcPr>
            <w:tcW w:w="331" w:type="dxa"/>
            <w:tcBorders>
              <w:top w:val="single" w:sz="8" w:space="0" w:color="DBDBDB"/>
              <w:right w:val="single" w:sz="8" w:space="0" w:color="DBDBDB"/>
            </w:tcBorders>
            <w:shd w:fill="F2F2F2"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bottom w:val="single" w:sz="8" w:space="0" w:color="DBDBDB"/>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DBDBDB"/>
              <w:left w:val="single" w:sz="8" w:space="0" w:color="DBDBDB"/>
            </w:tcBorders>
            <w:shd w:fill="4C639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DBDBDB"/>
              <w:left w:val="single" w:sz="8" w:space="0" w:color="DBDBDB"/>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DBDBDB"/>
              <w:left w:val="single" w:sz="8" w:space="0" w:color="DBDBDB"/>
            </w:tcBorders>
            <w:shd w:fill="4C639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DBDBDB"/>
              <w:left w:val="single" w:sz="8" w:space="0" w:color="DBDBDB"/>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bottom w:val="single" w:sz="8" w:space="0" w:color="DBDBDB"/>
            </w:tcBorders>
            <w:tcMar>
              <w:top w:w="52"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Adjustments, per above</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71</w:t>
            </w:r>
            <w:r>
              <w:rPr>
                <w:color w:val="FFFFFF"/>
              </w:rPr>
              <w:t> </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2,607</w:t>
            </w:r>
            <w:r>
              <w:rPr>
                <w:color w:val="243782"/>
              </w:rPr>
              <w:t> </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343</w:t>
            </w:r>
            <w:r>
              <w:rPr>
                <w:color w:val="FFFFFF"/>
              </w:rPr>
              <w:t> </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3,250</w:t>
            </w:r>
            <w:r>
              <w:rPr>
                <w:color w:val="243782"/>
              </w:rPr>
              <w:t> </w:t>
            </w:r>
          </w:p>
        </w:tc>
        <w:tc>
          <w:tcPr>
            <w:tcW w:w="331"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tcBorders>
            <w:tcMar>
              <w:top w:w="52"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5"/>
              </w:rPr>
              <w:t>Tax impact on adjustments</w:t>
            </w:r>
            <w:r>
              <w:rPr>
                <w:rFonts w:ascii="Encode Sans;sans-serif" w:hAnsi="Encode Sans;sans-serif"/>
                <w:b w:val="false"/>
                <w:color w:val="000000"/>
                <w:sz w:val="10"/>
              </w:rPr>
              <w:t>(C)</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67</w:t>
            </w:r>
            <w:r>
              <w:rPr>
                <w:color w:val="FFFFFF"/>
              </w:rPr>
              <w:t> </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rFonts w:ascii="Encode Sans;sans-serif" w:hAnsi="Encode Sans;sans-serif"/>
                <w:b/>
                <w:color w:val="243782"/>
                <w:sz w:val="15"/>
              </w:rPr>
            </w:pPr>
            <w:r>
              <w:rPr>
                <w:rFonts w:ascii="Encode Sans;sans-serif" w:hAnsi="Encode Sans;sans-serif"/>
                <w:b/>
                <w:color w:val="243782"/>
                <w:sz w:val="15"/>
              </w:rPr>
              <w:t>(308)</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19</w:t>
            </w:r>
            <w:r>
              <w:rPr>
                <w:color w:val="FFFFFF"/>
              </w:rPr>
              <w:t> </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rFonts w:ascii="Encode Sans;sans-serif" w:hAnsi="Encode Sans;sans-serif"/>
                <w:b/>
                <w:color w:val="243782"/>
                <w:sz w:val="15"/>
              </w:rPr>
            </w:pPr>
            <w:r>
              <w:rPr>
                <w:rFonts w:ascii="Encode Sans;sans-serif" w:hAnsi="Encode Sans;sans-serif"/>
                <w:b/>
                <w:color w:val="243782"/>
                <w:sz w:val="15"/>
              </w:rPr>
              <w:t>(470)</w:t>
            </w:r>
          </w:p>
        </w:tc>
        <w:tc>
          <w:tcPr>
            <w:tcW w:w="331"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bottom w:val="single" w:sz="8" w:space="0" w:color="DBDBDB"/>
            </w:tcBorders>
            <w:tcMar>
              <w:top w:w="52"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5"/>
              </w:rPr>
            </w:pPr>
            <w:r>
              <w:rPr>
                <w:rFonts w:ascii="Encode Sans;sans-serif" w:hAnsi="Encode Sans;sans-serif"/>
                <w:b/>
                <w:color w:val="243782"/>
                <w:sz w:val="15"/>
              </w:rPr>
              <w:t>Total adjustments, net of taxes</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138</w:t>
            </w:r>
            <w:r>
              <w:rPr>
                <w:color w:val="FFFFFF"/>
              </w:rPr>
              <w:t> </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2,299</w:t>
            </w:r>
            <w:r>
              <w:rPr>
                <w:color w:val="243782"/>
              </w:rPr>
              <w:t> </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362</w:t>
            </w:r>
            <w:r>
              <w:rPr>
                <w:color w:val="FFFFFF"/>
              </w:rPr>
              <w:t> </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2,780</w:t>
            </w:r>
            <w:r>
              <w:rPr>
                <w:color w:val="243782"/>
              </w:rPr>
              <w:t> </w:t>
            </w:r>
          </w:p>
        </w:tc>
        <w:tc>
          <w:tcPr>
            <w:tcW w:w="331"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tcBorders>
            <w:tcMar>
              <w:top w:w="52"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Number of shares deployable for share-based compensation (000)</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17,162</w:t>
            </w:r>
            <w:r>
              <w:rPr>
                <w:color w:val="243782"/>
              </w:rPr>
              <w:t> </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17,162</w:t>
            </w:r>
            <w:r>
              <w:rPr>
                <w:color w:val="243782"/>
              </w:rPr>
              <w:t> </w:t>
            </w:r>
          </w:p>
        </w:tc>
        <w:tc>
          <w:tcPr>
            <w:tcW w:w="331"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bottom w:val="single" w:sz="8" w:space="0" w:color="DBDBDB"/>
            </w:tcBorders>
            <w:tcMar>
              <w:top w:w="52"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Impact of adjustments above, net of taxes, on Diluted earnings per share from continuing operations (B) (€/share)</w:t>
            </w:r>
          </w:p>
        </w:tc>
        <w:tc>
          <w:tcPr>
            <w:tcW w:w="327" w:type="dxa"/>
            <w:gridSpan w:val="3"/>
            <w:tcBorders>
              <w:top w:val="single" w:sz="8" w:space="0" w:color="DBDBDB"/>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0.05</w:t>
            </w:r>
            <w:r>
              <w:rPr>
                <w:color w:val="FFFFFF"/>
              </w:rPr>
              <w:t> </w:t>
            </w:r>
          </w:p>
        </w:tc>
        <w:tc>
          <w:tcPr>
            <w:tcW w:w="232"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0.80</w:t>
            </w:r>
            <w:r>
              <w:rPr>
                <w:color w:val="243782"/>
              </w:rPr>
              <w:t> </w:t>
            </w:r>
          </w:p>
        </w:tc>
        <w:tc>
          <w:tcPr>
            <w:tcW w:w="232"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4C639D"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0.12</w:t>
            </w:r>
            <w:r>
              <w:rPr>
                <w:color w:val="FFFFFF"/>
              </w:rPr>
              <w:t> </w:t>
            </w:r>
          </w:p>
        </w:tc>
        <w:tc>
          <w:tcPr>
            <w:tcW w:w="24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tcBorders>
            <w:shd w:fill="F2F2F2" w:val="clear"/>
            <w:tcMar>
              <w:top w:w="52"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0.96</w:t>
            </w:r>
            <w:r>
              <w:rPr>
                <w:color w:val="243782"/>
              </w:rPr>
              <w:t> </w:t>
            </w:r>
          </w:p>
        </w:tc>
        <w:tc>
          <w:tcPr>
            <w:tcW w:w="331"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2" w:type="dxa"/>
            <w:gridSpan w:val="6"/>
            <w:tcBorders>
              <w:top w:val="single" w:sz="8" w:space="0" w:color="DBDBDB"/>
              <w:left w:val="single" w:sz="8" w:space="0" w:color="FFFFFF"/>
              <w:bottom w:val="single" w:sz="8" w:space="0" w:color="DBDBDB"/>
            </w:tcBorders>
            <w:tcMar>
              <w:top w:w="52" w:type="dxa"/>
              <w:bottom w:w="30" w:type="dxa"/>
              <w:right w:w="0" w:type="dxa"/>
            </w:tcMar>
            <w:vAlign w:val="center"/>
          </w:tcPr>
          <w:p>
            <w:pPr>
              <w:pStyle w:val="TableContents"/>
              <w:bidi w:val="0"/>
              <w:spacing w:lineRule="auto" w:line="288" w:before="0" w:after="0"/>
              <w:jc w:val="left"/>
              <w:rPr/>
            </w:pPr>
            <w:r>
              <w:rPr>
                <w:rFonts w:ascii="Encode Sans;sans-serif" w:hAnsi="Encode Sans;sans-serif"/>
                <w:b/>
                <w:color w:val="243782"/>
                <w:sz w:val="15"/>
              </w:rPr>
              <w:t>Adjusted Diluted earnings per share</w:t>
            </w:r>
            <w:r>
              <w:rPr>
                <w:rFonts w:ascii="Encode Sans;sans-serif" w:hAnsi="Encode Sans;sans-serif"/>
                <w:b/>
                <w:color w:val="243782"/>
                <w:sz w:val="10"/>
              </w:rPr>
              <w:t xml:space="preserve">(5) </w:t>
            </w:r>
            <w:r>
              <w:rPr>
                <w:rFonts w:ascii="Encode Sans;sans-serif" w:hAnsi="Encode Sans;sans-serif"/>
                <w:b/>
                <w:color w:val="243782"/>
                <w:sz w:val="15"/>
              </w:rPr>
              <w:t>(€/share) (A+B)</w:t>
            </w:r>
          </w:p>
        </w:tc>
        <w:tc>
          <w:tcPr>
            <w:tcW w:w="327" w:type="dxa"/>
            <w:gridSpan w:val="3"/>
            <w:tcBorders>
              <w:top w:val="single" w:sz="8" w:space="0" w:color="DBDBDB"/>
              <w:left w:val="single" w:sz="8" w:space="0" w:color="FFFFFF"/>
              <w:bottom w:val="single" w:sz="8" w:space="0" w:color="DBDBDB"/>
            </w:tcBorders>
            <w:tcMar>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bottom w:val="single" w:sz="8" w:space="0" w:color="DBDBDB"/>
            </w:tcBorders>
            <w:shd w:fill="4C639D" w:val="clear"/>
            <w:tcMar>
              <w:top w:w="52"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0.12</w:t>
            </w:r>
            <w:r>
              <w:rPr>
                <w:color w:val="FFFFFF"/>
              </w:rPr>
              <w:t> </w:t>
            </w:r>
          </w:p>
        </w:tc>
        <w:tc>
          <w:tcPr>
            <w:tcW w:w="232" w:type="dxa"/>
            <w:tcBorders>
              <w:top w:val="single" w:sz="8" w:space="0" w:color="DBDBDB"/>
              <w:bottom w:val="single" w:sz="8" w:space="0" w:color="DBDBDB"/>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bottom w:val="single" w:sz="8" w:space="0" w:color="DBDBDB"/>
            </w:tcBorders>
            <w:shd w:fill="F2F2F2" w:val="clear"/>
            <w:tcMar>
              <w:top w:w="52"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0.15</w:t>
            </w:r>
            <w:r>
              <w:rPr>
                <w:color w:val="243782"/>
              </w:rPr>
              <w:t> </w:t>
            </w:r>
          </w:p>
        </w:tc>
        <w:tc>
          <w:tcPr>
            <w:tcW w:w="232" w:type="dxa"/>
            <w:tcBorders>
              <w:top w:val="single" w:sz="8" w:space="0" w:color="DBDBDB"/>
              <w:bottom w:val="single" w:sz="8" w:space="0" w:color="DBDBDB"/>
            </w:tcBorders>
            <w:shd w:fill="F2F2F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bottom w:val="single" w:sz="8" w:space="0" w:color="DBDBDB"/>
            </w:tcBorders>
            <w:shd w:fill="4C639D" w:val="clear"/>
            <w:tcMar>
              <w:top w:w="52"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0.32</w:t>
            </w:r>
            <w:r>
              <w:rPr>
                <w:color w:val="FFFFFF"/>
              </w:rPr>
              <w:t> </w:t>
            </w:r>
          </w:p>
        </w:tc>
        <w:tc>
          <w:tcPr>
            <w:tcW w:w="246" w:type="dxa"/>
            <w:tcBorders>
              <w:top w:val="single" w:sz="8" w:space="0" w:color="DBDBDB"/>
              <w:bottom w:val="single" w:sz="8" w:space="0" w:color="DBDBDB"/>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BDBDB"/>
              <w:left w:val="single" w:sz="8" w:space="0" w:color="DBDBDB"/>
              <w:bottom w:val="single" w:sz="8" w:space="0" w:color="DBDBDB"/>
            </w:tcBorders>
            <w:shd w:fill="F2F2F2" w:val="clear"/>
            <w:tcMar>
              <w:top w:w="52"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0.18</w:t>
            </w:r>
            <w:r>
              <w:rPr>
                <w:color w:val="243782"/>
              </w:rPr>
              <w:t> </w:t>
            </w:r>
          </w:p>
        </w:tc>
        <w:tc>
          <w:tcPr>
            <w:tcW w:w="331" w:type="dxa"/>
            <w:tcBorders>
              <w:top w:val="single" w:sz="8" w:space="0" w:color="DBDBDB"/>
              <w:bottom w:val="single" w:sz="8" w:space="0" w:color="DBDBDB"/>
            </w:tcBorders>
            <w:shd w:fill="F2F2F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______________________________________________________________________________________________________________________________________________</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(A) In 2026, following the issuance of Hybrid perpetual notes classified as equity, coupons accrued on these instruments, together with the Hybrid perpetual notes, are accounted for in a separate reserve within equity, which is not available for distribution to equity holders. The deferred tax effect arising from the issuance discount and other costs on the Hybrid perpetual notes is also recognized directly in equity within Retained earnings and other reserves. Accordingly, the coupon accrued and the deferred tax impact are deducted from Net profit/(loss) attributable to the equity holders of the parent in calculating both basic and diluted earnings per share. No such adjustment was required in 2025, as no Hybrid perpetual notes were outstanding during that period</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(B) For the three and six months ended June 30, 2025, the Company reported a loss attributable to the owners of the parent. Consequently, the potential dilutive impact of share-based payment plans was excluded from the calculation of diluted earnings/(loss) per share, as their inclusion would have been anti-dilutive. However, for the purpose of calculating Adjusted diluted earnings per share, the adjusted net result reflects a profit. Therefore, the potential dilutive effect of share-based payment plans has been included in this calculation, as their impact is dilutive under these circumstances</w:t>
      </w:r>
    </w:p>
    <w:p>
      <w:pPr>
        <w:pStyle w:val="TextBody"/>
        <w:bidi w:val="0"/>
        <w:spacing w:lineRule="auto" w:line="288" w:before="0" w:after="0"/>
        <w:jc w:val="left"/>
        <w:rPr>
          <w:rFonts w:ascii="Encode Sans;sans-serif" w:hAnsi="Encode Sans;sans-serif"/>
          <w:b w:val="false"/>
          <w:color w:val="000000"/>
          <w:sz w:val="13"/>
        </w:rPr>
      </w:pPr>
      <w:r>
        <w:rPr>
          <w:rFonts w:ascii="Encode Sans;sans-serif" w:hAnsi="Encode Sans;sans-serif"/>
          <w:b w:val="false"/>
          <w:color w:val="000000"/>
          <w:sz w:val="13"/>
        </w:rPr>
        <w:t>(C) Tax impact on adjustments is calculated based on the expected local country tax implications for each adjustment</w:t>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jc w:val="left"/>
        <w:rPr/>
      </w:pPr>
      <w:r>
        <w:rPr/>
      </w:r>
    </w:p>
    <w:p>
      <w:pPr>
        <w:pStyle w:val="TextBody"/>
        <w:bidi w:val="0"/>
        <w:spacing w:lineRule="auto" w:line="288" w:before="0" w:after="0"/>
        <w:jc w:val="left"/>
        <w:rPr>
          <w:rFonts w:ascii="Encode Sans;sans-serif" w:hAnsi="Encode Sans;sans-serif"/>
          <w:b w:val="false"/>
          <w:color w:val="243782"/>
          <w:sz w:val="20"/>
        </w:rPr>
      </w:pPr>
      <w:r>
        <w:rPr>
          <w:rFonts w:ascii="Encode Sans;sans-serif" w:hAnsi="Encode Sans;sans-serif"/>
          <w:b w:val="false"/>
          <w:color w:val="243782"/>
          <w:sz w:val="20"/>
        </w:rPr>
        <w:t>Cash flows from operating activities to Industrial free cash flows</w:t>
      </w:r>
    </w:p>
    <w:tbl>
      <w:tblPr>
        <w:tblW w:w="10205" w:type="dxa"/>
        <w:jc w:val="left"/>
        <w:tblInd w:w="0" w:type="dxa"/>
        <w:tblLayout w:type="fixed"/>
        <w:tblCellMar>
          <w:top w:w="28" w:type="dxa"/>
          <w:left w:w="28" w:type="dxa"/>
          <w:bottom w:w="28" w:type="dxa"/>
          <w:right w:w="28" w:type="dxa"/>
        </w:tblCellMar>
      </w:tblPr>
      <w:tblGrid>
        <w:gridCol w:w="1117"/>
        <w:gridCol w:w="807"/>
        <w:gridCol w:w="804"/>
        <w:gridCol w:w="804"/>
        <w:gridCol w:w="804"/>
        <w:gridCol w:w="815"/>
        <w:gridCol w:w="109"/>
        <w:gridCol w:w="109"/>
        <w:gridCol w:w="109"/>
        <w:gridCol w:w="404"/>
        <w:gridCol w:w="278"/>
        <w:gridCol w:w="227"/>
        <w:gridCol w:w="109"/>
        <w:gridCol w:w="109"/>
        <w:gridCol w:w="109"/>
        <w:gridCol w:w="400"/>
        <w:gridCol w:w="282"/>
        <w:gridCol w:w="227"/>
        <w:gridCol w:w="109"/>
        <w:gridCol w:w="109"/>
        <w:gridCol w:w="109"/>
        <w:gridCol w:w="347"/>
        <w:gridCol w:w="335"/>
        <w:gridCol w:w="239"/>
        <w:gridCol w:w="109"/>
        <w:gridCol w:w="109"/>
        <w:gridCol w:w="109"/>
        <w:gridCol w:w="341"/>
        <w:gridCol w:w="342"/>
        <w:gridCol w:w="324"/>
      </w:tblGrid>
      <w:tr>
        <w:trPr/>
        <w:tc>
          <w:tcPr>
            <w:tcW w:w="11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5151" w:type="dxa"/>
            <w:gridSpan w:val="6"/>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16"/>
              </w:rPr>
            </w:pPr>
            <w:r>
              <w:rPr>
                <w:rFonts w:ascii="Encode Sans;sans-serif" w:hAnsi="Encode Sans;sans-serif"/>
                <w:b w:val="false"/>
                <w:color w:val="243782"/>
                <w:sz w:val="16"/>
              </w:rPr>
              <w:t>(€ million)</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243782"/>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6"/>
              </w:rPr>
            </w:pPr>
            <w:r>
              <w:rPr>
                <w:rFonts w:ascii="Encode Sans;sans-serif" w:hAnsi="Encode Sans;sans-serif"/>
                <w:b/>
                <w:color w:val="FFFFFF"/>
                <w:sz w:val="16"/>
              </w:rPr>
              <w:t>Q2 2026</w:t>
            </w:r>
          </w:p>
        </w:tc>
        <w:tc>
          <w:tcPr>
            <w:tcW w:w="327" w:type="dxa"/>
            <w:gridSpan w:val="3"/>
            <w:tcBorders>
              <w:top w:val="single" w:sz="8" w:space="0" w:color="24378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243782"/>
            </w:tcBorders>
            <w:shd w:fill="F2F2F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6"/>
              </w:rPr>
            </w:pPr>
            <w:r>
              <w:rPr>
                <w:rFonts w:ascii="Encode Sans;sans-serif" w:hAnsi="Encode Sans;sans-serif"/>
                <w:b/>
                <w:color w:val="243782"/>
                <w:sz w:val="16"/>
              </w:rPr>
              <w:t>Q2 2025</w:t>
            </w:r>
          </w:p>
        </w:tc>
        <w:tc>
          <w:tcPr>
            <w:tcW w:w="327" w:type="dxa"/>
            <w:gridSpan w:val="3"/>
            <w:tcBorders>
              <w:top w:val="single" w:sz="8" w:space="0" w:color="24378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243782"/>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6"/>
              </w:rPr>
            </w:pPr>
            <w:r>
              <w:rPr>
                <w:rFonts w:ascii="Encode Sans;sans-serif" w:hAnsi="Encode Sans;sans-serif"/>
                <w:b/>
                <w:color w:val="FFFFFF"/>
                <w:sz w:val="16"/>
              </w:rPr>
              <w:t>YTD 2026</w:t>
            </w:r>
          </w:p>
        </w:tc>
        <w:tc>
          <w:tcPr>
            <w:tcW w:w="327" w:type="dxa"/>
            <w:gridSpan w:val="3"/>
            <w:tcBorders>
              <w:top w:val="single" w:sz="8" w:space="0" w:color="24378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243782"/>
            </w:tcBorders>
            <w:shd w:fill="F2F2F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243782"/>
                <w:sz w:val="16"/>
              </w:rPr>
            </w:pPr>
            <w:r>
              <w:rPr>
                <w:rFonts w:ascii="Encode Sans;sans-serif" w:hAnsi="Encode Sans;sans-serif"/>
                <w:b/>
                <w:color w:val="243782"/>
                <w:sz w:val="16"/>
              </w:rPr>
              <w:t>YTD 2025</w:t>
            </w:r>
          </w:p>
        </w:tc>
      </w:tr>
      <w:tr>
        <w:trPr/>
        <w:tc>
          <w:tcPr>
            <w:tcW w:w="2728"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tcPr>
          <w:p>
            <w:pPr>
              <w:pStyle w:val="TableContents"/>
              <w:bidi w:val="0"/>
              <w:spacing w:before="0" w:after="283"/>
              <w:jc w:val="left"/>
              <w:rPr>
                <w:sz w:val="4"/>
                <w:szCs w:val="4"/>
              </w:rPr>
            </w:pPr>
            <w:r>
              <w:rPr>
                <w:sz w:val="4"/>
                <w:szCs w:val="4"/>
              </w:rPr>
            </w:r>
          </w:p>
        </w:tc>
      </w:tr>
      <w:tr>
        <w:trPr/>
        <w:tc>
          <w:tcPr>
            <w:tcW w:w="2728"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tcPr>
          <w:p>
            <w:pPr>
              <w:pStyle w:val="TableContents"/>
              <w:bidi w:val="0"/>
              <w:spacing w:before="0" w:after="283"/>
              <w:jc w:val="left"/>
              <w:rPr>
                <w:sz w:val="4"/>
                <w:szCs w:val="4"/>
              </w:rPr>
            </w:pPr>
            <w:r>
              <w:rPr>
                <w:sz w:val="4"/>
                <w:szCs w:val="4"/>
              </w:rPr>
            </w:r>
          </w:p>
        </w:tc>
      </w:tr>
      <w:tr>
        <w:trPr/>
        <w:tc>
          <w:tcPr>
            <w:tcW w:w="5151"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5"/>
              </w:rPr>
            </w:pPr>
            <w:r>
              <w:rPr>
                <w:rFonts w:ascii="Encode Sans;sans-serif" w:hAnsi="Encode Sans;sans-serif"/>
                <w:b/>
                <w:color w:val="243782"/>
                <w:sz w:val="15"/>
              </w:rPr>
              <w:t>Cash flows from/(used in) operating activities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FFFFFF"/>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(169)</w:t>
            </w:r>
          </w:p>
        </w:tc>
        <w:tc>
          <w:tcPr>
            <w:tcW w:w="227" w:type="dxa"/>
            <w:tcBorders>
              <w:top w:val="single" w:sz="8" w:space="0" w:color="FFFFFF"/>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559</w:t>
            </w:r>
            <w:r>
              <w:rPr>
                <w:color w:val="243782"/>
              </w:rPr>
              <w:t> </w:t>
            </w:r>
          </w:p>
        </w:tc>
        <w:tc>
          <w:tcPr>
            <w:tcW w:w="227"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FFFFFF"/>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(2,887)</w:t>
            </w:r>
          </w:p>
        </w:tc>
        <w:tc>
          <w:tcPr>
            <w:tcW w:w="239" w:type="dxa"/>
            <w:tcBorders>
              <w:top w:val="single" w:sz="8" w:space="0" w:color="FFFFFF"/>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243782"/>
                <w:sz w:val="15"/>
              </w:rPr>
            </w:pPr>
            <w:r>
              <w:rPr>
                <w:rFonts w:ascii="Encode Sans;sans-serif" w:hAnsi="Encode Sans;sans-serif"/>
                <w:b/>
                <w:color w:val="243782"/>
                <w:sz w:val="15"/>
              </w:rPr>
              <w:t>(2,287)</w:t>
            </w:r>
          </w:p>
        </w:tc>
        <w:tc>
          <w:tcPr>
            <w:tcW w:w="324"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Less: Financial services, net of inter-segment eliminations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(2,951)</w:t>
            </w:r>
          </w:p>
        </w:tc>
        <w:tc>
          <w:tcPr>
            <w:tcW w:w="22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243782"/>
                <w:sz w:val="15"/>
              </w:rPr>
            </w:pPr>
            <w:r>
              <w:rPr>
                <w:rFonts w:ascii="Encode Sans;sans-serif" w:hAnsi="Encode Sans;sans-serif"/>
                <w:b/>
                <w:color w:val="243782"/>
                <w:sz w:val="15"/>
              </w:rPr>
              <w:t>(2,056)</w:t>
            </w:r>
          </w:p>
        </w:tc>
        <w:tc>
          <w:tcPr>
            <w:tcW w:w="227"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(5,444)</w:t>
            </w:r>
          </w:p>
        </w:tc>
        <w:tc>
          <w:tcPr>
            <w:tcW w:w="23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243782"/>
                <w:sz w:val="15"/>
              </w:rPr>
            </w:pPr>
            <w:r>
              <w:rPr>
                <w:rFonts w:ascii="Encode Sans;sans-serif" w:hAnsi="Encode Sans;sans-serif"/>
                <w:b/>
                <w:color w:val="243782"/>
                <w:sz w:val="15"/>
              </w:rPr>
              <w:t>(4,397)</w:t>
            </w:r>
          </w:p>
        </w:tc>
        <w:tc>
          <w:tcPr>
            <w:tcW w:w="324"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68" w:before="0" w:after="0"/>
              <w:jc w:val="left"/>
              <w:rPr>
                <w:rFonts w:ascii="Encode Sans;sans-serif" w:hAnsi="Encode Sans;sans-serif"/>
                <w:b w:val="false"/>
                <w:color w:val="000000"/>
                <w:sz w:val="15"/>
              </w:rPr>
            </w:pPr>
            <w:r>
              <w:rPr>
                <w:rFonts w:ascii="Encode Sans;sans-serif" w:hAnsi="Encode Sans;sans-serif"/>
                <w:b w:val="false"/>
                <w:color w:val="000000"/>
                <w:sz w:val="15"/>
              </w:rPr>
              <w:t>Less: Capital Expenditures and capitalized research and development expenditures and change in amounts payable on property, plant and equipment and intangible assets for industrial activities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1,445</w:t>
            </w:r>
            <w:r>
              <w:rPr>
                <w:color w:val="FFFFFF"/>
              </w:rPr>
              <w:t> </w:t>
            </w:r>
          </w:p>
        </w:tc>
        <w:tc>
          <w:tcPr>
            <w:tcW w:w="22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2,487</w:t>
            </w:r>
            <w:r>
              <w:rPr>
                <w:color w:val="243782"/>
              </w:rPr>
              <w:t> </w:t>
            </w:r>
          </w:p>
        </w:tc>
        <w:tc>
          <w:tcPr>
            <w:tcW w:w="227"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3,066</w:t>
            </w:r>
            <w:r>
              <w:rPr>
                <w:color w:val="FFFFFF"/>
              </w:rPr>
              <w:t> </w:t>
            </w:r>
          </w:p>
        </w:tc>
        <w:tc>
          <w:tcPr>
            <w:tcW w:w="23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5,136</w:t>
            </w:r>
            <w:r>
              <w:rPr>
                <w:color w:val="243782"/>
              </w:rPr>
              <w:t> </w:t>
            </w:r>
          </w:p>
        </w:tc>
        <w:tc>
          <w:tcPr>
            <w:tcW w:w="324"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5"/>
              </w:rPr>
              <w:t>Add: Proceeds from disposal of assets</w:t>
            </w:r>
            <w:r>
              <w:rPr>
                <w:color w:val="EE2724"/>
              </w:rPr>
              <w:t xml:space="preserve"> </w:t>
            </w:r>
            <w:r>
              <w:rPr>
                <w:rFonts w:ascii="Encode Sans;sans-serif" w:hAnsi="Encode Sans;sans-serif"/>
                <w:b w:val="false"/>
                <w:color w:val="000000"/>
                <w:sz w:val="15"/>
              </w:rPr>
              <w:t>and other changes in investing activities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(5)</w:t>
            </w:r>
          </w:p>
        </w:tc>
        <w:tc>
          <w:tcPr>
            <w:tcW w:w="22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338</w:t>
            </w:r>
            <w:r>
              <w:rPr>
                <w:color w:val="243782"/>
              </w:rPr>
              <w:t> </w:t>
            </w:r>
          </w:p>
        </w:tc>
        <w:tc>
          <w:tcPr>
            <w:tcW w:w="227"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(7)</w:t>
            </w:r>
          </w:p>
        </w:tc>
        <w:tc>
          <w:tcPr>
            <w:tcW w:w="23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473</w:t>
            </w:r>
            <w:r>
              <w:rPr>
                <w:color w:val="243782"/>
              </w:rPr>
              <w:t> </w:t>
            </w:r>
          </w:p>
        </w:tc>
        <w:tc>
          <w:tcPr>
            <w:tcW w:w="324"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Less: Contributions of equity to joint ventures and minor acquisitions of consolidated subsidiaries and equity method and other investments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341</w:t>
            </w:r>
            <w:r>
              <w:rPr>
                <w:color w:val="FFFFFF"/>
              </w:rPr>
              <w:t> </w:t>
            </w:r>
          </w:p>
        </w:tc>
        <w:tc>
          <w:tcPr>
            <w:tcW w:w="22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456</w:t>
            </w:r>
            <w:r>
              <w:rPr>
                <w:color w:val="243782"/>
              </w:rPr>
              <w:t> </w:t>
            </w:r>
          </w:p>
        </w:tc>
        <w:tc>
          <w:tcPr>
            <w:tcW w:w="227"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424</w:t>
            </w:r>
            <w:r>
              <w:rPr>
                <w:color w:val="FFFFFF"/>
              </w:rPr>
              <w:t> </w:t>
            </w:r>
          </w:p>
        </w:tc>
        <w:tc>
          <w:tcPr>
            <w:tcW w:w="23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480</w:t>
            </w:r>
            <w:r>
              <w:rPr>
                <w:color w:val="243782"/>
              </w:rPr>
              <w:t> </w:t>
            </w:r>
          </w:p>
        </w:tc>
        <w:tc>
          <w:tcPr>
            <w:tcW w:w="324"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Add: Defined benefit pension contributions, net of tax</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9</w:t>
            </w:r>
            <w:r>
              <w:rPr>
                <w:color w:val="FFFFFF"/>
              </w:rPr>
              <w:t> </w:t>
            </w:r>
          </w:p>
        </w:tc>
        <w:tc>
          <w:tcPr>
            <w:tcW w:w="22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21</w:t>
            </w:r>
            <w:r>
              <w:rPr>
                <w:color w:val="243782"/>
              </w:rPr>
              <w:t> </w:t>
            </w:r>
          </w:p>
        </w:tc>
        <w:tc>
          <w:tcPr>
            <w:tcW w:w="227"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19</w:t>
            </w:r>
            <w:r>
              <w:rPr>
                <w:color w:val="FFFFFF"/>
              </w:rPr>
              <w:t> </w:t>
            </w:r>
          </w:p>
        </w:tc>
        <w:tc>
          <w:tcPr>
            <w:tcW w:w="239"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2F2F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28</w:t>
            </w:r>
            <w:r>
              <w:rPr>
                <w:color w:val="243782"/>
              </w:rPr>
              <w:t> </w:t>
            </w:r>
          </w:p>
        </w:tc>
        <w:tc>
          <w:tcPr>
            <w:tcW w:w="324" w:type="dxa"/>
            <w:tcBorders>
              <w:top w:val="single" w:sz="8" w:space="0" w:color="DBDBDB"/>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color w:val="243782"/>
                <w:sz w:val="15"/>
              </w:rPr>
              <w:t>Industrial free cash flows</w:t>
            </w:r>
            <w:r>
              <w:rPr>
                <w:rFonts w:ascii="Encode Sans;sans-serif" w:hAnsi="Encode Sans;sans-serif"/>
                <w:b/>
                <w:color w:val="243782"/>
                <w:sz w:val="10"/>
              </w:rPr>
              <w:t>(3)</w:t>
            </w:r>
          </w:p>
        </w:tc>
        <w:tc>
          <w:tcPr>
            <w:tcW w:w="327" w:type="dxa"/>
            <w:gridSpan w:val="3"/>
            <w:tcBorders>
              <w:top w:val="single" w:sz="8" w:space="0" w:color="DBDBDB"/>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1,000</w:t>
            </w:r>
            <w:r>
              <w:rPr>
                <w:color w:val="FFFFFF"/>
              </w:rPr>
              <w:t> </w:t>
            </w:r>
          </w:p>
        </w:tc>
        <w:tc>
          <w:tcPr>
            <w:tcW w:w="227"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4C639D"/>
            </w:tcBorders>
            <w:tcMar>
              <w:left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bottom w:val="single" w:sz="8" w:space="0" w:color="243782"/>
            </w:tcBorders>
            <w:shd w:fill="F2F2F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243782"/>
                <w:sz w:val="15"/>
              </w:rPr>
              <w:t>31</w:t>
            </w:r>
            <w:r>
              <w:rPr>
                <w:color w:val="243782"/>
              </w:rPr>
              <w:t> </w:t>
            </w:r>
          </w:p>
        </w:tc>
        <w:tc>
          <w:tcPr>
            <w:tcW w:w="227" w:type="dxa"/>
            <w:tcBorders>
              <w:top w:val="single" w:sz="8" w:space="0" w:color="DBDBDB"/>
              <w:bottom w:val="single" w:sz="8" w:space="0" w:color="243782"/>
            </w:tcBorders>
            <w:shd w:fill="F2F2F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4C639D"/>
            </w:tcBorders>
            <w:tcMar>
              <w:left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(921)</w:t>
            </w:r>
          </w:p>
        </w:tc>
        <w:tc>
          <w:tcPr>
            <w:tcW w:w="239" w:type="dxa"/>
            <w:tcBorders>
              <w:top w:val="single" w:sz="8" w:space="0" w:color="DBDBDB"/>
              <w:bottom w:val="single" w:sz="8" w:space="0" w:color="243782"/>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4C639D"/>
            </w:tcBorders>
            <w:tcMar>
              <w:left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DBDBDB"/>
              <w:bottom w:val="single" w:sz="8" w:space="0" w:color="243782"/>
            </w:tcBorders>
            <w:shd w:fill="F2F2F2"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243782"/>
                <w:sz w:val="15"/>
              </w:rPr>
            </w:pPr>
            <w:r>
              <w:rPr>
                <w:rFonts w:ascii="Encode Sans;sans-serif" w:hAnsi="Encode Sans;sans-serif"/>
                <w:b/>
                <w:color w:val="243782"/>
                <w:sz w:val="15"/>
              </w:rPr>
              <w:t>(3,005)</w:t>
            </w:r>
          </w:p>
        </w:tc>
        <w:tc>
          <w:tcPr>
            <w:tcW w:w="324" w:type="dxa"/>
            <w:tcBorders>
              <w:top w:val="single" w:sz="8" w:space="0" w:color="DBDBDB"/>
              <w:bottom w:val="single" w:sz="8" w:space="0" w:color="243782"/>
            </w:tcBorders>
            <w:shd w:fill="F2F2F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tcPr>
          <w:p>
            <w:pPr>
              <w:pStyle w:val="TableContents"/>
              <w:bidi w:val="0"/>
              <w:spacing w:before="0" w:after="283"/>
              <w:jc w:val="left"/>
              <w:rPr>
                <w:sz w:val="4"/>
                <w:szCs w:val="4"/>
              </w:rPr>
            </w:pPr>
            <w:r>
              <w:rPr>
                <w:sz w:val="4"/>
                <w:szCs w:val="4"/>
              </w:rPr>
            </w:r>
          </w:p>
        </w:tc>
      </w:tr>
      <w:tr>
        <w:trPr/>
        <w:tc>
          <w:tcPr>
            <w:tcW w:w="2728"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center"/>
        <w:rPr/>
      </w:pPr>
      <w:r>
        <w:rPr/>
        <w:drawing>
          <wp:inline distT="0" distB="0" distL="0" distR="0">
            <wp:extent cx="2428875" cy="6858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4790"/>
                <wp:effectExtent l="0" t="0" r="0" b="0"/>
                <wp:wrapNone/>
                <wp:docPr id="24" name="Frame13"/>
                <a:graphic xmlns:a="http://schemas.openxmlformats.org/drawingml/2006/main">
                  <a:graphicData uri="http://schemas.microsoft.com/office/word/2010/wordprocessingShape">
                    <wps:wsp>
                      <wps:cNvSpPr txBox="1"/>
                      <wps:spPr>
                        <a:xfrm>
                          <a:off x="0" y="0"/>
                          <a:ext cx="6480175" cy="224790"/>
                        </a:xfrm>
                        <a:prstGeom prst="rect"/>
                        <a:solidFill>
                          <a:srgbClr val="FFFFFF"/>
                        </a:solidFill>
                      </wps:spPr>
                      <wps:txb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9</w:t>
                      </w:r>
                    </w:p>
                  </w:txbxContent>
                </v:textbox>
                <w10:wrap type="none"/>
              </v:rect>
            </w:pict>
          </mc:Fallback>
        </mc:AlternateContent>
      </w:r>
    </w:p>
    <w:p>
      <w:pPr>
        <w:pStyle w:val="TextBody"/>
        <w:bidi w:val="0"/>
        <w:spacing w:lineRule="auto" w:line="288" w:before="100" w:after="283"/>
        <w:jc w:val="left"/>
        <w:rPr>
          <w:rFonts w:ascii="Encode Sans;sans-serif" w:hAnsi="Encode Sans;sans-serif"/>
          <w:b w:val="false"/>
          <w:color w:val="243782"/>
          <w:sz w:val="20"/>
        </w:rPr>
      </w:pPr>
      <w:r>
        <w:rPr>
          <w:rFonts w:ascii="Encode Sans;sans-serif" w:hAnsi="Encode Sans;sans-serif"/>
          <w:b w:val="false"/>
          <w:color w:val="243782"/>
          <w:sz w:val="20"/>
        </w:rPr>
        <w:t>Debt to Industrial net financial position</w:t>
      </w:r>
    </w:p>
    <w:tbl>
      <w:tblPr>
        <w:tblW w:w="10205" w:type="dxa"/>
        <w:jc w:val="left"/>
        <w:tblInd w:w="0" w:type="dxa"/>
        <w:tblLayout w:type="fixed"/>
        <w:tblCellMar>
          <w:top w:w="28" w:type="dxa"/>
          <w:left w:w="28" w:type="dxa"/>
          <w:bottom w:w="28" w:type="dxa"/>
          <w:right w:w="28" w:type="dxa"/>
        </w:tblCellMar>
      </w:tblPr>
      <w:tblGrid>
        <w:gridCol w:w="1062"/>
        <w:gridCol w:w="933"/>
        <w:gridCol w:w="933"/>
        <w:gridCol w:w="933"/>
        <w:gridCol w:w="933"/>
        <w:gridCol w:w="958"/>
        <w:gridCol w:w="109"/>
        <w:gridCol w:w="109"/>
        <w:gridCol w:w="109"/>
        <w:gridCol w:w="559"/>
        <w:gridCol w:w="535"/>
        <w:gridCol w:w="535"/>
        <w:gridCol w:w="109"/>
        <w:gridCol w:w="109"/>
        <w:gridCol w:w="109"/>
        <w:gridCol w:w="640"/>
        <w:gridCol w:w="630"/>
        <w:gridCol w:w="900"/>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5752" w:type="dxa"/>
            <w:gridSpan w:val="6"/>
            <w:tcBorders>
              <w:top w:val="single" w:sz="8" w:space="0" w:color="4C639D"/>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243782"/>
                <w:sz w:val="16"/>
              </w:rPr>
            </w:pPr>
            <w:r>
              <w:rPr>
                <w:rFonts w:ascii="Encode Sans;sans-serif" w:hAnsi="Encode Sans;sans-serif"/>
                <w:b w:val="false"/>
                <w:color w:val="243782"/>
                <w:sz w:val="16"/>
              </w:rPr>
              <w:t>(€ million)</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4C639D"/>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6"/>
              </w:rPr>
            </w:pPr>
            <w:r>
              <w:rPr>
                <w:rFonts w:ascii="Encode Sans;sans-serif" w:hAnsi="Encode Sans;sans-serif"/>
                <w:b/>
                <w:color w:val="FFFFFF"/>
                <w:sz w:val="16"/>
              </w:rPr>
              <w:t>At June 30, 2026</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4C639D"/>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6"/>
              </w:rPr>
            </w:pPr>
            <w:r>
              <w:rPr>
                <w:rFonts w:ascii="Encode Sans;sans-serif" w:hAnsi="Encode Sans;sans-serif"/>
                <w:b/>
                <w:color w:val="FFFFFF"/>
                <w:sz w:val="16"/>
              </w:rPr>
              <w:t>At December 31, 2025</w:t>
            </w:r>
          </w:p>
        </w:tc>
      </w:tr>
      <w:tr>
        <w:trPr/>
        <w:tc>
          <w:tcPr>
            <w:tcW w:w="5752"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68" w:before="0" w:after="0"/>
              <w:jc w:val="left"/>
              <w:rPr>
                <w:rFonts w:ascii="Encode Sans;sans-serif" w:hAnsi="Encode Sans;sans-serif"/>
                <w:b w:val="false"/>
                <w:color w:val="000000"/>
                <w:sz w:val="15"/>
              </w:rPr>
            </w:pPr>
            <w:r>
              <w:rPr>
                <w:rFonts w:ascii="Encode Sans;sans-serif" w:hAnsi="Encode Sans;sans-serif"/>
                <w:b w:val="false"/>
                <w:color w:val="000000"/>
                <w:sz w:val="15"/>
              </w:rPr>
              <w:t>Debt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(52,062)</w:t>
            </w:r>
          </w:p>
        </w:tc>
        <w:tc>
          <w:tcPr>
            <w:tcW w:w="535"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(45,947)</w:t>
            </w:r>
          </w:p>
        </w:tc>
        <w:tc>
          <w:tcPr>
            <w:tcW w:w="900"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2"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Current financial receivables from jointly-controlled financial services companies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993</w:t>
            </w:r>
            <w:r>
              <w:rPr>
                <w:color w:val="FFFFFF"/>
              </w:rPr>
              <w:t> </w:t>
            </w:r>
          </w:p>
        </w:tc>
        <w:tc>
          <w:tcPr>
            <w:tcW w:w="535"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603</w:t>
            </w:r>
            <w:r>
              <w:rPr>
                <w:color w:val="FFFFFF"/>
              </w:rPr>
              <w:t> </w:t>
            </w:r>
          </w:p>
        </w:tc>
        <w:tc>
          <w:tcPr>
            <w:tcW w:w="900"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2"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Derivative financial assets/(liabilities), net and collateral deposits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106</w:t>
            </w:r>
            <w:r>
              <w:rPr>
                <w:color w:val="FFFFFF"/>
              </w:rPr>
              <w:t> </w:t>
            </w:r>
          </w:p>
        </w:tc>
        <w:tc>
          <w:tcPr>
            <w:tcW w:w="535"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181</w:t>
            </w:r>
            <w:r>
              <w:rPr>
                <w:color w:val="FFFFFF"/>
              </w:rPr>
              <w:t> </w:t>
            </w:r>
          </w:p>
        </w:tc>
        <w:tc>
          <w:tcPr>
            <w:tcW w:w="900"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2"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Financial securities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880</w:t>
            </w:r>
            <w:r>
              <w:rPr>
                <w:color w:val="FFFFFF"/>
              </w:rPr>
              <w:t> </w:t>
            </w:r>
          </w:p>
        </w:tc>
        <w:tc>
          <w:tcPr>
            <w:tcW w:w="535"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1,362</w:t>
            </w:r>
            <w:r>
              <w:rPr>
                <w:color w:val="FFFFFF"/>
              </w:rPr>
              <w:t> </w:t>
            </w:r>
          </w:p>
        </w:tc>
        <w:tc>
          <w:tcPr>
            <w:tcW w:w="900"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2"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Cash and cash equivalents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33,697</w:t>
            </w:r>
            <w:r>
              <w:rPr>
                <w:color w:val="FFFFFF"/>
              </w:rPr>
              <w:t> </w:t>
            </w:r>
          </w:p>
        </w:tc>
        <w:tc>
          <w:tcPr>
            <w:tcW w:w="535"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30,146</w:t>
            </w:r>
            <w:r>
              <w:rPr>
                <w:color w:val="FFFFFF"/>
              </w:rPr>
              <w:t> </w:t>
            </w:r>
          </w:p>
        </w:tc>
        <w:tc>
          <w:tcPr>
            <w:tcW w:w="900"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2"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Industrial net financial position classified as held for sale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w:t>
            </w:r>
            <w:r>
              <w:rPr>
                <w:color w:val="FFFFFF"/>
              </w:rPr>
              <w:t> </w:t>
            </w:r>
          </w:p>
        </w:tc>
        <w:tc>
          <w:tcPr>
            <w:tcW w:w="535"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900"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2"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5"/>
              </w:rPr>
            </w:pPr>
            <w:r>
              <w:rPr>
                <w:rFonts w:ascii="Encode Sans;sans-serif" w:hAnsi="Encode Sans;sans-serif"/>
                <w:b/>
                <w:color w:val="243782"/>
                <w:sz w:val="15"/>
              </w:rPr>
              <w:t>Net financial position</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(16,382)</w:t>
            </w:r>
          </w:p>
        </w:tc>
        <w:tc>
          <w:tcPr>
            <w:tcW w:w="535"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(13,655)</w:t>
            </w:r>
          </w:p>
        </w:tc>
        <w:tc>
          <w:tcPr>
            <w:tcW w:w="900"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2"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Less: Net financial position of financial services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(26,417)</w:t>
            </w:r>
          </w:p>
        </w:tc>
        <w:tc>
          <w:tcPr>
            <w:tcW w:w="535"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(20,349)</w:t>
            </w:r>
          </w:p>
        </w:tc>
        <w:tc>
          <w:tcPr>
            <w:tcW w:w="900"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2" w:type="dxa"/>
            <w:gridSpan w:val="6"/>
            <w:tcBorders>
              <w:top w:val="single" w:sz="8" w:space="0" w:color="DBDBDB"/>
              <w:bottom w:val="single" w:sz="8" w:space="0" w:color="4C639D"/>
            </w:tcBorders>
            <w:tcMar>
              <w:top w:w="52" w:type="dxa"/>
              <w:left w:w="0" w:type="dxa"/>
              <w:bottom w:w="30" w:type="dxa"/>
              <w:right w:w="0" w:type="dxa"/>
            </w:tcMar>
            <w:vAlign w:val="center"/>
          </w:tcPr>
          <w:p>
            <w:pPr>
              <w:pStyle w:val="TableContents"/>
              <w:bidi w:val="0"/>
              <w:spacing w:lineRule="auto" w:line="288" w:before="0" w:after="0"/>
              <w:jc w:val="left"/>
              <w:rPr/>
            </w:pPr>
            <w:r>
              <w:rPr>
                <w:rFonts w:ascii="Encode Sans;sans-serif" w:hAnsi="Encode Sans;sans-serif"/>
                <w:b/>
                <w:color w:val="243782"/>
                <w:sz w:val="15"/>
              </w:rPr>
              <w:t>Industrial net financial position</w:t>
            </w:r>
            <w:r>
              <w:rPr>
                <w:rFonts w:ascii="Encode Sans;sans-serif" w:hAnsi="Encode Sans;sans-serif"/>
                <w:b/>
                <w:color w:val="243782"/>
                <w:sz w:val="10"/>
              </w:rPr>
              <w:t>(9)</w:t>
            </w:r>
          </w:p>
        </w:tc>
        <w:tc>
          <w:tcPr>
            <w:tcW w:w="327" w:type="dxa"/>
            <w:gridSpan w:val="3"/>
            <w:tcBorders>
              <w:top w:val="single" w:sz="8" w:space="0" w:color="DBDBDB"/>
              <w:bottom w:val="single" w:sz="8" w:space="0" w:color="4C639D"/>
            </w:tcBorders>
            <w:tcMar>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DBDBDB"/>
              <w:bottom w:val="single" w:sz="8" w:space="0" w:color="0A2299"/>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10,035</w:t>
            </w:r>
            <w:r>
              <w:rPr>
                <w:color w:val="FFFFFF"/>
              </w:rPr>
              <w:t> </w:t>
            </w:r>
          </w:p>
        </w:tc>
        <w:tc>
          <w:tcPr>
            <w:tcW w:w="535" w:type="dxa"/>
            <w:tcBorders>
              <w:top w:val="single" w:sz="8" w:space="0" w:color="DBDBDB"/>
              <w:bottom w:val="single" w:sz="8" w:space="0" w:color="0A2299"/>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4C639D"/>
            </w:tcBorders>
            <w:tcMar>
              <w:left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DBDBDB"/>
              <w:bottom w:val="single" w:sz="8" w:space="0" w:color="0A2299"/>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6,694</w:t>
            </w:r>
            <w:r>
              <w:rPr>
                <w:color w:val="FFFFFF"/>
              </w:rPr>
              <w:t> </w:t>
            </w:r>
          </w:p>
        </w:tc>
        <w:tc>
          <w:tcPr>
            <w:tcW w:w="900" w:type="dxa"/>
            <w:tcBorders>
              <w:top w:val="single" w:sz="8" w:space="0" w:color="DBDBDB"/>
              <w:bottom w:val="single" w:sz="8" w:space="0" w:color="0A2299"/>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vAlign w:val="center"/>
          </w:tcPr>
          <w:p>
            <w:pPr>
              <w:pStyle w:val="TableContents"/>
              <w:bidi w:val="0"/>
              <w:spacing w:before="0" w:after="283"/>
              <w:jc w:val="left"/>
              <w:rPr>
                <w:sz w:val="4"/>
                <w:szCs w:val="4"/>
              </w:rPr>
            </w:pPr>
            <w:r>
              <w:rPr>
                <w:sz w:val="4"/>
                <w:szCs w:val="4"/>
              </w:rPr>
            </w:r>
          </w:p>
        </w:tc>
        <w:tc>
          <w:tcPr>
            <w:tcW w:w="2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tcPr>
          <w:p>
            <w:pPr>
              <w:pStyle w:val="TableContents"/>
              <w:bidi w:val="0"/>
              <w:spacing w:before="0" w:after="283"/>
              <w:jc w:val="left"/>
              <w:rPr>
                <w:sz w:val="4"/>
                <w:szCs w:val="4"/>
              </w:rPr>
            </w:pPr>
            <w:r>
              <w:rPr>
                <w:sz w:val="4"/>
                <w:szCs w:val="4"/>
              </w:rPr>
            </w:r>
          </w:p>
        </w:tc>
      </w:tr>
      <w:tr>
        <w:trPr/>
        <w:tc>
          <w:tcPr>
            <w:tcW w:w="2928" w:type="dxa"/>
            <w:gridSpan w:val="3"/>
            <w:tcBorders/>
            <w:vAlign w:val="center"/>
          </w:tcPr>
          <w:p>
            <w:pPr>
              <w:pStyle w:val="TableContents"/>
              <w:bidi w:val="0"/>
              <w:spacing w:before="0" w:after="283"/>
              <w:jc w:val="left"/>
              <w:rPr>
                <w:sz w:val="4"/>
                <w:szCs w:val="4"/>
              </w:rPr>
            </w:pPr>
            <w:r>
              <w:rPr>
                <w:sz w:val="4"/>
                <w:szCs w:val="4"/>
              </w:rPr>
            </w:r>
          </w:p>
        </w:tc>
        <w:tc>
          <w:tcPr>
            <w:tcW w:w="2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tcPr>
          <w:p>
            <w:pPr>
              <w:pStyle w:val="TableContents"/>
              <w:bidi w:val="0"/>
              <w:spacing w:before="0" w:after="283"/>
              <w:jc w:val="left"/>
              <w:rPr>
                <w:sz w:val="4"/>
                <w:szCs w:val="4"/>
              </w:rPr>
            </w:pPr>
            <w:r>
              <w:rPr>
                <w:sz w:val="4"/>
                <w:szCs w:val="4"/>
              </w:rPr>
            </w:r>
          </w:p>
        </w:tc>
      </w:tr>
      <w:tr>
        <w:trPr/>
        <w:tc>
          <w:tcPr>
            <w:tcW w:w="2928" w:type="dxa"/>
            <w:gridSpan w:val="3"/>
            <w:tcBorders/>
            <w:vAlign w:val="center"/>
          </w:tcPr>
          <w:p>
            <w:pPr>
              <w:pStyle w:val="TableContents"/>
              <w:bidi w:val="0"/>
              <w:spacing w:before="0" w:after="283"/>
              <w:jc w:val="left"/>
              <w:rPr>
                <w:sz w:val="4"/>
                <w:szCs w:val="4"/>
              </w:rPr>
            </w:pPr>
            <w:r>
              <w:rPr>
                <w:sz w:val="4"/>
                <w:szCs w:val="4"/>
              </w:rPr>
            </w:r>
          </w:p>
        </w:tc>
        <w:tc>
          <w:tcPr>
            <w:tcW w:w="2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Encode Sans;sans-serif" w:hAnsi="Encode Sans;sans-serif"/>
          <w:b w:val="false"/>
          <w:color w:val="243782"/>
          <w:sz w:val="20"/>
        </w:rPr>
      </w:pPr>
      <w:r>
        <w:rPr>
          <w:rFonts w:ascii="Encode Sans;sans-serif" w:hAnsi="Encode Sans;sans-serif"/>
          <w:b w:val="false"/>
          <w:color w:val="243782"/>
          <w:sz w:val="20"/>
        </w:rPr>
        <w:t>Available liquidity</w:t>
      </w:r>
    </w:p>
    <w:tbl>
      <w:tblPr>
        <w:tblW w:w="10205" w:type="dxa"/>
        <w:jc w:val="left"/>
        <w:tblInd w:w="0" w:type="dxa"/>
        <w:tblLayout w:type="fixed"/>
        <w:tblCellMar>
          <w:top w:w="28" w:type="dxa"/>
          <w:left w:w="28" w:type="dxa"/>
          <w:bottom w:w="28" w:type="dxa"/>
          <w:right w:w="28" w:type="dxa"/>
        </w:tblCellMar>
      </w:tblPr>
      <w:tblGrid>
        <w:gridCol w:w="2096"/>
        <w:gridCol w:w="1841"/>
        <w:gridCol w:w="1858"/>
        <w:gridCol w:w="109"/>
        <w:gridCol w:w="109"/>
        <w:gridCol w:w="109"/>
        <w:gridCol w:w="559"/>
        <w:gridCol w:w="526"/>
        <w:gridCol w:w="527"/>
        <w:gridCol w:w="109"/>
        <w:gridCol w:w="109"/>
        <w:gridCol w:w="109"/>
        <w:gridCol w:w="634"/>
        <w:gridCol w:w="623"/>
        <w:gridCol w:w="887"/>
      </w:tblGrid>
      <w:tr>
        <w:trPr/>
        <w:tc>
          <w:tcPr>
            <w:tcW w:w="20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5795"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243782"/>
                <w:sz w:val="16"/>
              </w:rPr>
            </w:pPr>
            <w:r>
              <w:rPr>
                <w:rFonts w:ascii="Encode Sans;sans-serif" w:hAnsi="Encode Sans;sans-serif"/>
                <w:b w:val="false"/>
                <w:color w:val="243782"/>
                <w:sz w:val="16"/>
              </w:rPr>
              <w:t>(€ million)</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4C639D"/>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6"/>
              </w:rPr>
            </w:pPr>
            <w:r>
              <w:rPr>
                <w:rFonts w:ascii="Encode Sans;sans-serif" w:hAnsi="Encode Sans;sans-serif"/>
                <w:b/>
                <w:color w:val="FFFFFF"/>
                <w:sz w:val="16"/>
              </w:rPr>
              <w:t>At June 30, 2026</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4C639D"/>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6"/>
              </w:rPr>
            </w:pPr>
            <w:r>
              <w:rPr>
                <w:rFonts w:ascii="Encode Sans;sans-serif" w:hAnsi="Encode Sans;sans-serif"/>
                <w:b/>
                <w:color w:val="FFFFFF"/>
                <w:sz w:val="16"/>
              </w:rPr>
              <w:t>At December 31, 2025</w:t>
            </w:r>
          </w:p>
        </w:tc>
      </w:tr>
      <w:tr>
        <w:trPr/>
        <w:tc>
          <w:tcPr>
            <w:tcW w:w="5795" w:type="dxa"/>
            <w:gridSpan w:val="3"/>
            <w:tcBorders>
              <w:top w:val="single" w:sz="8" w:space="0" w:color="4C639D"/>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val="false"/>
                <w:color w:val="000000"/>
                <w:sz w:val="15"/>
              </w:rPr>
              <w:t>Cash, cash equivalents and financial securities</w:t>
            </w:r>
            <w:r>
              <w:rPr>
                <w:rFonts w:ascii="Encode Sans;sans-serif" w:hAnsi="Encode Sans;sans-serif"/>
                <w:b w:val="false"/>
                <w:color w:val="000000"/>
                <w:sz w:val="10"/>
              </w:rPr>
              <w:t>(10)</w:t>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34,577</w:t>
            </w:r>
            <w:r>
              <w:rPr>
                <w:color w:val="FFFFFF"/>
              </w:rPr>
              <w:t> </w:t>
            </w:r>
          </w:p>
        </w:tc>
        <w:tc>
          <w:tcPr>
            <w:tcW w:w="52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31,508</w:t>
            </w:r>
            <w:r>
              <w:rPr>
                <w:color w:val="FFFFFF"/>
              </w:rPr>
              <w:t> </w:t>
            </w:r>
          </w:p>
        </w:tc>
        <w:tc>
          <w:tcPr>
            <w:tcW w:w="88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56" w:before="0" w:after="283"/>
              <w:jc w:val="left"/>
              <w:rPr>
                <w:rFonts w:ascii="Encode Sans;sans-serif" w:hAnsi="Encode Sans;sans-serif"/>
                <w:b w:val="false"/>
                <w:color w:val="000000"/>
                <w:sz w:val="15"/>
              </w:rPr>
            </w:pPr>
            <w:r>
              <w:rPr>
                <w:rFonts w:ascii="Encode Sans;sans-serif" w:hAnsi="Encode Sans;sans-serif"/>
                <w:b w:val="false"/>
                <w:color w:val="000000"/>
                <w:sz w:val="15"/>
              </w:rPr>
              <w:t>Undrawn committed credit lines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FFFFFF"/>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13,839</w:t>
            </w:r>
            <w:r>
              <w:rPr>
                <w:color w:val="FFFFFF"/>
              </w:rPr>
              <w:t> </w:t>
            </w:r>
          </w:p>
        </w:tc>
        <w:tc>
          <w:tcPr>
            <w:tcW w:w="527" w:type="dxa"/>
            <w:tcBorders>
              <w:top w:val="single" w:sz="8" w:space="0" w:color="FFFFFF"/>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FFFFFF"/>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18,287</w:t>
            </w:r>
            <w:r>
              <w:rPr>
                <w:color w:val="FFFFFF"/>
              </w:rPr>
              <w:t> </w:t>
            </w:r>
          </w:p>
        </w:tc>
        <w:tc>
          <w:tcPr>
            <w:tcW w:w="887" w:type="dxa"/>
            <w:tcBorders>
              <w:top w:val="single" w:sz="8" w:space="0" w:color="FFFFFF"/>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Cash, cash equivalents and financial securities - included within Assets held for sale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w:t>
            </w:r>
            <w:r>
              <w:rPr>
                <w:color w:val="FFFFFF"/>
              </w:rPr>
              <w:t> </w:t>
            </w:r>
          </w:p>
        </w:tc>
        <w:tc>
          <w:tcPr>
            <w:tcW w:w="52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88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88" w:before="0" w:after="0"/>
              <w:jc w:val="left"/>
              <w:rPr/>
            </w:pPr>
            <w:r>
              <w:rPr>
                <w:rFonts w:ascii="Encode Sans;sans-serif" w:hAnsi="Encode Sans;sans-serif"/>
                <w:b/>
                <w:color w:val="243782"/>
                <w:sz w:val="15"/>
              </w:rPr>
              <w:t>Total Available liquidity</w:t>
            </w:r>
            <w:r>
              <w:rPr>
                <w:rFonts w:ascii="Encode Sans;sans-serif" w:hAnsi="Encode Sans;sans-serif"/>
                <w:b/>
                <w:color w:val="243782"/>
                <w:sz w:val="10"/>
              </w:rPr>
              <w:t>(4)</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48,420</w:t>
            </w:r>
            <w:r>
              <w:rPr>
                <w:color w:val="FFFFFF"/>
              </w:rPr>
              <w:t> </w:t>
            </w:r>
          </w:p>
        </w:tc>
        <w:tc>
          <w:tcPr>
            <w:tcW w:w="52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49,795</w:t>
            </w:r>
            <w:r>
              <w:rPr>
                <w:color w:val="FFFFFF"/>
              </w:rPr>
              <w:t> </w:t>
            </w:r>
          </w:p>
        </w:tc>
        <w:tc>
          <w:tcPr>
            <w:tcW w:w="88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5"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68" w:before="0" w:after="283"/>
              <w:jc w:val="left"/>
              <w:rPr>
                <w:rFonts w:ascii="Encode Sans;sans-serif" w:hAnsi="Encode Sans;sans-serif"/>
                <w:b w:val="false"/>
                <w:color w:val="000000"/>
                <w:sz w:val="15"/>
              </w:rPr>
            </w:pPr>
            <w:r>
              <w:rPr>
                <w:rFonts w:ascii="Encode Sans;sans-serif" w:hAnsi="Encode Sans;sans-serif"/>
                <w:b w:val="false"/>
                <w:color w:val="000000"/>
                <w:sz w:val="15"/>
              </w:rPr>
              <w:t>of which: Available liquidity of the Industrial Activities</w:t>
            </w:r>
          </w:p>
        </w:tc>
        <w:tc>
          <w:tcPr>
            <w:tcW w:w="327" w:type="dxa"/>
            <w:gridSpan w:val="3"/>
            <w:tcBorders>
              <w:top w:val="single" w:sz="8" w:space="0" w:color="DBDBDB"/>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DBDBDB"/>
              <w:bottom w:val="single" w:sz="8" w:space="0" w:color="0A2299"/>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44,145</w:t>
            </w:r>
            <w:r>
              <w:rPr>
                <w:color w:val="FFFFFF"/>
              </w:rPr>
              <w:t> </w:t>
            </w:r>
          </w:p>
        </w:tc>
        <w:tc>
          <w:tcPr>
            <w:tcW w:w="527" w:type="dxa"/>
            <w:tcBorders>
              <w:top w:val="single" w:sz="8" w:space="0" w:color="DBDBDB"/>
              <w:bottom w:val="single" w:sz="8" w:space="0" w:color="0A2299"/>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4C639D"/>
            </w:tcBorders>
            <w:tcMar>
              <w:left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DBDBDB"/>
              <w:bottom w:val="single" w:sz="8" w:space="0" w:color="0A2299"/>
            </w:tcBorders>
            <w:shd w:fill="243782"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45,711</w:t>
            </w:r>
            <w:r>
              <w:rPr>
                <w:color w:val="FFFFFF"/>
              </w:rPr>
              <w:t> </w:t>
            </w:r>
          </w:p>
        </w:tc>
        <w:tc>
          <w:tcPr>
            <w:tcW w:w="887" w:type="dxa"/>
            <w:tcBorders>
              <w:top w:val="single" w:sz="8" w:space="0" w:color="DBDBDB"/>
              <w:bottom w:val="single" w:sz="8" w:space="0" w:color="0A2299"/>
            </w:tcBorders>
            <w:shd w:fill="243782"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428875" cy="6858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4790"/>
                <wp:effectExtent l="0" t="0" r="0" b="0"/>
                <wp:wrapNone/>
                <wp:docPr id="26" name="Frame14"/>
                <a:graphic xmlns:a="http://schemas.openxmlformats.org/drawingml/2006/main">
                  <a:graphicData uri="http://schemas.microsoft.com/office/word/2010/wordprocessingShape">
                    <wps:wsp>
                      <wps:cNvSpPr txBox="1"/>
                      <wps:spPr>
                        <a:xfrm>
                          <a:off x="0" y="0"/>
                          <a:ext cx="6480175" cy="224790"/>
                        </a:xfrm>
                        <a:prstGeom prst="rect"/>
                        <a:solidFill>
                          <a:srgbClr val="FFFFFF"/>
                        </a:solidFill>
                      </wps:spPr>
                      <wps:txb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left"/>
                        <w:rPr>
                          <w:rFonts w:ascii="Encode Sans;sans-serif" w:hAnsi="Encode Sans;sans-serif"/>
                          <w:b w:val="false"/>
                          <w:i/>
                          <w:color w:val="000000"/>
                          <w:sz w:val="12"/>
                        </w:rPr>
                      </w:pPr>
                      <w:r>
                        <w:rPr>
                          <w:rFonts w:ascii="Encode Sans;sans-serif" w:hAnsi="Encode Sans;sans-serif"/>
                          <w:b w:val="false"/>
                          <w:i/>
                          <w:color w:val="000000"/>
                          <w:sz w:val="12"/>
                        </w:rPr>
                        <w:t>Refer to pages 11-12 for an explanation of the items referenced on this page and for market and industry information</w:t>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10</w:t>
                      </w:r>
                    </w:p>
                  </w:txbxContent>
                </v:textbox>
                <w10:wrap type="none"/>
              </v:rect>
            </w:pict>
          </mc:Fallback>
        </mc:AlternateContent>
      </w:r>
    </w:p>
    <w:p>
      <w:pPr>
        <w:pStyle w:val="TextBody"/>
        <w:bidi w:val="0"/>
        <w:spacing w:lineRule="auto" w:line="288" w:before="0" w:after="60"/>
        <w:jc w:val="center"/>
        <w:rPr>
          <w:rFonts w:ascii="Encode Sans;sans-serif" w:hAnsi="Encode Sans;sans-serif"/>
          <w:b/>
          <w:i/>
          <w:color w:val="000000"/>
          <w:sz w:val="18"/>
        </w:rPr>
      </w:pPr>
      <w:r>
        <w:rPr>
          <w:rFonts w:ascii="Encode Sans;sans-serif" w:hAnsi="Encode Sans;sans-serif"/>
          <w:b/>
          <w:i/>
          <w:color w:val="000000"/>
          <w:sz w:val="18"/>
        </w:rPr>
        <w:t>NOTES</w:t>
      </w:r>
    </w:p>
    <w:p>
      <w:pPr>
        <w:pStyle w:val="TextBody"/>
        <w:bidi w:val="0"/>
        <w:spacing w:before="0" w:after="0"/>
        <w:jc w:val="both"/>
        <w:rPr/>
      </w:pPr>
      <w:r>
        <w:rPr/>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(1) Adjusted operating income/(loss) excludes from Net profit/(loss) from continuing operations adjustments comprising restructuring and other termination costs, impairments, asset write-offs, disposals of investments and unusual operating income/(expense) that are considered rare or discrete events and are infrequent in nature, as inclusion of such items is not considered to be indicative of the Company's ongoing operating performance, and also excludes Net financial expenses/(income) and Tax expense/(benefit).</w:t>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Unusual operating income/(expense) are impacts from strategic decisions, as well as events considered rare or discrete and infrequent in nature, as inclusion of such items is not considered to be indicative of the Company's ongoing operating performance. Unusual operating income/(expense) includes, but may not be limited to: impacts from strategic decisions to rationalize Stellantis' core operations; facility-related costs stemming from Stellantis' plans to match production capacity and cost structure to market demand, and convergence and integration costs directly related to significant acquisitions or mergers.</w:t>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(2) Adjusted operating income/(loss) margin is calculated as Adjusted operating income/(loss) divided by Net revenues.</w:t>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 xml:space="preserve">(3) Industrial free cash flows is our key cash flow metric and is calculated as Cash flows from operating activities less: (i) cash flows from operating activities from discontinued operations; (ii) cash flows from operating activities related to financial services, net of eliminations; (iii) investments in property, plant and equipment and intangible assets for industrial activities; (iv) contributions of equity to joint ventures and minor acquisitions of consolidated subsidiaries and equity method and other investments; and adjusted for: (i) net intercompany payments between continuing operations and discontinued operations; (ii) proceeds from disposal of assets and (iii) contributions to defined benefit pension plans, net of tax. The timing of Industrial free cash flows may be affected by the timing of monetization of receivables, factoring and the payment of accounts payables, as well as changes in other components of working capital, which can vary from period to period due to, among other things, cash management initiatives and other factors, some of which may be outside of the Company’s control. In addition, Industrial free cash flows is one of the metrics used in the determination of the annual performance bonus for eligible employees, including members of the senior management. </w:t>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 xml:space="preserve">(4) The majority of our liquidity is available to our treasury operations in Europe and U.S.; however, liquidity is also available to certain subsidiaries which operate in other countries. Cash held in such countries may be subject to restrictions on transfer depending on the foreign jurisdictions in which these subsidiaries operate and mainly affects our industrial activities. Based on our review of such transfer restrictions in the countries in which we operate and maintain material cash balances, (and in particular in Argentina, in which we have €268 million cash and securities at June 30, 2026 (€354 million at December 31, 2025), and in Algeria, in which we have cash and cash equivalents at June 30, 2026 of €273 million (€276 million at December 31, 2025)), we do not believe such transfer restrictions had an adverse impact on the Company’s ability to meet its liquidity requirements at the dates presented above. Cash and cash equivalents also include €953 million at June 30, 2026 (€663 million at December 31, 2025) held in bank deposits which are restricted to the operations related to securitization programs and warehouses credit facilities of Stellantis Financial Services U.S. (“SFS U.S.”). </w:t>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(5) Adjusted diluted earnings per share ("EPS") is calculated by adjusting Diluted earnings per share for the post-tax impact per share of the same items excluded from Adjusted operating income/(loss) as well as tax expense/(benefit) items that are considered rare or infrequent, or whose nature would distort the presentation of the ongoing tax charge of the Company. We believe this non-GAAP measure is useful because it also excludes items that we do not believe are indicative of the Company’s ongoing operating performance and provides investors with a more meaningful comparison of the Company’s ongoing quality of earnings. Adjusted diluted EPS should not be considered as a substitute for Basic earnings per share, Diluted earnings per share from operations or other methods of analyzing our quality of earnings as reported under IFRS.</w:t>
      </w:r>
    </w:p>
    <w:p>
      <w:pPr>
        <w:pStyle w:val="TextBody"/>
        <w:bidi w:val="0"/>
        <w:spacing w:lineRule="auto" w:line="268" w:before="0" w:after="0"/>
        <w:jc w:val="left"/>
        <w:rPr>
          <w:rFonts w:ascii="Encode Sans;sans-serif" w:hAnsi="Encode Sans;sans-serif"/>
          <w:b w:val="false"/>
          <w:color w:val="000000"/>
          <w:sz w:val="16"/>
        </w:rPr>
      </w:pPr>
      <w:r>
        <w:rPr>
          <w:rFonts w:ascii="Encode Sans;sans-serif" w:hAnsi="Encode Sans;sans-serif"/>
          <w:b w:val="false"/>
          <w:color w:val="000000"/>
          <w:sz w:val="16"/>
        </w:rPr>
        <w:t xml:space="preserve">(6) Consolidated Shipments includes the vehicles produced by our joint ventures and associates (including Leapmotor) which are distributed by our consolidated subsidiaries. In addition to the volumes included in Consolidated shipments, Combined shipments also includes the Stellantis branded vehicles distributed by our joint ventures (such as Tofas) and associates. </w:t>
      </w:r>
    </w:p>
    <w:p>
      <w:pPr>
        <w:pStyle w:val="TextBody"/>
        <w:bidi w:val="0"/>
        <w:spacing w:lineRule="auto" w:line="276" w:before="0" w:after="0"/>
        <w:jc w:val="both"/>
        <w:rPr>
          <w:rFonts w:ascii="Encode Sans;sans-serif" w:hAnsi="Encode Sans;sans-serif"/>
          <w:b w:val="false"/>
          <w:color w:val="000000"/>
          <w:sz w:val="16"/>
        </w:rPr>
      </w:pPr>
      <w:r>
        <w:rPr>
          <w:rFonts w:ascii="Encode Sans;sans-serif" w:hAnsi="Encode Sans;sans-serif"/>
          <w:b w:val="false"/>
          <w:color w:val="000000"/>
          <w:sz w:val="16"/>
        </w:rPr>
        <w:t xml:space="preserve">(7) Leapmotor International, is a jointly established, Stellantis-controlled company created in 2024 and owned 51 percent by Stellantis and 49 percent by Leapmotor, to distribute Leapmotor-branded vehicles outside of China. Stellantis does not design, or manufacture Leapmotor-branded vehicles and does not own the Leapmotor brand or intellectual property. </w:t>
      </w:r>
    </w:p>
    <w:p>
      <w:pPr>
        <w:pStyle w:val="TextBody"/>
        <w:bidi w:val="0"/>
        <w:spacing w:lineRule="auto" w:line="276" w:before="0" w:after="0"/>
        <w:jc w:val="both"/>
        <w:rPr>
          <w:rFonts w:ascii="Encode Sans;sans-serif" w:hAnsi="Encode Sans;sans-serif"/>
          <w:b w:val="false"/>
          <w:color w:val="000000"/>
          <w:sz w:val="16"/>
        </w:rPr>
      </w:pPr>
      <w:r>
        <w:rPr>
          <w:rFonts w:ascii="Encode Sans;sans-serif" w:hAnsi="Encode Sans;sans-serif"/>
          <w:b w:val="false"/>
          <w:color w:val="000000"/>
          <w:sz w:val="16"/>
        </w:rPr>
        <w:t>(8) Effective January 2026, the Company’s segment structure was updated to align with how the Chief Operating Decision Maker (“CODM”) reviews performance and allocates resources. Under the revised structure, the CODM reviews the business through the following operating and reportable segments: North America; Enlarged Europe; Middle East &amp; Africa; South America; and Asia Pacific.</w:t>
      </w:r>
    </w:p>
    <w:p>
      <w:pPr>
        <w:pStyle w:val="TextBody"/>
        <w:bidi w:val="0"/>
        <w:spacing w:before="0" w:after="0"/>
        <w:jc w:val="both"/>
        <w:rPr/>
      </w:pPr>
      <w:r>
        <w:rPr/>
      </w:r>
    </w:p>
    <w:p>
      <w:pPr>
        <w:pStyle w:val="TextBody"/>
        <w:bidi w:val="0"/>
        <w:spacing w:lineRule="auto" w:line="276" w:before="0" w:after="0"/>
        <w:jc w:val="both"/>
        <w:rPr>
          <w:rFonts w:ascii="Encode Sans;sans-serif" w:hAnsi="Encode Sans;sans-serif"/>
          <w:b w:val="false"/>
          <w:color w:val="000000"/>
          <w:sz w:val="16"/>
        </w:rPr>
      </w:pPr>
      <w:r>
        <w:rPr>
          <w:rFonts w:ascii="Encode Sans;sans-serif" w:hAnsi="Encode Sans;sans-serif"/>
          <w:b w:val="false"/>
          <w:color w:val="000000"/>
          <w:sz w:val="16"/>
        </w:rPr>
        <w:t>The changes in our segment reporting are summarized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Encode Sans;sans-serif" w:hAnsi="Encode Sans;sans-serif"/>
          <w:b w:val="false"/>
          <w:color w:val="000000"/>
          <w:sz w:val="16"/>
        </w:rPr>
        <w:t>Maserati is no longer presented as a separate reportable segment as it is managed consistently with the other brands within the regions and is therefore presented on a “where sold” basis). Maserati is therefore no longer presented as a separate reportable segment;</w:t>
      </w:r>
    </w:p>
    <w:p>
      <w:pPr>
        <w:pStyle w:val="TextBody"/>
        <w:bidi w:val="0"/>
        <w:spacing w:lineRule="auto" w:line="288" w:before="0" w:after="0"/>
        <w:ind w:left="0" w:right="0" w:hanging="360"/>
        <w:jc w:val="left"/>
        <w:rPr/>
      </w:pPr>
      <w:r>
        <w:rPr>
          <w:color w:val="000000"/>
        </w:rPr>
        <w:t>•</w:t>
      </w:r>
      <w:r>
        <w:rPr>
          <w:rFonts w:ascii="Encode Sans;sans-serif" w:hAnsi="Encode Sans;sans-serif"/>
          <w:b w:val="false"/>
          <w:color w:val="000000"/>
          <w:sz w:val="16"/>
        </w:rPr>
        <w:t>The Asia Pacific region is now managed as a single operating segment. Previously, the CODM reviewed two operating segments: (i) China and (ii) India &amp; Asia Pacific, which were reported as one reportable segment under IFRS 8. From 2026, these activities are reviewed together, resulting in one operating and reportable segment: Asia Pacific; and</w:t>
      </w:r>
    </w:p>
    <w:p>
      <w:pPr>
        <w:pStyle w:val="TextBody"/>
        <w:bidi w:val="0"/>
        <w:spacing w:lineRule="auto" w:line="288" w:before="0" w:after="0"/>
        <w:ind w:left="0" w:right="0" w:hanging="360"/>
        <w:jc w:val="left"/>
        <w:rPr/>
      </w:pPr>
      <w:r>
        <w:rPr>
          <w:color w:val="000000"/>
        </w:rPr>
        <w:t>•</w:t>
      </w:r>
      <w:r>
        <w:rPr>
          <w:rFonts w:ascii="Encode Sans;sans-serif" w:hAnsi="Encode Sans;sans-serif"/>
          <w:b w:val="false"/>
          <w:color w:val="000000"/>
          <w:sz w:val="16"/>
        </w:rPr>
        <w:t>European used car operations, previously included within Other activities, have been reclassified to the Enlarged Europe segment in line with the CODM’s oversight.</w:t>
      </w:r>
    </w:p>
    <w:p>
      <w:pPr>
        <w:pStyle w:val="TextBody"/>
        <w:bidi w:val="0"/>
        <w:spacing w:before="0" w:after="0"/>
        <w:jc w:val="left"/>
        <w:rPr/>
      </w:pPr>
      <w:r>
        <w:rPr/>
      </w:r>
    </w:p>
    <w:p>
      <w:pPr>
        <w:pStyle w:val="TextBody"/>
        <w:bidi w:val="0"/>
        <w:spacing w:lineRule="auto" w:line="276" w:before="0" w:after="0"/>
        <w:jc w:val="both"/>
        <w:rPr>
          <w:rFonts w:ascii="Encode Sans;sans-serif" w:hAnsi="Encode Sans;sans-serif"/>
          <w:b w:val="false"/>
          <w:color w:val="000000"/>
          <w:sz w:val="16"/>
        </w:rPr>
      </w:pPr>
      <w:r>
        <w:rPr>
          <w:rFonts w:ascii="Encode Sans;sans-serif" w:hAnsi="Encode Sans;sans-serif"/>
          <w:b w:val="false"/>
          <w:color w:val="000000"/>
          <w:sz w:val="16"/>
        </w:rPr>
        <w:t>Comparative information has been restated to reflect the revised segment structure. The impact of these changes is presented in the following tables:</w:t>
      </w:r>
    </w:p>
    <w:p>
      <w:pPr>
        <w:pStyle w:val="TextBody"/>
        <w:bidi w:val="0"/>
        <w:spacing w:before="0" w:after="283"/>
        <w:jc w:val="left"/>
        <w:rPr/>
      </w:pPr>
      <w:r>
        <w:rPr/>
      </w:r>
    </w:p>
    <w:p>
      <w:pPr>
        <w:pStyle w:val="TextBody"/>
        <w:bidi w:val="0"/>
        <w:spacing w:before="0" w:after="0"/>
        <w:jc w:val="center"/>
        <w:rPr/>
      </w:pPr>
      <w:r>
        <w:rPr/>
        <w:drawing>
          <wp:inline distT="0" distB="0" distL="0" distR="0">
            <wp:extent cx="2428875" cy="6858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8110"/>
                <wp:effectExtent l="0" t="0" r="0" b="0"/>
                <wp:wrapNone/>
                <wp:docPr id="28" name="Frame1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11</w:t>
                      </w:r>
                    </w:p>
                  </w:txbxContent>
                </v:textbox>
                <w10:wrap type="none"/>
              </v:rect>
            </w:pict>
          </mc:Fallback>
        </mc:AlternateContent>
      </w:r>
    </w:p>
    <w:tbl>
      <w:tblPr>
        <w:tblW w:w="6491" w:type="dxa"/>
        <w:jc w:val="left"/>
        <w:tblInd w:w="0" w:type="dxa"/>
        <w:tblLayout w:type="fixed"/>
        <w:tblCellMar>
          <w:top w:w="28" w:type="dxa"/>
          <w:left w:w="28" w:type="dxa"/>
          <w:bottom w:w="28" w:type="dxa"/>
          <w:right w:w="28" w:type="dxa"/>
        </w:tblCellMar>
      </w:tblPr>
      <w:tblGrid>
        <w:gridCol w:w="368"/>
        <w:gridCol w:w="324"/>
        <w:gridCol w:w="324"/>
        <w:gridCol w:w="324"/>
        <w:gridCol w:w="324"/>
        <w:gridCol w:w="329"/>
        <w:gridCol w:w="109"/>
        <w:gridCol w:w="109"/>
        <w:gridCol w:w="109"/>
        <w:gridCol w:w="375"/>
        <w:gridCol w:w="376"/>
        <w:gridCol w:w="371"/>
        <w:gridCol w:w="109"/>
        <w:gridCol w:w="109"/>
        <w:gridCol w:w="109"/>
        <w:gridCol w:w="390"/>
        <w:gridCol w:w="390"/>
        <w:gridCol w:w="391"/>
        <w:gridCol w:w="109"/>
        <w:gridCol w:w="109"/>
        <w:gridCol w:w="109"/>
        <w:gridCol w:w="375"/>
        <w:gridCol w:w="376"/>
        <w:gridCol w:w="473"/>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993" w:type="dxa"/>
            <w:gridSpan w:val="6"/>
            <w:tcBorders>
              <w:top w:val="single" w:sz="8" w:space="0" w:color="4C639D"/>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15"/>
            <w:tcBorders>
              <w:top w:val="single" w:sz="8" w:space="0" w:color="143A84"/>
            </w:tcBorders>
            <w:shd w:fill="243782"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6"/>
              </w:rPr>
            </w:pPr>
            <w:r>
              <w:rPr>
                <w:rFonts w:ascii="Encode Sans;sans-serif" w:hAnsi="Encode Sans;sans-serif"/>
                <w:b/>
                <w:color w:val="FFFFFF"/>
                <w:sz w:val="16"/>
              </w:rPr>
              <w:t>Q2 2025</w:t>
            </w:r>
          </w:p>
        </w:tc>
      </w:tr>
      <w:tr>
        <w:trPr/>
        <w:tc>
          <w:tcPr>
            <w:tcW w:w="1993" w:type="dxa"/>
            <w:gridSpan w:val="6"/>
            <w:tcBorders>
              <w:top w:val="single" w:sz="8" w:space="0" w:color="DBDBDB"/>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5"/>
              </w:rPr>
            </w:pPr>
            <w:r>
              <w:rPr>
                <w:rFonts w:ascii="Encode Sans;sans-serif" w:hAnsi="Encode Sans;sans-serif"/>
                <w:b/>
                <w:color w:val="FFFFFF"/>
                <w:sz w:val="15"/>
              </w:rPr>
              <w:t>As reported</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5"/>
              </w:rPr>
            </w:pPr>
            <w:r>
              <w:rPr>
                <w:rFonts w:ascii="Encode Sans;sans-serif" w:hAnsi="Encode Sans;sans-serif"/>
                <w:b/>
                <w:color w:val="FFFFFF"/>
                <w:sz w:val="15"/>
              </w:rPr>
              <w:t>Adjustments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5"/>
              </w:rPr>
            </w:pPr>
            <w:r>
              <w:rPr>
                <w:rFonts w:ascii="Encode Sans;sans-serif" w:hAnsi="Encode Sans;sans-serif"/>
                <w:b/>
                <w:color w:val="FFFFFF"/>
                <w:sz w:val="15"/>
              </w:rPr>
              <w:t>As adjusted</w:t>
            </w:r>
          </w:p>
        </w:tc>
      </w:tr>
      <w:tr>
        <w:trPr/>
        <w:tc>
          <w:tcPr>
            <w:tcW w:w="1993"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5"/>
              </w:rPr>
            </w:pPr>
            <w:r>
              <w:rPr>
                <w:rFonts w:ascii="Encode Sans;sans-serif" w:hAnsi="Encode Sans;sans-serif"/>
                <w:b/>
                <w:color w:val="243782"/>
                <w:sz w:val="15"/>
              </w:rPr>
              <w:t>Net revenues (EUR M)</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38,448</w:t>
            </w:r>
            <w:r>
              <w:rPr>
                <w:color w:val="FFFFFF"/>
              </w:rPr>
              <w:t> </w:t>
            </w:r>
          </w:p>
        </w:tc>
        <w:tc>
          <w:tcPr>
            <w:tcW w:w="371"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391"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38,448</w:t>
            </w:r>
            <w:r>
              <w:rPr>
                <w:color w:val="FFFFFF"/>
              </w:rPr>
              <w:t> </w:t>
            </w:r>
          </w:p>
        </w:tc>
        <w:tc>
          <w:tcPr>
            <w:tcW w:w="473"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North America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13,782</w:t>
            </w:r>
            <w:r>
              <w:rPr>
                <w:color w:val="FFFFFF"/>
              </w:rPr>
              <w:t> </w:t>
            </w:r>
          </w:p>
        </w:tc>
        <w:tc>
          <w:tcPr>
            <w:tcW w:w="37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52</w:t>
            </w:r>
            <w:r>
              <w:rPr>
                <w:color w:val="FFFFFF"/>
              </w:rPr>
              <w:t> </w:t>
            </w:r>
          </w:p>
        </w:tc>
        <w:tc>
          <w:tcPr>
            <w:tcW w:w="39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13,834</w:t>
            </w:r>
            <w:r>
              <w:rPr>
                <w:color w:val="FFFFFF"/>
              </w:rPr>
              <w:t> </w:t>
            </w:r>
          </w:p>
        </w:tc>
        <w:tc>
          <w:tcPr>
            <w:tcW w:w="473"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Enlarged Europe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15,676</w:t>
            </w:r>
            <w:r>
              <w:rPr>
                <w:color w:val="FFFFFF"/>
              </w:rPr>
              <w:t> </w:t>
            </w:r>
          </w:p>
        </w:tc>
        <w:tc>
          <w:tcPr>
            <w:tcW w:w="37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711</w:t>
            </w:r>
            <w:r>
              <w:rPr>
                <w:color w:val="FFFFFF"/>
              </w:rPr>
              <w:t> </w:t>
            </w:r>
          </w:p>
        </w:tc>
        <w:tc>
          <w:tcPr>
            <w:tcW w:w="39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16,387</w:t>
            </w:r>
            <w:r>
              <w:rPr>
                <w:color w:val="FFFFFF"/>
              </w:rPr>
              <w:t> </w:t>
            </w:r>
          </w:p>
        </w:tc>
        <w:tc>
          <w:tcPr>
            <w:tcW w:w="473"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Middle East &amp; Africa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2,664</w:t>
            </w:r>
            <w:r>
              <w:rPr>
                <w:color w:val="FFFFFF"/>
              </w:rPr>
              <w:t> </w:t>
            </w:r>
          </w:p>
        </w:tc>
        <w:tc>
          <w:tcPr>
            <w:tcW w:w="37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10</w:t>
            </w:r>
            <w:r>
              <w:rPr>
                <w:color w:val="FFFFFF"/>
              </w:rPr>
              <w:t> </w:t>
            </w:r>
          </w:p>
        </w:tc>
        <w:tc>
          <w:tcPr>
            <w:tcW w:w="39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2,674</w:t>
            </w:r>
            <w:r>
              <w:rPr>
                <w:color w:val="FFFFFF"/>
              </w:rPr>
              <w:t> </w:t>
            </w:r>
          </w:p>
        </w:tc>
        <w:tc>
          <w:tcPr>
            <w:tcW w:w="473"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South America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4,091</w:t>
            </w:r>
            <w:r>
              <w:rPr>
                <w:color w:val="FFFFFF"/>
              </w:rPr>
              <w:t> </w:t>
            </w:r>
          </w:p>
        </w:tc>
        <w:tc>
          <w:tcPr>
            <w:tcW w:w="37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w:t>
            </w:r>
            <w:r>
              <w:rPr>
                <w:color w:val="FFFFFF"/>
              </w:rPr>
              <w:t> </w:t>
            </w:r>
          </w:p>
        </w:tc>
        <w:tc>
          <w:tcPr>
            <w:tcW w:w="39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4,092</w:t>
            </w:r>
            <w:r>
              <w:rPr>
                <w:color w:val="FFFFFF"/>
              </w:rPr>
              <w:t> </w:t>
            </w:r>
          </w:p>
        </w:tc>
        <w:tc>
          <w:tcPr>
            <w:tcW w:w="473"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Asia 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476</w:t>
            </w:r>
            <w:r>
              <w:rPr>
                <w:color w:val="FFFFFF"/>
              </w:rPr>
              <w:t> </w:t>
            </w:r>
          </w:p>
        </w:tc>
        <w:tc>
          <w:tcPr>
            <w:tcW w:w="37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48</w:t>
            </w:r>
            <w:r>
              <w:rPr>
                <w:color w:val="FFFFFF"/>
              </w:rPr>
              <w:t> </w:t>
            </w:r>
          </w:p>
        </w:tc>
        <w:tc>
          <w:tcPr>
            <w:tcW w:w="39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524</w:t>
            </w:r>
            <w:r>
              <w:rPr>
                <w:color w:val="FFFFFF"/>
              </w:rPr>
              <w:t> </w:t>
            </w:r>
          </w:p>
        </w:tc>
        <w:tc>
          <w:tcPr>
            <w:tcW w:w="473"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Maserati</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212</w:t>
            </w:r>
            <w:r>
              <w:rPr>
                <w:color w:val="FFFFFF"/>
              </w:rPr>
              <w:t> </w:t>
            </w:r>
          </w:p>
        </w:tc>
        <w:tc>
          <w:tcPr>
            <w:tcW w:w="37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(212)</w:t>
            </w:r>
          </w:p>
        </w:tc>
        <w:tc>
          <w:tcPr>
            <w:tcW w:w="39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473"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3" w:type="dxa"/>
            <w:gridSpan w:val="6"/>
            <w:tcBorders>
              <w:top w:val="single" w:sz="8" w:space="0" w:color="DBDBDB"/>
              <w:bottom w:val="single" w:sz="8" w:space="0" w:color="143A84"/>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5"/>
              </w:rPr>
            </w:pPr>
            <w:r>
              <w:rPr>
                <w:rFonts w:ascii="Encode Sans;sans-serif" w:hAnsi="Encode Sans;sans-serif"/>
                <w:b w:val="false"/>
                <w:color w:val="000000"/>
                <w:sz w:val="15"/>
              </w:rPr>
              <w:t>Others</w:t>
            </w:r>
          </w:p>
        </w:tc>
        <w:tc>
          <w:tcPr>
            <w:tcW w:w="327" w:type="dxa"/>
            <w:gridSpan w:val="3"/>
            <w:tcBorders>
              <w:top w:val="single" w:sz="8" w:space="0" w:color="DBDBDB"/>
              <w:bottom w:val="single" w:sz="8"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1,547</w:t>
            </w:r>
            <w:r>
              <w:rPr>
                <w:color w:val="FFFFFF"/>
              </w:rPr>
              <w:t> </w:t>
            </w:r>
          </w:p>
        </w:tc>
        <w:tc>
          <w:tcPr>
            <w:tcW w:w="371" w:type="dxa"/>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5"/>
              </w:rPr>
            </w:pPr>
            <w:r>
              <w:rPr>
                <w:rFonts w:ascii="Encode Sans;sans-serif" w:hAnsi="Encode Sans;sans-serif"/>
                <w:b/>
                <w:color w:val="FFFFFF"/>
                <w:sz w:val="15"/>
              </w:rPr>
              <w:t>(610)</w:t>
            </w:r>
          </w:p>
        </w:tc>
        <w:tc>
          <w:tcPr>
            <w:tcW w:w="391" w:type="dxa"/>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5"/>
              </w:rPr>
              <w:t>937</w:t>
            </w:r>
            <w:r>
              <w:rPr>
                <w:color w:val="FFFFFF"/>
              </w:rPr>
              <w:t> </w:t>
            </w:r>
          </w:p>
        </w:tc>
        <w:tc>
          <w:tcPr>
            <w:tcW w:w="473" w:type="dxa"/>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tcPr>
          <w:p>
            <w:pPr>
              <w:pStyle w:val="TableContents"/>
              <w:bidi w:val="0"/>
              <w:spacing w:before="0" w:after="283"/>
              <w:jc w:val="left"/>
              <w:rPr>
                <w:sz w:val="4"/>
                <w:szCs w:val="4"/>
              </w:rPr>
            </w:pPr>
            <w:r>
              <w:rPr>
                <w:sz w:val="4"/>
                <w:szCs w:val="4"/>
              </w:rPr>
            </w:r>
          </w:p>
        </w:tc>
      </w:tr>
      <w:tr>
        <w:trPr/>
        <w:tc>
          <w:tcPr>
            <w:tcW w:w="101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tcPr>
          <w:p>
            <w:pPr>
              <w:pStyle w:val="TableContents"/>
              <w:bidi w:val="0"/>
              <w:spacing w:before="0" w:after="283"/>
              <w:jc w:val="left"/>
              <w:rPr>
                <w:sz w:val="4"/>
                <w:szCs w:val="4"/>
              </w:rPr>
            </w:pPr>
            <w:r>
              <w:rPr>
                <w:sz w:val="4"/>
                <w:szCs w:val="4"/>
              </w:rPr>
            </w:r>
          </w:p>
        </w:tc>
      </w:tr>
      <w:tr>
        <w:trPr/>
        <w:tc>
          <w:tcPr>
            <w:tcW w:w="101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316" w:type="dxa"/>
        <w:jc w:val="left"/>
        <w:tblInd w:w="0" w:type="dxa"/>
        <w:tblLayout w:type="fixed"/>
        <w:tblCellMar>
          <w:top w:w="28" w:type="dxa"/>
          <w:left w:w="28" w:type="dxa"/>
          <w:bottom w:w="28" w:type="dxa"/>
          <w:right w:w="28" w:type="dxa"/>
        </w:tblCellMar>
      </w:tblPr>
      <w:tblGrid>
        <w:gridCol w:w="243"/>
        <w:gridCol w:w="215"/>
        <w:gridCol w:w="215"/>
        <w:gridCol w:w="215"/>
        <w:gridCol w:w="215"/>
        <w:gridCol w:w="215"/>
        <w:gridCol w:w="109"/>
        <w:gridCol w:w="109"/>
        <w:gridCol w:w="109"/>
        <w:gridCol w:w="330"/>
        <w:gridCol w:w="331"/>
        <w:gridCol w:w="301"/>
        <w:gridCol w:w="109"/>
        <w:gridCol w:w="109"/>
        <w:gridCol w:w="109"/>
        <w:gridCol w:w="325"/>
        <w:gridCol w:w="325"/>
        <w:gridCol w:w="326"/>
        <w:gridCol w:w="109"/>
        <w:gridCol w:w="109"/>
        <w:gridCol w:w="109"/>
        <w:gridCol w:w="330"/>
        <w:gridCol w:w="331"/>
        <w:gridCol w:w="306"/>
        <w:gridCol w:w="109"/>
        <w:gridCol w:w="109"/>
        <w:gridCol w:w="109"/>
        <w:gridCol w:w="299"/>
        <w:gridCol w:w="299"/>
        <w:gridCol w:w="301"/>
        <w:gridCol w:w="157"/>
        <w:gridCol w:w="157"/>
        <w:gridCol w:w="157"/>
        <w:gridCol w:w="325"/>
        <w:gridCol w:w="325"/>
        <w:gridCol w:w="326"/>
        <w:gridCol w:w="157"/>
        <w:gridCol w:w="157"/>
        <w:gridCol w:w="157"/>
        <w:gridCol w:w="285"/>
        <w:gridCol w:w="286"/>
        <w:gridCol w:w="397"/>
      </w:tblGrid>
      <w:tr>
        <w:trPr/>
        <w:tc>
          <w:tcPr>
            <w:tcW w:w="2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318" w:type="dxa"/>
            <w:gridSpan w:val="6"/>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C639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15"/>
            <w:tcBorders>
              <w:top w:val="single" w:sz="8" w:space="0" w:color="143A84"/>
              <w:bottom w:val="single" w:sz="8" w:space="0" w:color="DBDBDB"/>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color w:val="FFFFFF"/>
                <w:sz w:val="12"/>
              </w:rPr>
            </w:pPr>
            <w:r>
              <w:rPr>
                <w:rFonts w:ascii="Encode Sans;sans-serif" w:hAnsi="Encode Sans;sans-serif"/>
                <w:b/>
                <w:color w:val="FFFFFF"/>
                <w:sz w:val="12"/>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15"/>
            <w:tcBorders>
              <w:top w:val="single" w:sz="8" w:space="0" w:color="143A84"/>
              <w:bottom w:val="single" w:sz="8" w:space="0" w:color="DBDBDB"/>
            </w:tcBorders>
            <w:shd w:fill="243782" w:val="clear"/>
            <w:tcMar>
              <w:top w:w="52" w:type="dxa"/>
              <w:left w:w="0" w:type="dxa"/>
              <w:bottom w:w="30" w:type="dxa"/>
              <w:right w:w="0" w:type="dxa"/>
            </w:tcMar>
            <w:vAlign w:val="center"/>
          </w:tcPr>
          <w:p>
            <w:pPr>
              <w:pStyle w:val="TableContents"/>
              <w:bidi w:val="0"/>
              <w:spacing w:lineRule="auto" w:line="288" w:before="0" w:after="283"/>
              <w:jc w:val="center"/>
              <w:rPr>
                <w:rFonts w:ascii="Encode Sans;sans-serif" w:hAnsi="Encode Sans;sans-serif"/>
                <w:b/>
                <w:color w:val="FFFFFF"/>
                <w:sz w:val="12"/>
              </w:rPr>
            </w:pPr>
            <w:r>
              <w:rPr>
                <w:rFonts w:ascii="Encode Sans;sans-serif" w:hAnsi="Encode Sans;sans-serif"/>
                <w:b/>
                <w:color w:val="FFFFFF"/>
                <w:sz w:val="12"/>
              </w:rPr>
              <w:t>YTD 2025</w:t>
            </w:r>
          </w:p>
        </w:tc>
      </w:tr>
      <w:tr>
        <w:trPr/>
        <w:tc>
          <w:tcPr>
            <w:tcW w:w="673" w:type="dxa"/>
            <w:gridSpan w:val="3"/>
            <w:tcBorders>
              <w:top w:val="single" w:sz="8" w:space="0" w:color="DBDBDB"/>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DBDBDB"/>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15"/>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2"/>
              </w:rPr>
            </w:pPr>
            <w:r>
              <w:rPr>
                <w:rFonts w:ascii="Encode Sans;sans-serif" w:hAnsi="Encode Sans;sans-serif"/>
                <w:b/>
                <w:color w:val="FFFFFF"/>
                <w:sz w:val="12"/>
              </w:rPr>
              <w:t>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15"/>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2"/>
              </w:rPr>
            </w:pPr>
            <w:r>
              <w:rPr>
                <w:rFonts w:ascii="Encode Sans;sans-serif" w:hAnsi="Encode Sans;sans-serif"/>
                <w:b/>
                <w:color w:val="FFFFFF"/>
                <w:sz w:val="12"/>
              </w:rPr>
              <w:t>Adjusted operating income/(loss)</w:t>
            </w:r>
          </w:p>
        </w:tc>
      </w:tr>
      <w:tr>
        <w:trPr/>
        <w:tc>
          <w:tcPr>
            <w:tcW w:w="1318" w:type="dxa"/>
            <w:gridSpan w:val="6"/>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2"/>
              </w:rPr>
            </w:pPr>
            <w:r>
              <w:rPr>
                <w:rFonts w:ascii="Encode Sans;sans-serif" w:hAnsi="Encode Sans;sans-serif"/>
                <w:b/>
                <w:color w:val="FFFFFF"/>
                <w:sz w:val="12"/>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2"/>
              </w:rPr>
            </w:pPr>
            <w:r>
              <w:rPr>
                <w:rFonts w:ascii="Encode Sans;sans-serif" w:hAnsi="Encode Sans;sans-serif"/>
                <w:b/>
                <w:color w:val="FFFFFF"/>
                <w:sz w:val="12"/>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2"/>
              </w:rPr>
            </w:pPr>
            <w:r>
              <w:rPr>
                <w:rFonts w:ascii="Encode Sans;sans-serif" w:hAnsi="Encode Sans;sans-serif"/>
                <w:b/>
                <w:color w:val="FFFFFF"/>
                <w:sz w:val="12"/>
              </w:rPr>
              <w:t>As 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2"/>
              </w:rPr>
            </w:pPr>
            <w:r>
              <w:rPr>
                <w:rFonts w:ascii="Encode Sans;sans-serif" w:hAnsi="Encode Sans;sans-serif"/>
                <w:b/>
                <w:color w:val="FFFFFF"/>
                <w:sz w:val="12"/>
              </w:rPr>
              <w:t>As reported</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2"/>
              </w:rPr>
            </w:pPr>
            <w:r>
              <w:rPr>
                <w:rFonts w:ascii="Encode Sans;sans-serif" w:hAnsi="Encode Sans;sans-serif"/>
                <w:b/>
                <w:color w:val="FFFFFF"/>
                <w:sz w:val="12"/>
              </w:rPr>
              <w:t>Adjustments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center"/>
              <w:rPr>
                <w:rFonts w:ascii="Encode Sans;sans-serif" w:hAnsi="Encode Sans;sans-serif"/>
                <w:b/>
                <w:color w:val="FFFFFF"/>
                <w:sz w:val="12"/>
              </w:rPr>
            </w:pPr>
            <w:r>
              <w:rPr>
                <w:rFonts w:ascii="Encode Sans;sans-serif" w:hAnsi="Encode Sans;sans-serif"/>
                <w:b/>
                <w:color w:val="FFFFFF"/>
                <w:sz w:val="12"/>
              </w:rPr>
              <w:t>As adjusted</w:t>
            </w:r>
          </w:p>
        </w:tc>
      </w:tr>
      <w:tr>
        <w:trPr/>
        <w:tc>
          <w:tcPr>
            <w:tcW w:w="1318"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color w:val="243782"/>
                <w:sz w:val="12"/>
              </w:rPr>
            </w:pPr>
            <w:r>
              <w:rPr>
                <w:rFonts w:ascii="Encode Sans;sans-serif" w:hAnsi="Encode Sans;sans-serif"/>
                <w:b/>
                <w:color w:val="243782"/>
                <w:sz w:val="12"/>
              </w:rPr>
              <w:t>(EUR M)</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74,261</w:t>
            </w:r>
            <w:r>
              <w:rPr>
                <w:color w:val="FFFFFF"/>
              </w:rPr>
              <w:t> </w:t>
            </w:r>
          </w:p>
        </w:tc>
        <w:tc>
          <w:tcPr>
            <w:tcW w:w="301"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326"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74,261</w:t>
            </w:r>
            <w:r>
              <w:rPr>
                <w:color w:val="FFFFFF"/>
              </w:rPr>
              <w:t> </w:t>
            </w:r>
          </w:p>
        </w:tc>
        <w:tc>
          <w:tcPr>
            <w:tcW w:w="306"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540</w:t>
            </w:r>
            <w:r>
              <w:rPr>
                <w:color w:val="FFFFFF"/>
              </w:rPr>
              <w:t> </w:t>
            </w:r>
          </w:p>
        </w:tc>
        <w:tc>
          <w:tcPr>
            <w:tcW w:w="301"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326"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shd w:fill="243782"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540</w:t>
            </w:r>
            <w:r>
              <w:rPr>
                <w:color w:val="FFFFFF"/>
              </w:rPr>
              <w:t> </w:t>
            </w:r>
          </w:p>
        </w:tc>
        <w:tc>
          <w:tcPr>
            <w:tcW w:w="397" w:type="dxa"/>
            <w:tcBorders>
              <w:top w:val="single" w:sz="8" w:space="0" w:color="DBDBDB"/>
            </w:tcBorders>
            <w:shd w:fill="24378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2"/>
              </w:rPr>
            </w:pPr>
            <w:r>
              <w:rPr>
                <w:rFonts w:ascii="Encode Sans;sans-serif" w:hAnsi="Encode Sans;sans-serif"/>
                <w:b w:val="false"/>
                <w:color w:val="000000"/>
                <w:sz w:val="12"/>
              </w:rPr>
              <w:t>North America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28,198</w:t>
            </w:r>
            <w:r>
              <w:rPr>
                <w:color w:val="FFFFFF"/>
              </w:rPr>
              <w:t> </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105</w:t>
            </w:r>
            <w:r>
              <w:rPr>
                <w:color w:val="FFFFFF"/>
              </w:rPr>
              <w:t> </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28,303</w:t>
            </w:r>
            <w:r>
              <w:rPr>
                <w:color w:val="FFFFFF"/>
              </w:rPr>
              <w:t> </w:t>
            </w:r>
          </w:p>
        </w:tc>
        <w:tc>
          <w:tcPr>
            <w:tcW w:w="30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(951)</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(31)</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(982)</w:t>
            </w:r>
          </w:p>
        </w:tc>
        <w:tc>
          <w:tcPr>
            <w:tcW w:w="39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2"/>
              </w:rPr>
            </w:pPr>
            <w:r>
              <w:rPr>
                <w:rFonts w:ascii="Encode Sans;sans-serif" w:hAnsi="Encode Sans;sans-serif"/>
                <w:b w:val="false"/>
                <w:color w:val="000000"/>
                <w:sz w:val="12"/>
              </w:rPr>
              <w:t>Enlarged Europe</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29,241</w:t>
            </w:r>
            <w:r>
              <w:rPr>
                <w:color w:val="FFFFFF"/>
              </w:rPr>
              <w:t> </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1,316</w:t>
            </w:r>
            <w:r>
              <w:rPr>
                <w:color w:val="FFFFFF"/>
              </w:rPr>
              <w:t> </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30,557</w:t>
            </w:r>
            <w:r>
              <w:rPr>
                <w:color w:val="FFFFFF"/>
              </w:rPr>
              <w:t> </w:t>
            </w:r>
          </w:p>
        </w:tc>
        <w:tc>
          <w:tcPr>
            <w:tcW w:w="30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9</w:t>
            </w:r>
            <w:r>
              <w:rPr>
                <w:color w:val="FFFFFF"/>
              </w:rPr>
              <w:t> </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(76)</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(67)</w:t>
            </w:r>
          </w:p>
        </w:tc>
        <w:tc>
          <w:tcPr>
            <w:tcW w:w="39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2"/>
              </w:rPr>
            </w:pPr>
            <w:r>
              <w:rPr>
                <w:rFonts w:ascii="Encode Sans;sans-serif" w:hAnsi="Encode Sans;sans-serif"/>
                <w:b w:val="false"/>
                <w:color w:val="000000"/>
                <w:sz w:val="12"/>
              </w:rPr>
              <w:t>Middle East &amp; Africa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4,944</w:t>
            </w:r>
            <w:r>
              <w:rPr>
                <w:color w:val="FFFFFF"/>
              </w:rPr>
              <w:t> </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18</w:t>
            </w:r>
            <w:r>
              <w:rPr>
                <w:color w:val="FFFFFF"/>
              </w:rPr>
              <w:t> </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4,962</w:t>
            </w:r>
            <w:r>
              <w:rPr>
                <w:color w:val="FFFFFF"/>
              </w:rPr>
              <w:t> </w:t>
            </w:r>
          </w:p>
        </w:tc>
        <w:tc>
          <w:tcPr>
            <w:tcW w:w="30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768</w:t>
            </w:r>
            <w:r>
              <w:rPr>
                <w:color w:val="FFFFFF"/>
              </w:rPr>
              <w:t> </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768</w:t>
            </w:r>
            <w:r>
              <w:rPr>
                <w:color w:val="FFFFFF"/>
              </w:rPr>
              <w:t> </w:t>
            </w:r>
          </w:p>
        </w:tc>
        <w:tc>
          <w:tcPr>
            <w:tcW w:w="39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2"/>
              </w:rPr>
            </w:pPr>
            <w:r>
              <w:rPr>
                <w:rFonts w:ascii="Encode Sans;sans-serif" w:hAnsi="Encode Sans;sans-serif"/>
                <w:b w:val="false"/>
                <w:color w:val="000000"/>
                <w:sz w:val="12"/>
              </w:rPr>
              <w:t>South America</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7,769</w:t>
            </w:r>
            <w:r>
              <w:rPr>
                <w:color w:val="FFFFFF"/>
              </w:rPr>
              <w:t> </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2</w:t>
            </w:r>
            <w:r>
              <w:rPr>
                <w:color w:val="FFFFFF"/>
              </w:rPr>
              <w:t> </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7,771</w:t>
            </w:r>
            <w:r>
              <w:rPr>
                <w:color w:val="FFFFFF"/>
              </w:rPr>
              <w:t> </w:t>
            </w:r>
          </w:p>
        </w:tc>
        <w:tc>
          <w:tcPr>
            <w:tcW w:w="30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1,188</w:t>
            </w:r>
            <w:r>
              <w:rPr>
                <w:color w:val="FFFFFF"/>
              </w:rPr>
              <w:t> </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1</w:t>
            </w:r>
            <w:r>
              <w:rPr>
                <w:color w:val="FFFFFF"/>
              </w:rPr>
              <w:t> </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1,189</w:t>
            </w:r>
            <w:r>
              <w:rPr>
                <w:color w:val="FFFFFF"/>
              </w:rPr>
              <w:t> </w:t>
            </w:r>
          </w:p>
        </w:tc>
        <w:tc>
          <w:tcPr>
            <w:tcW w:w="39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2"/>
              </w:rPr>
            </w:pPr>
            <w:r>
              <w:rPr>
                <w:rFonts w:ascii="Encode Sans;sans-serif" w:hAnsi="Encode Sans;sans-serif"/>
                <w:b w:val="false"/>
                <w:color w:val="000000"/>
                <w:sz w:val="12"/>
              </w:rPr>
              <w:t>Asia 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923</w:t>
            </w:r>
            <w:r>
              <w:rPr>
                <w:color w:val="FFFFFF"/>
              </w:rPr>
              <w:t> </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87</w:t>
            </w:r>
            <w:r>
              <w:rPr>
                <w:color w:val="FFFFFF"/>
              </w:rPr>
              <w:t> </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1,010</w:t>
            </w:r>
            <w:r>
              <w:rPr>
                <w:color w:val="FFFFFF"/>
              </w:rPr>
              <w:t> </w:t>
            </w:r>
          </w:p>
        </w:tc>
        <w:tc>
          <w:tcPr>
            <w:tcW w:w="30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19</w:t>
            </w:r>
            <w:r>
              <w:rPr>
                <w:color w:val="FFFFFF"/>
              </w:rPr>
              <w:t> </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(19)</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39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6"/>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2"/>
              </w:rPr>
            </w:pPr>
            <w:r>
              <w:rPr>
                <w:rFonts w:ascii="Encode Sans;sans-serif" w:hAnsi="Encode Sans;sans-serif"/>
                <w:b w:val="false"/>
                <w:color w:val="000000"/>
                <w:sz w:val="12"/>
              </w:rPr>
              <w:t>Maserati</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369</w:t>
            </w:r>
            <w:r>
              <w:rPr>
                <w:color w:val="FFFFFF"/>
              </w:rPr>
              <w:t> </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(369)</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30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(139)</w:t>
            </w:r>
          </w:p>
        </w:tc>
        <w:tc>
          <w:tcPr>
            <w:tcW w:w="301"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139</w:t>
            </w:r>
            <w:r>
              <w:rPr>
                <w:color w:val="FFFFFF"/>
              </w:rPr>
              <w:t> </w:t>
            </w:r>
          </w:p>
        </w:tc>
        <w:tc>
          <w:tcPr>
            <w:tcW w:w="326"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tcBorders>
            <w:shd w:fill="4C639D" w:val="clear"/>
            <w:tcMar>
              <w:top w:w="52" w:type="dxa"/>
              <w:left w:w="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397" w:type="dxa"/>
            <w:tcBorders>
              <w:top w:val="single" w:sz="8" w:space="0" w:color="DBDBDB"/>
            </w:tcBorders>
            <w:shd w:fill="4C639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6"/>
            <w:tcBorders>
              <w:top w:val="single" w:sz="8" w:space="0" w:color="DBDBDB"/>
              <w:bottom w:val="single" w:sz="8" w:space="0" w:color="143A84"/>
            </w:tcBorders>
            <w:tcMar>
              <w:top w:w="52" w:type="dxa"/>
              <w:left w:w="0" w:type="dxa"/>
              <w:bottom w:w="30" w:type="dxa"/>
              <w:right w:w="0" w:type="dxa"/>
            </w:tcMar>
            <w:vAlign w:val="center"/>
          </w:tcPr>
          <w:p>
            <w:pPr>
              <w:pStyle w:val="TableContents"/>
              <w:bidi w:val="0"/>
              <w:spacing w:lineRule="auto" w:line="288" w:before="0" w:after="283"/>
              <w:jc w:val="left"/>
              <w:rPr>
                <w:rFonts w:ascii="Encode Sans;sans-serif" w:hAnsi="Encode Sans;sans-serif"/>
                <w:b w:val="false"/>
                <w:color w:val="000000"/>
                <w:sz w:val="12"/>
              </w:rPr>
            </w:pPr>
            <w:r>
              <w:rPr>
                <w:rFonts w:ascii="Encode Sans;sans-serif" w:hAnsi="Encode Sans;sans-serif"/>
                <w:b w:val="false"/>
                <w:color w:val="000000"/>
                <w:sz w:val="12"/>
              </w:rPr>
              <w:t>Others</w:t>
            </w:r>
          </w:p>
        </w:tc>
        <w:tc>
          <w:tcPr>
            <w:tcW w:w="327" w:type="dxa"/>
            <w:gridSpan w:val="3"/>
            <w:tcBorders>
              <w:top w:val="single" w:sz="8" w:space="0" w:color="DBDBDB"/>
              <w:bottom w:val="single" w:sz="8"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2,817</w:t>
            </w:r>
            <w:r>
              <w:rPr>
                <w:color w:val="FFFFFF"/>
              </w:rPr>
              <w:t> </w:t>
            </w:r>
          </w:p>
        </w:tc>
        <w:tc>
          <w:tcPr>
            <w:tcW w:w="301" w:type="dxa"/>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(1,159)</w:t>
            </w:r>
          </w:p>
        </w:tc>
        <w:tc>
          <w:tcPr>
            <w:tcW w:w="326" w:type="dxa"/>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bottom w:val="single" w:sz="8"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lineRule="auto" w:line="288" w:before="0" w:after="283"/>
              <w:jc w:val="right"/>
              <w:rPr/>
            </w:pPr>
            <w:r>
              <w:rPr>
                <w:rFonts w:ascii="Encode Sans;sans-serif" w:hAnsi="Encode Sans;sans-serif"/>
                <w:b/>
                <w:color w:val="FFFFFF"/>
                <w:sz w:val="12"/>
              </w:rPr>
              <w:t>1,658</w:t>
            </w:r>
            <w:r>
              <w:rPr>
                <w:color w:val="FFFFFF"/>
              </w:rPr>
              <w:t> </w:t>
            </w:r>
          </w:p>
        </w:tc>
        <w:tc>
          <w:tcPr>
            <w:tcW w:w="306" w:type="dxa"/>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(354)</w:t>
            </w:r>
          </w:p>
        </w:tc>
        <w:tc>
          <w:tcPr>
            <w:tcW w:w="301" w:type="dxa"/>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bottom w:val="single" w:sz="8"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(14)</w:t>
            </w:r>
          </w:p>
        </w:tc>
        <w:tc>
          <w:tcPr>
            <w:tcW w:w="326" w:type="dxa"/>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DBDBDB"/>
              <w:bottom w:val="single" w:sz="8" w:space="0" w:color="143A84"/>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lineRule="auto" w:line="288" w:before="0" w:after="283"/>
              <w:jc w:val="right"/>
              <w:rPr>
                <w:rFonts w:ascii="Encode Sans;sans-serif" w:hAnsi="Encode Sans;sans-serif"/>
                <w:b/>
                <w:color w:val="FFFFFF"/>
                <w:sz w:val="12"/>
              </w:rPr>
            </w:pPr>
            <w:r>
              <w:rPr>
                <w:rFonts w:ascii="Encode Sans;sans-serif" w:hAnsi="Encode Sans;sans-serif"/>
                <w:b/>
                <w:color w:val="FFFFFF"/>
                <w:sz w:val="12"/>
              </w:rPr>
              <w:t>(368)</w:t>
            </w:r>
          </w:p>
        </w:tc>
        <w:tc>
          <w:tcPr>
            <w:tcW w:w="397" w:type="dxa"/>
            <w:tcBorders>
              <w:top w:val="single" w:sz="8" w:space="0" w:color="DBDBDB"/>
              <w:bottom w:val="single" w:sz="8" w:space="0" w:color="143A84"/>
            </w:tcBorders>
            <w:shd w:fill="4C639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tcPr>
          <w:p>
            <w:pPr>
              <w:pStyle w:val="TableContents"/>
              <w:bidi w:val="0"/>
              <w:spacing w:before="0" w:after="283"/>
              <w:jc w:val="left"/>
              <w:rPr>
                <w:sz w:val="4"/>
                <w:szCs w:val="4"/>
              </w:rPr>
            </w:pPr>
            <w:r>
              <w:rPr>
                <w:sz w:val="4"/>
                <w:szCs w:val="4"/>
              </w:rPr>
            </w:r>
          </w:p>
        </w:tc>
      </w:tr>
      <w:tr>
        <w:trPr/>
        <w:tc>
          <w:tcPr>
            <w:tcW w:w="67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tcPr>
          <w:p>
            <w:pPr>
              <w:pStyle w:val="TableContents"/>
              <w:bidi w:val="0"/>
              <w:spacing w:before="0" w:after="283"/>
              <w:jc w:val="left"/>
              <w:rPr>
                <w:sz w:val="4"/>
                <w:szCs w:val="4"/>
              </w:rPr>
            </w:pPr>
            <w:r>
              <w:rPr>
                <w:sz w:val="4"/>
                <w:szCs w:val="4"/>
              </w:rPr>
            </w:r>
          </w:p>
        </w:tc>
      </w:tr>
      <w:tr>
        <w:trPr/>
        <w:tc>
          <w:tcPr>
            <w:tcW w:w="67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(9) Industrial net financial position is calculated as Debt plus derivative financial liabilities related to industrial activities less (i) cash and cash equivalents, (ii) financial securities that are considered liquid, (iii) current financial receivables from the Company or its jointly controlled financial services entities and (iv) derivative financial assets and collateral deposits. Therefore, debt, cash and cash equivalents and other financial assets/ liabilities pertaining to Stellantis’ financial services entities are excluded from the computation of the Industrial net financial position. Industrial net financial position includes the Industrial net financial position classified as held for sale.</w:t>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(10) Financial securities are comprised of short term or marketable securities which represent temporary investments but do not satisfy all the requirements to be classified as cash equivalents as they may be subject to risk of change in value (even if they are short-term in nature or marketable.)</w:t>
      </w:r>
    </w:p>
    <w:p>
      <w:pPr>
        <w:pStyle w:val="TextBody"/>
        <w:bidi w:val="0"/>
        <w:spacing w:before="0" w:after="0"/>
        <w:jc w:val="both"/>
        <w:rPr/>
      </w:pPr>
      <w:r>
        <w:rPr/>
      </w:r>
    </w:p>
    <w:p>
      <w:pPr>
        <w:pStyle w:val="TextBody"/>
        <w:bidi w:val="0"/>
        <w:spacing w:lineRule="auto" w:line="288" w:before="0" w:after="240"/>
        <w:jc w:val="both"/>
        <w:rPr>
          <w:rFonts w:ascii="Encode Sans;sans-serif" w:hAnsi="Encode Sans;sans-serif"/>
          <w:b w:val="false"/>
          <w:color w:val="000000"/>
          <w:sz w:val="16"/>
        </w:rPr>
      </w:pPr>
      <w:r>
        <w:rPr>
          <w:rFonts w:ascii="Encode Sans;sans-serif" w:hAnsi="Encode Sans;sans-serif"/>
          <w:b w:val="false"/>
          <w:color w:val="000000"/>
          <w:sz w:val="16"/>
        </w:rPr>
        <w:t>Rankings, market share and other industry information are derived from third-party industry sources (e.g. Agence Nationale des Titres Sécurisés (ANTS), Associação Nacional dos Fabricantes de Veículos Automotores (ANFAVEA), Ministry of Infrastructure and Sustainable Mobility (MIMS), S&amp;P Global, Ward’s Automotive) and internal information unless otherwise stated.</w:t>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 xml:space="preserve">For purposes of this document, and unless otherwise stated industry and market share information are for passenger cars (PC) plus light commercial vehicles (LCV), except as noted below: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Encode Sans;sans-serif" w:hAnsi="Encode Sans;sans-serif"/>
          <w:b w:val="false"/>
          <w:color w:val="000000"/>
          <w:sz w:val="16"/>
        </w:rPr>
        <w:t xml:space="preserve">Enlarged Europe excludes Russia and Belarus; </w:t>
      </w:r>
    </w:p>
    <w:p>
      <w:pPr>
        <w:pStyle w:val="TextBody"/>
        <w:bidi w:val="0"/>
        <w:spacing w:lineRule="auto" w:line="288" w:before="0" w:after="0"/>
        <w:ind w:left="0" w:right="0" w:hanging="360"/>
        <w:jc w:val="both"/>
        <w:rPr/>
      </w:pPr>
      <w:r>
        <w:rPr>
          <w:color w:val="000000"/>
        </w:rPr>
        <w:t>•</w:t>
      </w:r>
      <w:r>
        <w:rPr>
          <w:rFonts w:ascii="Encode Sans;sans-serif" w:hAnsi="Encode Sans;sans-serif"/>
          <w:b w:val="false"/>
          <w:color w:val="000000"/>
          <w:sz w:val="16"/>
        </w:rPr>
        <w:t>Middle East &amp; Africa excludes Iran, Sudan and Syria;</w:t>
      </w:r>
    </w:p>
    <w:p>
      <w:pPr>
        <w:pStyle w:val="TextBody"/>
        <w:bidi w:val="0"/>
        <w:spacing w:lineRule="auto" w:line="288" w:before="0" w:after="0"/>
        <w:ind w:left="0" w:right="0" w:hanging="360"/>
        <w:jc w:val="both"/>
        <w:rPr/>
      </w:pPr>
      <w:r>
        <w:rPr>
          <w:color w:val="000000"/>
        </w:rPr>
        <w:t>•</w:t>
      </w:r>
      <w:r>
        <w:rPr>
          <w:rFonts w:ascii="Encode Sans;sans-serif" w:hAnsi="Encode Sans;sans-serif"/>
          <w:b w:val="false"/>
          <w:color w:val="000000"/>
          <w:sz w:val="16"/>
        </w:rPr>
        <w:t>South America excludes Cuba; and</w:t>
      </w:r>
    </w:p>
    <w:p>
      <w:pPr>
        <w:pStyle w:val="TextBody"/>
        <w:bidi w:val="0"/>
        <w:spacing w:lineRule="auto" w:line="288" w:before="0" w:after="0"/>
        <w:ind w:left="0" w:right="0" w:hanging="360"/>
        <w:jc w:val="both"/>
        <w:rPr/>
      </w:pPr>
      <w:r>
        <w:rPr>
          <w:color w:val="000000"/>
        </w:rPr>
        <w:t>•</w:t>
      </w:r>
      <w:r>
        <w:rPr>
          <w:rFonts w:ascii="Encode Sans;sans-serif" w:hAnsi="Encode Sans;sans-serif"/>
          <w:b w:val="false"/>
          <w:color w:val="000000"/>
          <w:sz w:val="16"/>
        </w:rPr>
        <w:t>Asia Pacific reflects the major markets where Stellantis competes including China (PC only) including licensed sales from Dongfeng Peugeot Citroën Automobiles, Japan (PC), India (PC), South Korea (PC + Pickups), Australia, New Zealand and South East Asia.</w:t>
      </w:r>
    </w:p>
    <w:p>
      <w:pPr>
        <w:pStyle w:val="TextBody"/>
        <w:bidi w:val="0"/>
        <w:spacing w:before="0" w:after="0"/>
        <w:jc w:val="both"/>
        <w:rPr/>
      </w:pPr>
      <w:r>
        <w:rPr/>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Certain totals in the tables included in this report may not add due to rounding.</w:t>
      </w:r>
    </w:p>
    <w:p>
      <w:pPr>
        <w:pStyle w:val="TextBody"/>
        <w:bidi w:val="0"/>
        <w:spacing w:lineRule="auto" w:line="288" w:before="0" w:after="240"/>
        <w:jc w:val="both"/>
        <w:rPr>
          <w:rFonts w:ascii="Encode Sans;sans-serif" w:hAnsi="Encode Sans;sans-serif"/>
          <w:b w:val="false"/>
          <w:color w:val="000000"/>
          <w:sz w:val="16"/>
        </w:rPr>
      </w:pPr>
      <w:r>
        <w:rPr>
          <w:rFonts w:ascii="Encode Sans;sans-serif" w:hAnsi="Encode Sans;sans-serif"/>
          <w:b w:val="false"/>
          <w:color w:val="000000"/>
          <w:sz w:val="16"/>
        </w:rPr>
        <w:t xml:space="preserve">Prior period figures have been updated to reflect current information provided by third-party industry sources. </w:t>
      </w:r>
    </w:p>
    <w:p>
      <w:pPr>
        <w:pStyle w:val="TextBody"/>
        <w:bidi w:val="0"/>
        <w:spacing w:lineRule="auto" w:line="288" w:before="0" w:after="240"/>
        <w:jc w:val="both"/>
        <w:rPr>
          <w:rFonts w:ascii="Encode Sans;sans-serif" w:hAnsi="Encode Sans;sans-serif"/>
          <w:b w:val="false"/>
          <w:color w:val="000000"/>
          <w:sz w:val="16"/>
        </w:rPr>
      </w:pPr>
      <w:r>
        <w:rPr>
          <w:rFonts w:ascii="Encode Sans;sans-serif" w:hAnsi="Encode Sans;sans-serif"/>
          <w:b w:val="false"/>
          <w:color w:val="000000"/>
          <w:sz w:val="16"/>
        </w:rPr>
        <w:t>EU30 = EU 27 (excluding Malta), Iceland, Norway, Switzerland and UK.</w:t>
      </w:r>
    </w:p>
    <w:p>
      <w:pPr>
        <w:pStyle w:val="TextBody"/>
        <w:bidi w:val="0"/>
        <w:spacing w:lineRule="auto" w:line="288" w:before="0" w:after="180"/>
        <w:jc w:val="both"/>
        <w:rPr>
          <w:rFonts w:ascii="Encode Sans;sans-serif" w:hAnsi="Encode Sans;sans-serif"/>
          <w:b w:val="false"/>
          <w:color w:val="000000"/>
          <w:sz w:val="16"/>
        </w:rPr>
      </w:pPr>
      <w:r>
        <w:rPr>
          <w:rFonts w:ascii="Encode Sans;sans-serif" w:hAnsi="Encode Sans;sans-serif"/>
          <w:b w:val="false"/>
          <w:color w:val="000000"/>
          <w:sz w:val="16"/>
        </w:rPr>
        <w:t>Low emission vehicles (LEV) = battery electric (BEV), plug-in hybrid (PHEV), range-extender electric vehicle (REEV) and fuel cell electric (FCEV) vehicles.</w:t>
      </w:r>
    </w:p>
    <w:p>
      <w:pPr>
        <w:pStyle w:val="TextBody"/>
        <w:bidi w:val="0"/>
        <w:spacing w:lineRule="auto" w:line="288" w:before="0" w:after="240"/>
        <w:jc w:val="both"/>
        <w:rPr>
          <w:rFonts w:ascii="Encode Sans;sans-serif" w:hAnsi="Encode Sans;sans-serif"/>
          <w:b w:val="false"/>
          <w:color w:val="000000"/>
          <w:sz w:val="16"/>
        </w:rPr>
      </w:pPr>
      <w:r>
        <w:rPr>
          <w:rFonts w:ascii="Encode Sans;sans-serif" w:hAnsi="Encode Sans;sans-serif"/>
          <w:b w:val="false"/>
          <w:color w:val="000000"/>
          <w:sz w:val="16"/>
        </w:rPr>
        <w:t>All Stellantis reported BEV and LEV sales include Citroën Ami, Opel Rocks-e and Fiat Topolino; in countries where these vehicles are classified as quadricycles, they are excluded from Stellantis reported combined sales, industry sales and market share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428875" cy="6858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2428875" cy="685800"/>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8110"/>
                <wp:effectExtent l="0" t="0" r="0" b="0"/>
                <wp:wrapNone/>
                <wp:docPr id="30" name="Frame1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131.2pt;mso-position-horizontal:left;mso-position-horizontal-relative:text">
                <v:textbox>
                  <w:txbxContent>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12</w:t>
                      </w:r>
                    </w:p>
                  </w:txbxContent>
                </v:textbox>
                <w10:wrap type="none"/>
              </v:rect>
            </w:pict>
          </mc:Fallback>
        </mc:AlternateContent>
      </w:r>
    </w:p>
    <w:p>
      <w:pPr>
        <w:pStyle w:val="TextBody"/>
        <w:bidi w:val="0"/>
        <w:spacing w:lineRule="auto" w:line="288" w:before="0" w:after="240"/>
        <w:jc w:val="center"/>
        <w:rPr>
          <w:rFonts w:ascii="Encode Sans;sans-serif" w:hAnsi="Encode Sans;sans-serif"/>
          <w:b/>
          <w:color w:val="000000"/>
          <w:sz w:val="20"/>
        </w:rPr>
      </w:pPr>
      <w:r>
        <w:rPr>
          <w:rFonts w:ascii="Encode Sans;sans-serif" w:hAnsi="Encode Sans;sans-serif"/>
          <w:b/>
          <w:color w:val="000000"/>
          <w:sz w:val="20"/>
        </w:rPr>
        <w:t>SAFE HARBOR STATEMENT</w:t>
      </w:r>
    </w:p>
    <w:p>
      <w:pPr>
        <w:pStyle w:val="TextBody"/>
        <w:bidi w:val="0"/>
        <w:spacing w:lineRule="auto" w:line="288" w:before="0" w:after="0"/>
        <w:jc w:val="left"/>
        <w:rPr>
          <w:rFonts w:ascii="Encode Sans;sans-serif" w:hAnsi="Encode Sans;sans-serif"/>
          <w:b w:val="false"/>
          <w:color w:val="000000"/>
          <w:sz w:val="16"/>
        </w:rPr>
      </w:pPr>
      <w:r>
        <w:rPr>
          <w:rFonts w:ascii="Encode Sans;sans-serif" w:hAnsi="Encode Sans;sans-serif"/>
          <w:b w:val="false"/>
          <w:color w:val="000000"/>
          <w:sz w:val="16"/>
        </w:rPr>
        <w:t>This document, in particular references to “FY 2026 Financial Guidance”, contains forward looking statements. In particular, statements regarding future financial performance and the Company’s expectations as to the achievement of certain targeted metrics, including revenues, industrial free cash flows, vehicle shipments, capital investments, research and development costs and other expenses at any future date or for any future period are forward-looking statements. These statements may include terms such as “may”, “will”, “expect”, “could”, “should”, “intend”, “estimate”, “anticipate”, “believe”, “remain”, “on track”, “design”, “target”, “objective”, “goal”, “forecast”, “projection”, “outlook”, “prospects”, “plan”, or similar terms. Forward-looking statements are not guarantees of future performance. Rather, they are based on the Company’s current state of knowledge, future expectations and projections about future events and are by their nature, subject to inherent risks and uncertainties. They relate to events and depend on circumstances that may or may not occur or exist in the future and, as such, undue reliance should not be placed on them.</w:t>
      </w:r>
    </w:p>
    <w:p>
      <w:pPr>
        <w:pStyle w:val="TextBody"/>
        <w:bidi w:val="0"/>
        <w:spacing w:lineRule="auto" w:line="288" w:before="0" w:after="0"/>
        <w:jc w:val="both"/>
        <w:rPr>
          <w:rFonts w:ascii="Encode Sans;sans-serif" w:hAnsi="Encode Sans;sans-serif"/>
          <w:b w:val="false"/>
          <w:color w:val="000000"/>
          <w:sz w:val="16"/>
        </w:rPr>
      </w:pPr>
      <w:r>
        <w:rPr>
          <w:rFonts w:ascii="Encode Sans;sans-serif" w:hAnsi="Encode Sans;sans-serif"/>
          <w:b w:val="false"/>
          <w:color w:val="000000"/>
          <w:sz w:val="16"/>
        </w:rPr>
        <w:t>Actual results may differ materially from those expressed in forward-looking statements as a result of a variety of factors, including: the Company’s ability to maintain vehicle shipment volumes; changes in the global financial markets, general economic environment and changes in demand for automotive products, which is subject to cyclicality; changes in trade policy, the imposition of global and regional tariffs targeted to the automotive industry; the Company’s ability to accurately predict the market demand for electrified vehicles; the Company’s ability to offer innovative, attractive products; a significant malfunction, disruption or security breach compromising information technology systems or the electronic control systems contained in the Company’s vehicles; the Company's ability to attract and retain experienced management and employees; exchange rate fluctuations, interest rate changes, credit risk and other market risks; increases in costs, disruptions of supply or shortages of raw materials, parts, components and systems used in the Company’s vehicles; changes in local economic and political conditions; the enactment of tax reforms or other changes in tax laws and regulations; the level of governmental economic incentives available to support the adoption of battery electric vehicles; the impact of increasingly stringent regulations regarding fuel efficiency and greenhouse gas and tailpipe emissions; various types of claims, lawsuits, governmental investigations and other contingencies, including product liability and warranty claims and environmental claims, investigations and lawsuits; material operating expenditures in relation to compliance with environmental, health and safety regulations; the level of competition in the automotive industry, which may increase due to consolidation and new entrants; exposure to shortfalls in the funding of the Company’s defined benefit pension plans; the Company’s ability to provide or arrange for access to adequate financing for dealers and retail customers; risks related to the operations of financial services companies; the Company’s ability to access funding to execute its business plan; the Company’s ability to realize anticipated benefits from joint venture arrangements; disruptions arising from political, social and economic instability; risks associated with the Company’s relationships with employees, dealers and suppliers; the Company’s ability to maintain effective internal controls over financial reporting; developments in labor and industrial relations and developments in applicable labor laws; earthquakes or other disasters; and other risks and uncertainties.</w:t>
      </w:r>
    </w:p>
    <w:p>
      <w:pPr>
        <w:pStyle w:val="TextBody"/>
        <w:bidi w:val="0"/>
        <w:spacing w:before="0" w:after="0"/>
        <w:jc w:val="both"/>
        <w:rPr/>
      </w:pPr>
      <w:r>
        <w:rPr/>
      </w:r>
    </w:p>
    <w:p>
      <w:pPr>
        <w:pStyle w:val="TextBody"/>
        <w:bidi w:val="0"/>
        <w:spacing w:lineRule="auto" w:line="288"/>
        <w:jc w:val="both"/>
        <w:rPr>
          <w:rFonts w:ascii="Encode Sans;sans-serif" w:hAnsi="Encode Sans;sans-serif"/>
          <w:b w:val="false"/>
          <w:color w:val="000000"/>
          <w:sz w:val="16"/>
        </w:rPr>
      </w:pPr>
      <w:r>
        <w:rPr>
          <w:rFonts w:ascii="Encode Sans;sans-serif" w:hAnsi="Encode Sans;sans-serif"/>
          <w:b w:val="false"/>
          <w:color w:val="000000"/>
          <w:sz w:val="16"/>
        </w:rPr>
        <w:t>Any forward-looking statements contained in this document speak only as of the date of this document and the Company disclaims any obligation to update or revise publicly forward looking statements. Further information concerning the Company and its businesses, including factors that could materially affect the Company’s financial results, is included in the Company’s reports and filings with the U.S. Securities and Exchange Commission and AFM.</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3370"/>
                <wp:effectExtent l="0" t="0" r="0" b="0"/>
                <wp:wrapNone/>
                <wp:docPr id="31" name="Frame1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Encode Sans;sans-serif" w:hAnsi="Encode Sans;sans-serif"/>
                          <w:b w:val="false"/>
                          <w:i/>
                          <w:color w:val="000000"/>
                          <w:sz w:val="16"/>
                        </w:rPr>
                      </w:pPr>
                      <w:r>
                        <w:rPr>
                          <w:rFonts w:ascii="Encode Sans;sans-serif" w:hAnsi="Encode Sans;sans-serif"/>
                          <w:b w:val="false"/>
                          <w:i/>
                          <w:color w:val="000000"/>
                          <w:sz w:val="16"/>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Encode Sans">
    <w:altName w:val="sans-serif"/>
    <w:charset w:val="01"/>
    <w:family w:val="auto"/>
    <w:pitch w:val="default"/>
  </w:font>
  <w:font w:name="Century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6792</Words>
  <Characters>39379</Characters>
  <CharactersWithSpaces>45695</CharactersWithSpaces>
  <Paragraphs>1250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