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71756d6k.htm"/>
      <w:bookmarkStart w:id="1" w:name="ksd71756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September 2026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No.: 001-36675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Stellantis N.V. </w:t>
      </w:r>
    </w:p>
    <w:p>
      <w:pPr>
        <w:pStyle w:val="TextBody"/>
        <w:bidi w:val="0"/>
        <w:spacing w:before="0" w:after="0"/>
        <w:jc w:val="center"/>
        <w:rPr>
          <w:rFonts w:ascii="Times New Roman" w:hAnsi="Times New Roman"/>
          <w:b/>
          <w:sz w:val="20"/>
        </w:rPr>
      </w:pPr>
      <w:r>
        <w:rPr>
          <w:rFonts w:ascii="Times New Roman" w:hAnsi="Times New Roman"/>
          <w:b/>
          <w:sz w:val="20"/>
        </w:rPr>
        <w:t xml:space="preserve">(Translation of registrant’s name into English)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Taurusavenue 1 </w:t>
      </w:r>
    </w:p>
    <w:p>
      <w:pPr>
        <w:pStyle w:val="TextBody"/>
        <w:bidi w:val="0"/>
        <w:spacing w:before="0" w:after="0"/>
        <w:jc w:val="center"/>
        <w:rPr>
          <w:rFonts w:ascii="Times New Roman" w:hAnsi="Times New Roman"/>
          <w:b/>
          <w:sz w:val="20"/>
        </w:rPr>
      </w:pPr>
      <w:r>
        <w:rPr>
          <w:rFonts w:ascii="Times New Roman" w:hAnsi="Times New Roman"/>
          <w:b/>
          <w:sz w:val="20"/>
        </w:rPr>
        <w:t xml:space="preserve">2132LS, Hoofddorp </w:t>
      </w:r>
    </w:p>
    <w:p>
      <w:pPr>
        <w:pStyle w:val="TextBody"/>
        <w:bidi w:val="0"/>
        <w:spacing w:before="0" w:after="0"/>
        <w:jc w:val="center"/>
        <w:rPr>
          <w:rFonts w:ascii="Times New Roman" w:hAnsi="Times New Roman"/>
          <w:b/>
          <w:sz w:val="20"/>
        </w:rPr>
      </w:pPr>
      <w:r>
        <w:rPr>
          <w:rFonts w:ascii="Times New Roman" w:hAnsi="Times New Roman"/>
          <w:b/>
          <w:sz w:val="20"/>
        </w:rPr>
        <w:t xml:space="preserve">The Netherlands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of Form 20-F or Form 40-F: </w:t>
      </w:r>
    </w:p>
    <w:p>
      <w:pPr>
        <w:pStyle w:val="TextBody"/>
        <w:bidi w:val="0"/>
        <w:spacing w:before="240" w:after="0"/>
        <w:jc w:val="center"/>
        <w:rPr>
          <w:rFonts w:ascii="Times New Roman" w:hAnsi="Times New Roman"/>
          <w:sz w:val="20"/>
        </w:rPr>
      </w:pPr>
      <w:r>
        <w:rPr>
          <w:rFonts w:ascii="Times New Roman" w:hAnsi="Times New Roman"/>
          <w:sz w:val="20"/>
        </w:rPr>
        <w:t xml:space="preserve">Form 20-F ☒     Form 40-F ☐ </w:t>
      </w:r>
    </w:p>
    <w:p>
      <w:pPr>
        <w:pStyle w:val="TextBody"/>
        <w:bidi w:val="0"/>
        <w:spacing w:before="240" w:after="0"/>
        <w:jc w:val="left"/>
        <w:rPr>
          <w:rFonts w:ascii="Times New Roman" w:hAnsi="Times New Roman"/>
          <w:sz w:val="20"/>
        </w:rPr>
      </w:pPr>
      <w:r>
        <w:rPr>
          <w:rFonts w:ascii="Times New Roman" w:hAnsi="Times New Roman"/>
          <w:sz w:val="20"/>
        </w:rPr>
        <w:t xml:space="preserve">THIS REPORT ON FORM 6-K IS BEING FILED FOR THE PURPOSES OF INCORPORATION BY REFERENCE IN THE REGISTRATION STATEMENTS ON FORM F-3 (FILE NOS. 333-297933 AND 333-297933-01). THIS REPORT SHALL BE DEEMED FILED AND INCORPORATED BY REFERENCE IN SUCH REGISTRATION STATEMENTS AND SHALL BE DEEMED TO BE A PART THEREOF FROM THE DATE ON WHICH THIS REPORT IS FILED, TO THE EXTENT NOT SUPERSEDED BY DOCUMENTS OR REPORTS SUBSEQUENTLY FILED OR FURNISHED.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17"/>
        <w:gridCol w:w="499"/>
        <w:gridCol w:w="9089"/>
      </w:tblGrid>
      <w:tr>
        <w:trPr/>
        <w:tc>
          <w:tcPr>
            <w:tcW w:w="617" w:type="dxa"/>
            <w:tcBorders/>
            <w:vAlign w:val="center"/>
          </w:tcPr>
          <w:p>
            <w:pPr>
              <w:pStyle w:val="TableContents"/>
              <w:bidi w:val="0"/>
              <w:spacing w:before="0" w:after="283"/>
              <w:jc w:val="left"/>
              <w:rPr>
                <w:sz w:val="4"/>
                <w:szCs w:val="4"/>
              </w:rPr>
            </w:pPr>
            <w:r>
              <w:rPr>
                <w:sz w:val="4"/>
                <w:szCs w:val="4"/>
              </w:rPr>
            </w:r>
          </w:p>
        </w:tc>
        <w:tc>
          <w:tcPr>
            <w:tcW w:w="499" w:type="dxa"/>
            <w:tcBorders/>
            <w:vAlign w:val="bottom"/>
          </w:tcPr>
          <w:p>
            <w:pPr>
              <w:pStyle w:val="TableContents"/>
              <w:bidi w:val="0"/>
              <w:spacing w:before="0" w:after="283"/>
              <w:jc w:val="left"/>
              <w:rPr>
                <w:sz w:val="4"/>
                <w:szCs w:val="4"/>
              </w:rPr>
            </w:pPr>
            <w:r>
              <w:rPr>
                <w:sz w:val="4"/>
                <w:szCs w:val="4"/>
              </w:rPr>
            </w:r>
          </w:p>
        </w:tc>
        <w:tc>
          <w:tcPr>
            <w:tcW w:w="9089" w:type="dxa"/>
            <w:tcBorders/>
            <w:vAlign w:val="center"/>
          </w:tcPr>
          <w:p>
            <w:pPr>
              <w:pStyle w:val="TableContents"/>
              <w:bidi w:val="0"/>
              <w:spacing w:before="0" w:after="283"/>
              <w:jc w:val="left"/>
              <w:rPr>
                <w:sz w:val="4"/>
                <w:szCs w:val="4"/>
              </w:rPr>
            </w:pPr>
            <w:r>
              <w:rPr>
                <w:sz w:val="4"/>
                <w:szCs w:val="4"/>
              </w:rPr>
            </w:r>
          </w:p>
        </w:tc>
      </w:tr>
      <w:tr>
        <w:trPr/>
        <w:tc>
          <w:tcPr>
            <w:tcW w:w="617"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Exhibit</w:t>
            </w:r>
          </w:p>
          <w:p>
            <w:pPr>
              <w:pStyle w:val="TableContents"/>
              <w:pBdr>
                <w:bottom w:val="single" w:sz="8" w:space="1" w:color="000000"/>
              </w:pBdr>
              <w:bidi w:val="0"/>
              <w:spacing w:before="0" w:after="20"/>
              <w:jc w:val="left"/>
              <w:rPr>
                <w:rFonts w:ascii="Times New Roman" w:hAnsi="Times New Roman"/>
                <w:b/>
                <w:sz w:val="16"/>
              </w:rPr>
            </w:pPr>
            <w:r>
              <w:rPr>
                <w:rFonts w:ascii="Times New Roman" w:hAnsi="Times New Roman"/>
                <w:b/>
                <w:sz w:val="16"/>
              </w:rPr>
              <w:t>Number</w:t>
            </w:r>
          </w:p>
        </w:tc>
        <w:tc>
          <w:tcPr>
            <w:tcW w:w="499" w:type="dxa"/>
            <w:tcBorders/>
            <w:vAlign w:val="bottom"/>
          </w:tcPr>
          <w:p>
            <w:pPr>
              <w:pStyle w:val="TableContents"/>
              <w:bidi w:val="0"/>
              <w:spacing w:before="0" w:after="283"/>
              <w:jc w:val="left"/>
              <w:rPr/>
            </w:pPr>
            <w:r>
              <w:rPr/>
              <w:t>  </w:t>
            </w:r>
          </w:p>
        </w:tc>
        <w:tc>
          <w:tcPr>
            <w:tcW w:w="9089"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rHeight w:val="120" w:hRule="atLeast"/>
        </w:trPr>
        <w:tc>
          <w:tcPr>
            <w:tcW w:w="617" w:type="dxa"/>
            <w:tcBorders/>
            <w:vAlign w:val="center"/>
          </w:tcPr>
          <w:p>
            <w:pPr>
              <w:pStyle w:val="TableContents"/>
              <w:bidi w:val="0"/>
              <w:spacing w:before="0" w:after="283"/>
              <w:jc w:val="left"/>
              <w:rPr>
                <w:sz w:val="4"/>
                <w:szCs w:val="4"/>
              </w:rPr>
            </w:pPr>
            <w:r>
              <w:rPr>
                <w:sz w:val="4"/>
                <w:szCs w:val="4"/>
              </w:rPr>
            </w:r>
          </w:p>
        </w:tc>
        <w:tc>
          <w:tcPr>
            <w:tcW w:w="9588" w:type="dxa"/>
            <w:gridSpan w:val="2"/>
            <w:tcBorders/>
            <w:vAlign w:val="center"/>
          </w:tcPr>
          <w:p>
            <w:pPr>
              <w:pStyle w:val="TableContents"/>
              <w:bidi w:val="0"/>
              <w:spacing w:before="0" w:after="283"/>
              <w:jc w:val="left"/>
              <w:rPr>
                <w:sz w:val="4"/>
                <w:szCs w:val="4"/>
              </w:rPr>
            </w:pPr>
            <w:r>
              <w:rPr>
                <w:sz w:val="4"/>
                <w:szCs w:val="4"/>
              </w:rPr>
            </w:r>
          </w:p>
        </w:tc>
      </w:tr>
      <w:tr>
        <w:trPr/>
        <w:tc>
          <w:tcPr>
            <w:tcW w:w="617" w:type="dxa"/>
            <w:tcBorders/>
          </w:tcPr>
          <w:p>
            <w:pPr>
              <w:pStyle w:val="TableContents"/>
              <w:bidi w:val="0"/>
              <w:spacing w:before="0" w:after="283"/>
              <w:jc w:val="left"/>
              <w:rPr/>
            </w:pPr>
            <w:r>
              <w:rPr/>
              <w:t>1.1</w:t>
            </w:r>
          </w:p>
        </w:tc>
        <w:tc>
          <w:tcPr>
            <w:tcW w:w="499" w:type="dxa"/>
            <w:tcBorders/>
            <w:vAlign w:val="bottom"/>
          </w:tcPr>
          <w:p>
            <w:pPr>
              <w:pStyle w:val="TableContents"/>
              <w:bidi w:val="0"/>
              <w:spacing w:before="0" w:after="283"/>
              <w:jc w:val="left"/>
              <w:rPr/>
            </w:pPr>
            <w:r>
              <w:rPr/>
              <w:t>  </w:t>
            </w:r>
          </w:p>
        </w:tc>
        <w:tc>
          <w:tcPr>
            <w:tcW w:w="9089" w:type="dxa"/>
            <w:tcBorders/>
          </w:tcPr>
          <w:p>
            <w:pPr>
              <w:pStyle w:val="TableContents"/>
              <w:bidi w:val="0"/>
              <w:spacing w:before="0" w:after="283"/>
              <w:jc w:val="left"/>
              <w:rPr/>
            </w:pPr>
            <w:hyperlink w:anchor="d71756dex11.htm">
              <w:r>
                <w:rPr>
                  <w:rStyle w:val="InternetLink"/>
                </w:rPr>
                <w:t xml:space="preserve">Underwriting Agreement, dated September 10, 2026, among Stellantis Finance US Inc., Stellantis N.V., Citigroup Global Markets Inc., Deutsche Bank Securities Inc., Goldman Sachs  &amp; Co. LLC, Intesa Sanpaolo IMI Securities Corp., Morgan Stanley &amp; Co. LLC, RBC Capital Markets, LLC, and SMBC Nikko Securities America, Inc.. </w:t>
              </w:r>
            </w:hyperlink>
          </w:p>
        </w:tc>
      </w:tr>
      <w:tr>
        <w:trPr>
          <w:trHeight w:val="120" w:hRule="atLeast"/>
        </w:trPr>
        <w:tc>
          <w:tcPr>
            <w:tcW w:w="617" w:type="dxa"/>
            <w:tcBorders/>
            <w:vAlign w:val="center"/>
          </w:tcPr>
          <w:p>
            <w:pPr>
              <w:pStyle w:val="TableContents"/>
              <w:bidi w:val="0"/>
              <w:spacing w:before="0" w:after="283"/>
              <w:jc w:val="left"/>
              <w:rPr>
                <w:sz w:val="4"/>
                <w:szCs w:val="4"/>
              </w:rPr>
            </w:pPr>
            <w:r>
              <w:rPr>
                <w:sz w:val="4"/>
                <w:szCs w:val="4"/>
              </w:rPr>
            </w:r>
          </w:p>
        </w:tc>
        <w:tc>
          <w:tcPr>
            <w:tcW w:w="9588" w:type="dxa"/>
            <w:gridSpan w:val="2"/>
            <w:tcBorders/>
            <w:vAlign w:val="center"/>
          </w:tcPr>
          <w:p>
            <w:pPr>
              <w:pStyle w:val="TableContents"/>
              <w:bidi w:val="0"/>
              <w:spacing w:before="0" w:after="283"/>
              <w:jc w:val="left"/>
              <w:rPr>
                <w:sz w:val="4"/>
                <w:szCs w:val="4"/>
              </w:rPr>
            </w:pPr>
            <w:r>
              <w:rPr>
                <w:sz w:val="4"/>
                <w:szCs w:val="4"/>
              </w:rPr>
            </w:r>
          </w:p>
        </w:tc>
      </w:tr>
      <w:tr>
        <w:trPr/>
        <w:tc>
          <w:tcPr>
            <w:tcW w:w="617" w:type="dxa"/>
            <w:tcBorders/>
          </w:tcPr>
          <w:p>
            <w:pPr>
              <w:pStyle w:val="TableContents"/>
              <w:bidi w:val="0"/>
              <w:spacing w:before="0" w:after="283"/>
              <w:jc w:val="left"/>
              <w:rPr/>
            </w:pPr>
            <w:r>
              <w:rPr/>
              <w:t>4.1</w:t>
            </w:r>
          </w:p>
        </w:tc>
        <w:tc>
          <w:tcPr>
            <w:tcW w:w="499" w:type="dxa"/>
            <w:tcBorders/>
            <w:vAlign w:val="bottom"/>
          </w:tcPr>
          <w:p>
            <w:pPr>
              <w:pStyle w:val="TableContents"/>
              <w:bidi w:val="0"/>
              <w:spacing w:before="0" w:after="283"/>
              <w:jc w:val="left"/>
              <w:rPr/>
            </w:pPr>
            <w:r>
              <w:rPr/>
              <w:t>  </w:t>
            </w:r>
          </w:p>
        </w:tc>
        <w:tc>
          <w:tcPr>
            <w:tcW w:w="9089" w:type="dxa"/>
            <w:tcBorders/>
          </w:tcPr>
          <w:p>
            <w:pPr>
              <w:pStyle w:val="TableContents"/>
              <w:bidi w:val="0"/>
              <w:spacing w:before="0" w:after="283"/>
              <w:jc w:val="left"/>
              <w:rPr/>
            </w:pPr>
            <w:hyperlink w:anchor="d71756dex41.htm">
              <w:r>
                <w:rPr>
                  <w:rStyle w:val="InternetLink"/>
                </w:rPr>
                <w:t xml:space="preserve">Indenture, dated September 16, 2026, among Stellantis Finance US Inc., Stellantis N.V., and The Bank of New York Mellon, as trustee. </w:t>
              </w:r>
            </w:hyperlink>
          </w:p>
        </w:tc>
      </w:tr>
      <w:tr>
        <w:trPr>
          <w:trHeight w:val="120" w:hRule="atLeast"/>
        </w:trPr>
        <w:tc>
          <w:tcPr>
            <w:tcW w:w="617" w:type="dxa"/>
            <w:tcBorders/>
            <w:vAlign w:val="center"/>
          </w:tcPr>
          <w:p>
            <w:pPr>
              <w:pStyle w:val="TableContents"/>
              <w:bidi w:val="0"/>
              <w:spacing w:before="0" w:after="283"/>
              <w:jc w:val="left"/>
              <w:rPr>
                <w:sz w:val="4"/>
                <w:szCs w:val="4"/>
              </w:rPr>
            </w:pPr>
            <w:r>
              <w:rPr>
                <w:sz w:val="4"/>
                <w:szCs w:val="4"/>
              </w:rPr>
            </w:r>
          </w:p>
        </w:tc>
        <w:tc>
          <w:tcPr>
            <w:tcW w:w="9588" w:type="dxa"/>
            <w:gridSpan w:val="2"/>
            <w:tcBorders/>
            <w:vAlign w:val="center"/>
          </w:tcPr>
          <w:p>
            <w:pPr>
              <w:pStyle w:val="TableContents"/>
              <w:bidi w:val="0"/>
              <w:spacing w:before="0" w:after="283"/>
              <w:jc w:val="left"/>
              <w:rPr>
                <w:sz w:val="4"/>
                <w:szCs w:val="4"/>
              </w:rPr>
            </w:pPr>
            <w:r>
              <w:rPr>
                <w:sz w:val="4"/>
                <w:szCs w:val="4"/>
              </w:rPr>
            </w:r>
          </w:p>
        </w:tc>
      </w:tr>
      <w:tr>
        <w:trPr/>
        <w:tc>
          <w:tcPr>
            <w:tcW w:w="617" w:type="dxa"/>
            <w:tcBorders/>
          </w:tcPr>
          <w:p>
            <w:pPr>
              <w:pStyle w:val="TableContents"/>
              <w:bidi w:val="0"/>
              <w:spacing w:before="0" w:after="283"/>
              <w:jc w:val="left"/>
              <w:rPr/>
            </w:pPr>
            <w:r>
              <w:rPr/>
              <w:t>4.2</w:t>
            </w:r>
          </w:p>
        </w:tc>
        <w:tc>
          <w:tcPr>
            <w:tcW w:w="499" w:type="dxa"/>
            <w:tcBorders/>
            <w:vAlign w:val="bottom"/>
          </w:tcPr>
          <w:p>
            <w:pPr>
              <w:pStyle w:val="TableContents"/>
              <w:bidi w:val="0"/>
              <w:spacing w:before="0" w:after="283"/>
              <w:jc w:val="left"/>
              <w:rPr/>
            </w:pPr>
            <w:r>
              <w:rPr/>
              <w:t>  </w:t>
            </w:r>
          </w:p>
        </w:tc>
        <w:tc>
          <w:tcPr>
            <w:tcW w:w="9089" w:type="dxa"/>
            <w:tcBorders/>
          </w:tcPr>
          <w:p>
            <w:pPr>
              <w:pStyle w:val="TableContents"/>
              <w:bidi w:val="0"/>
              <w:spacing w:before="0" w:after="283"/>
              <w:jc w:val="left"/>
              <w:rPr/>
            </w:pPr>
            <w:hyperlink w:anchor="d71756dex42.htm">
              <w:r>
                <w:rPr>
                  <w:rStyle w:val="InternetLink"/>
                </w:rPr>
                <w:t xml:space="preserve">Officer’s Certificate of Stellantis Finance US Inc., pursuant to Section 3.01 of the Indenture dated September  16, 2026, setting forth the terms of the (i) 6.750% Fixed Rate Notes due 2031, and (ii) 7.400% Fixed Rate Notes due 2036. </w:t>
              </w:r>
            </w:hyperlink>
          </w:p>
        </w:tc>
      </w:tr>
      <w:tr>
        <w:trPr>
          <w:trHeight w:val="120" w:hRule="atLeast"/>
        </w:trPr>
        <w:tc>
          <w:tcPr>
            <w:tcW w:w="617" w:type="dxa"/>
            <w:tcBorders/>
            <w:vAlign w:val="center"/>
          </w:tcPr>
          <w:p>
            <w:pPr>
              <w:pStyle w:val="TableContents"/>
              <w:bidi w:val="0"/>
              <w:spacing w:before="0" w:after="283"/>
              <w:jc w:val="left"/>
              <w:rPr>
                <w:sz w:val="4"/>
                <w:szCs w:val="4"/>
              </w:rPr>
            </w:pPr>
            <w:r>
              <w:rPr>
                <w:sz w:val="4"/>
                <w:szCs w:val="4"/>
              </w:rPr>
            </w:r>
          </w:p>
        </w:tc>
        <w:tc>
          <w:tcPr>
            <w:tcW w:w="9588" w:type="dxa"/>
            <w:gridSpan w:val="2"/>
            <w:tcBorders/>
            <w:vAlign w:val="center"/>
          </w:tcPr>
          <w:p>
            <w:pPr>
              <w:pStyle w:val="TableContents"/>
              <w:bidi w:val="0"/>
              <w:spacing w:before="0" w:after="283"/>
              <w:jc w:val="left"/>
              <w:rPr>
                <w:sz w:val="4"/>
                <w:szCs w:val="4"/>
              </w:rPr>
            </w:pPr>
            <w:r>
              <w:rPr>
                <w:sz w:val="4"/>
                <w:szCs w:val="4"/>
              </w:rPr>
            </w:r>
          </w:p>
        </w:tc>
      </w:tr>
      <w:tr>
        <w:trPr/>
        <w:tc>
          <w:tcPr>
            <w:tcW w:w="617" w:type="dxa"/>
            <w:tcBorders/>
          </w:tcPr>
          <w:p>
            <w:pPr>
              <w:pStyle w:val="TableContents"/>
              <w:bidi w:val="0"/>
              <w:spacing w:before="0" w:after="283"/>
              <w:jc w:val="left"/>
              <w:rPr/>
            </w:pPr>
            <w:r>
              <w:rPr/>
              <w:t>4.3</w:t>
            </w:r>
          </w:p>
        </w:tc>
        <w:tc>
          <w:tcPr>
            <w:tcW w:w="499" w:type="dxa"/>
            <w:tcBorders/>
            <w:vAlign w:val="bottom"/>
          </w:tcPr>
          <w:p>
            <w:pPr>
              <w:pStyle w:val="TableContents"/>
              <w:bidi w:val="0"/>
              <w:spacing w:before="0" w:after="283"/>
              <w:jc w:val="left"/>
              <w:rPr/>
            </w:pPr>
            <w:r>
              <w:rPr/>
              <w:t>  </w:t>
            </w:r>
          </w:p>
        </w:tc>
        <w:tc>
          <w:tcPr>
            <w:tcW w:w="9089" w:type="dxa"/>
            <w:tcBorders/>
          </w:tcPr>
          <w:p>
            <w:pPr>
              <w:pStyle w:val="TableContents"/>
              <w:bidi w:val="0"/>
              <w:spacing w:before="0" w:after="283"/>
              <w:jc w:val="left"/>
              <w:rPr/>
            </w:pPr>
            <w:hyperlink w:anchor="d71756dex42.htm">
              <w:r>
                <w:rPr>
                  <w:rStyle w:val="InternetLink"/>
                </w:rPr>
                <w:t xml:space="preserve">Form of Global Security and Guarantee representing the 6.750% Fixed Rate Notes due 2031 (included as part of Exhibit 4.2). </w:t>
              </w:r>
            </w:hyperlink>
          </w:p>
        </w:tc>
      </w:tr>
      <w:tr>
        <w:trPr>
          <w:trHeight w:val="120" w:hRule="atLeast"/>
        </w:trPr>
        <w:tc>
          <w:tcPr>
            <w:tcW w:w="617" w:type="dxa"/>
            <w:tcBorders/>
            <w:vAlign w:val="center"/>
          </w:tcPr>
          <w:p>
            <w:pPr>
              <w:pStyle w:val="TableContents"/>
              <w:bidi w:val="0"/>
              <w:spacing w:before="0" w:after="283"/>
              <w:jc w:val="left"/>
              <w:rPr>
                <w:sz w:val="4"/>
                <w:szCs w:val="4"/>
              </w:rPr>
            </w:pPr>
            <w:r>
              <w:rPr>
                <w:sz w:val="4"/>
                <w:szCs w:val="4"/>
              </w:rPr>
            </w:r>
          </w:p>
        </w:tc>
        <w:tc>
          <w:tcPr>
            <w:tcW w:w="9588" w:type="dxa"/>
            <w:gridSpan w:val="2"/>
            <w:tcBorders/>
            <w:vAlign w:val="center"/>
          </w:tcPr>
          <w:p>
            <w:pPr>
              <w:pStyle w:val="TableContents"/>
              <w:bidi w:val="0"/>
              <w:spacing w:before="0" w:after="283"/>
              <w:jc w:val="left"/>
              <w:rPr>
                <w:sz w:val="4"/>
                <w:szCs w:val="4"/>
              </w:rPr>
            </w:pPr>
            <w:r>
              <w:rPr>
                <w:sz w:val="4"/>
                <w:szCs w:val="4"/>
              </w:rPr>
            </w:r>
          </w:p>
        </w:tc>
      </w:tr>
      <w:tr>
        <w:trPr/>
        <w:tc>
          <w:tcPr>
            <w:tcW w:w="617" w:type="dxa"/>
            <w:tcBorders/>
          </w:tcPr>
          <w:p>
            <w:pPr>
              <w:pStyle w:val="TableContents"/>
              <w:bidi w:val="0"/>
              <w:spacing w:before="0" w:after="283"/>
              <w:jc w:val="left"/>
              <w:rPr/>
            </w:pPr>
            <w:r>
              <w:rPr/>
              <w:t>4.4</w:t>
            </w:r>
          </w:p>
        </w:tc>
        <w:tc>
          <w:tcPr>
            <w:tcW w:w="499" w:type="dxa"/>
            <w:tcBorders/>
            <w:vAlign w:val="bottom"/>
          </w:tcPr>
          <w:p>
            <w:pPr>
              <w:pStyle w:val="TableContents"/>
              <w:bidi w:val="0"/>
              <w:spacing w:before="0" w:after="283"/>
              <w:jc w:val="left"/>
              <w:rPr/>
            </w:pPr>
            <w:r>
              <w:rPr/>
              <w:t>  </w:t>
            </w:r>
          </w:p>
        </w:tc>
        <w:tc>
          <w:tcPr>
            <w:tcW w:w="9089" w:type="dxa"/>
            <w:tcBorders/>
          </w:tcPr>
          <w:p>
            <w:pPr>
              <w:pStyle w:val="TableContents"/>
              <w:bidi w:val="0"/>
              <w:spacing w:before="0" w:after="283"/>
              <w:jc w:val="left"/>
              <w:rPr/>
            </w:pPr>
            <w:hyperlink w:anchor="d71756dex42.htm">
              <w:r>
                <w:rPr>
                  <w:rStyle w:val="InternetLink"/>
                </w:rPr>
                <w:t xml:space="preserve">Form of Global Security and Guarantee representing the 7.400% Fixed Rate Notes due 2036 (included as part of Exhibit 4.2). </w:t>
              </w:r>
            </w:hyperlink>
          </w:p>
        </w:tc>
      </w:tr>
      <w:tr>
        <w:trPr>
          <w:trHeight w:val="120" w:hRule="atLeast"/>
        </w:trPr>
        <w:tc>
          <w:tcPr>
            <w:tcW w:w="617" w:type="dxa"/>
            <w:tcBorders/>
            <w:vAlign w:val="center"/>
          </w:tcPr>
          <w:p>
            <w:pPr>
              <w:pStyle w:val="TableContents"/>
              <w:bidi w:val="0"/>
              <w:spacing w:before="0" w:after="283"/>
              <w:jc w:val="left"/>
              <w:rPr>
                <w:sz w:val="4"/>
                <w:szCs w:val="4"/>
              </w:rPr>
            </w:pPr>
            <w:r>
              <w:rPr>
                <w:sz w:val="4"/>
                <w:szCs w:val="4"/>
              </w:rPr>
            </w:r>
          </w:p>
        </w:tc>
        <w:tc>
          <w:tcPr>
            <w:tcW w:w="9588" w:type="dxa"/>
            <w:gridSpan w:val="2"/>
            <w:tcBorders/>
            <w:vAlign w:val="center"/>
          </w:tcPr>
          <w:p>
            <w:pPr>
              <w:pStyle w:val="TableContents"/>
              <w:bidi w:val="0"/>
              <w:spacing w:before="0" w:after="283"/>
              <w:jc w:val="left"/>
              <w:rPr>
                <w:sz w:val="4"/>
                <w:szCs w:val="4"/>
              </w:rPr>
            </w:pPr>
            <w:r>
              <w:rPr>
                <w:sz w:val="4"/>
                <w:szCs w:val="4"/>
              </w:rPr>
            </w:r>
          </w:p>
        </w:tc>
      </w:tr>
      <w:tr>
        <w:trPr/>
        <w:tc>
          <w:tcPr>
            <w:tcW w:w="617" w:type="dxa"/>
            <w:tcBorders/>
          </w:tcPr>
          <w:p>
            <w:pPr>
              <w:pStyle w:val="TableContents"/>
              <w:bidi w:val="0"/>
              <w:spacing w:before="0" w:after="283"/>
              <w:jc w:val="left"/>
              <w:rPr/>
            </w:pPr>
            <w:r>
              <w:rPr/>
              <w:t>5.1</w:t>
            </w:r>
          </w:p>
        </w:tc>
        <w:tc>
          <w:tcPr>
            <w:tcW w:w="499" w:type="dxa"/>
            <w:tcBorders/>
            <w:vAlign w:val="bottom"/>
          </w:tcPr>
          <w:p>
            <w:pPr>
              <w:pStyle w:val="TableContents"/>
              <w:bidi w:val="0"/>
              <w:spacing w:before="0" w:after="283"/>
              <w:jc w:val="left"/>
              <w:rPr/>
            </w:pPr>
            <w:r>
              <w:rPr/>
              <w:t>  </w:t>
            </w:r>
          </w:p>
        </w:tc>
        <w:tc>
          <w:tcPr>
            <w:tcW w:w="9089" w:type="dxa"/>
            <w:tcBorders/>
          </w:tcPr>
          <w:p>
            <w:pPr>
              <w:pStyle w:val="TableContents"/>
              <w:bidi w:val="0"/>
              <w:spacing w:before="0" w:after="283"/>
              <w:jc w:val="left"/>
              <w:rPr/>
            </w:pPr>
            <w:hyperlink w:anchor="d71756dex51.htm">
              <w:r>
                <w:rPr>
                  <w:rStyle w:val="InternetLink"/>
                </w:rPr>
                <w:t xml:space="preserve">Opinion of De Brauw Blackstone Westbroek N.V., Dutch legal advisors to Stellantis N.V., as to certain matters of Dutch law. </w:t>
              </w:r>
            </w:hyperlink>
          </w:p>
        </w:tc>
      </w:tr>
      <w:tr>
        <w:trPr>
          <w:trHeight w:val="120" w:hRule="atLeast"/>
        </w:trPr>
        <w:tc>
          <w:tcPr>
            <w:tcW w:w="617" w:type="dxa"/>
            <w:tcBorders/>
            <w:vAlign w:val="center"/>
          </w:tcPr>
          <w:p>
            <w:pPr>
              <w:pStyle w:val="TableContents"/>
              <w:bidi w:val="0"/>
              <w:spacing w:before="0" w:after="283"/>
              <w:jc w:val="left"/>
              <w:rPr>
                <w:sz w:val="4"/>
                <w:szCs w:val="4"/>
              </w:rPr>
            </w:pPr>
            <w:r>
              <w:rPr>
                <w:sz w:val="4"/>
                <w:szCs w:val="4"/>
              </w:rPr>
            </w:r>
          </w:p>
        </w:tc>
        <w:tc>
          <w:tcPr>
            <w:tcW w:w="9588" w:type="dxa"/>
            <w:gridSpan w:val="2"/>
            <w:tcBorders/>
            <w:vAlign w:val="center"/>
          </w:tcPr>
          <w:p>
            <w:pPr>
              <w:pStyle w:val="TableContents"/>
              <w:bidi w:val="0"/>
              <w:spacing w:before="0" w:after="283"/>
              <w:jc w:val="left"/>
              <w:rPr>
                <w:sz w:val="4"/>
                <w:szCs w:val="4"/>
              </w:rPr>
            </w:pPr>
            <w:r>
              <w:rPr>
                <w:sz w:val="4"/>
                <w:szCs w:val="4"/>
              </w:rPr>
            </w:r>
          </w:p>
        </w:tc>
      </w:tr>
      <w:tr>
        <w:trPr/>
        <w:tc>
          <w:tcPr>
            <w:tcW w:w="617" w:type="dxa"/>
            <w:tcBorders/>
          </w:tcPr>
          <w:p>
            <w:pPr>
              <w:pStyle w:val="TableContents"/>
              <w:bidi w:val="0"/>
              <w:spacing w:before="0" w:after="283"/>
              <w:jc w:val="left"/>
              <w:rPr/>
            </w:pPr>
            <w:r>
              <w:rPr/>
              <w:t>5.2</w:t>
            </w:r>
          </w:p>
        </w:tc>
        <w:tc>
          <w:tcPr>
            <w:tcW w:w="499" w:type="dxa"/>
            <w:tcBorders/>
            <w:vAlign w:val="bottom"/>
          </w:tcPr>
          <w:p>
            <w:pPr>
              <w:pStyle w:val="TableContents"/>
              <w:bidi w:val="0"/>
              <w:spacing w:before="0" w:after="283"/>
              <w:jc w:val="left"/>
              <w:rPr/>
            </w:pPr>
            <w:r>
              <w:rPr/>
              <w:t>  </w:t>
            </w:r>
          </w:p>
        </w:tc>
        <w:tc>
          <w:tcPr>
            <w:tcW w:w="9089" w:type="dxa"/>
            <w:tcBorders/>
          </w:tcPr>
          <w:p>
            <w:pPr>
              <w:pStyle w:val="TableContents"/>
              <w:bidi w:val="0"/>
              <w:spacing w:before="0" w:after="283"/>
              <w:jc w:val="left"/>
              <w:rPr/>
            </w:pPr>
            <w:hyperlink w:anchor="d71756dex52.htm">
              <w:r>
                <w:rPr>
                  <w:rStyle w:val="InternetLink"/>
                </w:rPr>
                <w:t xml:space="preserve">Opinion of Sullivan &amp; Cromwell LLP, U.S. legal advisors to Stellantis Finance US Inc. and Stellantis N.V., as to certain matters of New York law. </w:t>
              </w:r>
            </w:hyperlink>
          </w:p>
        </w:tc>
      </w:tr>
      <w:tr>
        <w:trPr>
          <w:trHeight w:val="120" w:hRule="atLeast"/>
        </w:trPr>
        <w:tc>
          <w:tcPr>
            <w:tcW w:w="617" w:type="dxa"/>
            <w:tcBorders/>
            <w:vAlign w:val="center"/>
          </w:tcPr>
          <w:p>
            <w:pPr>
              <w:pStyle w:val="TableContents"/>
              <w:bidi w:val="0"/>
              <w:spacing w:before="0" w:after="283"/>
              <w:jc w:val="left"/>
              <w:rPr>
                <w:sz w:val="4"/>
                <w:szCs w:val="4"/>
              </w:rPr>
            </w:pPr>
            <w:r>
              <w:rPr>
                <w:sz w:val="4"/>
                <w:szCs w:val="4"/>
              </w:rPr>
            </w:r>
          </w:p>
        </w:tc>
        <w:tc>
          <w:tcPr>
            <w:tcW w:w="9588" w:type="dxa"/>
            <w:gridSpan w:val="2"/>
            <w:tcBorders/>
            <w:vAlign w:val="center"/>
          </w:tcPr>
          <w:p>
            <w:pPr>
              <w:pStyle w:val="TableContents"/>
              <w:bidi w:val="0"/>
              <w:spacing w:before="0" w:after="283"/>
              <w:jc w:val="left"/>
              <w:rPr>
                <w:sz w:val="4"/>
                <w:szCs w:val="4"/>
              </w:rPr>
            </w:pPr>
            <w:r>
              <w:rPr>
                <w:sz w:val="4"/>
                <w:szCs w:val="4"/>
              </w:rPr>
            </w:r>
          </w:p>
        </w:tc>
      </w:tr>
      <w:tr>
        <w:trPr/>
        <w:tc>
          <w:tcPr>
            <w:tcW w:w="617" w:type="dxa"/>
            <w:tcBorders/>
          </w:tcPr>
          <w:p>
            <w:pPr>
              <w:pStyle w:val="TableContents"/>
              <w:bidi w:val="0"/>
              <w:spacing w:before="0" w:after="283"/>
              <w:jc w:val="left"/>
              <w:rPr/>
            </w:pPr>
            <w:r>
              <w:rPr/>
              <w:t>23.1</w:t>
            </w:r>
          </w:p>
        </w:tc>
        <w:tc>
          <w:tcPr>
            <w:tcW w:w="499" w:type="dxa"/>
            <w:tcBorders/>
            <w:vAlign w:val="bottom"/>
          </w:tcPr>
          <w:p>
            <w:pPr>
              <w:pStyle w:val="TableContents"/>
              <w:bidi w:val="0"/>
              <w:spacing w:before="0" w:after="283"/>
              <w:jc w:val="left"/>
              <w:rPr/>
            </w:pPr>
            <w:r>
              <w:rPr/>
              <w:t>  </w:t>
            </w:r>
          </w:p>
        </w:tc>
        <w:tc>
          <w:tcPr>
            <w:tcW w:w="9089" w:type="dxa"/>
            <w:tcBorders/>
          </w:tcPr>
          <w:p>
            <w:pPr>
              <w:pStyle w:val="TableContents"/>
              <w:bidi w:val="0"/>
              <w:spacing w:before="0" w:after="283"/>
              <w:jc w:val="left"/>
              <w:rPr/>
            </w:pPr>
            <w:hyperlink w:anchor="d71756dex51.htm">
              <w:r>
                <w:rPr>
                  <w:rStyle w:val="InternetLink"/>
                </w:rPr>
                <w:t xml:space="preserve">Consent of De Brauw Blackstone Westbroek N.V. (included as part of Exhibit 5.1). </w:t>
              </w:r>
            </w:hyperlink>
          </w:p>
        </w:tc>
      </w:tr>
      <w:tr>
        <w:trPr>
          <w:trHeight w:val="120" w:hRule="atLeast"/>
        </w:trPr>
        <w:tc>
          <w:tcPr>
            <w:tcW w:w="617" w:type="dxa"/>
            <w:tcBorders/>
            <w:vAlign w:val="center"/>
          </w:tcPr>
          <w:p>
            <w:pPr>
              <w:pStyle w:val="TableContents"/>
              <w:bidi w:val="0"/>
              <w:spacing w:before="0" w:after="283"/>
              <w:jc w:val="left"/>
              <w:rPr>
                <w:sz w:val="4"/>
                <w:szCs w:val="4"/>
              </w:rPr>
            </w:pPr>
            <w:r>
              <w:rPr>
                <w:sz w:val="4"/>
                <w:szCs w:val="4"/>
              </w:rPr>
            </w:r>
          </w:p>
        </w:tc>
        <w:tc>
          <w:tcPr>
            <w:tcW w:w="9588" w:type="dxa"/>
            <w:gridSpan w:val="2"/>
            <w:tcBorders/>
            <w:vAlign w:val="center"/>
          </w:tcPr>
          <w:p>
            <w:pPr>
              <w:pStyle w:val="TableContents"/>
              <w:bidi w:val="0"/>
              <w:spacing w:before="0" w:after="283"/>
              <w:jc w:val="left"/>
              <w:rPr>
                <w:sz w:val="4"/>
                <w:szCs w:val="4"/>
              </w:rPr>
            </w:pPr>
            <w:r>
              <w:rPr>
                <w:sz w:val="4"/>
                <w:szCs w:val="4"/>
              </w:rPr>
            </w:r>
          </w:p>
        </w:tc>
      </w:tr>
      <w:tr>
        <w:trPr/>
        <w:tc>
          <w:tcPr>
            <w:tcW w:w="617" w:type="dxa"/>
            <w:tcBorders/>
          </w:tcPr>
          <w:p>
            <w:pPr>
              <w:pStyle w:val="TableContents"/>
              <w:bidi w:val="0"/>
              <w:spacing w:before="0" w:after="283"/>
              <w:jc w:val="left"/>
              <w:rPr/>
            </w:pPr>
            <w:r>
              <w:rPr/>
              <w:t>23.2</w:t>
            </w:r>
          </w:p>
        </w:tc>
        <w:tc>
          <w:tcPr>
            <w:tcW w:w="499" w:type="dxa"/>
            <w:tcBorders/>
            <w:vAlign w:val="bottom"/>
          </w:tcPr>
          <w:p>
            <w:pPr>
              <w:pStyle w:val="TableContents"/>
              <w:bidi w:val="0"/>
              <w:spacing w:before="0" w:after="283"/>
              <w:jc w:val="left"/>
              <w:rPr/>
            </w:pPr>
            <w:r>
              <w:rPr/>
              <w:t>  </w:t>
            </w:r>
          </w:p>
        </w:tc>
        <w:tc>
          <w:tcPr>
            <w:tcW w:w="9089" w:type="dxa"/>
            <w:tcBorders/>
          </w:tcPr>
          <w:p>
            <w:pPr>
              <w:pStyle w:val="TableContents"/>
              <w:bidi w:val="0"/>
              <w:spacing w:before="0" w:after="283"/>
              <w:jc w:val="left"/>
              <w:rPr/>
            </w:pPr>
            <w:hyperlink w:anchor="d71756dex52.htm">
              <w:r>
                <w:rPr>
                  <w:rStyle w:val="InternetLink"/>
                </w:rPr>
                <w:t xml:space="preserve">Consent of Sullivan &amp; Cromwell LLP (included as part of Exhibit 5.2). </w:t>
              </w:r>
            </w:hyperlink>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88"/>
        <w:gridCol w:w="102"/>
        <w:gridCol w:w="407"/>
        <w:gridCol w:w="102"/>
        <w:gridCol w:w="308"/>
        <w:gridCol w:w="102"/>
        <w:gridCol w:w="4596"/>
      </w:tblGrid>
      <w:tr>
        <w:trPr/>
        <w:tc>
          <w:tcPr>
            <w:tcW w:w="458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596" w:type="dxa"/>
            <w:tcBorders/>
            <w:vAlign w:val="center"/>
          </w:tcPr>
          <w:p>
            <w:pPr>
              <w:pStyle w:val="TableContents"/>
              <w:bidi w:val="0"/>
              <w:spacing w:before="0" w:after="283"/>
              <w:jc w:val="left"/>
              <w:rPr>
                <w:sz w:val="4"/>
                <w:szCs w:val="4"/>
              </w:rPr>
            </w:pPr>
            <w:r>
              <w:rPr>
                <w:sz w:val="4"/>
                <w:szCs w:val="4"/>
              </w:rPr>
            </w:r>
          </w:p>
        </w:tc>
      </w:tr>
      <w:tr>
        <w:trPr/>
        <w:tc>
          <w:tcPr>
            <w:tcW w:w="4588"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7"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5006" w:type="dxa"/>
            <w:gridSpan w:val="3"/>
            <w:tcBorders/>
          </w:tcPr>
          <w:p>
            <w:pPr>
              <w:pStyle w:val="TableContents"/>
              <w:bidi w:val="0"/>
              <w:spacing w:before="0" w:after="283"/>
              <w:jc w:val="left"/>
              <w:rPr/>
            </w:pPr>
            <w:r>
              <w:rPr/>
              <w:t>Stellantis N.V.</w:t>
            </w:r>
          </w:p>
        </w:tc>
      </w:tr>
      <w:tr>
        <w:trPr/>
        <w:tc>
          <w:tcPr>
            <w:tcW w:w="4588"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7"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5006" w:type="dxa"/>
            <w:gridSpan w:val="3"/>
            <w:tcBorders/>
          </w:tcPr>
          <w:p>
            <w:pPr>
              <w:pStyle w:val="TableContents"/>
              <w:bidi w:val="0"/>
              <w:spacing w:before="0" w:after="283"/>
              <w:jc w:val="left"/>
              <w:rPr>
                <w:i/>
              </w:rPr>
            </w:pPr>
            <w:r>
              <w:rPr>
                <w:i/>
              </w:rPr>
              <w:t>(Registrant)</w:t>
            </w:r>
          </w:p>
        </w:tc>
      </w:tr>
      <w:tr>
        <w:trPr>
          <w:trHeight w:val="240" w:hRule="atLeast"/>
        </w:trPr>
        <w:tc>
          <w:tcPr>
            <w:tcW w:w="4588" w:type="dxa"/>
            <w:tcBorders/>
            <w:vAlign w:val="center"/>
          </w:tcPr>
          <w:p>
            <w:pPr>
              <w:pStyle w:val="TableContents"/>
              <w:bidi w:val="0"/>
              <w:spacing w:before="0" w:after="283"/>
              <w:jc w:val="left"/>
              <w:rPr>
                <w:sz w:val="4"/>
                <w:szCs w:val="4"/>
              </w:rPr>
            </w:pPr>
            <w:r>
              <w:rPr>
                <w:sz w:val="4"/>
                <w:szCs w:val="4"/>
              </w:rPr>
            </w:r>
          </w:p>
        </w:tc>
        <w:tc>
          <w:tcPr>
            <w:tcW w:w="509" w:type="dxa"/>
            <w:gridSpan w:val="2"/>
            <w:tcBorders/>
            <w:vAlign w:val="center"/>
          </w:tcPr>
          <w:p>
            <w:pPr>
              <w:pStyle w:val="TableContents"/>
              <w:bidi w:val="0"/>
              <w:spacing w:before="0" w:after="283"/>
              <w:jc w:val="left"/>
              <w:rPr>
                <w:sz w:val="4"/>
                <w:szCs w:val="4"/>
              </w:rPr>
            </w:pPr>
            <w:r>
              <w:rPr>
                <w:sz w:val="4"/>
                <w:szCs w:val="4"/>
              </w:rPr>
            </w:r>
          </w:p>
        </w:tc>
        <w:tc>
          <w:tcPr>
            <w:tcW w:w="410" w:type="dxa"/>
            <w:gridSpan w:val="2"/>
            <w:tcBorders/>
            <w:vAlign w:val="center"/>
          </w:tcPr>
          <w:p>
            <w:pPr>
              <w:pStyle w:val="TableContents"/>
              <w:bidi w:val="0"/>
              <w:spacing w:before="0" w:after="283"/>
              <w:jc w:val="left"/>
              <w:rPr>
                <w:sz w:val="4"/>
                <w:szCs w:val="4"/>
              </w:rPr>
            </w:pPr>
            <w:r>
              <w:rPr>
                <w:sz w:val="4"/>
                <w:szCs w:val="4"/>
              </w:rPr>
            </w:r>
          </w:p>
        </w:tc>
        <w:tc>
          <w:tcPr>
            <w:tcW w:w="4698" w:type="dxa"/>
            <w:gridSpan w:val="2"/>
            <w:tcBorders/>
            <w:vAlign w:val="center"/>
          </w:tcPr>
          <w:p>
            <w:pPr>
              <w:pStyle w:val="TableContents"/>
              <w:bidi w:val="0"/>
              <w:spacing w:before="0" w:after="283"/>
              <w:jc w:val="left"/>
              <w:rPr>
                <w:sz w:val="4"/>
                <w:szCs w:val="4"/>
              </w:rPr>
            </w:pPr>
            <w:r>
              <w:rPr>
                <w:sz w:val="4"/>
                <w:szCs w:val="4"/>
              </w:rPr>
            </w:r>
          </w:p>
        </w:tc>
      </w:tr>
      <w:tr>
        <w:trPr/>
        <w:tc>
          <w:tcPr>
            <w:tcW w:w="4588" w:type="dxa"/>
            <w:tcBorders/>
          </w:tcPr>
          <w:p>
            <w:pPr>
              <w:pStyle w:val="TableContents"/>
              <w:bidi w:val="0"/>
              <w:spacing w:before="0" w:after="283"/>
              <w:jc w:val="left"/>
              <w:rPr/>
            </w:pPr>
            <w:r>
              <w:rPr/>
              <w:t>Dated: September 16, 2026</w:t>
            </w:r>
          </w:p>
        </w:tc>
        <w:tc>
          <w:tcPr>
            <w:tcW w:w="102" w:type="dxa"/>
            <w:tcBorders/>
            <w:vAlign w:val="bottom"/>
          </w:tcPr>
          <w:p>
            <w:pPr>
              <w:pStyle w:val="TableContents"/>
              <w:bidi w:val="0"/>
              <w:spacing w:before="0" w:after="283"/>
              <w:jc w:val="left"/>
              <w:rPr/>
            </w:pPr>
            <w:r>
              <w:rPr/>
              <w:t> </w:t>
            </w:r>
          </w:p>
        </w:tc>
        <w:tc>
          <w:tcPr>
            <w:tcW w:w="407"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08" w:type="dxa"/>
            <w:tcBorders/>
          </w:tcPr>
          <w:p>
            <w:pPr>
              <w:pStyle w:val="TableContents"/>
              <w:bidi w:val="0"/>
              <w:spacing w:before="0" w:after="283"/>
              <w:jc w:val="left"/>
              <w:rPr/>
            </w:pPr>
            <w:r>
              <w:rPr/>
              <w:t>By:</w:t>
            </w:r>
          </w:p>
        </w:tc>
        <w:tc>
          <w:tcPr>
            <w:tcW w:w="102" w:type="dxa"/>
            <w:tcBorders/>
            <w:vAlign w:val="bottom"/>
          </w:tcPr>
          <w:p>
            <w:pPr>
              <w:pStyle w:val="TableContents"/>
              <w:bidi w:val="0"/>
              <w:spacing w:before="0" w:after="283"/>
              <w:jc w:val="left"/>
              <w:rPr/>
            </w:pPr>
            <w:r>
              <w:rPr/>
              <w:t> </w:t>
            </w:r>
          </w:p>
        </w:tc>
        <w:tc>
          <w:tcPr>
            <w:tcW w:w="459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Giorgio Fossati</w:t>
            </w:r>
          </w:p>
        </w:tc>
      </w:tr>
      <w:tr>
        <w:trPr/>
        <w:tc>
          <w:tcPr>
            <w:tcW w:w="4588"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7"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08"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596" w:type="dxa"/>
            <w:tcBorders/>
          </w:tcPr>
          <w:p>
            <w:pPr>
              <w:pStyle w:val="TableContents"/>
              <w:bidi w:val="0"/>
              <w:spacing w:before="0" w:after="283"/>
              <w:jc w:val="left"/>
              <w:rPr/>
            </w:pPr>
            <w:r>
              <w:rPr/>
              <w:t>Name: Giorgio Fossati</w:t>
            </w:r>
          </w:p>
        </w:tc>
      </w:tr>
      <w:tr>
        <w:trPr/>
        <w:tc>
          <w:tcPr>
            <w:tcW w:w="4588"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7"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08"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596" w:type="dxa"/>
            <w:tcBorders/>
          </w:tcPr>
          <w:p>
            <w:pPr>
              <w:pStyle w:val="TableContents"/>
              <w:bidi w:val="0"/>
              <w:spacing w:before="0" w:after="283"/>
              <w:jc w:val="left"/>
              <w:rPr/>
            </w:pPr>
            <w:r>
              <w:rPr/>
              <w:t>Title: General Counsel</w:t>
            </w:r>
          </w:p>
        </w:tc>
      </w:tr>
    </w:tbl>
    <w:p>
      <w:pPr>
        <w:pStyle w:val="TextBody"/>
        <w:bidi w:val="0"/>
        <w:spacing w:before="0" w:after="0"/>
        <w:jc w:val="right"/>
        <w:rPr>
          <w:rFonts w:ascii="Times New Roman" w:hAnsi="Times New Roman"/>
          <w:b/>
          <w:sz w:val="20"/>
        </w:rPr>
      </w:pPr>
      <w:bookmarkStart w:id="2" w:name="d71756dex11.htm"/>
      <w:bookmarkStart w:id="3" w:name="ksd71756dex11"/>
      <w:bookmarkEnd w:id="2"/>
      <w:bookmarkEnd w:id="3"/>
      <w:r>
        <w:rPr>
          <w:rFonts w:ascii="Times New Roman" w:hAnsi="Times New Roman"/>
          <w:b/>
          <w:sz w:val="20"/>
        </w:rPr>
        <w:t xml:space="preserve">Exhibit 1.1 </w:t>
      </w:r>
      <w:r>
        <w:br w:type="page"/>
      </w:r>
    </w:p>
    <w:p>
      <w:pPr>
        <w:pStyle w:val="TextBody"/>
        <w:bidi w:val="0"/>
        <w:spacing w:before="240" w:after="0"/>
        <w:jc w:val="right"/>
        <w:rPr>
          <w:rFonts w:ascii="Times New Roman" w:hAnsi="Times New Roman"/>
          <w:b/>
          <w:i/>
          <w:sz w:val="20"/>
        </w:rPr>
      </w:pPr>
      <w:r>
        <w:rPr>
          <w:rFonts w:ascii="Times New Roman" w:hAnsi="Times New Roman"/>
          <w:b/>
          <w:i/>
          <w:sz w:val="20"/>
        </w:rPr>
        <w:t xml:space="preserve">Execution Version </w:t>
      </w:r>
    </w:p>
    <w:p>
      <w:pPr>
        <w:pStyle w:val="TextBody"/>
        <w:bidi w:val="0"/>
        <w:spacing w:before="240" w:after="0"/>
        <w:jc w:val="center"/>
        <w:rPr>
          <w:rFonts w:ascii="Times New Roman" w:hAnsi="Times New Roman"/>
          <w:sz w:val="20"/>
        </w:rPr>
      </w:pPr>
      <w:r>
        <w:rPr>
          <w:rFonts w:ascii="Times New Roman" w:hAnsi="Times New Roman"/>
          <w:sz w:val="20"/>
        </w:rPr>
        <w:t xml:space="preserve">STELLANTIS FINANCE US INC. </w:t>
      </w:r>
    </w:p>
    <w:p>
      <w:pPr>
        <w:pStyle w:val="TextBody"/>
        <w:bidi w:val="0"/>
        <w:spacing w:before="0" w:after="0"/>
        <w:jc w:val="center"/>
        <w:rPr>
          <w:rFonts w:ascii="Times New Roman" w:hAnsi="Times New Roman"/>
          <w:sz w:val="20"/>
        </w:rPr>
      </w:pPr>
      <w:r>
        <w:rPr>
          <w:rFonts w:ascii="Times New Roman" w:hAnsi="Times New Roman"/>
          <w:sz w:val="20"/>
        </w:rPr>
        <w:t xml:space="preserve">as Issuer </w:t>
      </w:r>
    </w:p>
    <w:p>
      <w:pPr>
        <w:pStyle w:val="TextBody"/>
        <w:bidi w:val="0"/>
        <w:spacing w:before="240" w:after="0"/>
        <w:jc w:val="center"/>
        <w:rPr>
          <w:rFonts w:ascii="Times New Roman" w:hAnsi="Times New Roman"/>
          <w:sz w:val="20"/>
        </w:rPr>
      </w:pPr>
      <w:r>
        <w:rPr>
          <w:rFonts w:ascii="Times New Roman" w:hAnsi="Times New Roman"/>
          <w:sz w:val="20"/>
        </w:rPr>
        <w:t xml:space="preserve">STELLANTIS N.V. </w:t>
      </w:r>
    </w:p>
    <w:p>
      <w:pPr>
        <w:pStyle w:val="TextBody"/>
        <w:bidi w:val="0"/>
        <w:spacing w:before="0" w:after="0"/>
        <w:jc w:val="center"/>
        <w:rPr>
          <w:rFonts w:ascii="Times New Roman" w:hAnsi="Times New Roman"/>
          <w:sz w:val="20"/>
        </w:rPr>
      </w:pPr>
      <w:r>
        <w:rPr>
          <w:rFonts w:ascii="Times New Roman" w:hAnsi="Times New Roman"/>
          <w:sz w:val="20"/>
        </w:rPr>
        <w:t xml:space="preserve">as Guarantor </w:t>
      </w:r>
    </w:p>
    <w:p>
      <w:pPr>
        <w:pStyle w:val="TextBody"/>
        <w:bidi w:val="0"/>
        <w:spacing w:before="240" w:after="0"/>
        <w:jc w:val="center"/>
        <w:rPr>
          <w:rFonts w:ascii="Times New Roman" w:hAnsi="Times New Roman"/>
          <w:sz w:val="20"/>
        </w:rPr>
      </w:pPr>
      <w:r>
        <w:rPr>
          <w:rFonts w:ascii="Times New Roman" w:hAnsi="Times New Roman"/>
          <w:sz w:val="20"/>
        </w:rPr>
        <w:t xml:space="preserve">US$1,250,000,000 6.750% Fixed Rate Notes due 2031 </w:t>
      </w:r>
    </w:p>
    <w:p>
      <w:pPr>
        <w:pStyle w:val="TextBody"/>
        <w:bidi w:val="0"/>
        <w:spacing w:before="0" w:after="0"/>
        <w:jc w:val="center"/>
        <w:rPr>
          <w:rFonts w:ascii="Times New Roman" w:hAnsi="Times New Roman"/>
          <w:sz w:val="20"/>
        </w:rPr>
      </w:pPr>
      <w:r>
        <w:rPr>
          <w:rFonts w:ascii="Times New Roman" w:hAnsi="Times New Roman"/>
          <w:sz w:val="20"/>
        </w:rPr>
        <w:t xml:space="preserve">US$1,250,000,000 7.400% Fixed Rate Notes due 2036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Underwriting Agreement </w:t>
      </w:r>
    </w:p>
    <w:p>
      <w:pPr>
        <w:pStyle w:val="TextBody"/>
        <w:bidi w:val="0"/>
        <w:spacing w:before="240" w:after="0"/>
        <w:jc w:val="right"/>
        <w:rPr>
          <w:rFonts w:ascii="Times New Roman" w:hAnsi="Times New Roman"/>
          <w:sz w:val="20"/>
        </w:rPr>
      </w:pPr>
      <w:r>
        <w:rPr>
          <w:rFonts w:ascii="Times New Roman" w:hAnsi="Times New Roman"/>
          <w:sz w:val="20"/>
        </w:rPr>
        <w:t xml:space="preserve">September 10, 2026 </w:t>
      </w:r>
    </w:p>
    <w:p>
      <w:pPr>
        <w:pStyle w:val="TextBody"/>
        <w:bidi w:val="0"/>
        <w:spacing w:before="240" w:after="0"/>
        <w:jc w:val="left"/>
        <w:rPr>
          <w:rFonts w:ascii="Times New Roman" w:hAnsi="Times New Roman"/>
          <w:b/>
          <w:sz w:val="20"/>
        </w:rPr>
      </w:pPr>
      <w:r>
        <w:rPr>
          <w:rFonts w:ascii="Times New Roman" w:hAnsi="Times New Roman"/>
          <w:b/>
          <w:sz w:val="20"/>
        </w:rPr>
        <w:t xml:space="preserve">Citigroup Global Markets Inc. </w:t>
      </w:r>
    </w:p>
    <w:p>
      <w:pPr>
        <w:pStyle w:val="TextBody"/>
        <w:bidi w:val="0"/>
        <w:spacing w:before="0" w:after="0"/>
        <w:jc w:val="left"/>
        <w:rPr>
          <w:rFonts w:ascii="Times New Roman" w:hAnsi="Times New Roman"/>
          <w:sz w:val="20"/>
        </w:rPr>
      </w:pPr>
      <w:r>
        <w:rPr>
          <w:rFonts w:ascii="Times New Roman" w:hAnsi="Times New Roman"/>
          <w:sz w:val="20"/>
        </w:rPr>
        <w:t xml:space="preserve">388 Greenwich Street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10013 </w:t>
      </w:r>
    </w:p>
    <w:p>
      <w:pPr>
        <w:pStyle w:val="TextBody"/>
        <w:bidi w:val="0"/>
        <w:spacing w:before="0" w:after="0"/>
        <w:jc w:val="left"/>
        <w:rPr>
          <w:rFonts w:ascii="Times New Roman" w:hAnsi="Times New Roman"/>
          <w:sz w:val="20"/>
        </w:rPr>
      </w:pPr>
      <w:r>
        <w:rPr>
          <w:rFonts w:ascii="Times New Roman" w:hAnsi="Times New Roman"/>
          <w:sz w:val="20"/>
        </w:rPr>
        <w:t xml:space="preserve">United States of America </w:t>
      </w:r>
    </w:p>
    <w:p>
      <w:pPr>
        <w:pStyle w:val="TextBody"/>
        <w:bidi w:val="0"/>
        <w:spacing w:before="240" w:after="0"/>
        <w:jc w:val="left"/>
        <w:rPr>
          <w:rFonts w:ascii="Times New Roman" w:hAnsi="Times New Roman"/>
          <w:b/>
          <w:sz w:val="20"/>
        </w:rPr>
      </w:pPr>
      <w:r>
        <w:rPr>
          <w:rFonts w:ascii="Times New Roman" w:hAnsi="Times New Roman"/>
          <w:b/>
          <w:sz w:val="20"/>
        </w:rPr>
        <w:t xml:space="preserve">Deutsche Bank Securities Inc. </w:t>
      </w:r>
    </w:p>
    <w:p>
      <w:pPr>
        <w:pStyle w:val="TextBody"/>
        <w:bidi w:val="0"/>
        <w:spacing w:before="0" w:after="0"/>
        <w:jc w:val="left"/>
        <w:rPr>
          <w:rFonts w:ascii="Times New Roman" w:hAnsi="Times New Roman"/>
          <w:sz w:val="20"/>
        </w:rPr>
      </w:pPr>
      <w:r>
        <w:rPr>
          <w:rFonts w:ascii="Times New Roman" w:hAnsi="Times New Roman"/>
          <w:sz w:val="20"/>
        </w:rPr>
        <w:t xml:space="preserve">1 Columbus Circle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10019 </w:t>
      </w:r>
    </w:p>
    <w:p>
      <w:pPr>
        <w:pStyle w:val="TextBody"/>
        <w:bidi w:val="0"/>
        <w:spacing w:before="0" w:after="0"/>
        <w:jc w:val="left"/>
        <w:rPr>
          <w:rFonts w:ascii="Times New Roman" w:hAnsi="Times New Roman"/>
          <w:sz w:val="20"/>
        </w:rPr>
      </w:pPr>
      <w:r>
        <w:rPr>
          <w:rFonts w:ascii="Times New Roman" w:hAnsi="Times New Roman"/>
          <w:sz w:val="20"/>
        </w:rPr>
        <w:t xml:space="preserve">United States of America </w:t>
      </w:r>
    </w:p>
    <w:p>
      <w:pPr>
        <w:pStyle w:val="TextBody"/>
        <w:bidi w:val="0"/>
        <w:spacing w:before="240" w:after="0"/>
        <w:jc w:val="left"/>
        <w:rPr>
          <w:rFonts w:ascii="Times New Roman" w:hAnsi="Times New Roman"/>
          <w:b/>
          <w:sz w:val="20"/>
        </w:rPr>
      </w:pPr>
      <w:r>
        <w:rPr>
          <w:rFonts w:ascii="Times New Roman" w:hAnsi="Times New Roman"/>
          <w:b/>
          <w:sz w:val="20"/>
        </w:rPr>
        <w:t xml:space="preserve">Goldman Sachs &amp; Co. LLC </w:t>
      </w:r>
    </w:p>
    <w:p>
      <w:pPr>
        <w:pStyle w:val="TextBody"/>
        <w:bidi w:val="0"/>
        <w:spacing w:before="0" w:after="0"/>
        <w:jc w:val="left"/>
        <w:rPr>
          <w:rFonts w:ascii="Times New Roman" w:hAnsi="Times New Roman"/>
          <w:sz w:val="20"/>
        </w:rPr>
      </w:pPr>
      <w:r>
        <w:rPr>
          <w:rFonts w:ascii="Times New Roman" w:hAnsi="Times New Roman"/>
          <w:sz w:val="20"/>
        </w:rPr>
        <w:t xml:space="preserve">200 West Street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10282 </w:t>
      </w:r>
    </w:p>
    <w:p>
      <w:pPr>
        <w:pStyle w:val="TextBody"/>
        <w:bidi w:val="0"/>
        <w:spacing w:before="0" w:after="0"/>
        <w:jc w:val="left"/>
        <w:rPr>
          <w:rFonts w:ascii="Times New Roman" w:hAnsi="Times New Roman"/>
          <w:sz w:val="20"/>
        </w:rPr>
      </w:pPr>
      <w:r>
        <w:rPr>
          <w:rFonts w:ascii="Times New Roman" w:hAnsi="Times New Roman"/>
          <w:sz w:val="20"/>
        </w:rPr>
        <w:t xml:space="preserve">United States of America </w:t>
      </w:r>
    </w:p>
    <w:p>
      <w:pPr>
        <w:pStyle w:val="TextBody"/>
        <w:bidi w:val="0"/>
        <w:spacing w:before="240" w:after="0"/>
        <w:jc w:val="left"/>
        <w:rPr>
          <w:rFonts w:ascii="Times New Roman" w:hAnsi="Times New Roman"/>
          <w:b/>
          <w:sz w:val="20"/>
        </w:rPr>
      </w:pPr>
      <w:r>
        <w:rPr>
          <w:rFonts w:ascii="Times New Roman" w:hAnsi="Times New Roman"/>
          <w:b/>
          <w:sz w:val="20"/>
        </w:rPr>
        <w:t xml:space="preserve">Intesa Sanpaolo IMI Securities Corp. </w:t>
      </w:r>
    </w:p>
    <w:p>
      <w:pPr>
        <w:pStyle w:val="TextBody"/>
        <w:bidi w:val="0"/>
        <w:spacing w:before="0" w:after="0"/>
        <w:jc w:val="left"/>
        <w:rPr>
          <w:rFonts w:ascii="Times New Roman" w:hAnsi="Times New Roman"/>
          <w:sz w:val="20"/>
        </w:rPr>
      </w:pPr>
      <w:r>
        <w:rPr>
          <w:rFonts w:ascii="Times New Roman" w:hAnsi="Times New Roman"/>
          <w:sz w:val="20"/>
        </w:rPr>
        <w:t xml:space="preserve">1 William Street,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10004 </w:t>
      </w:r>
    </w:p>
    <w:p>
      <w:pPr>
        <w:pStyle w:val="TextBody"/>
        <w:bidi w:val="0"/>
        <w:spacing w:before="0" w:after="0"/>
        <w:jc w:val="left"/>
        <w:rPr>
          <w:rFonts w:ascii="Times New Roman" w:hAnsi="Times New Roman"/>
          <w:sz w:val="20"/>
        </w:rPr>
      </w:pPr>
      <w:r>
        <w:rPr>
          <w:rFonts w:ascii="Times New Roman" w:hAnsi="Times New Roman"/>
          <w:sz w:val="20"/>
        </w:rPr>
        <w:t xml:space="preserve">United States of America </w:t>
      </w:r>
    </w:p>
    <w:p>
      <w:pPr>
        <w:pStyle w:val="TextBody"/>
        <w:bidi w:val="0"/>
        <w:spacing w:before="240" w:after="0"/>
        <w:jc w:val="left"/>
        <w:rPr>
          <w:rFonts w:ascii="Times New Roman" w:hAnsi="Times New Roman"/>
          <w:b/>
          <w:sz w:val="20"/>
        </w:rPr>
      </w:pPr>
      <w:r>
        <w:rPr>
          <w:rFonts w:ascii="Times New Roman" w:hAnsi="Times New Roman"/>
          <w:b/>
          <w:sz w:val="20"/>
        </w:rPr>
        <w:t xml:space="preserve">Morgan Stanley &amp; Co. LLC </w:t>
      </w:r>
    </w:p>
    <w:p>
      <w:pPr>
        <w:pStyle w:val="TextBody"/>
        <w:bidi w:val="0"/>
        <w:spacing w:before="0" w:after="0"/>
        <w:jc w:val="left"/>
        <w:rPr>
          <w:rFonts w:ascii="Times New Roman" w:hAnsi="Times New Roman"/>
          <w:sz w:val="20"/>
        </w:rPr>
      </w:pPr>
      <w:r>
        <w:rPr>
          <w:rFonts w:ascii="Times New Roman" w:hAnsi="Times New Roman"/>
          <w:sz w:val="20"/>
        </w:rPr>
        <w:t xml:space="preserve">1585 Broadway, 29th Floor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10036 </w:t>
      </w:r>
    </w:p>
    <w:p>
      <w:pPr>
        <w:pStyle w:val="TextBody"/>
        <w:bidi w:val="0"/>
        <w:spacing w:before="0" w:after="0"/>
        <w:jc w:val="left"/>
        <w:rPr>
          <w:rFonts w:ascii="Times New Roman" w:hAnsi="Times New Roman"/>
          <w:sz w:val="20"/>
        </w:rPr>
      </w:pPr>
      <w:r>
        <w:rPr>
          <w:rFonts w:ascii="Times New Roman" w:hAnsi="Times New Roman"/>
          <w:sz w:val="20"/>
        </w:rPr>
        <w:t xml:space="preserve">United States of America </w:t>
      </w:r>
    </w:p>
    <w:p>
      <w:pPr>
        <w:pStyle w:val="TextBody"/>
        <w:bidi w:val="0"/>
        <w:spacing w:before="240" w:after="0"/>
        <w:jc w:val="left"/>
        <w:rPr>
          <w:rFonts w:ascii="Times New Roman" w:hAnsi="Times New Roman"/>
          <w:b/>
          <w:sz w:val="20"/>
        </w:rPr>
      </w:pPr>
      <w:r>
        <w:rPr>
          <w:rFonts w:ascii="Times New Roman" w:hAnsi="Times New Roman"/>
          <w:b/>
          <w:sz w:val="20"/>
        </w:rPr>
        <w:t xml:space="preserve">RBC Capital Markets, LLC </w:t>
      </w:r>
    </w:p>
    <w:p>
      <w:pPr>
        <w:pStyle w:val="TextBody"/>
        <w:bidi w:val="0"/>
        <w:spacing w:before="0" w:after="0"/>
        <w:jc w:val="left"/>
        <w:rPr>
          <w:rFonts w:ascii="Times New Roman" w:hAnsi="Times New Roman"/>
          <w:sz w:val="20"/>
        </w:rPr>
      </w:pPr>
      <w:r>
        <w:rPr>
          <w:rFonts w:ascii="Times New Roman" w:hAnsi="Times New Roman"/>
          <w:sz w:val="20"/>
        </w:rPr>
        <w:t xml:space="preserve">Brookfield Place, 200 Vesey Street, 8th Floor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10281 </w:t>
      </w:r>
    </w:p>
    <w:p>
      <w:pPr>
        <w:pStyle w:val="TextBody"/>
        <w:bidi w:val="0"/>
        <w:spacing w:before="0" w:after="0"/>
        <w:jc w:val="left"/>
        <w:rPr>
          <w:rFonts w:ascii="Times New Roman" w:hAnsi="Times New Roman"/>
          <w:sz w:val="20"/>
        </w:rPr>
      </w:pPr>
      <w:r>
        <w:rPr>
          <w:rFonts w:ascii="Times New Roman" w:hAnsi="Times New Roman"/>
          <w:sz w:val="20"/>
        </w:rPr>
        <w:t xml:space="preserve">United States of America </w:t>
      </w:r>
    </w:p>
    <w:p>
      <w:pPr>
        <w:pStyle w:val="TextBody"/>
        <w:bidi w:val="0"/>
        <w:spacing w:before="240" w:after="0"/>
        <w:jc w:val="left"/>
        <w:rPr>
          <w:rFonts w:ascii="Times New Roman" w:hAnsi="Times New Roman"/>
          <w:b/>
          <w:sz w:val="20"/>
        </w:rPr>
      </w:pPr>
      <w:r>
        <w:rPr>
          <w:rFonts w:ascii="Times New Roman" w:hAnsi="Times New Roman"/>
          <w:b/>
          <w:sz w:val="20"/>
        </w:rPr>
        <w:t xml:space="preserve">SMBC Nikko Securities America, Inc. </w:t>
      </w:r>
    </w:p>
    <w:p>
      <w:pPr>
        <w:pStyle w:val="TextBody"/>
        <w:bidi w:val="0"/>
        <w:spacing w:before="0" w:after="0"/>
        <w:jc w:val="left"/>
        <w:rPr>
          <w:rFonts w:ascii="Times New Roman" w:hAnsi="Times New Roman"/>
          <w:sz w:val="20"/>
        </w:rPr>
      </w:pPr>
      <w:r>
        <w:rPr>
          <w:rFonts w:ascii="Times New Roman" w:hAnsi="Times New Roman"/>
          <w:sz w:val="20"/>
        </w:rPr>
        <w:t xml:space="preserve">277 Park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10172 </w:t>
      </w:r>
    </w:p>
    <w:p>
      <w:pPr>
        <w:pStyle w:val="TextBody"/>
        <w:bidi w:val="0"/>
        <w:spacing w:before="0" w:after="0"/>
        <w:jc w:val="left"/>
        <w:rPr>
          <w:rFonts w:ascii="Times New Roman" w:hAnsi="Times New Roman"/>
          <w:sz w:val="20"/>
        </w:rPr>
      </w:pPr>
      <w:r>
        <w:rPr>
          <w:rFonts w:ascii="Times New Roman" w:hAnsi="Times New Roman"/>
          <w:sz w:val="20"/>
        </w:rPr>
        <w:t xml:space="preserve">United States of America </w:t>
      </w:r>
    </w:p>
    <w:p>
      <w:pPr>
        <w:pStyle w:val="TextBody"/>
        <w:bidi w:val="0"/>
        <w:spacing w:before="240" w:after="0"/>
        <w:jc w:val="left"/>
        <w:rPr>
          <w:rFonts w:ascii="Times New Roman" w:hAnsi="Times New Roman"/>
          <w:sz w:val="20"/>
        </w:rPr>
      </w:pPr>
      <w:r>
        <w:rPr>
          <w:rFonts w:ascii="Times New Roman" w:hAnsi="Times New Roman"/>
          <w:sz w:val="20"/>
        </w:rPr>
        <w:t xml:space="preserve">As Representatives of the several </w:t>
      </w:r>
    </w:p>
    <w:p>
      <w:pPr>
        <w:pStyle w:val="TextBody"/>
        <w:bidi w:val="0"/>
        <w:spacing w:before="0" w:after="0"/>
        <w:jc w:val="left"/>
        <w:rPr>
          <w:rFonts w:ascii="Times New Roman" w:hAnsi="Times New Roman"/>
          <w:sz w:val="20"/>
        </w:rPr>
      </w:pPr>
      <w:r>
        <w:rPr>
          <w:rFonts w:ascii="Times New Roman" w:hAnsi="Times New Roman"/>
          <w:sz w:val="20"/>
        </w:rPr>
        <w:t xml:space="preserve">Underwriters named in Schedule I 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240" w:after="0"/>
        <w:jc w:val="left"/>
        <w:rPr>
          <w:rFonts w:ascii="Times New Roman" w:hAnsi="Times New Roman"/>
          <w:sz w:val="20"/>
        </w:rPr>
      </w:pPr>
      <w:r>
        <w:rPr>
          <w:rFonts w:ascii="Times New Roman" w:hAnsi="Times New Roman"/>
          <w:sz w:val="20"/>
        </w:rPr>
        <w:t>Stellantis Finance US Inc. as issuer, and a subsidiary of the Guarantor (as defined below) (the “</w:t>
      </w:r>
      <w:r>
        <w:rPr>
          <w:rFonts w:ascii="Times New Roman" w:hAnsi="Times New Roman"/>
          <w:b/>
          <w:sz w:val="20"/>
        </w:rPr>
        <w:t>Company</w:t>
      </w:r>
      <w:r>
        <w:rPr>
          <w:rFonts w:ascii="Times New Roman" w:hAnsi="Times New Roman"/>
          <w:sz w:val="20"/>
        </w:rPr>
        <w:t>”), incorporated under the laws of the State of Delaware, and Stellantis N.V., a public company with limited liability (</w:t>
      </w:r>
      <w:r>
        <w:rPr>
          <w:rFonts w:ascii="Times New Roman" w:hAnsi="Times New Roman"/>
          <w:i/>
          <w:sz w:val="20"/>
        </w:rPr>
        <w:t>naamloze vennootschap</w:t>
      </w:r>
      <w:r>
        <w:rPr>
          <w:rFonts w:ascii="Times New Roman" w:hAnsi="Times New Roman"/>
          <w:sz w:val="20"/>
        </w:rPr>
        <w:t>) incorporated under the laws of the Netherlands and having its official seat (</w:t>
      </w:r>
      <w:r>
        <w:rPr>
          <w:rFonts w:ascii="Times New Roman" w:hAnsi="Times New Roman"/>
          <w:i/>
          <w:sz w:val="20"/>
        </w:rPr>
        <w:t>statutaire zetel</w:t>
      </w:r>
      <w:r>
        <w:rPr>
          <w:rFonts w:ascii="Times New Roman" w:hAnsi="Times New Roman"/>
          <w:sz w:val="20"/>
        </w:rPr>
        <w:t>) in Amsterdam, the Netherlands, and its registered office at Taurusavenue 1, 2132 LS Hoofddorp, the Netherlands, registered with the Dutch trade register under number 60372958, as guarantor (the “</w:t>
      </w:r>
      <w:r>
        <w:rPr>
          <w:rFonts w:ascii="Times New Roman" w:hAnsi="Times New Roman"/>
          <w:b/>
          <w:sz w:val="20"/>
        </w:rPr>
        <w:t>Guarantor</w:t>
      </w:r>
      <w:r>
        <w:rPr>
          <w:rFonts w:ascii="Times New Roman" w:hAnsi="Times New Roman"/>
          <w:sz w:val="20"/>
        </w:rPr>
        <w:t>”), propose to issue and sell to the several underwriters named in Schedule I hereto (the “</w:t>
      </w:r>
      <w:r>
        <w:rPr>
          <w:rFonts w:ascii="Times New Roman" w:hAnsi="Times New Roman"/>
          <w:b/>
          <w:sz w:val="20"/>
        </w:rPr>
        <w:t>Underwriters</w:t>
      </w:r>
      <w:r>
        <w:rPr>
          <w:rFonts w:ascii="Times New Roman" w:hAnsi="Times New Roman"/>
          <w:sz w:val="20"/>
        </w:rPr>
        <w:t>”), acting severally and not jointly, for whom you are acting as representatives (the “</w:t>
      </w:r>
      <w:r>
        <w:rPr>
          <w:rFonts w:ascii="Times New Roman" w:hAnsi="Times New Roman"/>
          <w:b/>
          <w:sz w:val="20"/>
        </w:rPr>
        <w:t>Representatives</w:t>
      </w:r>
      <w:r>
        <w:rPr>
          <w:rFonts w:ascii="Times New Roman" w:hAnsi="Times New Roman"/>
          <w:sz w:val="20"/>
        </w:rPr>
        <w:t>”), the respective principal amounts set forth in such Schedule I of $1,250,000,000 aggregate principal amount of the Company’s 6.750% Fixed Rate Notes due 2031 (the “</w:t>
      </w:r>
      <w:r>
        <w:rPr>
          <w:rFonts w:ascii="Times New Roman" w:hAnsi="Times New Roman"/>
          <w:b/>
          <w:sz w:val="20"/>
        </w:rPr>
        <w:t>2031 Notes</w:t>
      </w:r>
      <w:r>
        <w:rPr>
          <w:rFonts w:ascii="Times New Roman" w:hAnsi="Times New Roman"/>
          <w:sz w:val="20"/>
        </w:rPr>
        <w:t>”) and $1,250,000,000 aggregate principal amount of the Company’s 7.400% Fixed Rate Notes due 2036 (the “</w:t>
      </w:r>
      <w:r>
        <w:rPr>
          <w:rFonts w:ascii="Times New Roman" w:hAnsi="Times New Roman"/>
          <w:b/>
          <w:sz w:val="20"/>
        </w:rPr>
        <w:t>2036 Notes</w:t>
      </w:r>
      <w:r>
        <w:rPr>
          <w:rFonts w:ascii="Times New Roman" w:hAnsi="Times New Roman"/>
          <w:sz w:val="20"/>
        </w:rPr>
        <w:t>”, and together with the 2031 Notes, the “</w:t>
      </w:r>
      <w:r>
        <w:rPr>
          <w:rFonts w:ascii="Times New Roman" w:hAnsi="Times New Roman"/>
          <w:b/>
          <w:sz w:val="20"/>
        </w:rPr>
        <w:t>Notes</w:t>
      </w:r>
      <w:r>
        <w:rPr>
          <w:rFonts w:ascii="Times New Roman" w:hAnsi="Times New Roman"/>
          <w:sz w:val="20"/>
        </w:rPr>
        <w:t>”). The Notes will be fully and unconditionally guaranteed on a senior unsecured basis by the Guarantor (the “</w:t>
      </w:r>
      <w:r>
        <w:rPr>
          <w:rFonts w:ascii="Times New Roman" w:hAnsi="Times New Roman"/>
          <w:b/>
          <w:sz w:val="20"/>
        </w:rPr>
        <w:t>Guarantees</w:t>
      </w:r>
      <w:r>
        <w:rPr>
          <w:rFonts w:ascii="Times New Roman" w:hAnsi="Times New Roman"/>
          <w:sz w:val="20"/>
        </w:rPr>
        <w:t>”, together with the Notes, the “</w:t>
      </w:r>
      <w:r>
        <w:rPr>
          <w:rFonts w:ascii="Times New Roman" w:hAnsi="Times New Roman"/>
          <w:b/>
          <w:sz w:val="20"/>
        </w:rPr>
        <w:t>Securities</w:t>
      </w:r>
      <w:r>
        <w:rPr>
          <w:rFonts w:ascii="Times New Roman" w:hAnsi="Times New Roman"/>
          <w:sz w:val="20"/>
        </w:rPr>
        <w:t>”). The Securities are to be issued pursuant to the indenture, to be dated as of September 16, 2026 (the “</w:t>
      </w:r>
      <w:r>
        <w:rPr>
          <w:rFonts w:ascii="Times New Roman" w:hAnsi="Times New Roman"/>
          <w:b/>
          <w:sz w:val="20"/>
        </w:rPr>
        <w:t>Indenture</w:t>
      </w:r>
      <w:r>
        <w:rPr>
          <w:rFonts w:ascii="Times New Roman" w:hAnsi="Times New Roman"/>
          <w:sz w:val="20"/>
        </w:rPr>
        <w:t>”), between the Company, the Guarantor and The Bank of New York Mellon, as trustee (the “</w:t>
      </w:r>
      <w:r>
        <w:rPr>
          <w:rFonts w:ascii="Times New Roman" w:hAnsi="Times New Roman"/>
          <w:b/>
          <w:sz w:val="20"/>
        </w:rPr>
        <w:t>Trustee</w:t>
      </w:r>
      <w:r>
        <w:rPr>
          <w:rFonts w:ascii="Times New Roman" w:hAnsi="Times New Roman"/>
          <w:sz w:val="20"/>
        </w:rPr>
        <w:t>”). The form and terms of the Securities will be established in an Officer’s Certificate (as defined in the Indenture), pursuant to Section 3.01 of the Indenture. The Notes will be issued only in book-entry form in the name of Cede &amp; Co., as nominee of The Depository Trust Company (“</w:t>
      </w:r>
      <w:r>
        <w:rPr>
          <w:rFonts w:ascii="Times New Roman" w:hAnsi="Times New Roman"/>
          <w:b/>
          <w:sz w:val="20"/>
        </w:rPr>
        <w:t>DTC</w:t>
      </w:r>
      <w:r>
        <w:rPr>
          <w:rFonts w:ascii="Times New Roman" w:hAnsi="Times New Roman"/>
          <w:sz w:val="20"/>
        </w:rPr>
        <w:t>”) pursuant to a letter of representations, to be dated on or before the Closing Date (as defined below) (the “</w:t>
      </w:r>
      <w:r>
        <w:rPr>
          <w:rFonts w:ascii="Times New Roman" w:hAnsi="Times New Roman"/>
          <w:b/>
          <w:sz w:val="20"/>
        </w:rPr>
        <w:t>DTC Agreement</w:t>
      </w:r>
      <w:r>
        <w:rPr>
          <w:rFonts w:ascii="Times New Roman" w:hAnsi="Times New Roman"/>
          <w:sz w:val="20"/>
        </w:rPr>
        <w:t xml:space="preserve">”), among the Company, the Trustee and DTC. </w:t>
      </w:r>
    </w:p>
    <w:p>
      <w:pPr>
        <w:pStyle w:val="TextBody"/>
        <w:bidi w:val="0"/>
        <w:spacing w:before="240" w:after="0"/>
        <w:jc w:val="left"/>
        <w:rPr>
          <w:rFonts w:ascii="Times New Roman" w:hAnsi="Times New Roman"/>
          <w:sz w:val="20"/>
        </w:rPr>
      </w:pPr>
      <w:r>
        <w:rPr>
          <w:rFonts w:ascii="Times New Roman" w:hAnsi="Times New Roman"/>
          <w:sz w:val="20"/>
        </w:rPr>
        <w:t>This agreement (“</w:t>
      </w:r>
      <w:r>
        <w:rPr>
          <w:rFonts w:ascii="Times New Roman" w:hAnsi="Times New Roman"/>
          <w:b/>
          <w:sz w:val="20"/>
        </w:rPr>
        <w:t>Agreement</w:t>
      </w:r>
      <w:r>
        <w:rPr>
          <w:rFonts w:ascii="Times New Roman" w:hAnsi="Times New Roman"/>
          <w:sz w:val="20"/>
        </w:rPr>
        <w:t>”), the Notes, the Guarantees and the Indenture are referred to herein as the “</w:t>
      </w:r>
      <w:r>
        <w:rPr>
          <w:rFonts w:ascii="Times New Roman" w:hAnsi="Times New Roman"/>
          <w:b/>
          <w:sz w:val="20"/>
        </w:rPr>
        <w:t>Transaction Documents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Company and the Guarantor have prepared and filed with the Securities and Exchange Commission (the “</w:t>
      </w:r>
      <w:r>
        <w:rPr>
          <w:rFonts w:ascii="Times New Roman" w:hAnsi="Times New Roman"/>
          <w:b/>
          <w:sz w:val="20"/>
        </w:rPr>
        <w:t>Commission</w:t>
      </w:r>
      <w:r>
        <w:rPr>
          <w:rFonts w:ascii="Times New Roman" w:hAnsi="Times New Roman"/>
          <w:sz w:val="20"/>
        </w:rPr>
        <w:t>”) a registration statement on Form F-3 (File Nos. 333-297933 and 333-297933-01), which contains a base prospectus (the “</w:t>
      </w:r>
      <w:r>
        <w:rPr>
          <w:rFonts w:ascii="Times New Roman" w:hAnsi="Times New Roman"/>
          <w:b/>
          <w:sz w:val="20"/>
        </w:rPr>
        <w:t>Base Prospectus</w:t>
      </w:r>
      <w:r>
        <w:rPr>
          <w:rFonts w:ascii="Times New Roman" w:hAnsi="Times New Roman"/>
          <w:sz w:val="20"/>
        </w:rPr>
        <w:t>”), to be used in connection with the public offering and sale of debt securities of the Company and the Guarantor, including the Securities, under the Securities Act of 1933, as amended, and the rules and regulations promulgated thereunder (collectively, the “</w:t>
      </w:r>
      <w:r>
        <w:rPr>
          <w:rFonts w:ascii="Times New Roman" w:hAnsi="Times New Roman"/>
          <w:b/>
          <w:sz w:val="20"/>
        </w:rPr>
        <w:t>Securities Act</w:t>
      </w:r>
      <w:r>
        <w:rPr>
          <w:rFonts w:ascii="Times New Roman" w:hAnsi="Times New Roman"/>
          <w:sz w:val="20"/>
        </w:rPr>
        <w:t>”), and the offering thereof from time to time in accordance with Rule 415 under the Securities Act. Such registration statement, including the financial statements, exhibits and schedules thereto (other than the Statement of Eligibility and Qualification of the trustee on Form T-1), in the form in which it became effective under the Securities Act, including any required information deemed to be a part thereof at the time of effectiveness pursuant to Rule 430B under the Securities Act, is called the “</w:t>
      </w:r>
      <w:r>
        <w:rPr>
          <w:rFonts w:ascii="Times New Roman" w:hAnsi="Times New Roman"/>
          <w:b/>
          <w:sz w:val="20"/>
        </w:rPr>
        <w:t>Registration Statement</w:t>
      </w:r>
      <w:r>
        <w:rPr>
          <w:rFonts w:ascii="Times New Roman" w:hAnsi="Times New Roman"/>
          <w:sz w:val="20"/>
        </w:rPr>
        <w:t>.” The term “</w:t>
      </w:r>
      <w:r>
        <w:rPr>
          <w:rFonts w:ascii="Times New Roman" w:hAnsi="Times New Roman"/>
          <w:b/>
          <w:sz w:val="20"/>
        </w:rPr>
        <w:t>Preliminary Prospectus</w:t>
      </w:r>
      <w:r>
        <w:rPr>
          <w:rFonts w:ascii="Times New Roman" w:hAnsi="Times New Roman"/>
          <w:sz w:val="20"/>
        </w:rPr>
        <w:t>” shall mean the preliminary prospectus supplement relating to the Securities, together with the Base Prospectus, that is first filed with the Commission pursuant to Rule 424(b). The term “</w:t>
      </w:r>
      <w:r>
        <w:rPr>
          <w:rFonts w:ascii="Times New Roman" w:hAnsi="Times New Roman"/>
          <w:b/>
          <w:sz w:val="20"/>
        </w:rPr>
        <w:t>Prospectus</w:t>
      </w:r>
      <w:r>
        <w:rPr>
          <w:rFonts w:ascii="Times New Roman" w:hAnsi="Times New Roman"/>
          <w:sz w:val="20"/>
        </w:rPr>
        <w:t>” shall mean the final prospectus supplement relating to the Securities, together with the Base Prospectus, that is first filed pursuant to Rule 424(b) after the date and time that this Agreement is executed (the “</w:t>
      </w:r>
      <w:r>
        <w:rPr>
          <w:rFonts w:ascii="Times New Roman" w:hAnsi="Times New Roman"/>
          <w:b/>
          <w:sz w:val="20"/>
        </w:rPr>
        <w:t>Execution Time</w:t>
      </w:r>
      <w:r>
        <w:rPr>
          <w:rFonts w:ascii="Times New Roman" w:hAnsi="Times New Roman"/>
          <w:sz w:val="20"/>
        </w:rPr>
        <w:t>”) by the parties hereto. Any reference herein to the Registration Statement, the Base Prospectus, any Preliminary Prospectus or the Prospectus shall be deemed to refer to and include the documents incorporated by reference therein pursuant to Item 6 of Form F-3 that were filed under the Securities Exchange Act of 1934, as amended, and the rules and regulations promulgated thereunder (collectively, the “</w:t>
      </w:r>
      <w:r>
        <w:rPr>
          <w:rFonts w:ascii="Times New Roman" w:hAnsi="Times New Roman"/>
          <w:b/>
          <w:sz w:val="20"/>
        </w:rPr>
        <w:t>Exchange Act</w:t>
      </w:r>
      <w:r>
        <w:rPr>
          <w:rFonts w:ascii="Times New Roman" w:hAnsi="Times New Roman"/>
          <w:sz w:val="20"/>
        </w:rPr>
        <w:t>”) on or before the effective date of the Registration Statement or the date of the Base Prospectus, the Preliminary Prospectus or the Prospectus, as the case may be. The “</w:t>
      </w:r>
      <w:r>
        <w:rPr>
          <w:rFonts w:ascii="Times New Roman" w:hAnsi="Times New Roman"/>
          <w:b/>
          <w:sz w:val="20"/>
        </w:rPr>
        <w:t>Applicable Time</w:t>
      </w:r>
      <w:r>
        <w:rPr>
          <w:rFonts w:ascii="Times New Roman" w:hAnsi="Times New Roman"/>
          <w:sz w:val="20"/>
        </w:rPr>
        <w:t>” means 5:38 p.m. New York Time on September 10, 2026. Any oral or written communication with potential investors undertaken in reliance on Rule 163B under the Securities Act is hereinafter called a “</w:t>
      </w:r>
      <w:r>
        <w:rPr>
          <w:rFonts w:ascii="Times New Roman" w:hAnsi="Times New Roman"/>
          <w:b/>
          <w:sz w:val="20"/>
        </w:rPr>
        <w:t>Testing-the-Waters Communication</w:t>
      </w:r>
      <w:r>
        <w:rPr>
          <w:rFonts w:ascii="Times New Roman" w:hAnsi="Times New Roman"/>
          <w:sz w:val="20"/>
        </w:rPr>
        <w:t>”. All references in this Agreement to the Registration Statement, the Base Prospectus, the Preliminary Prospectus, the Prospectus, or any amendments or supplements to any of the foregoing, shall include any copy thereof filed with the Commission pursuant to its Electronic Data Gathering, Analysis and Retrieval System (“</w:t>
      </w:r>
      <w:r>
        <w:rPr>
          <w:rFonts w:ascii="Times New Roman" w:hAnsi="Times New Roman"/>
          <w:b/>
          <w:sz w:val="20"/>
        </w:rPr>
        <w:t>EDGAR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All references in this Agreement to financial statements and schedules and other information which is “contained,” “included” or “stated” (or other references of like import) in the Registration Statement, the Base Prospectus, the Prospectus or the Preliminary Prospectus shall be deemed to mean and include all such financial statements and schedules and other information which is or is deemed to be incorporated by reference in the Registration Statement, the Base Prospectus, the Prospectus or the Preliminary Prospectus, as the case may be, prior to the effective date of the Registration Statement or the date of the Base Prospectus, the Preliminary Prospectus or the Prospectus; and all references in this Agreement to amendments or supplements to the Registration Statement, the Base Prospectus, the Prospectus or the Preliminary Prospectus shall be deemed to refer to and include the filing of any document under the Exchange Act that is or is deemed to be incorporated by reference in the Registration Statement, the Base Prospectus, the Prospectus or the Preliminary Prospectus, as the case may be, after the effective date of the Registration Statement or the date of the Base Prospectus, the Preliminary Prospectus or the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and the Guarantor hereby confirm their agreements with the Underwriters as follows: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Sale and Purchase of the Notes.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Sale and Purchase of the Notes</w:t>
      </w:r>
      <w:r>
        <w:rPr>
          <w:rFonts w:ascii="Times New Roman" w:hAnsi="Times New Roman"/>
          <w:sz w:val="20"/>
        </w:rPr>
        <w:t xml:space="preserve">. The Company hereby agrees, subject to the conditions set forth herein, and on the basis of the representations, warranties and agreements set forth herein, to issue and sell the Notes to the Underwriters and, subject to the conditions set forth herein, and on the basis of the representations, warranties and agreements set forth herein, each Underwriter agrees, severally and not jointly, to purchase from the Company, the aggregate principal amount of each series of Notes set forth opposite its name on Schedule I hereto, at a purchase price of 99.600% of the principal amount thereof in the case of the 2031 Notes (which is equal to 99.950% of such principal amount minus an underwriters’ commission equal to 0.350% of such principal amount) and 99.459% of the principal amount thereof in the case of the 2036 Notes (which is equal to 99.909% of such principal amount minus an underwriters’ commission equal to 0.450% of such principal amount), in each case, plus accrued interest, if any, from September 16, 2026 to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 xml:space="preserve">Public offering of the Securities. </w:t>
      </w:r>
      <w:r>
        <w:rPr>
          <w:rFonts w:ascii="Times New Roman" w:hAnsi="Times New Roman"/>
          <w:sz w:val="20"/>
        </w:rPr>
        <w:t xml:space="preserve">The Company and the Guarantor are advised by you that the Underwriters propose to offer the Securities for sale to the public as set forth in the Disclosure Package (defined below).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The Closing Date</w:t>
      </w:r>
      <w:r>
        <w:rPr>
          <w:rFonts w:ascii="Times New Roman" w:hAnsi="Times New Roman"/>
          <w:sz w:val="20"/>
        </w:rPr>
        <w:t>. Payment for the Notes shall be made by wire transfer in immediately available funds to the account specified by the Company to the Representatives against delivery of the Notes at the offices of Sullivan &amp; Cromwell LLP, 125 Broad Street, New York, NY 10004 (or such other place as may be agreed to by the Company and the Representatives) at 10:00 a.m. New York City time, on September 16, 2026, or at such other time or place on the same or such other date, not later than the third business day thereafter, as the Representatives and the Company may agree upon in writing (the “</w:t>
      </w:r>
      <w:r>
        <w:rPr>
          <w:rFonts w:ascii="Times New Roman" w:hAnsi="Times New Roman"/>
          <w:b/>
          <w:sz w:val="20"/>
        </w:rPr>
        <w:t>Closing Date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Delivery of the Notes</w:t>
      </w:r>
      <w:r>
        <w:rPr>
          <w:rFonts w:ascii="Times New Roman" w:hAnsi="Times New Roman"/>
          <w:sz w:val="20"/>
        </w:rPr>
        <w:t xml:space="preserve">. The Company shall deliver, or cause to be delivered, the Notes against payment to the Representatives for the accounts of the several Underwriters through the facilities of DTC. Upon delivery, the Notes shall be evidenced in global form and registered in the name of Cede &amp; Co. as nominee of DTC with any transfer taxes payable in connection with the issue, sale and delivery of such Notes duly paid by the Company. The Notes so evidenced shall be made available for inspection on the business day preceding the Closing Date at a location in New York City, as the Company and the Representatives each acting reasonably shall agree.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No Advisory or Fiduciary Relationship</w:t>
      </w:r>
      <w:r>
        <w:rPr>
          <w:rFonts w:ascii="Times New Roman" w:hAnsi="Times New Roman"/>
          <w:sz w:val="20"/>
        </w:rPr>
        <w:t xml:space="preserve">. Each of the Company and the Guarantor acknowledge and agree that the Underwriters are acting solely in the capacity of an arm’s length contractual counterparty to the Company and the Guarantor with respect to the offer and sale of Notes contemplated hereby (including in connection with determining the terms of the offering) and not as a financial advisor or a fiduciary to, or an agent of, the Company, the Guarantor or any other person. No Underwriter has assumed an advisory or fiduciary responsibility in favor of the Company or the Guarantor with respect to the offering contemplated hereby or the process leading thereto (irrespective of whether such Underwriter has advised or is currently advising the Company or the Guarantor on other matters) or any other obligation to the Company or the Guarantor except the obligations expressly set forth in this Agreement. Additionally, neither the Representatives nor any other Underwriter is advising the Company, the Guarantor or any other person as to any legal, tax, investment, accounting or regulatory matters in any jurisdiction. Each of the Company and the Guarantor shall consult with its own advisors concerning such matters and shall be responsible for making its own independent investigation and appraisal of the transactions contemplated hereby, and the Underwriters shall have no responsibility or liability to the Company or the Guarantor with respect thereto. None of the activities of the Underwriters in connection with the transactions contemplated herein constitutes a recommendation, investment advice, or solicitation of any action by the Underwriters with respect to any entity or natural person. Any review by the Underwriters of the Company or the Guarantor, the transactions contemplated hereby or other matters relating to such transactions will be performed solely for the benefit of the Underwriters and shall not be on behalf of the Company or the Guarantor. The Company and the Guarantor agree that they will not claim that the Underwriters, or any of them, has rendered advisory services of any nature or respect in connection with the offering of the Notes, or owes a fiduciary or similar duty to the Company or the Guarantor, in connection with such transaction or the process leading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Representations and Warranties of the Company and the Guarantor</w:t>
      </w:r>
      <w:r>
        <w:rPr>
          <w:rFonts w:ascii="Times New Roman" w:hAnsi="Times New Roman"/>
          <w:sz w:val="20"/>
        </w:rPr>
        <w:t xml:space="preserve">. Each of the Company and the Guarantor hereby represent and warrant to each Underwriter that, as of the date hereof: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Registration Requirement Compliance</w:t>
      </w:r>
      <w:r>
        <w:rPr>
          <w:rFonts w:ascii="Times New Roman" w:hAnsi="Times New Roman"/>
          <w:sz w:val="20"/>
        </w:rPr>
        <w:t>. The Company and the Guarantor meet the requirements for use of Form F-3 under the Securities Act. The Registration Statement has become effective under the Securities Act and as of the date hereof, the Applicable Time and the Closing Date no stop order suspending the effectiveness of the Registration Statement has been issued under the Securities Act and no proceedings for that purpose or pursuant to Section 8A of the Securities Act against the Company, the Guarantor or related to the offering of the Notes have been instituted or are pending or, to the Company’s or the Guarantor’s knowledge, are contemplated or threatened by the Commission, and any request on the part of the Commission for additional information has been complied with. In addition, the Indenture has been duly qualified under the Trust Indenture Act of 1939, as amended, and the rules and regulations promulgated thereunder (the “</w:t>
      </w:r>
      <w:r>
        <w:rPr>
          <w:rFonts w:ascii="Times New Roman" w:hAnsi="Times New Roman"/>
          <w:b/>
          <w:sz w:val="20"/>
        </w:rPr>
        <w:t>Trust Indenture Act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At the respective times the Registration Statement and any post-effective amendments thereto became effective and at the date hereof, the Applicable Time and the Closing Date, the Registration Statement and any amendments thereto (i) complied and will comply in all material respects with the requirements of the Securities Act and the Trust Indenture Act, and (ii) did not and will not contain any untrue statement of a material fact or omit to state a material fact required to be stated therein or necessary to make the statements therein not misleading. At the date of the Prospectus and at the Closing Date, neither the Prospectus nor any amendments or supplements thereto included or will include an untrue statement of a material fact or omitted or will omit to state a material fact necessary in order to make the statements therein, in the light of the circumstances under which they were made, not misleading. Notwithstanding the foregoing, the representations and warranties in this subsection shall not apply to statements in or omissions from the Registration Statement or any post-effective amendment or the Prospectus or any amendments or supplements thereto made in reliance upon and in conformity with information furnished to the Company and the Guarantor in writing by any of the Underwriters through the Representatives expressly for use therein, it being understood and agreed that the only such information furnished by any Underwriter through the Representatives consists of the information described as such in Section 7(b) hereof. </w:t>
      </w:r>
    </w:p>
    <w:p>
      <w:pPr>
        <w:pStyle w:val="TextBody"/>
        <w:bidi w:val="0"/>
        <w:spacing w:before="240" w:after="0"/>
        <w:jc w:val="left"/>
        <w:rPr>
          <w:rFonts w:ascii="Times New Roman" w:hAnsi="Times New Roman"/>
          <w:sz w:val="20"/>
        </w:rPr>
      </w:pPr>
      <w:r>
        <w:rPr>
          <w:rFonts w:ascii="Times New Roman" w:hAnsi="Times New Roman"/>
          <w:sz w:val="20"/>
        </w:rPr>
        <w:t xml:space="preserve">Each Preliminary Prospectus and the Prospectus, at the time each was filed with the Commission, complied in all material respects with the Securities Act, and the Preliminary Prospectus and the Prospectus delivered to the Underwriters for use in connection with the offering of the Notes will, at the time of such delivery, be identical to any electronically transmitted copies thereof filed with the Commission pursuant to EDGAR, except to the extent permitted by Regulation S-T.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Disclosure Package</w:t>
      </w:r>
      <w:r>
        <w:rPr>
          <w:rFonts w:ascii="Times New Roman" w:hAnsi="Times New Roman"/>
          <w:sz w:val="20"/>
        </w:rPr>
        <w:t>. The term “</w:t>
      </w:r>
      <w:r>
        <w:rPr>
          <w:rFonts w:ascii="Times New Roman" w:hAnsi="Times New Roman"/>
          <w:b/>
          <w:sz w:val="20"/>
        </w:rPr>
        <w:t>Disclosure Package</w:t>
      </w:r>
      <w:r>
        <w:rPr>
          <w:rFonts w:ascii="Times New Roman" w:hAnsi="Times New Roman"/>
          <w:sz w:val="20"/>
        </w:rPr>
        <w:t>” shall mean (i) the Preliminary Prospectus dated September 10, 2026, (ii) the issuer free writing prospectuses as defined in Rule 433 under the Securities Act (each, an “</w:t>
      </w:r>
      <w:r>
        <w:rPr>
          <w:rFonts w:ascii="Times New Roman" w:hAnsi="Times New Roman"/>
          <w:b/>
          <w:sz w:val="20"/>
        </w:rPr>
        <w:t>Issuer Free Writing Prospectus</w:t>
      </w:r>
      <w:r>
        <w:rPr>
          <w:rFonts w:ascii="Times New Roman" w:hAnsi="Times New Roman"/>
          <w:sz w:val="20"/>
        </w:rPr>
        <w:t xml:space="preserve">”), if any, attached as part of Annex D hereto, and (iii) any other free writing prospectus that the parties hereto shall hereafter expressly agree in writing to treat as part of the Disclosure Package. As of the Applicable Time, the Disclosure Package did not contain any untrue statement of a material fact or omit to state any material fact necessary in order to make the statements therein, in the light of the circumstances under which they were made, not misleading. The preceding sentence does not apply to statements in or omissions from the Disclosure Package based upon and in conformity with written information furnished to the Company and the Guarantor by any Underwriter through the Representatives specifically for use therein, it being understood and agreed that only such information furnished by any Underwriter through the Representatives consists of the information described as such in Section 7(b)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Company Not an Ineligible Issuer</w:t>
      </w:r>
      <w:r>
        <w:rPr>
          <w:rFonts w:ascii="Times New Roman" w:hAnsi="Times New Roman"/>
          <w:sz w:val="20"/>
        </w:rPr>
        <w:t xml:space="preserve">. (i) At the earliest time after the filing of the Registration Statement relating to the Notes that the Company, the Guarantor or another offering participant made a </w:t>
      </w:r>
      <w:r>
        <w:rPr>
          <w:rFonts w:ascii="Times New Roman" w:hAnsi="Times New Roman"/>
          <w:i/>
          <w:sz w:val="20"/>
        </w:rPr>
        <w:t xml:space="preserve">bona fide </w:t>
      </w:r>
      <w:r>
        <w:rPr>
          <w:rFonts w:ascii="Times New Roman" w:hAnsi="Times New Roman"/>
          <w:sz w:val="20"/>
        </w:rPr>
        <w:t xml:space="preserve">offer (within the meaning of Rule 164(h)(2) under the Securities Act) and (ii) as of the date of the execution and delivery of this Agreement (with such date being used as the determination date for purposes of this clause 2(c)), the Company was not and is not an ineligible issuer (as defined in Rule 405 of the Securities Act), without taking account of any determination by the Commission pursuant to Rule 405 of the Securities Act that it is not necessary that the Company be considered an ineligible issuer.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Well-Known Seasoned Issuer</w:t>
      </w:r>
      <w:r>
        <w:rPr>
          <w:rFonts w:ascii="Times New Roman" w:hAnsi="Times New Roman"/>
          <w:sz w:val="20"/>
        </w:rPr>
        <w:t xml:space="preserve">. (i) At the time of filing the Registration Statement, (ii) at the time of the most recent amendment thereto for the purposes of complying with Section 10(a)(3) of the Securities Act (whether such amendment was by post-effective amendment, incorporated report filed pursuant to Sections 13 or 15(d) of the Exchange Act or form of prospectus); and (iii) at the time the Company, the Guarantor or any person acting on their behalf (within the meaning, for this clause only, of Rule 163(c) under the Securities Act) made any offer relating to the Securities in reliance on the exemption in Rule 163 under the Securities Act, each of the Company and the Guarantor was a “well-known seasoned issuer” as defined in Rule 405 of the Securities Act. The Registration Statement is an “automatic shelf registration statement” as defined in Rule 405 of the Securities Act.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Issuer Free Writing Prospectuses</w:t>
      </w:r>
      <w:r>
        <w:rPr>
          <w:rFonts w:ascii="Times New Roman" w:hAnsi="Times New Roman"/>
          <w:sz w:val="20"/>
        </w:rPr>
        <w:t xml:space="preserve">. Each Issuer Free Writing Prospectus, as of its issue date and as of the Applicable Time, does not include any information that conflicts with the information contained in the Registration Statement, the Preliminary Prospectus or the Prospectus, including any document incorporated by reference therein that has not been superseded or modified. The foregoing sentence does not apply to statements in or omissions from any Issuer Free Writing Prospectus based upon and in conformity with written information furnished to the Company and the Guarantor by any Underwriter through the Representatives specifically for use therein, it being understood and agreed that the only such information furnished by any Underwriter through the Representatives consists of the information described as such in Section 7(b) hereof.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Written Communications</w:t>
      </w:r>
      <w:r>
        <w:rPr>
          <w:rFonts w:ascii="Times New Roman" w:hAnsi="Times New Roman"/>
          <w:sz w:val="20"/>
        </w:rPr>
        <w:t>. Neither the Company nor the Guarantor has prepared, made, used, authorized, approved or distributed and will not use or distribute any written communication that constitutes an offer to sell or solicitation of an offer to buy the Notes other than (i) the Registration Statement, (ii) the Preliminary Prospectus, (iii) the Prospectus, (iv) any Issuer Free Writing Prospectus reviewed and consented to by the Representatives and included in Annex D hereto and (v) any electronic road show that is a written communication, or other written communications reviewed and consented to by the Representatives, and included in Annex E hereto (each written communication described in clause (v), an “</w:t>
      </w:r>
      <w:r>
        <w:rPr>
          <w:rFonts w:ascii="Times New Roman" w:hAnsi="Times New Roman"/>
          <w:b/>
          <w:sz w:val="20"/>
        </w:rPr>
        <w:t>Additional Written Communication</w:t>
      </w:r>
      <w:r>
        <w:rPr>
          <w:rFonts w:ascii="Times New Roman" w:hAnsi="Times New Roman"/>
          <w:sz w:val="20"/>
        </w:rPr>
        <w:t xml:space="preserve">”). Each such Additional Written Communication, when taken together with the Disclosure Package, did not as of the Applicable Time, and will not as of the Closing Date, contain any untrue statement of a material fact or omit to state a material fact necessary in order to make the statements therein, in the light of the circumstances under which they were made, not misleading; </w:t>
      </w:r>
      <w:r>
        <w:rPr>
          <w:rFonts w:ascii="Times New Roman" w:hAnsi="Times New Roman"/>
          <w:i/>
          <w:sz w:val="20"/>
        </w:rPr>
        <w:t>provided</w:t>
      </w:r>
      <w:r>
        <w:rPr>
          <w:rFonts w:ascii="Times New Roman" w:hAnsi="Times New Roman"/>
          <w:sz w:val="20"/>
        </w:rPr>
        <w:t xml:space="preserve"> that this representation, warranty and agreement shall not apply to statements in or omissions from each such Additional Written Communication made in reliance upon and in conformity with information furnished to the Company or the Guarantor in writing by any Underwriter through the Representatives expressly for use in any Additional Written Communication, it being understood and agreed that the only such information is that described as such in Section 7(b) hereof.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Testing-the-Water Communications</w:t>
      </w:r>
      <w:r>
        <w:rPr>
          <w:rFonts w:ascii="Times New Roman" w:hAnsi="Times New Roman"/>
          <w:sz w:val="20"/>
        </w:rPr>
        <w:t xml:space="preserve">. The Company and Guarantor represent that they have not engaged in, or authorized any other person to engage in, any in Testing-the-Waters Communications.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Incorporated Documents</w:t>
      </w:r>
      <w:r>
        <w:rPr>
          <w:rFonts w:ascii="Times New Roman" w:hAnsi="Times New Roman"/>
          <w:sz w:val="20"/>
        </w:rPr>
        <w:t xml:space="preserve">. The documents included or incorporated by reference in the Registration Statement, the Disclosure Package and the Prospectus, when they were filed with the Commission, conformed in all material respects to any applicable requirements of the Exchange Act and the rules and regulations of the Commission thereunder; and any further documents so filed and incorporated by reference in the Disclosure Package and the Prospectus or any amendment or supplement thereto, when such documents are filed with the Commission, will conform in all material respects to the requirements of the Exchange Act and the rules and regulations of the Commission thereunder.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No Applicable Registration or Other Similar Rights</w:t>
      </w:r>
      <w:r>
        <w:rPr>
          <w:rFonts w:ascii="Times New Roman" w:hAnsi="Times New Roman"/>
          <w:sz w:val="20"/>
        </w:rPr>
        <w:t xml:space="preserve">. There are no persons with registration or other similar rights to have any equity or debt securities registered for sale under the Registration Statement or included in the offering contemplated by this Agreement, except for such rights as have been duly waived.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Financial Statements</w:t>
      </w:r>
      <w:r>
        <w:rPr>
          <w:rFonts w:ascii="Times New Roman" w:hAnsi="Times New Roman"/>
          <w:sz w:val="20"/>
        </w:rPr>
        <w:t>. The Financial Statements (as defined below) comply in all material respects with the requirements of the Securities Act (to the extent applicable) and present fairly the consolidated financial position of the Guarantor and its subsidiaries as of the dates indicated and the results of their operations and the changes in their cash flows for the periods specified; the Financial Statements have been prepared in accordance with the International Financial Reporting Standards issued by the International Accounting Standards Board (“</w:t>
      </w:r>
      <w:r>
        <w:rPr>
          <w:rFonts w:ascii="Times New Roman" w:hAnsi="Times New Roman"/>
          <w:b/>
          <w:sz w:val="20"/>
        </w:rPr>
        <w:t>IFRS</w:t>
      </w:r>
      <w:r>
        <w:rPr>
          <w:rFonts w:ascii="Times New Roman" w:hAnsi="Times New Roman"/>
          <w:sz w:val="20"/>
        </w:rPr>
        <w:t>”) applied on a consistent basis throughout the periods involved, except as may be expressly stated in the related notes thereto. The statistical and market related data and forward looking statements included or incorporated by reference in the Disclosure Package are based on or derived from sources that the Company, the Guarantor and the Guarantor’s subsidiaries believe to be reliable and accurate in all material respects and represent their good faith estimates that are made on the basis of data derived from such sources. For purposes of this Agreement, “</w:t>
      </w:r>
      <w:r>
        <w:rPr>
          <w:rFonts w:ascii="Times New Roman" w:hAnsi="Times New Roman"/>
          <w:b/>
          <w:sz w:val="20"/>
        </w:rPr>
        <w:t>Financial Statements</w:t>
      </w:r>
      <w:r>
        <w:rPr>
          <w:rFonts w:ascii="Times New Roman" w:hAnsi="Times New Roman"/>
          <w:sz w:val="20"/>
        </w:rPr>
        <w:t xml:space="preserve">” means the annual consolidated financial statements of the Guarantor (which annual consolidated financial statements are included in the Guarantor’s Annual Report on Form 20-F for the year ended December 31, 2025) and the interim unaudited financial statements of the Guarantor for the six months ended June 30, 2026, together with the related schedules and notes, of the Guarantor incorporated by reference in the Disclosure Package, the Prospectus and the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i/>
          <w:sz w:val="20"/>
        </w:rPr>
        <w:t>No Material Adverse Change</w:t>
      </w:r>
      <w:r>
        <w:rPr>
          <w:rFonts w:ascii="Times New Roman" w:hAnsi="Times New Roman"/>
          <w:sz w:val="20"/>
        </w:rPr>
        <w:t>. Except as otherwise disclosed in the Disclosure Package (exclusive of any amendment or supplement thereto following the Applicable Time), since the date of the most recent Financial Statements, (i) there has been no material adverse change, or any development that could reasonably be expected to result in a material adverse change in the business, financial condition or results of operations of the Guarantor and its subsidiaries, considered as one entity (any such change being a “</w:t>
      </w:r>
      <w:r>
        <w:rPr>
          <w:rFonts w:ascii="Times New Roman" w:hAnsi="Times New Roman"/>
          <w:b/>
          <w:sz w:val="20"/>
        </w:rPr>
        <w:t>Material Adverse Change</w:t>
      </w:r>
      <w:r>
        <w:rPr>
          <w:rFonts w:ascii="Times New Roman" w:hAnsi="Times New Roman"/>
          <w:sz w:val="20"/>
        </w:rPr>
        <w:t xml:space="preserve">”), and (ii) there has been no dividend or distribution of any kind declared, paid or made by the Guarantor or, except for dividends paid to the Guarantor or other subsidiaries, any of its subsidiaries on any class of capital stock or repurchase or redemption by the Guarantor or any of its subsidiaries of any class of capital stock. </w:t>
      </w:r>
    </w:p>
    <w:p>
      <w:pPr>
        <w:pStyle w:val="TextBody"/>
        <w:bidi w:val="0"/>
        <w:spacing w:before="120" w:after="0"/>
        <w:jc w:val="left"/>
        <w:rPr>
          <w:rFonts w:ascii="Times New Roman" w:hAnsi="Times New Roman"/>
          <w:sz w:val="20"/>
        </w:rPr>
      </w:pPr>
      <w:r>
        <w:rPr>
          <w:rFonts w:ascii="Times New Roman" w:hAnsi="Times New Roman"/>
          <w:sz w:val="20"/>
        </w:rPr>
        <w:t xml:space="preserve">(l) </w:t>
      </w:r>
      <w:r>
        <w:rPr>
          <w:rFonts w:ascii="Times New Roman" w:hAnsi="Times New Roman"/>
          <w:i/>
          <w:sz w:val="20"/>
        </w:rPr>
        <w:t>Organization and Good Standing</w:t>
      </w:r>
      <w:r>
        <w:rPr>
          <w:rFonts w:ascii="Times New Roman" w:hAnsi="Times New Roman"/>
          <w:sz w:val="20"/>
        </w:rPr>
        <w:t xml:space="preserve">. The Company, the Guarantor and each of the Guarantor’s Significant Subsidiaries have been duly incorporated or formed, as applicable, and are validly existing under the laws of their respective jurisdictions of organization and are duly qualified to do business in each jurisdiction in which their respective ownership or lease of property or the conduct of their respective businesses requires such qualification, except where the failure to be so qualified would not, individually or in the aggregate, result in a Material Adverse Change. Each of the Company and the Guarantor is in good standing under the laws of its jurisdiction of organization (where such concept is applicable) and is in good standing (where such concept is applicable) in each jurisdiction in which its respective ownership or lease of property or the conduct of its respective businesses requires such qualification. The Company, the Guarantor and each of the Guarantor’s Significant Subsidiaries have all corporate or other power and authority necessary to own or hold their respective properties and to conduct the businesses in which they are engaged, except where the failure to be so qualified or have such power or authority would not, individually or in the aggregate, result in a Material Adverse Change. All of the issued and outstanding capital stock or other ownership interest of each Significant Subsidiary has been duly authorized and validly issued, is fully paid and nonassessable (if applicable) and is owned by the Guarantor, directly or through subsidiaries, free and clear of any security interest, mortgage, pledge, lien, encumbrance or claim, except as described in the Disclosure Package or except as would not be material to the Company, the Guarantor and the Guarantor’s subsidiaries, taken as a whole and except for any that would constitute a permitted lien or permitted encumbrance under the terms of the Guarantor’s existing financing agreements. The subsidiaries listed in Schedule II to this Agreement are the only Significant Subsidiaries of the Guarantor. “Significant Subsidiary” has the meaning set forth in Rule 1-02 of Regulation S-X promulgated by the Commission.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 </w:t>
      </w:r>
      <w:r>
        <w:rPr>
          <w:rFonts w:ascii="Times New Roman" w:hAnsi="Times New Roman"/>
          <w:i/>
          <w:sz w:val="20"/>
        </w:rPr>
        <w:t>Due Authorization</w:t>
      </w:r>
      <w:r>
        <w:rPr>
          <w:rFonts w:ascii="Times New Roman" w:hAnsi="Times New Roman"/>
          <w:sz w:val="20"/>
        </w:rPr>
        <w:t xml:space="preserve">. Each of the Company and the Guarantor have full right, power and authority to execute and deliver this Agreement and the other Transaction Documents to which they are a party and to perform their obligations hereunder and thereunder; and all corporate action required to be taken for the due and proper authorization, execution and delivery by it of this Agreement and the other Transaction Documents and the consummation by it of the transactions contemplated hereby and thereby has been duly and validly taken. </w:t>
      </w:r>
    </w:p>
    <w:p>
      <w:pPr>
        <w:pStyle w:val="TextBody"/>
        <w:bidi w:val="0"/>
        <w:spacing w:before="120" w:after="0"/>
        <w:jc w:val="left"/>
        <w:rPr>
          <w:rFonts w:ascii="Times New Roman" w:hAnsi="Times New Roman"/>
          <w:sz w:val="20"/>
        </w:rPr>
      </w:pPr>
      <w:r>
        <w:rPr>
          <w:rFonts w:ascii="Times New Roman" w:hAnsi="Times New Roman"/>
          <w:sz w:val="20"/>
        </w:rPr>
        <w:t xml:space="preserve">(n) </w:t>
      </w:r>
      <w:r>
        <w:rPr>
          <w:rFonts w:ascii="Times New Roman" w:hAnsi="Times New Roman"/>
          <w:i/>
          <w:sz w:val="20"/>
        </w:rPr>
        <w:t>The Underwriting Agreement</w:t>
      </w:r>
      <w:r>
        <w:rPr>
          <w:rFonts w:ascii="Times New Roman" w:hAnsi="Times New Roman"/>
          <w:sz w:val="20"/>
        </w:rPr>
        <w:t xml:space="preserve">. This Agreement has been duly authorized, executed and delivered by the Company and the Guarantor. </w:t>
      </w:r>
    </w:p>
    <w:p>
      <w:pPr>
        <w:pStyle w:val="TextBody"/>
        <w:bidi w:val="0"/>
        <w:spacing w:before="120" w:after="0"/>
        <w:jc w:val="left"/>
        <w:rPr>
          <w:rFonts w:ascii="Times New Roman" w:hAnsi="Times New Roman"/>
          <w:sz w:val="20"/>
        </w:rPr>
      </w:pPr>
      <w:r>
        <w:rPr>
          <w:rFonts w:ascii="Times New Roman" w:hAnsi="Times New Roman"/>
          <w:sz w:val="20"/>
        </w:rPr>
        <w:t xml:space="preserve">(o) </w:t>
      </w:r>
      <w:r>
        <w:rPr>
          <w:rFonts w:ascii="Times New Roman" w:hAnsi="Times New Roman"/>
          <w:i/>
          <w:sz w:val="20"/>
        </w:rPr>
        <w:t>The Indenture</w:t>
      </w:r>
      <w:r>
        <w:rPr>
          <w:rFonts w:ascii="Times New Roman" w:hAnsi="Times New Roman"/>
          <w:sz w:val="20"/>
        </w:rPr>
        <w:t xml:space="preserve">. The Indenture has been duly qualified under the Trust Indenture Act and has been duly authorized and at the Closing Date, will have been duly executed and delivered by the Company and the Guarantor, and constitute a valid and legally binding agreement of the Company and the Guarantor enforceable against the Company and the Guarantor in accordance with its terms, subject to bankruptcy, insolvency, fraudulent transfer, reorganization, moratorium and similar laws of general applicability relating to or affecting creditors’ rights and to general equity principles. </w:t>
      </w:r>
    </w:p>
    <w:p>
      <w:pPr>
        <w:pStyle w:val="TextBody"/>
        <w:bidi w:val="0"/>
        <w:spacing w:before="120" w:after="0"/>
        <w:jc w:val="left"/>
        <w:rPr>
          <w:rFonts w:ascii="Times New Roman" w:hAnsi="Times New Roman"/>
          <w:sz w:val="20"/>
        </w:rPr>
      </w:pPr>
      <w:r>
        <w:rPr>
          <w:rFonts w:ascii="Times New Roman" w:hAnsi="Times New Roman"/>
          <w:sz w:val="20"/>
        </w:rPr>
        <w:t xml:space="preserve">(p) </w:t>
      </w:r>
      <w:r>
        <w:rPr>
          <w:rFonts w:ascii="Times New Roman" w:hAnsi="Times New Roman"/>
          <w:i/>
          <w:sz w:val="20"/>
        </w:rPr>
        <w:t>Authorization of the Notes</w:t>
      </w:r>
      <w:r>
        <w:rPr>
          <w:rFonts w:ascii="Times New Roman" w:hAnsi="Times New Roman"/>
          <w:sz w:val="20"/>
        </w:rPr>
        <w:t xml:space="preserve">. The Notes to be purchased by the Underwriters from the Company have been duly authorized by the Company and, when duly executed, authenticated, issued and delivered as provided in the Indenture and paid for as provided herein, will be duly and validly issued and outstanding and (i) will constitute valid and legally binding obligations of the Company entitled to the benefits of the Indenture and enforceable against the Company in accordance with their terms, subject to bankruptcy, insolvency, fraudulent transfer, reorganization, moratorium and similar laws of general applicability relating to or affecting creditors’ rights and to general equity principles and (ii) will conform to the descriptions thereof in the Disclosure Package. </w:t>
      </w:r>
    </w:p>
    <w:p>
      <w:pPr>
        <w:pStyle w:val="TextBody"/>
        <w:bidi w:val="0"/>
        <w:spacing w:before="120" w:after="0"/>
        <w:jc w:val="left"/>
        <w:rPr>
          <w:rFonts w:ascii="Times New Roman" w:hAnsi="Times New Roman"/>
          <w:sz w:val="20"/>
        </w:rPr>
      </w:pPr>
      <w:r>
        <w:rPr>
          <w:rFonts w:ascii="Times New Roman" w:hAnsi="Times New Roman"/>
          <w:sz w:val="20"/>
        </w:rPr>
        <w:t xml:space="preserve">(q) </w:t>
      </w:r>
      <w:r>
        <w:rPr>
          <w:rFonts w:ascii="Times New Roman" w:hAnsi="Times New Roman"/>
          <w:i/>
          <w:sz w:val="20"/>
        </w:rPr>
        <w:t>Authorization of the Guarantees</w:t>
      </w:r>
      <w:r>
        <w:rPr>
          <w:rFonts w:ascii="Times New Roman" w:hAnsi="Times New Roman"/>
          <w:sz w:val="20"/>
        </w:rPr>
        <w:t xml:space="preserve">. The Guarantees have been duly authorized by the Guarantor and, when duly executed and delivered in the manner provided for in the Indenture, will constitute legal, valid and binding obligations of the Guarantor, enforceable against the Guarantor in accordance with their respective terms, except as the enforcement thereof may be limited by bankruptcy, insolvency (including, without limitation, all laws relating to fraudulent transfers) reorganization, moratorium or similar laws affecting enforcement of creditors’ rights generally and except as enforcement thereof is subject to general principles of equity (regardless of whether enforcement is considered in a proceeding in equity or at law), and will be in the form contemplated by, and entitled to the benefits of, the Indenture. </w:t>
      </w:r>
    </w:p>
    <w:p>
      <w:pPr>
        <w:pStyle w:val="TextBody"/>
        <w:bidi w:val="0"/>
        <w:spacing w:before="120" w:after="0"/>
        <w:jc w:val="left"/>
        <w:rPr>
          <w:rFonts w:ascii="Times New Roman" w:hAnsi="Times New Roman"/>
          <w:sz w:val="20"/>
        </w:rPr>
      </w:pPr>
      <w:r>
        <w:rPr>
          <w:rFonts w:ascii="Times New Roman" w:hAnsi="Times New Roman"/>
          <w:sz w:val="20"/>
        </w:rPr>
        <w:t xml:space="preserve">(r) </w:t>
      </w:r>
      <w:r>
        <w:rPr>
          <w:rFonts w:ascii="Times New Roman" w:hAnsi="Times New Roman"/>
          <w:i/>
          <w:sz w:val="20"/>
        </w:rPr>
        <w:t>Description of the Transaction Documents</w:t>
      </w:r>
      <w:r>
        <w:rPr>
          <w:rFonts w:ascii="Times New Roman" w:hAnsi="Times New Roman"/>
          <w:sz w:val="20"/>
        </w:rPr>
        <w:t xml:space="preserve">. The Transaction Documents will conform in all material respects to the respective statements relating thereto contained in the Disclosure Package. </w:t>
      </w:r>
    </w:p>
    <w:p>
      <w:pPr>
        <w:pStyle w:val="TextBody"/>
        <w:bidi w:val="0"/>
        <w:spacing w:before="120" w:after="0"/>
        <w:jc w:val="left"/>
        <w:rPr>
          <w:rFonts w:ascii="Times New Roman" w:hAnsi="Times New Roman"/>
          <w:sz w:val="20"/>
        </w:rPr>
      </w:pPr>
      <w:r>
        <w:rPr>
          <w:rFonts w:ascii="Times New Roman" w:hAnsi="Times New Roman"/>
          <w:sz w:val="20"/>
        </w:rPr>
        <w:t xml:space="preserve">(s) </w:t>
      </w:r>
      <w:r>
        <w:rPr>
          <w:rFonts w:ascii="Times New Roman" w:hAnsi="Times New Roman"/>
          <w:i/>
          <w:sz w:val="20"/>
        </w:rPr>
        <w:t>No Violation or Default</w:t>
      </w:r>
      <w:r>
        <w:rPr>
          <w:rFonts w:ascii="Times New Roman" w:hAnsi="Times New Roman"/>
          <w:sz w:val="20"/>
        </w:rPr>
        <w:t>. None of the Company, the Guarantor or any of the Guarantor’s Significant Subsidiaries is (i) in violation of its articles of association, charter, bylaws or other similar organizational document or (ii) in default (or, with the giving of notice or lapse of time, would be in default) (“</w:t>
      </w:r>
      <w:r>
        <w:rPr>
          <w:rFonts w:ascii="Times New Roman" w:hAnsi="Times New Roman"/>
          <w:b/>
          <w:sz w:val="20"/>
        </w:rPr>
        <w:t>Default</w:t>
      </w:r>
      <w:r>
        <w:rPr>
          <w:rFonts w:ascii="Times New Roman" w:hAnsi="Times New Roman"/>
          <w:sz w:val="20"/>
        </w:rPr>
        <w:t>”) under any indenture, mortgage, loan or credit agreement, note, contract, franchise, lease or other instrument to which the Company, the Guarantor or any of the Guarantor’s Significant Subsidiaries is a party or by which it or any of them may be bound or to which any of the property or assets of the Company, the Guarantor or any of the Guarantor’s Significant Subsidiaries is subject (each, an “</w:t>
      </w:r>
      <w:r>
        <w:rPr>
          <w:rFonts w:ascii="Times New Roman" w:hAnsi="Times New Roman"/>
          <w:b/>
          <w:sz w:val="20"/>
        </w:rPr>
        <w:t>Existing Instrument</w:t>
      </w:r>
      <w:r>
        <w:rPr>
          <w:rFonts w:ascii="Times New Roman" w:hAnsi="Times New Roman"/>
          <w:sz w:val="20"/>
        </w:rPr>
        <w:t xml:space="preserve">”), except, in the case of clause (ii) of this Section 2(s), for such Defaults as would not, individually or in the aggregate, result in a Material Adverse Change.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 </w:t>
      </w:r>
      <w:r>
        <w:rPr>
          <w:rFonts w:ascii="Times New Roman" w:hAnsi="Times New Roman"/>
          <w:i/>
          <w:sz w:val="20"/>
        </w:rPr>
        <w:t>No Conflicts</w:t>
      </w:r>
      <w:r>
        <w:rPr>
          <w:rFonts w:ascii="Times New Roman" w:hAnsi="Times New Roman"/>
          <w:sz w:val="20"/>
        </w:rPr>
        <w:t>. The execution and delivery of, and the performance by the Company and the Guarantor of their respective obligations under this Agreement and the other Transaction Documents and the consummation by the Company and the Guarantor of the transactions contemplated hereby and thereby will not (i) result in any violation of the provisions of the articles of association, charter, bylaws or similar organizational document of the Company, the Guarantor or any of the Guarantor’s Significant Subsidiaries, (ii) conflict with or constitute a breach of, or Default or a Debt Repayment Triggering Event (as defined below) under, or result in the creation or imposition of any lien, charge or encumbrance upon any property or assets of the Guarantor or any of the Guarantor’s subsidiaries pursuant to, or require the consent of any other party to, any Existing Instrument, except for such conflicts, breaches, Defaults, liens, charges or encumbrances as would not, individually or in the aggregate, result in a Material Adverse Change and (iii) result in any violation of any law, administrative regulation or administrative or court decree applicable to the Guarantor or any of the Guarantor’s subsidiaries except for such conflicts, breaches or violations as would not, individually or in the aggregate, reasonably be expected to result in a Material Adverse Change. As used herein, a “</w:t>
      </w:r>
      <w:r>
        <w:rPr>
          <w:rFonts w:ascii="Times New Roman" w:hAnsi="Times New Roman"/>
          <w:b/>
          <w:sz w:val="20"/>
        </w:rPr>
        <w:t>Debt Repayment Triggering Event</w:t>
      </w:r>
      <w:r>
        <w:rPr>
          <w:rFonts w:ascii="Times New Roman" w:hAnsi="Times New Roman"/>
          <w:sz w:val="20"/>
        </w:rPr>
        <w:t xml:space="preserve">” means any event or condition which gives, or with the giving of notice or lapse of time would give, the holder of any note, debenture or other evidence of indebtedness (or any person acting on such holder’s behalf) the right to require the repurchase, redemption or repayment of all or a portion of such indebtedness by the Guarantor or any of the Guarantor’s subsidiaries. </w:t>
      </w:r>
    </w:p>
    <w:p>
      <w:pPr>
        <w:pStyle w:val="TextBody"/>
        <w:bidi w:val="0"/>
        <w:spacing w:before="120" w:after="0"/>
        <w:jc w:val="left"/>
        <w:rPr>
          <w:rFonts w:ascii="Times New Roman" w:hAnsi="Times New Roman"/>
          <w:sz w:val="20"/>
        </w:rPr>
      </w:pPr>
      <w:r>
        <w:rPr>
          <w:rFonts w:ascii="Times New Roman" w:hAnsi="Times New Roman"/>
          <w:sz w:val="20"/>
        </w:rPr>
        <w:t xml:space="preserve">(u) </w:t>
      </w:r>
      <w:r>
        <w:rPr>
          <w:rFonts w:ascii="Times New Roman" w:hAnsi="Times New Roman"/>
          <w:i/>
          <w:sz w:val="20"/>
        </w:rPr>
        <w:t>No Consents Required</w:t>
      </w:r>
      <w:r>
        <w:rPr>
          <w:rFonts w:ascii="Times New Roman" w:hAnsi="Times New Roman"/>
          <w:sz w:val="20"/>
        </w:rPr>
        <w:t>. No consent, approval, authorization, order, license, registration or qualification of or with any court or arbitrator or governmental or regulatory authority is required for the execution and delivery of and the performance by the Company and the Guarantor of their respective obligations under this Agreement and the other Transaction Documents and the consummation by the Company and the Guarantor of the transactions contemplated hereby and thereby and by the Disclosure Package, except for such consents, approvals, authorizations, orders and registrations or qualifications as may be required by the Financial Industry Regulatory Authority, Inc. (“</w:t>
      </w:r>
      <w:r>
        <w:rPr>
          <w:rFonts w:ascii="Times New Roman" w:hAnsi="Times New Roman"/>
          <w:b/>
          <w:sz w:val="20"/>
        </w:rPr>
        <w:t>FINRA</w:t>
      </w:r>
      <w:r>
        <w:rPr>
          <w:rFonts w:ascii="Times New Roman" w:hAnsi="Times New Roman"/>
          <w:sz w:val="20"/>
        </w:rPr>
        <w:t xml:space="preserve">”), the blue sky laws of any jurisdiction and under applicable state securities laws in connection with the purchase and distribution of the Notes by the Underwriters. </w:t>
      </w:r>
    </w:p>
    <w:p>
      <w:pPr>
        <w:pStyle w:val="TextBody"/>
        <w:bidi w:val="0"/>
        <w:spacing w:before="120" w:after="0"/>
        <w:jc w:val="left"/>
        <w:rPr>
          <w:rFonts w:ascii="Times New Roman" w:hAnsi="Times New Roman"/>
          <w:sz w:val="20"/>
        </w:rPr>
      </w:pPr>
      <w:r>
        <w:rPr>
          <w:rFonts w:ascii="Times New Roman" w:hAnsi="Times New Roman"/>
          <w:sz w:val="20"/>
        </w:rPr>
        <w:t xml:space="preserve">(v) </w:t>
      </w:r>
      <w:r>
        <w:rPr>
          <w:rFonts w:ascii="Times New Roman" w:hAnsi="Times New Roman"/>
          <w:i/>
          <w:sz w:val="20"/>
        </w:rPr>
        <w:t>Legal Proceedings</w:t>
      </w:r>
      <w:r>
        <w:rPr>
          <w:rFonts w:ascii="Times New Roman" w:hAnsi="Times New Roman"/>
          <w:sz w:val="20"/>
        </w:rPr>
        <w:t xml:space="preserve">. Except as otherwise disclosed in the Disclosure Package, there are no legal or governmental actions, suits or proceedings pending or, to the knowledge of the Company and the Guarantor, threatened (i) against or affecting the Company, the Guarantor or any of the Guarantor’s subsidiaries or (ii) that have as the subject thereof any property owned or leased by the Company, the Guarantor or any of its subsidiaries which action, suit or proceeding, in the case of either clause (i) or (ii), is reasonably likely to result in a Material Adverse Change or which would restrain or enjoin the delivery of the Notes by the Company or which in any way affects the validity of the Notes. Except as otherwise disclosed in the Disclosure Package, no labor dispute with the employees of the Company, the Guarantor or any of the Guarantor’s subsidiaries or, to the knowledge of the Company or the Guarantor, with the employees of any principal supplier of the Company or the Guarantor, exists or, to the knowledge of the Company and the Guarantor, is threatened or imminent that is reasonably likely to result in a Material Adverse Change. </w:t>
      </w:r>
    </w:p>
    <w:p>
      <w:pPr>
        <w:pStyle w:val="TextBody"/>
        <w:bidi w:val="0"/>
        <w:spacing w:before="120" w:after="0"/>
        <w:jc w:val="left"/>
        <w:rPr>
          <w:rFonts w:ascii="Times New Roman" w:hAnsi="Times New Roman"/>
          <w:sz w:val="20"/>
        </w:rPr>
      </w:pPr>
      <w:r>
        <w:rPr>
          <w:rFonts w:ascii="Times New Roman" w:hAnsi="Times New Roman"/>
          <w:sz w:val="20"/>
        </w:rPr>
        <w:t xml:space="preserve">(w) </w:t>
      </w:r>
      <w:r>
        <w:rPr>
          <w:rFonts w:ascii="Times New Roman" w:hAnsi="Times New Roman"/>
          <w:i/>
          <w:sz w:val="20"/>
        </w:rPr>
        <w:t>Independent Accountants</w:t>
      </w:r>
      <w:r>
        <w:rPr>
          <w:rFonts w:ascii="Times New Roman" w:hAnsi="Times New Roman"/>
          <w:sz w:val="20"/>
        </w:rPr>
        <w:t>. EY S.p.A., who has certified the consolidated financial statements of the Guarantor and its consolidated subsidiaries as of December 31, 2023 and for the year ended December 31, 2023, and Deloitte &amp; Associés who has certified the consolidated financial statements of the Guarantor and its consolidated subsidiaries as of December 31, 2025 and 2024 and for the two years in the period ended December 31, 2025 , are independent registered public accounting firms with respect to the Guarantor and its subsidiaries within the applicable rules and regulations adopted by the Commission and the Public Company Accounting Oversight Board (United States) (“</w:t>
      </w:r>
      <w:r>
        <w:rPr>
          <w:rFonts w:ascii="Times New Roman" w:hAnsi="Times New Roman"/>
          <w:b/>
          <w:sz w:val="20"/>
        </w:rPr>
        <w:t>PCAOB</w:t>
      </w:r>
      <w:r>
        <w:rPr>
          <w:rFonts w:ascii="Times New Roman" w:hAnsi="Times New Roman"/>
          <w:sz w:val="20"/>
        </w:rPr>
        <w:t xml:space="preserve">”) and as required by the Securities Act. </w:t>
      </w:r>
    </w:p>
    <w:p>
      <w:pPr>
        <w:pStyle w:val="TextBody"/>
        <w:bidi w:val="0"/>
        <w:spacing w:before="120" w:after="0"/>
        <w:jc w:val="left"/>
        <w:rPr>
          <w:rFonts w:ascii="Times New Roman" w:hAnsi="Times New Roman"/>
          <w:sz w:val="20"/>
        </w:rPr>
      </w:pPr>
      <w:r>
        <w:rPr>
          <w:rFonts w:ascii="Times New Roman" w:hAnsi="Times New Roman"/>
          <w:sz w:val="20"/>
        </w:rPr>
        <w:t xml:space="preserve">(x) </w:t>
      </w:r>
      <w:r>
        <w:rPr>
          <w:rFonts w:ascii="Times New Roman" w:hAnsi="Times New Roman"/>
          <w:i/>
          <w:sz w:val="20"/>
        </w:rPr>
        <w:t>No Undisclosed Relationships</w:t>
      </w:r>
      <w:r>
        <w:rPr>
          <w:rFonts w:ascii="Times New Roman" w:hAnsi="Times New Roman"/>
          <w:sz w:val="20"/>
        </w:rPr>
        <w:t xml:space="preserve">. No relationship, direct or, to the knowledge of the Company or the Guarantor, indirect, exists between or among any of the Guarantor or any affiliate of the Guarantor, on the one hand, and any director, officer, member, stockholder, customer or supplier of the Guarantor or any affiliate of the Guarantor, on the other hand, which would be required by the Securities Act to be disclosed in a registration statement on Form F-3 which is not so disclosed in the Disclosure Package (except advances for business expenses in the ordinary course of business) or guarantees of indebtedness by the Guarantor or any of the Guarantor’s subsidiaries to or for the benefit of any of the officers or directors of the Guarantor or any affiliate of the Guarantor or any of their respective family members, other than intercompany loans or guarantees between or among the Guarantor and its consolidated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(y) </w:t>
      </w:r>
      <w:r>
        <w:rPr>
          <w:rFonts w:ascii="Times New Roman" w:hAnsi="Times New Roman"/>
          <w:i/>
          <w:sz w:val="20"/>
        </w:rPr>
        <w:t>Investment Company Act</w:t>
      </w:r>
      <w:r>
        <w:rPr>
          <w:rFonts w:ascii="Times New Roman" w:hAnsi="Times New Roman"/>
          <w:sz w:val="20"/>
        </w:rPr>
        <w:t>. Neither the Company nor the Guarantor are and, after giving effect to the offering and sale of the Notes and the application of the proceeds thereof as described in the Disclosure Package, will not be an “investment company” required to register under the Investment Company Act of 1940, as amended (the “</w:t>
      </w:r>
      <w:r>
        <w:rPr>
          <w:rFonts w:ascii="Times New Roman" w:hAnsi="Times New Roman"/>
          <w:b/>
          <w:sz w:val="20"/>
        </w:rPr>
        <w:t>Investment Company Act</w:t>
      </w:r>
      <w:r>
        <w:rPr>
          <w:rFonts w:ascii="Times New Roman" w:hAnsi="Times New Roman"/>
          <w:sz w:val="20"/>
        </w:rPr>
        <w:t xml:space="preserve">” which term, as used herein, includes the rules and regulations of the Commission thereunder). </w:t>
      </w:r>
    </w:p>
    <w:p>
      <w:pPr>
        <w:pStyle w:val="TextBody"/>
        <w:bidi w:val="0"/>
        <w:spacing w:before="120" w:after="0"/>
        <w:jc w:val="left"/>
        <w:rPr>
          <w:rFonts w:ascii="Times New Roman" w:hAnsi="Times New Roman"/>
          <w:sz w:val="20"/>
        </w:rPr>
      </w:pPr>
      <w:r>
        <w:rPr>
          <w:rFonts w:ascii="Times New Roman" w:hAnsi="Times New Roman"/>
          <w:sz w:val="20"/>
        </w:rPr>
        <w:t xml:space="preserve">(z) </w:t>
      </w:r>
      <w:r>
        <w:rPr>
          <w:rFonts w:ascii="Times New Roman" w:hAnsi="Times New Roman"/>
          <w:i/>
          <w:sz w:val="20"/>
        </w:rPr>
        <w:t>Taxes</w:t>
      </w:r>
      <w:r>
        <w:rPr>
          <w:rFonts w:ascii="Times New Roman" w:hAnsi="Times New Roman"/>
          <w:sz w:val="20"/>
        </w:rPr>
        <w:t xml:space="preserve">. The Company, the Guarantor and the Guarantor’s subsidiaries have filed all material necessary national, federal, state and foreign income and franchise tax returns or have properly requested extensions thereof and have paid all material taxes required to be paid by any of them in all jurisdictions in which they are required to so pay, and withheld in full all taxes required to be withheld by any of them in all jurisdictions in which they are required to so withhold, including any related or similar material assessment, fine or penalty levied against any of them except as may be being contested in good faith and by appropriate proceedings. The Company and the Guarantor have made adequate charges, accruals and reserves in accordance with IFRS in the Financial Statements in respect of all national, federal, state and foreign income and franchise taxes for all periods as to which the tax liability of the Company, the Guarantor or any of the Guarantor’s Significant Subsidiaries has not been finally determined. Except as described in the Disclosure Package, the Company, the Guarantor and the Guarantor’s subsidiaries are not involved in any current dispute with any tax authority and the Company, the Guarantor and the Guarantor’s subsidiaries are currently not subject to any investigation, audit or visit from any tax authority, nor is the Company, the Guarantor and each of the Guarantor’s subsidiaries aware of any such investigation, audit or visit planned which, individually or in the aggregate, would reasonably be expected to result in a Material Adverse Change. </w:t>
      </w:r>
    </w:p>
    <w:p>
      <w:pPr>
        <w:pStyle w:val="TextBody"/>
        <w:bidi w:val="0"/>
        <w:spacing w:before="120" w:after="0"/>
        <w:jc w:val="left"/>
        <w:rPr>
          <w:rFonts w:ascii="Times New Roman" w:hAnsi="Times New Roman"/>
          <w:sz w:val="20"/>
        </w:rPr>
      </w:pPr>
      <w:r>
        <w:rPr>
          <w:rFonts w:ascii="Times New Roman" w:hAnsi="Times New Roman"/>
          <w:sz w:val="20"/>
        </w:rPr>
        <w:t xml:space="preserve">(aa) </w:t>
      </w:r>
      <w:r>
        <w:rPr>
          <w:rFonts w:ascii="Times New Roman" w:hAnsi="Times New Roman"/>
          <w:i/>
          <w:sz w:val="20"/>
        </w:rPr>
        <w:t>Licenses and Permits</w:t>
      </w:r>
      <w:r>
        <w:rPr>
          <w:rFonts w:ascii="Times New Roman" w:hAnsi="Times New Roman"/>
          <w:sz w:val="20"/>
        </w:rPr>
        <w:t xml:space="preserve">. The Company, the Guarantor and each of the Guarantor’s Significant Subsidiaries possess such valid and current certificates, authorizations or permits issued by the appropriate state, federal or foreign regulatory agencies or bodies necessary to own, lease and operate their respective properties and to conduct their respective businesses in all material respects as described in the Disclosure Package, and none of the Company, the Guarantor or any subsidiary has received any notice of proceedings relating to the revocation or modification of, or non-compliance with, any such certificate, authorization or permit which, singly or in the aggregate, would reasonably be expected to result in a Material Adverse Change. </w:t>
      </w:r>
    </w:p>
    <w:p>
      <w:pPr>
        <w:pStyle w:val="TextBody"/>
        <w:bidi w:val="0"/>
        <w:spacing w:before="120" w:after="0"/>
        <w:jc w:val="left"/>
        <w:rPr>
          <w:rFonts w:ascii="Times New Roman" w:hAnsi="Times New Roman"/>
          <w:sz w:val="20"/>
        </w:rPr>
      </w:pPr>
      <w:r>
        <w:rPr>
          <w:rFonts w:ascii="Times New Roman" w:hAnsi="Times New Roman"/>
          <w:sz w:val="20"/>
        </w:rPr>
        <w:t xml:space="preserve">(bb) </w:t>
      </w:r>
      <w:r>
        <w:rPr>
          <w:rFonts w:ascii="Times New Roman" w:hAnsi="Times New Roman"/>
          <w:i/>
          <w:sz w:val="20"/>
        </w:rPr>
        <w:t>Labor Matters</w:t>
      </w:r>
      <w:r>
        <w:rPr>
          <w:rFonts w:ascii="Times New Roman" w:hAnsi="Times New Roman"/>
          <w:sz w:val="20"/>
        </w:rPr>
        <w:t xml:space="preserve">. Except as otherwise disclosed in the Disclosure Package, there is (i) no unfair labor practice complaint or claim pending or, to the knowledge of the Company or the Guarantor, threatened against the Company, the Guarantor or any of the Guarantor’s subsidiaries before the National Labor Relations Board or any other governmental, regulatory or judicial institution or authority in any jurisdiction, except as would not, individually or in the aggregate, result in a Material Adverse Change and no arbitration proceeding arising out of or under any material collective bargaining agreements, (ii) no strike, labor dispute, labor disturbance, slowdown or stoppage pending or, to the knowledge of the Company or the Guarantor, threatened against the Guarantor or any of the Guarantor’s subsidiaries or threatened or pending against any of their respective principal suppliers, except as would not, individually or in the aggregate, result in a Material Adverse Change and (iii) no union representation question existing with respect to the employees of the Company, the Guarantor or any of the Guarantor’s subsidiaries and, to the knowledge of the Company or the Guarantor, no union organizing activities taking place, except as, individually or in the aggregate, would not be reasonably likely to result in material liability to the Company, the Guarantor or any of the Guarantor’s subsidiaries taken as a whole. There has been no violation, except as would not, individually or in the aggregate, result in a Material Adverse Change, of any (A) foreign, federal, state or local law relating to discrimination in hiring, promotion or pay of employees, or (B) applicable classification, wage or hour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(cc) </w:t>
      </w:r>
      <w:r>
        <w:rPr>
          <w:rFonts w:ascii="Times New Roman" w:hAnsi="Times New Roman"/>
          <w:i/>
          <w:sz w:val="20"/>
        </w:rPr>
        <w:t xml:space="preserve">Compliance with and Liability under Environmental Laws. </w:t>
      </w:r>
      <w:r>
        <w:rPr>
          <w:rFonts w:ascii="Times New Roman" w:hAnsi="Times New Roman"/>
          <w:sz w:val="20"/>
        </w:rPr>
        <w:t xml:space="preserve">Except as disclosed in the Disclosure Package or as would otherwise not, individually or in the aggregate, reasonably be expected to result in a Material Adverse Change: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(i)</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the Guarantor and the Guarantor’s subsidiaries, and their respective operations and facilities, are in compliance with applicable Environmental Laws (as defined below), which compliance includes, without limitation, having obtained and being in compliance with any permits, licenses or other governmental authorizations or approvals, and having made all filings and provided all financial assurances and notices, required for the ownership and operation of the business, properties and facilities of the Guarantor or its subsidiaries under applicable Environmental Laws, and compliance with the terms and conditions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none of the Guarantor or any of the Guarantor’s subsidiaries has received any written communication, whether from a governmental authority, citizens group, employee or otherwise, that alleges that the Guarantor or any of its subsidiaries is in violation of any Environmental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is no claim, proceeding, action or cause of action filed with a court or governmental authority, no investigation with respect to which the Company or the Guarantor has received written notice, and no written notice by any person or entity alleging actual or potential liability on the part of the Guarantor or any of the Guarantor’s subsidiaries based on or pursuant to any Environmental Law pending or, to the knowledge of the Company or the Guarantor, threatened against the Company, the Guarantor or any of the Guarantor’s subsidiaries or any person or entity whose liability under or pursuant to any Environmental Law the Company, the Guarantor or any of the Guarantor’s subsidiaries has retained or assumed either contractually or by operation of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(iv)</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none of the Guarantor or any of the Guarantor’s subsidiaries is conducting or paying for, in whole or in part, any investigation, response or other corrective action pursuant to any Environmental Law at any site or facility, nor is any of them subject or a party to any order, judgment, decree, contract or agreement which imposes any obligation or liability under any Environmental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(v)</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lien, charge, encumbrance or restriction has been recorded pursuant to any Environmental Law with respect to any assets, facility or property owned, operated or leased by the Guarantor or any of the Guarantor’s subsidiaries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(vi)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has been no Release (as defined below) of any Materials of Environmental Concern (as defined below) and, to the knowledge of the Company or the Guarantor, there are no other past or present actions, activities, circumstances, conditions or occurrences, that would reasonably be expected to result in a violation of or liability under any Environmental Law on the part of the Guarantor or any of its subsidiaries, including without limitation, any such liability which the Guarantor or any of the Guarantor’s subsidiaries has retained or assumed either contractually or by operation of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purposes of this Agreement, “Environment” means ambient air, indoor air, surface water, groundwater, drinking water, soil, surface and subsurface strata, and natural resources such as wetlands, flora and fauna. “Environmental Laws” means the common law and all federal, state, local and foreign laws, rules, regulations, ordinances, codes, orders, decrees, judgments and injunctions issued, promulgated or entered thereunder, relating to pollution or protection of the Environment or human health from exposure to Materials of Environmental Concern, including without limitation, those relating to (A) the Release of Materials of Environmental Concern or (B) the manufacture, processing, distribution, use, generation, treatment, storage, transport, handling or recycling of Materials of Environmental Concern. “Materials of Environmental Concern” means any substance, material, pollutant, contaminant, chemical, waste, compound, or constituent, in any form, including without limitation, petroleum and petroleum products, subject to regulation or which can give rise to liability under any Environmental Law. “Release” means any release, spill, emission, discharge, deposit, disposal, leaking, pumping, pouring, dumping, emptying, injection or leaching into the Environment, or into, from or through any building, structure or facility.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(dd) </w:t>
      </w:r>
      <w:r>
        <w:rPr>
          <w:rFonts w:ascii="Times New Roman" w:hAnsi="Times New Roman"/>
          <w:i/>
          <w:sz w:val="20"/>
        </w:rPr>
        <w:t>Compliance with ERISA</w:t>
      </w:r>
      <w:r>
        <w:rPr>
          <w:rFonts w:ascii="Times New Roman" w:hAnsi="Times New Roman"/>
          <w:sz w:val="20"/>
        </w:rPr>
        <w:t>. The Guarantor and the Guarantor’s subsidiaries and any “employee pension benefit plan” (as defined under the Employee Retirement Income Security Act of 1974 (as amended, “</w:t>
      </w:r>
      <w:r>
        <w:rPr>
          <w:rFonts w:ascii="Times New Roman" w:hAnsi="Times New Roman"/>
          <w:b/>
          <w:sz w:val="20"/>
        </w:rPr>
        <w:t>ERISA</w:t>
      </w:r>
      <w:r>
        <w:rPr>
          <w:rFonts w:ascii="Times New Roman" w:hAnsi="Times New Roman"/>
          <w:sz w:val="20"/>
        </w:rPr>
        <w:t>,” which term, as used herein, includes the regulations and published interpretations thereunder)) that is subject to Title IV of ERISA established or maintained by the Guarantor and the Guarantor’s subsidiaries or their ERISA affiliates (as defined below) are in compliance with all applicable statutes, orders, rule and regulations, including ERISA and the Internal Revenue Code of 1986, as amended (the “</w:t>
      </w:r>
      <w:r>
        <w:rPr>
          <w:rFonts w:ascii="Times New Roman" w:hAnsi="Times New Roman"/>
          <w:b/>
          <w:sz w:val="20"/>
        </w:rPr>
        <w:t>Code</w:t>
      </w:r>
      <w:r>
        <w:rPr>
          <w:rFonts w:ascii="Times New Roman" w:hAnsi="Times New Roman"/>
          <w:sz w:val="20"/>
        </w:rPr>
        <w:t xml:space="preserve">”), and, to the knowledge of the Guarantor, each “multiemployer plan” (as defined in Section 4001 of ERISA) to which the Guarantor, the Guarantor’s subsidiaries or an ERISA affiliate contributes is in compliance with all applicable statutes, orders, rule and regulations, including ERISA and the Code, in each case except for any violations that, individually or in the aggregate, would not be reasonably likely to result in material liability to the Guarantor and the Guarantor’s subsidiaries, taken as a whole. “ERISA affiliate” means, with respect to the Guarantor or a subsidiary of the Guarantor, any member of any group of organizations described in Section 414 of the Code of which the Company or such subsidiary is a member. Except as would not result in a Material Adverse Change, no “reportable event” (as defined under ERISA) (other than an event for which the thirty (30) day notice provision has been waived) has occurred or is reasonably expected to occur with respect to any “employee benefit plan” established or maintained by the Company, the Guarantor, the Guarantor’s subsidiaries or any of their ERISA affiliates. Except as disclosed in the Disclosure Package, the present value of all accrued benefit obligations under all “single employer plans” (as defined in Section 4001 of ERISA) (whether or not subject to ERISA) that are established or maintained by the Guarantor, the Guarantor’s subsidiaries or any of their ERISA affiliates, based on the assumptions used for purposes of International Accounting Standard 19 – Employee Benefits, does not exceed the value of the assets of all such plans (based on such assumptions), except as would not be reasonably likely to result in a Material Adverse Change. Neither the Guarantor nor the Guarantor’s subsidiaries has incurred or reasonably expects to incur any material liability under (i) Title IV of ERISA with respect to termination of, or withdrawal from, any “employee benefit plan” or (ii) Sections 412, 4971, 4975 or 4980B of the Code that would be reasonably likely to result in a Material Adverse Change. Each “employee benefit plan” established or maintained by the Guarantor, the Guarantor’s subsidiaries or any of their ERISA affiliates that is intended to be qualified under Section 401 of the Code is so qualified and nothing has occurred, whether by action or failure to act, which would cause the loss of such qualification that would be material to the Company or the Guarantor taken as a whole. </w:t>
      </w:r>
    </w:p>
    <w:p>
      <w:pPr>
        <w:pStyle w:val="TextBody"/>
        <w:bidi w:val="0"/>
        <w:spacing w:before="120" w:after="0"/>
        <w:jc w:val="left"/>
        <w:rPr>
          <w:rFonts w:ascii="Times New Roman" w:hAnsi="Times New Roman"/>
          <w:sz w:val="20"/>
        </w:rPr>
      </w:pPr>
      <w:r>
        <w:rPr>
          <w:rFonts w:ascii="Times New Roman" w:hAnsi="Times New Roman"/>
          <w:sz w:val="20"/>
        </w:rPr>
        <w:t xml:space="preserve">(ee) </w:t>
      </w:r>
      <w:r>
        <w:rPr>
          <w:rFonts w:ascii="Times New Roman" w:hAnsi="Times New Roman"/>
          <w:i/>
          <w:sz w:val="20"/>
        </w:rPr>
        <w:t>Compliance with Other Pension Laws</w:t>
      </w:r>
      <w:r>
        <w:rPr>
          <w:rFonts w:ascii="Times New Roman" w:hAnsi="Times New Roman"/>
          <w:sz w:val="20"/>
        </w:rPr>
        <w:t xml:space="preserve">. Except as disclosed in the Disclosure Package, all employee benefit plans (within the meaning of ERISA) (whether or not subject to ERISA) and all pension plans subject to the laws of any jurisdiction outside the United States, established or maintained by the Guarantor, its subsidiaries, or for which the Guarantor or its subsidiaries could have any liability, are in compliance with all applicable statutes, orders, rule and regulations and other law, except for any violations that, individually or in the aggregate, would not be reasonably likely to result in a material liability to the Guarantor and its subsidiaries taken as a whole. All such plans (i) have been maintained in accordance with all applicable requirements, (ii) if they are intended to qualify for special tax treatment, meet all the requirements for such treatment and (iii) except as disclosed in the Disclosure Package, if they are intended to be funded and/or book-reserved, are fully funded and/or book-reserved, as appropriate, based upon reasonable actuarial assumptions, except in each case as would not, individually or in the aggregate, result in a Material Adverse Change. </w:t>
      </w:r>
    </w:p>
    <w:p>
      <w:pPr>
        <w:pStyle w:val="TextBody"/>
        <w:bidi w:val="0"/>
        <w:spacing w:before="120" w:after="0"/>
        <w:jc w:val="left"/>
        <w:rPr>
          <w:rFonts w:ascii="Times New Roman" w:hAnsi="Times New Roman"/>
          <w:sz w:val="20"/>
        </w:rPr>
      </w:pPr>
      <w:r>
        <w:rPr>
          <w:rFonts w:ascii="Times New Roman" w:hAnsi="Times New Roman"/>
          <w:sz w:val="20"/>
        </w:rPr>
        <w:t xml:space="preserve">(ff) </w:t>
      </w:r>
      <w:r>
        <w:rPr>
          <w:rFonts w:ascii="Times New Roman" w:hAnsi="Times New Roman"/>
          <w:i/>
          <w:sz w:val="20"/>
        </w:rPr>
        <w:t>Disclosure Controls</w:t>
      </w:r>
      <w:r>
        <w:rPr>
          <w:rFonts w:ascii="Times New Roman" w:hAnsi="Times New Roman"/>
          <w:sz w:val="20"/>
        </w:rPr>
        <w:t xml:space="preserve">. The Guarantor has established and maintains “disclosure controls and procedures” (as such term is defined in Rules 13a-15 and 15d-15 under the Exchange Act) that are designed to ensure that material information relating to the Guarantor and its subsidiaries is made known to the chief executive officer and chief financial officer of the Guarantor by persons within the Guarantor or its subsidiaries, and such disclosure controls and procedures are reasonably effective to perform the functions for which they were established subject to the limitations of any such control system. The Guarantor’s auditors and the Audit Committee of the Board of Directors of the Guarantor have been advised of: (i) any significant deficiencies known to the Guarantor and any material weaknesses in the design or operation of internal control over financial reporting that have materially adversely affected or are reasonably likely to materially adversely affect the Guarantor’s ability to record, process, summarize, and report financial information and (ii) any fraud, whether or not material, that involves management or other employees who have a significant role in the Guarantor’s internal control over financial reporting.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(gg) </w:t>
      </w:r>
      <w:r>
        <w:rPr>
          <w:rFonts w:ascii="Times New Roman" w:hAnsi="Times New Roman"/>
          <w:i/>
          <w:sz w:val="20"/>
        </w:rPr>
        <w:t xml:space="preserve">Accounting Controls. </w:t>
      </w:r>
      <w:r>
        <w:rPr>
          <w:rFonts w:ascii="Times New Roman" w:hAnsi="Times New Roman"/>
          <w:sz w:val="20"/>
        </w:rPr>
        <w:t xml:space="preserve">The Guarantor and the Guarantor’s subsidiaries maintain a system of accounting controls designed to provide reasonable assurances that (i) transactions are executed in accordance with management’s general or specific authorization; (ii) transactions are recorded as necessary to permit preparation of financial statements in conformity with IFRS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 </w:t>
      </w:r>
    </w:p>
    <w:p>
      <w:pPr>
        <w:pStyle w:val="TextBody"/>
        <w:bidi w:val="0"/>
        <w:spacing w:before="120" w:after="0"/>
        <w:jc w:val="left"/>
        <w:rPr>
          <w:rFonts w:ascii="Times New Roman" w:hAnsi="Times New Roman"/>
          <w:sz w:val="20"/>
        </w:rPr>
      </w:pPr>
      <w:r>
        <w:rPr>
          <w:rFonts w:ascii="Times New Roman" w:hAnsi="Times New Roman"/>
          <w:sz w:val="20"/>
        </w:rPr>
        <w:t xml:space="preserve">(hh) </w:t>
      </w:r>
      <w:r>
        <w:rPr>
          <w:rFonts w:ascii="Times New Roman" w:hAnsi="Times New Roman"/>
          <w:i/>
          <w:sz w:val="20"/>
        </w:rPr>
        <w:t>Insurance</w:t>
      </w:r>
      <w:r>
        <w:rPr>
          <w:rFonts w:ascii="Times New Roman" w:hAnsi="Times New Roman"/>
          <w:sz w:val="20"/>
        </w:rPr>
        <w:t xml:space="preserve">. The Guarantor and the Guarantor’s Significant Subsidiaries carry or are entitled to the benefits of insurance in such amounts and covering such risks as are generally maintained by companies engaged in the same or similar business. The Guarantor have no reason to believe that they or any of the Guarantor’s Significant Subsidiaries will not be able to (i) renew its existing insurance coverage as and when such policies expire or (ii) obtain comparable coverage from similar insurers as may be necessary or appropriate to conduct its business and at a cost that would not result in a Material Adverse Change.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 xml:space="preserve">No Unlawful Payments. </w:t>
      </w:r>
      <w:r>
        <w:rPr>
          <w:rFonts w:ascii="Times New Roman" w:hAnsi="Times New Roman"/>
          <w:sz w:val="20"/>
        </w:rPr>
        <w:t xml:space="preserve">None of the Guarantor or any of the Guarantor’s subsidiaries nor, to the knowledge of the Guarantor, any director, officer, employee, agent, affiliate or other person associated with or acting on behalf of the Guarantor or any of the Guarantor’s subsidiaries has (i) used any corporate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or regulatory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(iii) violated in the three years preceding the date of this Agreement or is in violation of any provision of the Foreign Corrupt Practices Act of 1977, as amended,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laws or (iv) made, offered, agreed, requested or taken an act in furtherance of any unlawful bribe or other unlawful benefit, including, without limitation, any rebate, payoff, influence payment, kickback or other unlawful or improper payment or benefit. The Guarantor and the Guarantor’s subsidiaries have instituted, maintain and enforce policies and procedures designed to promote and ensure compliance with all applicable anti-bribery and anti-corruption laws. </w:t>
      </w:r>
    </w:p>
    <w:p>
      <w:pPr>
        <w:pStyle w:val="TextBody"/>
        <w:bidi w:val="0"/>
        <w:spacing w:before="120" w:after="0"/>
        <w:jc w:val="left"/>
        <w:rPr>
          <w:rFonts w:ascii="Times New Roman" w:hAnsi="Times New Roman"/>
          <w:sz w:val="20"/>
        </w:rPr>
      </w:pPr>
      <w:r>
        <w:rPr>
          <w:rFonts w:ascii="Times New Roman" w:hAnsi="Times New Roman"/>
          <w:sz w:val="20"/>
        </w:rPr>
        <w:t xml:space="preserve">(jj) </w:t>
      </w:r>
      <w:r>
        <w:rPr>
          <w:rFonts w:ascii="Times New Roman" w:hAnsi="Times New Roman"/>
          <w:i/>
          <w:sz w:val="20"/>
        </w:rPr>
        <w:t>Compliance with Anti-Money Laundering Laws</w:t>
      </w:r>
      <w:r>
        <w:rPr>
          <w:rFonts w:ascii="Times New Roman" w:hAnsi="Times New Roman"/>
          <w:sz w:val="20"/>
        </w:rPr>
        <w:t>. The operations of the Guarantor and the Guarantor’s subsidiaries are and have been conducted at all times in compliance in all material respects with applicable financial recordkeeping and reporting requirements, including those of the Currency and Foreign Transactions Reporting Act of 1970, as amended, the applicable money laundering statutes of all jurisdictions where the Guarantor or any of its subsidiaries conducts business, the rules and regulations thereunder and any related or similar rules, regulations or guidelines issued, administered or enforced by any governmental or regulatory agency (collectively, the “</w:t>
      </w:r>
      <w:r>
        <w:rPr>
          <w:rFonts w:ascii="Times New Roman" w:hAnsi="Times New Roman"/>
          <w:b/>
          <w:sz w:val="20"/>
        </w:rPr>
        <w:t>Anti-Money Laundering Laws</w:t>
      </w:r>
      <w:r>
        <w:rPr>
          <w:rFonts w:ascii="Times New Roman" w:hAnsi="Times New Roman"/>
          <w:sz w:val="20"/>
        </w:rPr>
        <w:t xml:space="preserve">”) and no action, suit or proceeding by or before any court or governmental or regulatory agency, authority or body or any arbitrator involving the Guarantor or any of the Guarantor’s subsidiaries with respect to the Anti-Money Laundering Laws is pending or, to the knowledge of the Guarantor, threatened.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(kk) </w:t>
      </w:r>
      <w:r>
        <w:rPr>
          <w:rFonts w:ascii="Times New Roman" w:hAnsi="Times New Roman"/>
          <w:i/>
          <w:sz w:val="20"/>
        </w:rPr>
        <w:t xml:space="preserve">No Conflicts with Sanctions Laws. </w:t>
      </w:r>
      <w:r>
        <w:rPr>
          <w:rFonts w:ascii="Times New Roman" w:hAnsi="Times New Roman"/>
          <w:sz w:val="20"/>
        </w:rPr>
        <w:t>None of the Guarantor or any of the Guarantor’s subsidiaries nor, to the knowledge of the Guarantor, any director, officer, employee, agent, affiliate or other person acting on behalf of the Guarantor or any of the Guarantor’s subsidiaries, is currently the subject or the target of any sanctions administered or enforced by the U.S. government, (including, without limitation, the Office of Foreign Assets Control of the U.S. Department of the Treasury or the U.S. Department of State and including, without limitation, the designation as a “specially designated national” or “blocked person”), the United Nations Security Council, the European Union or the United Kingdom (collectively, “</w:t>
      </w:r>
      <w:r>
        <w:rPr>
          <w:rFonts w:ascii="Times New Roman" w:hAnsi="Times New Roman"/>
          <w:b/>
          <w:sz w:val="20"/>
        </w:rPr>
        <w:t>Sanctions</w:t>
      </w:r>
      <w:r>
        <w:rPr>
          <w:rFonts w:ascii="Times New Roman" w:hAnsi="Times New Roman"/>
          <w:sz w:val="20"/>
        </w:rPr>
        <w:t>”), nor is the Guarantor or any of the Guarantor’s subsidiaries (other than SAIPA CITROEN COMPANY, Iran Khodro Automobiles Peugeot Pvt. Ltd., STE IRANO-FRANCAISE D’AUTOMOBILES Pvt. Ltd. and two branches of Automobiles Citroen and Automobiles Peugeot) located, incorporated, organized or resident in a country or territory that is the subject or the target of comprehensive Sanctions, including, without limitation, the so-called Donetsk People’s Republic and the so-called Luhansk People’s Republic of Ukraine, Crimea, Cuba, Iran, North Korea, Sudan and the non-government controlled areas of the Zaporizhzhia and Kherson Regions of Ukraine; and the Guarantor will not directly or indirectly use the proceeds of the offering of the Notes hereunder, or lend, contribute or otherwise make available such proceeds to any subsidiary, joint venture partner or other person or entity (i) to fund or facilitate any activities of or business with any person that, at the time of such funding or facilitation, is the subject or target of Sanctions or (ii) in any other manner that will result in a violation by any person (including any person participating in the transaction, whether as underwriter, advisor, investor or otherwise) of Sanctions. The sanctions representation and undertaking in this Section 2(kk) will not apply to any party hereto to which Council Regulation (EC) No. 2271/96 as amended (including as it forms part of domestic law in the United Kingdom by virtue of the European Union (Withdrawal) Act 2018) (the “</w:t>
      </w:r>
      <w:r>
        <w:rPr>
          <w:rFonts w:ascii="Times New Roman" w:hAnsi="Times New Roman"/>
          <w:b/>
          <w:sz w:val="20"/>
        </w:rPr>
        <w:t>Blocking Regulation</w:t>
      </w:r>
      <w:r>
        <w:rPr>
          <w:rFonts w:ascii="Times New Roman" w:hAnsi="Times New Roman"/>
          <w:sz w:val="20"/>
        </w:rPr>
        <w:t xml:space="preserve">”) applies, if and to the extent that such representation and undertaking are or would be unenforceable by reason of breach of any provision of the Blocking Regulation (or any law or regulation implementing such Blocking Regulation in any member state of the European Union or the United Kingdom). </w:t>
      </w:r>
    </w:p>
    <w:p>
      <w:pPr>
        <w:pStyle w:val="TextBody"/>
        <w:bidi w:val="0"/>
        <w:spacing w:before="120" w:after="0"/>
        <w:jc w:val="left"/>
        <w:rPr>
          <w:rFonts w:ascii="Times New Roman" w:hAnsi="Times New Roman"/>
          <w:sz w:val="20"/>
        </w:rPr>
      </w:pPr>
      <w:r>
        <w:rPr>
          <w:rFonts w:ascii="Times New Roman" w:hAnsi="Times New Roman"/>
          <w:sz w:val="20"/>
        </w:rPr>
        <w:t xml:space="preserve">(ll) </w:t>
      </w:r>
      <w:r>
        <w:rPr>
          <w:rFonts w:ascii="Times New Roman" w:hAnsi="Times New Roman"/>
          <w:i/>
          <w:sz w:val="20"/>
        </w:rPr>
        <w:t xml:space="preserve">No Stabilization. </w:t>
      </w:r>
      <w:r>
        <w:rPr>
          <w:rFonts w:ascii="Times New Roman" w:hAnsi="Times New Roman"/>
          <w:sz w:val="20"/>
        </w:rPr>
        <w:t xml:space="preserve">The Company and the Guarantor have not taken and will not take in connection with the offering and distribution of the Notes contemplated hereby, directly or indirectly, any action designed to or that could reasonably be expected to cause or result in any stabilization or manipulation of the price of the Notes, it being understood that any action of the Underwriters and their affiliates shall not constitute an indirect action by the Company or the Guarantor. </w:t>
      </w:r>
    </w:p>
    <w:p>
      <w:pPr>
        <w:pStyle w:val="TextBody"/>
        <w:bidi w:val="0"/>
        <w:spacing w:before="120" w:after="0"/>
        <w:jc w:val="left"/>
        <w:rPr>
          <w:rFonts w:ascii="Times New Roman" w:hAnsi="Times New Roman"/>
          <w:sz w:val="20"/>
        </w:rPr>
      </w:pPr>
      <w:r>
        <w:rPr>
          <w:rFonts w:ascii="Times New Roman" w:hAnsi="Times New Roman"/>
          <w:sz w:val="20"/>
        </w:rPr>
        <w:t xml:space="preserve">(mm) </w:t>
      </w:r>
      <w:r>
        <w:rPr>
          <w:rFonts w:ascii="Times New Roman" w:hAnsi="Times New Roman"/>
          <w:i/>
          <w:sz w:val="20"/>
        </w:rPr>
        <w:t>Stamp, Value Added and Withholding Taxes</w:t>
      </w:r>
      <w:r>
        <w:rPr>
          <w:rFonts w:ascii="Times New Roman" w:hAnsi="Times New Roman"/>
          <w:sz w:val="20"/>
        </w:rPr>
        <w:t>. Except (a) for any net income, capital gains or franchise taxes imposed on the Underwriters by Italy, the Netherlands, the United States, or any political subdivision or taxing authority of or in any of them, (each, a “</w:t>
      </w:r>
      <w:r>
        <w:rPr>
          <w:rFonts w:ascii="Times New Roman" w:hAnsi="Times New Roman"/>
          <w:b/>
          <w:sz w:val="20"/>
        </w:rPr>
        <w:t>Taxing Jurisdiction</w:t>
      </w:r>
      <w:r>
        <w:rPr>
          <w:rFonts w:ascii="Times New Roman" w:hAnsi="Times New Roman"/>
          <w:sz w:val="20"/>
        </w:rPr>
        <w:t>”) as a result of any present or former connection (other than any connection resulting solely from the transactions contemplated by this Agreement and the Indenture) between the Underwriters and the jurisdiction imposing such tax or (b) as disclosed in the Disclosure Package, no value added tax or other similar taxes levied by reference to added value or sales (“</w:t>
      </w:r>
      <w:r>
        <w:rPr>
          <w:rFonts w:ascii="Times New Roman" w:hAnsi="Times New Roman"/>
          <w:b/>
          <w:sz w:val="20"/>
        </w:rPr>
        <w:t>VAT</w:t>
      </w:r>
      <w:r>
        <w:rPr>
          <w:rFonts w:ascii="Times New Roman" w:hAnsi="Times New Roman"/>
          <w:sz w:val="20"/>
        </w:rPr>
        <w:t xml:space="preserve">”), stamp duties, registration taxes (other than Italian registration tax arising if this Agreement, the Indenture or any agreement for the sale of the Notes or any transfer of the Notes by the Underwriters is (i) filed with an Italian court or with an Italian administrative authority, (ii) referred to in another document executed between the same parties and subject to registration or in a judicial decision (including arbitration), (iii) voluntarily registered or (iv) executed in Italy), issuance or transfer taxes or other similar taxes or duties are payable by or on behalf of the Underwriters in a Taxing Jurisdiction solely in connection with (A) the execution, delivery and performance of this Agreement and the Indenture, (B) the issuance and delivery of the Notes to the Underwriters in the manner contemplated by this Agreement, the Indenture and the Disclosure Package or (C) the sale and delivery by the Underwriters as contemplated herein and disclosed in the Disclosure Package, and all payments to be made by the Company on or by virtue of the execution, delivery, performance or enforcement of this Agreement or the Indenture, under the current laws of any Taxing Jurisdiction, will not be subject to withholding, duties, levies, deductions, charges or other taxes and are otherwise payable free and clear of any other withholding, duty, levy, deduction, charge or other tax in the Taxing Jurisdiction and without the necessity of obtaining any governmental authorization in the Taxing Jurisdiction.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(nn) </w:t>
      </w:r>
      <w:r>
        <w:rPr>
          <w:rFonts w:ascii="Times New Roman" w:hAnsi="Times New Roman"/>
          <w:i/>
          <w:sz w:val="20"/>
        </w:rPr>
        <w:t>No Immunity</w:t>
      </w:r>
      <w:r>
        <w:rPr>
          <w:rFonts w:ascii="Times New Roman" w:hAnsi="Times New Roman"/>
          <w:sz w:val="20"/>
        </w:rPr>
        <w:t xml:space="preserve">. None of the Company, the Guarantor or any of their properties or assets has immunity from any legal process (whether through service of notice, attachment prior to judgment, attachment in aid of execution, execution, set-off or otherwise) or from jurisdiction of any Dutch, U.S. federal or New York state court. </w:t>
      </w:r>
    </w:p>
    <w:p>
      <w:pPr>
        <w:pStyle w:val="TextBody"/>
        <w:bidi w:val="0"/>
        <w:spacing w:before="120" w:after="0"/>
        <w:jc w:val="left"/>
        <w:rPr>
          <w:rFonts w:ascii="Times New Roman" w:hAnsi="Times New Roman"/>
          <w:sz w:val="20"/>
        </w:rPr>
      </w:pPr>
      <w:r>
        <w:rPr>
          <w:rFonts w:ascii="Times New Roman" w:hAnsi="Times New Roman"/>
          <w:sz w:val="20"/>
        </w:rPr>
        <w:t xml:space="preserve">(oo) </w:t>
      </w:r>
      <w:r>
        <w:rPr>
          <w:rFonts w:ascii="Times New Roman" w:hAnsi="Times New Roman"/>
          <w:i/>
          <w:sz w:val="20"/>
        </w:rPr>
        <w:t xml:space="preserve">Regulations T, U, X. </w:t>
      </w:r>
      <w:r>
        <w:rPr>
          <w:rFonts w:ascii="Times New Roman" w:hAnsi="Times New Roman"/>
          <w:sz w:val="20"/>
        </w:rPr>
        <w:t xml:space="preserve">The application of the proceeds received by the Company from the issuance and sale of the Notes will not violate Regulation T, Regulation U or Regulation X of the Board of Governors of the Federal Reserve System. </w:t>
      </w:r>
    </w:p>
    <w:p>
      <w:pPr>
        <w:pStyle w:val="TextBody"/>
        <w:bidi w:val="0"/>
        <w:spacing w:before="120" w:after="0"/>
        <w:jc w:val="left"/>
        <w:rPr>
          <w:rFonts w:ascii="Times New Roman" w:hAnsi="Times New Roman"/>
          <w:sz w:val="20"/>
        </w:rPr>
      </w:pPr>
      <w:r>
        <w:rPr>
          <w:rFonts w:ascii="Times New Roman" w:hAnsi="Times New Roman"/>
          <w:sz w:val="20"/>
        </w:rPr>
        <w:t xml:space="preserve">(pp) </w:t>
      </w:r>
      <w:r>
        <w:rPr>
          <w:rFonts w:ascii="Times New Roman" w:hAnsi="Times New Roman"/>
          <w:i/>
          <w:sz w:val="20"/>
        </w:rPr>
        <w:t>Legality</w:t>
      </w:r>
      <w:r>
        <w:rPr>
          <w:rFonts w:ascii="Times New Roman" w:hAnsi="Times New Roman"/>
          <w:sz w:val="20"/>
        </w:rPr>
        <w:t xml:space="preserve">. The legality, validity, enforceability or admissibility into evidence of any of the Disclosure Package or the Transaction Documents in the Netherlands is not dependent upon such document being submitted into, filed or recorded with any court or other authority in any such jurisdiction on or before the date hereof or that any tax, imposition or charge be paid in any such jurisdiction on or in respect of any such document.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[Reserved].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Additional Agreements of the Company</w:t>
      </w:r>
      <w:r>
        <w:rPr>
          <w:rFonts w:ascii="Times New Roman" w:hAnsi="Times New Roman"/>
          <w:sz w:val="20"/>
        </w:rPr>
        <w:t xml:space="preserve">. Each of the Company and the Guarantor further covenants and agrees with each Underwriter as follows: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Preparation of Prospectus; Underwriters</w:t>
      </w:r>
      <w:r>
        <w:rPr>
          <w:rFonts w:ascii="Times New Roman" w:hAnsi="Times New Roman"/>
          <w:sz w:val="20"/>
        </w:rPr>
        <w:t xml:space="preserve">’ </w:t>
      </w:r>
      <w:r>
        <w:rPr>
          <w:rFonts w:ascii="Times New Roman" w:hAnsi="Times New Roman"/>
          <w:i/>
          <w:sz w:val="20"/>
        </w:rPr>
        <w:t>Review of Proposed Amendments and Supplements and Additional Written Communications</w:t>
      </w:r>
      <w:r>
        <w:rPr>
          <w:rFonts w:ascii="Times New Roman" w:hAnsi="Times New Roman"/>
          <w:sz w:val="20"/>
        </w:rPr>
        <w:t xml:space="preserve">. As promptly as practicable following the Applicable Time and in any event not later than the second business day following the date hereof, the Company and the Guarantor will prepare and deliver to the Underwriters the Prospectus, which shall consist of the Preliminary Prospectus as modified only by the information contained in the Final Term Sheet (defined below) and shall file such Prospectus with the Commission within the time periods specified by Rule 424(b) under the Securities Act. The Company and the Guarantor will not amend or supplement the Preliminary Prospectus or the Final Term Sheet following the Applicable Time. The Company and the Guarantor will not amend or supplement the Prospectus prior to the Closing Date unless each Representative shall previously have been furnished a copy of the proposed amendment or supplement prior to the proposed use or filing and afforded a reasonable period of time for review and comment prior to the proposed amendment or supplement. Before using, authorizing, approving or distributing any Additional Written Communication, the Company and the Guarantor will furnish to the Representatives a copy of such Additional Written Communication for review and will not distribute any such Additional Written Communication to which the Representatives reasonably object.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Amendments and Supplements to the Prospectus and Other Securities Law Matters</w:t>
      </w:r>
      <w:r>
        <w:rPr>
          <w:rFonts w:ascii="Times New Roman" w:hAnsi="Times New Roman"/>
          <w:sz w:val="20"/>
        </w:rPr>
        <w:t>. The Company and the Guarantor will comply with the Securities Act and the Exchange Act, in each case to the extent applicable to the offering and sale of the Notes, so as to permit the completion of the distribution of the Notes as contemplated in this Agreement, the Disclosure Package and the Prospectus. If at any time prior to the Closing Date (i) any event or development shall occur or condition shall exist as a result of which the Disclosure Package as then amended or supplemented would include any untrue statement of a material fact or omit to state any material fact necessary in order to make the statements therein, in the light of the circumstances under which they were made, not misleading or (ii) it is necessary to amend or supplement the Disclosure Package to comply with law, the Company and the Guarantor will immediately notify the Underwriters thereof and forthwith prepare and (subject to Section 4(a) hereof) furnish to the Underwriters such amendments or supplements to the Disclosure Package as may be necessary so that the statements therein as so amended or supplemented will not, in the light of the circumstances under which they were made, be misleading or so that the Disclosure Package will comply with all applicable law. If, at any time when a prospectus relating to the Securities is required to be delivered under the Securities Act (including in circumstances where such requirement may be satisfied pursuant to Rule 172 under the Securities Act) (the “</w:t>
      </w:r>
      <w:r>
        <w:rPr>
          <w:rFonts w:ascii="Times New Roman" w:hAnsi="Times New Roman"/>
          <w:b/>
          <w:sz w:val="20"/>
        </w:rPr>
        <w:t>Prospectus Delivery Period</w:t>
      </w:r>
      <w:r>
        <w:rPr>
          <w:rFonts w:ascii="Times New Roman" w:hAnsi="Times New Roman"/>
          <w:sz w:val="20"/>
        </w:rPr>
        <w:t xml:space="preserve">”), any event or development shall occur or condition exist as a result of which it is necessary to amend or supplement the Prospectus, as then amended or supplemented, in order to make the statements therein, in the light of the circumstances under which they were made, not misleading, or it is otherwise necessary to amend or supplement the Prospectus to comply with law, the Company and the Guarantor agree to promptly prepare (subject to Section 4(a) hereof), and furnish at its own expense to the Underwriters, amendments or supplements to the Prospectus so that the statements in the Prospectus as so amended or supplemented will not, in the light of the circumstances under which they were made, be misleading or so that the Prospectus, as amended or supplemented, will comply with all applicable law.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Compliance with Securities Regulations and Commission Requests</w:t>
      </w:r>
      <w:r>
        <w:rPr>
          <w:rFonts w:ascii="Times New Roman" w:hAnsi="Times New Roman"/>
          <w:sz w:val="20"/>
        </w:rPr>
        <w:t xml:space="preserve">. The Company and the Guarantor will promptly file all reports and other documents required to be filed by them with the Commission pursuant to Section 13(a), 13(c) or 15(d) of the Exchange Act for so long as the delivery of a prospectus is required (including in circumstances where such requirement may be satisfied pursuant to Rule 172 under the Securities Act) in connection with the offering or sale of the Securities, and during such same period will advise the Representatives, promptly after it receives notice thereof, (1) when the Prospectus, and any supplement thereto, shall have been filed (if required) with the Commission pursuant to Rule 424(b), (2) when any amendment to the Registration Statement has been filed or becomes effective or any supplement to the Base Prospectus or any amended Prospectus has been filed with the Commission; </w:t>
      </w:r>
      <w:r>
        <w:rPr>
          <w:rFonts w:ascii="Times New Roman" w:hAnsi="Times New Roman"/>
          <w:i/>
          <w:sz w:val="20"/>
        </w:rPr>
        <w:t>provided</w:t>
      </w:r>
      <w:r>
        <w:rPr>
          <w:rFonts w:ascii="Times New Roman" w:hAnsi="Times New Roman"/>
          <w:sz w:val="20"/>
        </w:rPr>
        <w:t xml:space="preserve"> that no notification described in clauses (1) and (2) need be given after the Closing Date unless the Representatives have advised the Company that the Underwriters have not completed the distribution of the Notes, (3) of the issuance by the Commission of any stop order or of any order preventing or suspending the use of any prospectus relating to the Securities, (4) of the suspension of the qualification of such Securities for offering or sale in any jurisdiction, (5) of the initiation or threatening, to the knowledge of the Company or the Guarantor, of any proceeding for any such purpose, or (6) of any request by the Commission for the amending or supplementing of the Registration Statement, the Prospectus or for additional information relating to the Securities; and the Company and the Guarantor will use their commercially reasonable best efforts to prevent the issuance of any such stop order or any such order preventing or suspending the use of any prospectus relating to the Securities or the suspension of any such qualification and, in the event of the issuance of any such stop order or of any such order preventing or suspending the use of any prospectus relating to the Securities or suspending any such qualification, to use its commercially reasonable best efforts to obtain the withdrawal of such order as soon as possible.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Furnishing of Earning Statement</w:t>
      </w:r>
      <w:r>
        <w:rPr>
          <w:rFonts w:ascii="Times New Roman" w:hAnsi="Times New Roman"/>
          <w:sz w:val="20"/>
        </w:rPr>
        <w:t xml:space="preserve">. As soon as practicable but not later than 18 months after the date of the effectiveness of the Registration Statement, the Guarantor will make generally available to its security holders an earnings statement or statements of the Guarantor and its subsidiaries which will satisfy the provisions of Section 11(a) of the Securities Act and Rule 158 under the Securities Act.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Copies of the Registration Statement</w:t>
      </w:r>
      <w:r>
        <w:rPr>
          <w:rFonts w:ascii="Times New Roman" w:hAnsi="Times New Roman"/>
          <w:sz w:val="20"/>
        </w:rPr>
        <w:t xml:space="preserve">. The Company and the Guarantor agree to furnish the Underwriters, without charge, as many copies of the Registration Statement, the Disclosure Package and the Prospectus and any amendments and supplements thereto as they shall reasonably request.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Blue Sky Compliance</w:t>
      </w:r>
      <w:r>
        <w:rPr>
          <w:rFonts w:ascii="Times New Roman" w:hAnsi="Times New Roman"/>
          <w:sz w:val="20"/>
        </w:rPr>
        <w:t xml:space="preserve">. The Company and the Guarantor shall cooperate with the Representatives and counsel for the Underwriters to qualify or register (or to obtain exemptions from qualifying or registering) all or any part of the Notes for offer and sale under the securities laws of the several states of the United States, the provinces of Canada or any other jurisdictions designated by the Representatives, shall comply with such laws and shall continue such qualifications, registrations and exemptions in effect so long as required for the distribution of the Notes. The Company and the Guarantor shall not be required to qualify as a foreign corporation or to take any action that would subject it to general service of process in any such jurisdiction where it is not presently qualified or where it would be subject to taxation as a foreign corporation. The Company and the Guarantor will advise the Representatives promptly of the suspension of the qualification or registration of (or any such exemption relating to) the Notes for offering, sale or trading in any jurisdiction or any initiation or threat of any proceeding for any such purpose, and in the event of the issuance of any order suspending such qualification, registration or exemption, the Company and the Guarantor shall use its reasonable efforts to obtain the withdrawal thereof at the earliest possible moment.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Use of Proceeds</w:t>
      </w:r>
      <w:r>
        <w:rPr>
          <w:rFonts w:ascii="Times New Roman" w:hAnsi="Times New Roman"/>
          <w:sz w:val="20"/>
        </w:rPr>
        <w:t xml:space="preserve">. The Company shall apply the net proceeds from the sale of the Notes sold by it in the manner described under the caption “Use of Proceeds” in the Disclosure Package.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DTC</w:t>
      </w:r>
      <w:r>
        <w:rPr>
          <w:rFonts w:ascii="Times New Roman" w:hAnsi="Times New Roman"/>
          <w:sz w:val="20"/>
        </w:rPr>
        <w:t xml:space="preserve">. The Company and the Guarantor will cooperate with the Underwriters and use its commercially reasonable efforts to permit the Notes to be eligible for clearance and settlement through the facilities of DTC.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Agreement Not To Offer or Sell Additional Securities</w:t>
      </w:r>
      <w:r>
        <w:rPr>
          <w:rFonts w:ascii="Times New Roman" w:hAnsi="Times New Roman"/>
          <w:sz w:val="20"/>
        </w:rPr>
        <w:t xml:space="preserve">. During the period of 15 days following the date hereof, the Company and the Guarantor will not, without the prior written consent of the Representatives (which consent may be withheld at the sole discretion of the Representatives), directly or indirectly, sell, offer, contract or grant any option to sell, pledge, transfer or establish an open “put equivalent position” within the meaning of Rule 16a-1 under the Exchange Act, or otherwise dispose of or transfer, or announce the offering of, or file any registration statement under the Securities Act in respect of, any debt securities of the Company or the Guarantor or securities exchangeable for or convertible into debt securities of the Company or the Guarantor (other than as contemplated by this Agreement) in the U.S. capital markets; provided that, for the avoidance of doubt, the foregoing restrictions shall not apply to offerings and sales of securities outside of the United States made solely in reliance on Regulation S.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Tax Indemnity and Gross-Up</w:t>
      </w:r>
      <w:r>
        <w:rPr>
          <w:rFonts w:ascii="Times New Roman" w:hAnsi="Times New Roman"/>
          <w:sz w:val="20"/>
        </w:rPr>
        <w:t xml:space="preserve">. Each of the Company and the Guarantor will indemnify and hold harmless the Underwriters against any VAT, documentary, stamp, registration or similar issuance tax, including any interest and penalties, on the sale of the Notes by the Company to the Underwriters and on the execution and delivery of this Agreement and the Indenture, other than Italian registration tax arising as a result of the Underwriters’ registration of this Agreement or the Indenture in Italy where the registration is not required to enforce the Underwriters’ rights hereunder or thereunder. All sums payable by the payors hereunder, including any indemnity payments made pursuant to this Section 4(j), shall be made without withholding or deduction for or on account of any present or future taxes, duties or governmental charges whatsoever imposed by any Taxing Jurisdiction unless the relevant payor is compelled by law to deduct or withhold such taxes, duties or charges. In that event, and except for (a) any net income, capital gains or franchise taxes imposed on the Underwriters by a Taxing Jurisdiction as a result of any present or former connection (other than any connection resulting solely from the transactions contemplated by this Agreement and the Indenture) between the Underwriters and the jurisdiction imposing such withholding or deductions or (b) any taxes as disclosed in the Disclosure Package, the payors shall pay such additional amounts as may be necessary in order to ensure that the net amounts received after such withholding or deductions shall equal the amounts that would have been received if no withholding or deduction had been made. All sums payable by the payors to the payees under this Agreement shall be considered exclusive of VAT. All amounts charged by the payees or for which the payees are to be reimbursed will be invoiced together with any applicable VAT that the payees are required to pay to the relevant tax authority, where appropriate. Any VAT due on the amounts charged by the payees shall be for the account of the payors; </w:t>
      </w:r>
      <w:r>
        <w:rPr>
          <w:rFonts w:ascii="Times New Roman" w:hAnsi="Times New Roman"/>
          <w:i/>
          <w:sz w:val="20"/>
        </w:rPr>
        <w:t>provided</w:t>
      </w:r>
      <w:r>
        <w:rPr>
          <w:rFonts w:ascii="Times New Roman" w:hAnsi="Times New Roman"/>
          <w:sz w:val="20"/>
        </w:rPr>
        <w:t xml:space="preserve"> that the payees provide the payors with a valid VAT invoice where appropriate. </w:t>
      </w:r>
    </w:p>
    <w:p>
      <w:pPr>
        <w:pStyle w:val="TextBody"/>
        <w:bidi w:val="0"/>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i/>
          <w:sz w:val="20"/>
        </w:rPr>
        <w:t>Final Term Sheet</w:t>
      </w:r>
      <w:r>
        <w:rPr>
          <w:rFonts w:ascii="Times New Roman" w:hAnsi="Times New Roman"/>
          <w:sz w:val="20"/>
        </w:rPr>
        <w:t>. The Company and the Guarantor will prepare a final term sheet in the form set forth in Annex A hereto and will file such term sheet pursuant to Rule 433(d) under the Securities Act within the time required by such rule (the “</w:t>
      </w:r>
      <w:r>
        <w:rPr>
          <w:rFonts w:ascii="Times New Roman" w:hAnsi="Times New Roman"/>
          <w:b/>
          <w:sz w:val="20"/>
        </w:rPr>
        <w:t>Final Term Sheet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(l) </w:t>
      </w:r>
      <w:r>
        <w:rPr>
          <w:rFonts w:ascii="Times New Roman" w:hAnsi="Times New Roman"/>
          <w:i/>
          <w:sz w:val="20"/>
        </w:rPr>
        <w:t>Filing Fees</w:t>
      </w:r>
      <w:r>
        <w:rPr>
          <w:rFonts w:ascii="Times New Roman" w:hAnsi="Times New Roman"/>
          <w:sz w:val="20"/>
        </w:rPr>
        <w:t xml:space="preserve">. The Company and the Guarantor agree to pay the required Commission filing fees relating to the Notes within the time required by and in accordance with Rule 456(b)(1) and 457(r) under the Securities Act. </w:t>
      </w:r>
    </w:p>
    <w:p>
      <w:pPr>
        <w:pStyle w:val="TextBody"/>
        <w:bidi w:val="0"/>
        <w:spacing w:before="120" w:after="0"/>
        <w:jc w:val="left"/>
        <w:rPr>
          <w:rFonts w:ascii="Times New Roman" w:hAnsi="Times New Roman"/>
          <w:sz w:val="20"/>
        </w:rPr>
      </w:pPr>
      <w:r>
        <w:rPr>
          <w:rFonts w:ascii="Times New Roman" w:hAnsi="Times New Roman"/>
          <w:sz w:val="20"/>
        </w:rPr>
        <w:t xml:space="preserve">(m) </w:t>
      </w:r>
      <w:r>
        <w:rPr>
          <w:rFonts w:ascii="Times New Roman" w:hAnsi="Times New Roman"/>
          <w:i/>
          <w:sz w:val="20"/>
        </w:rPr>
        <w:t>Permitted Free Writing Prospectuses</w:t>
      </w:r>
      <w:r>
        <w:rPr>
          <w:rFonts w:ascii="Times New Roman" w:hAnsi="Times New Roman"/>
          <w:sz w:val="20"/>
        </w:rPr>
        <w:t>. The Company and the Guarantor agree that, unless they obtain the prior written consent of the Representatives, it will not make, any offer relating to the Securities that constitutes or would constitute an Issuer Free Writing Prospectus or that otherwise constitutes or would constitute a “free writing prospectus” (as defined in Rule 405 of the Securities Act) required to be filed by the Company or the Guarantor with the Commission or retained by the Company or the Guarantor under Rule 433 of the Securities Act; provided that the prior written consent of the Representatives shall be deemed to have been given in respect of the Free Writing Prospectuses identified in Annex D hereto. Any such free writing prospectus consented to by the Representatives is hereinafter referred to as a “</w:t>
      </w:r>
      <w:r>
        <w:rPr>
          <w:rFonts w:ascii="Times New Roman" w:hAnsi="Times New Roman"/>
          <w:b/>
          <w:sz w:val="20"/>
        </w:rPr>
        <w:t>Permitted Free Writing Prospectus</w:t>
      </w:r>
      <w:r>
        <w:rPr>
          <w:rFonts w:ascii="Times New Roman" w:hAnsi="Times New Roman"/>
          <w:sz w:val="20"/>
        </w:rPr>
        <w:t xml:space="preserve">”. The Company and the Guarantor agree that (i) they will treat, as the case may be, each Permitted Free Writing Prospectus as an Issuer Free Writing Prospectus, and (ii) will comply, as the case may be, with the requirements of Rules 164 and 433 of the Securities Act applicable to any Permitted Free Writing Prospectus, including in respect of timely filing with the Commission, legending and record keeping. Each Underwriter severally represents and agrees that it has not made and will not make any offer relating to the Securities that would constitute a “free writing prospectus” as defined in Rule 405 of the Securities Act other than (i) a free writing prospectus containing only the information contained in the Final Term Sheet; (ii) any customary preliminary pricing communication that is not an Issuer Free Writing Prospectus, contains only information describing the preliminary terms of the Notes or their offering which, in their final form, will not be inconsistent with the Final Term Sheet, and that, solely as a result of use by such Underwriter, would not be required to be filed pursuant to Rule 433(d); or (iii) a free writing prospectus identified in Annex F 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 </w:t>
      </w:r>
      <w:r>
        <w:rPr>
          <w:rFonts w:ascii="Times New Roman" w:hAnsi="Times New Roman"/>
          <w:i/>
          <w:sz w:val="20"/>
        </w:rPr>
        <w:t>Notice of Inability to Use Automatic Shelf Registration Statement Form</w:t>
      </w:r>
      <w:r>
        <w:rPr>
          <w:rFonts w:ascii="Times New Roman" w:hAnsi="Times New Roman"/>
          <w:sz w:val="20"/>
        </w:rPr>
        <w:t xml:space="preserve">. If, before completion of the Underwriters’ distribution of the Notes as contemplated in this Agreement, the Company or the Guarantor receive from the Commission a notice pursuant to Rule 401(g)(2) or otherwise ceases to be eligible to use the automatic shelf registration statement form, the Company and the Guarantor will (i) promptly notify the Representatives; (ii) take such steps, including, without limitation, promptly amending the Registration Statement or filing a new registration statement or post-effective amendment, at their own expense, as may be necessary to permit the public offering and sale of the Notes by the Underwriters as contemplated in the registration statement that was the subject of the Rule 401(g)(2) notice or for which the Company or the Guarantor have otherwise become ineligible; (iii) use their reasonable best efforts to cause such registration statement or post-effective amendment to be declared effective and (iv) promptly notify the Representatives of such effectiveness. References herein to the Registration Statement shall include any such amendment, new registration statement or post effective amendment, as the case may be. </w:t>
      </w:r>
    </w:p>
    <w:p>
      <w:pPr>
        <w:pStyle w:val="TextBody"/>
        <w:bidi w:val="0"/>
        <w:spacing w:before="120" w:after="0"/>
        <w:jc w:val="left"/>
        <w:rPr>
          <w:rFonts w:ascii="Times New Roman" w:hAnsi="Times New Roman"/>
          <w:sz w:val="20"/>
        </w:rPr>
      </w:pPr>
      <w:r>
        <w:rPr>
          <w:rFonts w:ascii="Times New Roman" w:hAnsi="Times New Roman"/>
          <w:sz w:val="20"/>
        </w:rPr>
        <w:t xml:space="preserve">The Representatives on behalf of the several Underwriters, may, in their sole discretion, waive in writing the performance by the Company and the Guarantor of any one or more of the foregoing covenants or extend the time for their performance. </w:t>
      </w:r>
    </w:p>
    <w:p>
      <w:pPr>
        <w:pStyle w:val="TextBody"/>
        <w:bidi w:val="0"/>
        <w:spacing w:before="12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Conditions of the Underwriters’ Obligations</w:t>
      </w:r>
      <w:r>
        <w:rPr>
          <w:rFonts w:ascii="Times New Roman" w:hAnsi="Times New Roman"/>
          <w:sz w:val="20"/>
        </w:rPr>
        <w:t xml:space="preserve">. The obligation of each Underwriter to purchase the Notes on the Closing Date as provided herein is subject to the performance by the Company and the Guarantor of their respective covenants and other obligations hereunder and to the following additional conditions: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Effectiveness of Registration Statement; Filing of Prospectus</w:t>
      </w:r>
      <w:r>
        <w:rPr>
          <w:rFonts w:ascii="Times New Roman" w:hAnsi="Times New Roman"/>
          <w:sz w:val="20"/>
        </w:rPr>
        <w:t xml:space="preserve">. No stop order suspending the effectiveness of the Registration Statement shall have been issued under the Securities Act and no proceedings for that purpose or pursuant to Section 8A under the Securities Act shall have been instituted or be pending or threatened by the Commission, any request on the part of the Commission for additional information shall have been complied with to the reasonable satisfaction of counsel to the Underwriters and the Company shall not have received from the Commission any notice pursuant to Rule 401(g)(2) under the Securities Act objecting to use of the automatic shelf registration statement form. The Preliminary Prospectus and the Prospectus shall have been filed with the Commission in accordance with Rule 424(b) (or any required post-effective amendment providing such information shall have been filed and declared effective in accordance with the requirements of Rule 430B).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 xml:space="preserve">Representations and Warranties. </w:t>
      </w:r>
      <w:r>
        <w:rPr>
          <w:rFonts w:ascii="Times New Roman" w:hAnsi="Times New Roman"/>
          <w:sz w:val="20"/>
        </w:rPr>
        <w:t xml:space="preserve">The representations and warranties of the Company and the Guarantor contained herein shall be true and correct on the date hereof and on and as of the Closing Date (it being understood that for purposes of this Section 5(b) references in Section 2 hereof to the Disclosure Package shall be to the Prospectus unless such representation or warranty speaks to a specific point in time); and the statements of the Company, the Guarantor and their officers made in any certificates delivered pursuant to this Agreement shall be true and correct on and as of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 xml:space="preserve">No Material Adverse Change. </w:t>
      </w:r>
      <w:r>
        <w:rPr>
          <w:rFonts w:ascii="Times New Roman" w:hAnsi="Times New Roman"/>
          <w:sz w:val="20"/>
        </w:rPr>
        <w:t xml:space="preserve">No event or condition of a type described in Section 2(k) hereof shall have occurred or shall exist, which event or condition is not described in the Disclosure Package (excluding any amendment or supplement thereto) and the Prospectus (excluding any amendment or supplement thereto) and the effect of which in the judgment of the Representatives makes it impracticable or inadvisable to proceed with the offering, sale or delivery of the Securities on the Closing Date on the terms and in the manner contemplated by this Agreement, the Disclosure Package and the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 xml:space="preserve">No Downgrade. </w:t>
      </w:r>
      <w:r>
        <w:rPr>
          <w:rFonts w:ascii="Times New Roman" w:hAnsi="Times New Roman"/>
          <w:sz w:val="20"/>
        </w:rPr>
        <w:t xml:space="preserve">Subsequent to the earlier of (i) the Applicable Time and (ii) the execution and delivery of this Agreement, if there are any debt securities or preferred stock of, or guaranteed by, the Company, the Guarantor or any of the Guarantor’s subsidiaries that are rated by Moody’s Investors Service, Inc., a subsidiary of Moody’s Corporation, or S&amp;P Global Ratings, a division of S&amp;P Global Inc. (A) no downgrading by any such rating agency shall have occurred in the rating accorded any such debt securities or preferred stock and (B) neither such rating agency shall have publicly announced that it has under surveillance or review, or has changed its outlook with respect to, its rating of any such debt securities or preferred stock (other than an announcement with positive implications of a possible upgrading).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 xml:space="preserve">Officers’ Certificate. </w:t>
      </w:r>
      <w:r>
        <w:rPr>
          <w:rFonts w:ascii="Times New Roman" w:hAnsi="Times New Roman"/>
          <w:sz w:val="20"/>
        </w:rPr>
        <w:t xml:space="preserve">The Representatives shall have received on and as of the Closing Date a certificate of the chief financial officer or chief accounting officer of the Guarantor and one additional senior executive officer of the Guarantor who is satisfactory to the Representatives confirming that, (i) such officers have carefully reviewed the Disclosure Package and the Prospectus and, to the knowledge of such officers, the representations of the Company and the Guarantor in this Agreement are true and correct; (ii) the Company or Guarantor has received no stop order suspending the effectiveness of the Registration Statement, and no proceedings for such purpose have been instituted or threatened by the Commission; (iii) the Company or Guarantor has not received from the Commission any notice pursuant to Rule 401(g)(2) under the Securities Act objecting to use of the automatic shelf registration statement form; (iv) the other representations and warranties of the Company and the Guarantor in this Agreement are true and correct and that the Company and the Guarantor have complied in all material respects with all agreements and satisfied all conditions on its part to be performed or satisfied hereunder at or prior to the Closing Date and (v) to the effect set forth in paragraphs (c) and (d) of this Section 5.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 xml:space="preserve">Comfort Letters. </w:t>
      </w:r>
      <w:r>
        <w:rPr>
          <w:rFonts w:ascii="Times New Roman" w:hAnsi="Times New Roman"/>
          <w:sz w:val="20"/>
        </w:rPr>
        <w:t xml:space="preserve">On the date of this Agreement and on the Closing Date, Deloitte &amp; Associés at the request of the Guarantor shall have furnished to the Representatives, letters, dated the respective dates of delivery thereof and addressed to the Underwriters, in form and substance reasonably satisfactory to the Representatives, containing statements and information of the type customarily included in accountant’s “comfort letters” to underwriters with respect to the financial statements and certain financial information contained or incorporated by reference in the Disclosure Package and the Prospectus; </w:t>
      </w:r>
      <w:r>
        <w:rPr>
          <w:rFonts w:ascii="Times New Roman" w:hAnsi="Times New Roman"/>
          <w:i/>
          <w:sz w:val="20"/>
        </w:rPr>
        <w:t>provided</w:t>
      </w:r>
      <w:r>
        <w:rPr>
          <w:rFonts w:ascii="Times New Roman" w:hAnsi="Times New Roman"/>
          <w:sz w:val="20"/>
        </w:rPr>
        <w:t xml:space="preserve">, that the letters delivered on the Closing Date shall use a “cut-off” date no more than three business days prior to such Closing Date.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 xml:space="preserve">Opinion and Disclosure Letter of U.S. Counsel for the Company and the Guarantor. </w:t>
      </w:r>
      <w:r>
        <w:rPr>
          <w:rFonts w:ascii="Times New Roman" w:hAnsi="Times New Roman"/>
          <w:sz w:val="20"/>
        </w:rPr>
        <w:t xml:space="preserve">Sullivan &amp; Cromwell LLP, U.S. counsel for the Company and the Guarantor, shall have furnished to the Representatives, at the request of the Company and the Guarantor, their written opinion and disclosure letter, dated the Closing Date and addressed to the Underwriters, in form and substance reasonably satisfactory to the Representatives, to the effect set forth in Annex B hereto.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Opinion of Dutch Counsel for the Guarantor</w:t>
      </w:r>
      <w:r>
        <w:rPr>
          <w:rFonts w:ascii="Times New Roman" w:hAnsi="Times New Roman"/>
          <w:sz w:val="20"/>
        </w:rPr>
        <w:t xml:space="preserve">. De Brauw Blackstone Westbroek N.V., Dutch counsel for the Guarantor, shall have furnished to the Representatives, at the request of the Guarantor, their written opinion, dated the Closing Date and addressed to the Underwriters, in form and substance reasonably satisfactory to the Representatives, to the effect set forth in Annex C hereto.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 xml:space="preserve">Opinion of Counsel for the Underwriters. </w:t>
      </w:r>
      <w:r>
        <w:rPr>
          <w:rFonts w:ascii="Times New Roman" w:hAnsi="Times New Roman"/>
          <w:sz w:val="20"/>
        </w:rPr>
        <w:t xml:space="preserve">The Representatives shall have received on and as of the Closing Date, an opinion of Allen Overy Shearman Sterling LLP, counsel for the Underwriters, with respect to such matters as the Representatives may reasonably request, and such counsel shall have received such documents and information as they may reasonably request to enable them to pass upon such matters.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 xml:space="preserve">No Legal Impediment to Issuance. </w:t>
      </w:r>
      <w:r>
        <w:rPr>
          <w:rFonts w:ascii="Times New Roman" w:hAnsi="Times New Roman"/>
          <w:sz w:val="20"/>
        </w:rPr>
        <w:t xml:space="preserve">No action shall have been taken and no statute, rule, regulation or order shall have been enacted, adopted or issued by any competent federal, state or foreign governmental or regulatory authority that would, as of the Closing Date prevent the issuance or sale of the Securities; and no injunction or order of any federal, state or foreign court shall have been issued that would, as of the Closing Date prevent the issuance or sale of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 </w:t>
      </w:r>
      <w:r>
        <w:rPr>
          <w:rFonts w:ascii="Times New Roman" w:hAnsi="Times New Roman"/>
          <w:i/>
          <w:sz w:val="20"/>
        </w:rPr>
        <w:t>Good Standing</w:t>
      </w:r>
      <w:r>
        <w:rPr>
          <w:rFonts w:ascii="Times New Roman" w:hAnsi="Times New Roman"/>
          <w:sz w:val="20"/>
        </w:rPr>
        <w:t xml:space="preserve">. The Representatives shall have received on and as of the Closing Date (i) satisfactory evidence of the good standing of the Company in the State of Delaware and (ii) an extract of the Dutch Chamber of Commerce of the Guarantor, in each case in writing or any standard form of telecommunication from the appropriate governmental authorities of such jurisdictions. </w:t>
      </w:r>
    </w:p>
    <w:p>
      <w:pPr>
        <w:pStyle w:val="TextBody"/>
        <w:bidi w:val="0"/>
        <w:spacing w:before="120" w:after="0"/>
        <w:jc w:val="left"/>
        <w:rPr>
          <w:rFonts w:ascii="Times New Roman" w:hAnsi="Times New Roman"/>
          <w:sz w:val="20"/>
        </w:rPr>
      </w:pPr>
      <w:r>
        <w:rPr>
          <w:rFonts w:ascii="Times New Roman" w:hAnsi="Times New Roman"/>
          <w:sz w:val="20"/>
        </w:rPr>
        <w:t xml:space="preserve">(l) </w:t>
      </w:r>
      <w:r>
        <w:rPr>
          <w:rFonts w:ascii="Times New Roman" w:hAnsi="Times New Roman"/>
          <w:i/>
          <w:sz w:val="20"/>
        </w:rPr>
        <w:t>CFO Certificate.</w:t>
      </w:r>
      <w:r>
        <w:rPr>
          <w:rFonts w:ascii="Times New Roman" w:hAnsi="Times New Roman"/>
          <w:sz w:val="20"/>
        </w:rPr>
        <w:t xml:space="preserve"> The Representatives shall have received on and as of the date of this Agreement a certificate of the chief financial officer of the Guarantor, in form and substance reasonably satisfactory to the Representatives. </w:t>
      </w:r>
    </w:p>
    <w:p>
      <w:pPr>
        <w:pStyle w:val="TextBody"/>
        <w:bidi w:val="0"/>
        <w:spacing w:before="120" w:after="0"/>
        <w:jc w:val="left"/>
        <w:rPr>
          <w:rFonts w:ascii="Times New Roman" w:hAnsi="Times New Roman"/>
          <w:sz w:val="20"/>
        </w:rPr>
      </w:pPr>
      <w:r>
        <w:rPr>
          <w:rFonts w:ascii="Times New Roman" w:hAnsi="Times New Roman"/>
          <w:sz w:val="20"/>
        </w:rPr>
        <w:t xml:space="preserve">(m) </w:t>
      </w:r>
      <w:r>
        <w:rPr>
          <w:rFonts w:ascii="Times New Roman" w:hAnsi="Times New Roman"/>
          <w:i/>
          <w:sz w:val="20"/>
        </w:rPr>
        <w:t xml:space="preserve">Additional Documents. </w:t>
      </w:r>
      <w:r>
        <w:rPr>
          <w:rFonts w:ascii="Times New Roman" w:hAnsi="Times New Roman"/>
          <w:sz w:val="20"/>
        </w:rPr>
        <w:t xml:space="preserve">On or prior to the Closing Date the Company and the Guarantor shall have furnished to the Representatives such further certificates and documents as the Representatives may reasonably request. </w:t>
      </w:r>
    </w:p>
    <w:p>
      <w:pPr>
        <w:pStyle w:val="TextBody"/>
        <w:bidi w:val="0"/>
        <w:spacing w:before="120" w:after="0"/>
        <w:jc w:val="left"/>
        <w:rPr>
          <w:rFonts w:ascii="Times New Roman" w:hAnsi="Times New Roman"/>
          <w:sz w:val="20"/>
        </w:rPr>
      </w:pPr>
      <w:r>
        <w:rPr>
          <w:rFonts w:ascii="Times New Roman" w:hAnsi="Times New Roman"/>
          <w:sz w:val="20"/>
        </w:rPr>
        <w:t xml:space="preserve">(n) </w:t>
      </w:r>
      <w:r>
        <w:rPr>
          <w:rFonts w:ascii="Times New Roman" w:hAnsi="Times New Roman"/>
          <w:i/>
          <w:sz w:val="20"/>
        </w:rPr>
        <w:t>DTC Clearance</w:t>
      </w:r>
      <w:r>
        <w:rPr>
          <w:rFonts w:ascii="Times New Roman" w:hAnsi="Times New Roman"/>
          <w:sz w:val="20"/>
        </w:rPr>
        <w:t xml:space="preserve">. Prior to the Closing Date, the Company and the Guarantor shall have taken all action reasonably required to be taken by them to have the Notes declared eligible for clearance and settlement through DTC. </w:t>
      </w:r>
    </w:p>
    <w:p>
      <w:pPr>
        <w:pStyle w:val="TextBody"/>
        <w:bidi w:val="0"/>
        <w:spacing w:before="12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Offer, Sale and Resale Procedures</w:t>
      </w:r>
      <w:r>
        <w:rPr>
          <w:rFonts w:ascii="Times New Roman" w:hAnsi="Times New Roman"/>
          <w:sz w:val="20"/>
        </w:rPr>
        <w:t xml:space="preserve">. Each of the Underwriters, the Company and the Guarantor hereby agree that offers and sales of the Notes will be made only by the Underwriters or affiliates thereof qualified to do so in the jurisdictions in which such offers or sales are made.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Indemnification and Contribution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 xml:space="preserve">Indemnification of the Underwriters. </w:t>
      </w:r>
      <w:r>
        <w:rPr>
          <w:rFonts w:ascii="Times New Roman" w:hAnsi="Times New Roman"/>
          <w:sz w:val="20"/>
        </w:rPr>
        <w:t xml:space="preserve">Each of the Company and the Guarantor agrees to indemnify and hold harmless each Underwriter, its affiliates, directors and officers and each person, if any, who controls such Underwriter within the meaning of Section 15 of the Securities Act or Section 20 of the Exchange Act, from and against any and all losses, claims, damages and liabilities (including, without limitation, reasonable legal fees and other expenses incurred in connection with any suit, action or proceeding or any claim asserted, as such fees and expenses are incurred), joint or several, that arise out of, or are based upon, any untrue statement or alleged untrue statement of a material fact contained in the Registration Statement, any Preliminary Prospectus, the Prospectus (as amended or supplemented), any Issuer Free Writing Prospectus or any Additional Written Communication, or caused by any omission or alleged omission therefrom of a material fact necessary in order to make the statements therein, in the light of the circumstances under which they were made, not misleading, except insofar as such losses, claims, damages or liabilities arise out of, or are based upon, any untrue statement or omission or alleged untrue statement or omission made in reliance upon and in conformity with any information relating to any Underwriter furnished to the Company or the Guarantor in writing by such Underwriter through the Representatives expressly for use therein, it being understood and agreed that the only such information furnished by any Underwriter consists of the information described as such in paragraph (b) of this Section 7.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 xml:space="preserve">Indemnification of the Company and the Guarantor. </w:t>
      </w:r>
      <w:r>
        <w:rPr>
          <w:rFonts w:ascii="Times New Roman" w:hAnsi="Times New Roman"/>
          <w:sz w:val="20"/>
        </w:rPr>
        <w:t xml:space="preserve">Each Underwriter agrees, severally and not jointly, to indemnify and hold harmless each of the Company, the Guarantor, their directors, officers and each person, if any, who controls the Guarantor within the meaning of Section 15 of the Securities Act or Section 20 of the Exchange Act to the same extent as the indemnity set forth in paragraph (a) of this Section 7, but only with respect to any losses, claims, damages or liabilities that arise out of, or are based upon, any untrue statement or alleged untrue statement of a material fact contained in the Registration Statement, any Preliminary Prospectus, the Prospectus (as amended or supplemented), any Issuer Free Writing Prospectus or any Additional Written Communication, or caused by any omission or alleged omission therefrom of a material fact necessary in order to make the statements therein, in the light of the circumstances under which they were made, not misleading, in each case to the extent such untrue statement or omission or alleged untrue statement or omission was made in reliance upon and in conformity with any information relating to such Underwriter furnished to the Company or the Guarantor in writing by such Underwriter through the Representatives expressly for use therein, it being understood and agreed upon that the only such information furnished by any Underwriter consists of the following information in the Preliminary Prospectus and the Prospectus furnished on behalf of each Underwriter: the information regarding stabilizing transactions contained under the caption “Underwriting” relating to the Notes.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 xml:space="preserve">Notice and Procedures. </w:t>
      </w:r>
      <w:r>
        <w:rPr>
          <w:rFonts w:ascii="Times New Roman" w:hAnsi="Times New Roman"/>
          <w:sz w:val="20"/>
        </w:rPr>
        <w:t>If any suit, action, proceeding (including any governmental or regulatory investigation), claim or demand shall be brought or asserted against any person in respect of which indemnification may be sought pursuant to either paragraph (a) or (b) of this Section 7, such person (the “</w:t>
      </w:r>
      <w:r>
        <w:rPr>
          <w:rFonts w:ascii="Times New Roman" w:hAnsi="Times New Roman"/>
          <w:b/>
          <w:sz w:val="20"/>
        </w:rPr>
        <w:t>Indemnified Person</w:t>
      </w:r>
      <w:r>
        <w:rPr>
          <w:rFonts w:ascii="Times New Roman" w:hAnsi="Times New Roman"/>
          <w:sz w:val="20"/>
        </w:rPr>
        <w:t>”) shall promptly notify the person against whom such indemnification may be sought (the “</w:t>
      </w:r>
      <w:r>
        <w:rPr>
          <w:rFonts w:ascii="Times New Roman" w:hAnsi="Times New Roman"/>
          <w:b/>
          <w:sz w:val="20"/>
        </w:rPr>
        <w:t>Indemnifying Person</w:t>
      </w:r>
      <w:r>
        <w:rPr>
          <w:rFonts w:ascii="Times New Roman" w:hAnsi="Times New Roman"/>
          <w:sz w:val="20"/>
        </w:rPr>
        <w:t xml:space="preserve">”) in writing; </w:t>
      </w:r>
      <w:r>
        <w:rPr>
          <w:rFonts w:ascii="Times New Roman" w:hAnsi="Times New Roman"/>
          <w:i/>
          <w:sz w:val="20"/>
        </w:rPr>
        <w:t xml:space="preserve">provided </w:t>
      </w:r>
      <w:r>
        <w:rPr>
          <w:rFonts w:ascii="Times New Roman" w:hAnsi="Times New Roman"/>
          <w:sz w:val="20"/>
        </w:rPr>
        <w:t xml:space="preserve">that the failure to notify the Indemnifying Person shall not relieve it from any liability that it may have under paragraph (a) or (b) of this Section 7 except to the extent that it has been materially prejudiced (through the forfeiture of substantive rights or defenses) by such failure; and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the failure to notify the Indemnifying Person shall not relieve it from any liability that it may have to an Indemnified Person otherwise than under paragraph (a) or (b) of this Section 7. If any such proceeding shall be brought or asserted against an Indemnified Person and it shall have notified the Indemnifying Person thereof, the Indemnifying Person shall retain counsel reasonably satisfactory to the Indemnified Person (who shall not, without the consent of the Indemnified Person, be counsel to the Indemnifying Person) to represent the Indemnified Person in such proceeding and shall pay the fees and expenses of such counsel related to such proceeding, as incurred. In any such proceeding, any Indemnified Person shall have the right to retain its own counsel, but the fees and expenses of such counsel shall be at the expense of such Indemnified Person unless (i) the Indemnifying Person and the Indemnified Person shall have mutually agreed to the contrary; (ii) the Indemnifying Person has failed within a reasonable time to retain counsel reasonably satisfactory to the Indemnified Person; (iii) the Indemnified Person shall have reasonably concluded that there may be legal defenses available to it that are different from or in addition to those available to the Indemnifying Person or (iv) the named parties in any such proceeding (including any impleaded parties) include both the Indemnifying Person and the Indemnified Person and representation of both parties by the same counsel would be inappropriate due to actual or potential differing interest between them. It is understood and agreed that the Indemnifying Person shall not, in connection with any proceeding or related proceedings in the same jurisdiction, be liable for the fees and expenses of more than one separate firm (in addition to any local counsel) for all Indemnified Persons, and that all such fees and expenses shall be paid or reimbursed as they are incurred. Any such separate firm for any Underwriter, its affiliates, directors and officers and any control persons of such Underwriter shall be designated in writing by the Representatives and any such separate firm for the Company, the Guarantor, their directors, officers and any control persons of the Guarantor shall be designated in writing by the Company or the Guarantor. The Indemnifying Person shall not be liable for any settlement of any proceeding effected without its written consent, but if settled with such consent or if there be a final judgment for the plaintiff, the Indemnifying Person agrees to indemnify each Indemnified Person from and against any loss or liability by reason of such settlement or judgment. Notwithstanding the foregoing sentence, if at any time an Indemnified Person shall have requested that an Indemnifying Person reimburse the Indemnified Person for fees and expenses of counsel as contemplated by this paragraph, the Indemnifying Person shall be liable for any settlement of any proceeding effected without its written consent if (A) such settlement is entered into more than 30 days after receipt by the Indemnifying Person of such request and (B) the Indemnifying Person shall not have reimbursed the Indemnified Person in accordance with such request prior to the date of such settlement. No Indemnifying Person shall, without the written consent of the Indemnified Person, effect any settlement of any pending or threatened proceeding in respect of which any Indemnified Person is or could have been a party and indemnification could have been sought hereunder by such Indemnified Person, unless such settlement (x) includes an unconditional release of such Indemnified Person, in form and substance reasonably satisfactory to such Indemnified Person, from all liability on claims that are the subject matter of such proceeding and (y) does not include any statement as to or any admission of fault, culpability or a failure to act by or on behalf of any Indemnified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 xml:space="preserve">Contribution. </w:t>
      </w:r>
      <w:r>
        <w:rPr>
          <w:rFonts w:ascii="Times New Roman" w:hAnsi="Times New Roman"/>
          <w:sz w:val="20"/>
        </w:rPr>
        <w:t xml:space="preserve">If the indemnification provided for in paragraphs (a) and (b) of this Section 7 is unavailable to an Indemnified Person or insufficient in respect of any losses, claims, damages or liabilities referred to therein, then each Indemnifying Person under such paragraph, in lieu of indemnifying such Indemnified Person thereunder, shall contribute to the amount paid or payable by such Indemnified Person as a result of such losses, claims, damages or liabilities (i) in such proportion as is appropriate to reflect the relative benefits received by the Company or the Guarantor, on the one hand, and the Underwriters on the other hand, from the offering of the Notes or (ii) if the allocation provided by clause (i) of this Section 7(d) is not permitted by applicable law, in such proportion as is appropriate to reflect not only the relative benefits referred to in clause (i) of this Section 7(d) but also the relative fault of the Company or the Guarantor, on the one hand, and the Underwriters on the other, in connection with the statements or omissions that resulted in such losses, claims, damages or liabilities, as well as any other relevant equitable considerations. The relative benefits received by the Company or the Guarantor, on the one hand, and the Underwriters on the other, shall be deemed to be in the same respective proportions as the net proceeds (before deducting expenses) received by the Company or the Guarantor from the sale of the Notes and the total discounts and commissions received by the Underwriters in connection therewith, in each case as provided in this Agreement, bear to the aggregate offering price of the Securities. The relative fault of the Company or the Guarantor, on the one hand, and the Underwriters on the other, shall be determined by reference to, among other things, whether the untrue or alleged untrue statement of a material fact or the omission or alleged omission to state a material fact relates to information supplied by the Company or the Guarantor or by the Underwriters and the parties’ relative intent, knowledge, access to information and opportunity to correct or prevent such statement or omission.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 xml:space="preserve">Limitation on Liability. </w:t>
      </w:r>
      <w:r>
        <w:rPr>
          <w:rFonts w:ascii="Times New Roman" w:hAnsi="Times New Roman"/>
          <w:sz w:val="20"/>
        </w:rPr>
        <w:t xml:space="preserve">The Company, the Guarantor and the Underwriters agree that it would not be just and equitable if contribution pursuant to paragraph (d) of this Section 7 were determined by </w:t>
      </w:r>
      <w:r>
        <w:rPr>
          <w:rFonts w:ascii="Times New Roman" w:hAnsi="Times New Roman"/>
          <w:i/>
          <w:sz w:val="20"/>
        </w:rPr>
        <w:t xml:space="preserve">pro rata </w:t>
      </w:r>
      <w:r>
        <w:rPr>
          <w:rFonts w:ascii="Times New Roman" w:hAnsi="Times New Roman"/>
          <w:sz w:val="20"/>
        </w:rPr>
        <w:t xml:space="preserve">allocation (even if the Underwriters were treated as one entity for such purpose) or by any other method of allocation that does not take account of the equitable considerations referred to in paragraph (d) of this Section 7. The amount paid or payable by an Indemnified Person as a result of the losses, claims, damages and liabilities referred to in paragraph (d) of this Section 7 shall be deemed to include, subject to the limitations set forth above, any legal or other expenses incurred by such Indemnified Person in connection with any such action or claim. Notwithstanding the provisions of paragraphs (d) and (e) of this Section 7, in no event shall an Underwriter be required to contribute any amount in excess of the amount by which the total underwriting discounts and commissions received by such Underwriter with respect to the offering of the Securities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pursuant to paragraphs (d) and (e) of this Section 7 are several in proportion to their respective purchase obligations hereunder and not joint.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 xml:space="preserve">Non-Exclusive Remedies. </w:t>
      </w:r>
      <w:r>
        <w:rPr>
          <w:rFonts w:ascii="Times New Roman" w:hAnsi="Times New Roman"/>
          <w:sz w:val="20"/>
        </w:rPr>
        <w:t xml:space="preserve">The remedies provided for in this Section 7 are not exclusive and shall not limit any rights or remedies which may otherwise be available to any Indemnified Person at law or in equity.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Effectiveness of Agreement</w:t>
      </w:r>
      <w:r>
        <w:rPr>
          <w:rFonts w:ascii="Times New Roman" w:hAnsi="Times New Roman"/>
          <w:sz w:val="20"/>
        </w:rPr>
        <w:t xml:space="preserve">. This Agreement shall become effective upon the execution and delivery hereof by the parties hereto.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Termination</w:t>
      </w:r>
      <w:r>
        <w:rPr>
          <w:rFonts w:ascii="Times New Roman" w:hAnsi="Times New Roman"/>
          <w:sz w:val="20"/>
        </w:rPr>
        <w:t xml:space="preserve">. This Agreement may be terminated in the absolute discretion of the Representatives, by notice to the Company and the Guarantor, if after the execution and delivery of this Agreement and prior to the Closing Date (i) trading generally shall have been suspended or materially limited on or by the New York Stock Exchange; (ii) trading of any securities issued or guaranteed by the Guarantor shall have been suspended on any exchange or in any over-the-counter market; (iii) a general moratorium on commercial banking activities shall have been declared by Dutch, New York State or U.S. federal authorities or (iv) there shall have occurred any outbreak or escalation of hostilities or any change in financial markets or any calamity or crisis, either within or outside the United States, that, in the judgment of the Representatives, is so material and adverse that it makes it impracticable or inadvisable to proceed with the offering, sale or delivery of the Notes on the Closing Date on the terms and in the manner contemplated by this Agreement and the Disclosure Package. Any termination pursuant to this Section 9 shall be without liability on the part of any party hereto to any other party, except that the provisions of Section 7 hereof shall at all times be effective and shall survive such termination.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 xml:space="preserve">Defaulting Underwriter. </w:t>
      </w:r>
    </w:p>
    <w:p>
      <w:pPr>
        <w:pStyle w:val="TextBody"/>
        <w:bidi w:val="0"/>
        <w:spacing w:before="240" w:after="0"/>
        <w:jc w:val="left"/>
        <w:rPr>
          <w:rFonts w:ascii="Times New Roman" w:hAnsi="Times New Roman"/>
          <w:sz w:val="20"/>
        </w:rPr>
      </w:pPr>
      <w:r>
        <w:rPr>
          <w:rFonts w:ascii="Times New Roman" w:hAnsi="Times New Roman"/>
          <w:sz w:val="20"/>
        </w:rPr>
        <w:t xml:space="preserve">(a) If, on the Closing Date any Underwriter defaults on its obligation to purchase the Notes that it has agreed to purchase hereunder on such date, the non-defaulting Underwriters may in their discretion arrange for the purchase of such Notes by other persons satisfactory to the Company and the Guarantor on the terms contained in this Agreement. If, within 36 hours after any such default by any Underwriter, the non-defaulting Underwriters do not arrange for the purchase of such Notes, then the Company and the Guarantor shall be entitled to a further period of 36 hours within which to procure other persons satisfactory to the non-defaulting Underwriters to purchase such Notes on such terms. If other persons become obligated or agree to purchase the Notes of a defaulting Underwriter, either the non-defaulting Underwriters or the Company and the Guarantor may postpone the Closing Date for up to five full business days in order to effect any changes that in the opinion of counsel for the Company and the Guarantor or counsel for the Underwriters may be necessary in the Disclosure Package, the Prospectus or in any other document or arrangement, and the Company agrees to promptly prepare any amendment or supplement to the Registration Statement, the Disclosure Package and the Prospectus necessary that effects any such changes. As used in this Agreement, the term “Underwriter” includes, for all purposes of this Agreement unless the context otherwise requires, any person not listed in Schedule I hereto that, pursuant to this Section 10, purchases Notes that a defaulting Underwriter agreed but failed to purchase. </w:t>
      </w:r>
    </w:p>
    <w:p>
      <w:pPr>
        <w:pStyle w:val="TextBody"/>
        <w:bidi w:val="0"/>
        <w:spacing w:before="240" w:after="0"/>
        <w:jc w:val="left"/>
        <w:rPr>
          <w:rFonts w:ascii="Times New Roman" w:hAnsi="Times New Roman"/>
          <w:sz w:val="20"/>
        </w:rPr>
      </w:pPr>
      <w:r>
        <w:rPr>
          <w:rFonts w:ascii="Times New Roman" w:hAnsi="Times New Roman"/>
          <w:sz w:val="20"/>
        </w:rPr>
        <w:t xml:space="preserve">(b) If, after giving effect to any arrangements for the purchase of the Notes of a defaulting Underwriter or Underwriters by the non-defaulting Underwriters and the Company and the Guarantor as provided in paragraph (a) above, the aggregate notional amount of Notes that remain unpurchased on the Closing Date does not exceed one-eleventh of the aggregate principal amount of Notes to be purchased on such date, then the Company and the Guarantor shall have the right to require each non-defaulting Underwriter to purchase the principal amount of Notes that such Underwriter agreed to purchase hereunder on such date plus such Underwriter’s </w:t>
      </w:r>
      <w:r>
        <w:rPr>
          <w:rFonts w:ascii="Times New Roman" w:hAnsi="Times New Roman"/>
          <w:i/>
          <w:sz w:val="20"/>
        </w:rPr>
        <w:t xml:space="preserve">pro rata </w:t>
      </w:r>
      <w:r>
        <w:rPr>
          <w:rFonts w:ascii="Times New Roman" w:hAnsi="Times New Roman"/>
          <w:sz w:val="20"/>
        </w:rPr>
        <w:t xml:space="preserve">share (based on the notional amount of Notes that such Underwriter agreed to purchase on such date) of the Notes of such defaulting Underwriter or Underwriters for which such arrangements have not been made. </w:t>
      </w:r>
    </w:p>
    <w:p>
      <w:pPr>
        <w:pStyle w:val="TextBody"/>
        <w:bidi w:val="0"/>
        <w:spacing w:before="240" w:after="0"/>
        <w:jc w:val="left"/>
        <w:rPr>
          <w:rFonts w:ascii="Times New Roman" w:hAnsi="Times New Roman"/>
          <w:sz w:val="20"/>
        </w:rPr>
      </w:pPr>
      <w:r>
        <w:rPr>
          <w:rFonts w:ascii="Times New Roman" w:hAnsi="Times New Roman"/>
          <w:sz w:val="20"/>
        </w:rPr>
        <w:t xml:space="preserve">(c) If, after giving effect to any arrangements for the purchase of the Notes of a defaulting Underwriter or Underwriters by the non-defaulting Underwriters and the Company and the Guarantor as provided in paragraph (a) above, the aggregate notional amount of Notes that remain unpurchased on the Closing Date equals or exceeds one-eleventh of the aggregate principal amount of Notes to be purchased on such date, or if the Company and the Guarantor shall not exercise the right described in paragraph (b) above, then this Agreement shall terminate without liability on the part of the non-defaulting Underwriters. Any termination of this Agreement pursuant to this Section 10 shall be without liability on the part of the Company and the Guarantor, except that the Company and the Guarantor will continue to be liable for the payment of expenses as set forth in Section 11 hereof and except that the provisions of Section 7 hereof shall not terminate and shall remain in effect. </w:t>
      </w:r>
    </w:p>
    <w:p>
      <w:pPr>
        <w:pStyle w:val="TextBody"/>
        <w:bidi w:val="0"/>
        <w:spacing w:before="240" w:after="0"/>
        <w:jc w:val="left"/>
        <w:rPr>
          <w:rFonts w:ascii="Times New Roman" w:hAnsi="Times New Roman"/>
          <w:sz w:val="20"/>
        </w:rPr>
      </w:pPr>
      <w:r>
        <w:rPr>
          <w:rFonts w:ascii="Times New Roman" w:hAnsi="Times New Roman"/>
          <w:sz w:val="20"/>
        </w:rPr>
        <w:t xml:space="preserve">(d) Nothing contained herein shall relieve a defaulting Underwriter of any liability it may have to the Company and the Guarantor or any non-defaulting Underwriter for damages caused by its default.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Payment of Expenses.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Whether or not the transactions contemplated by this Agreement are consummated or this Agreement is terminated, the Company and the Guarantor will pay or cause to be paid all reasonable costs and expenses incident to the performance of its obligations hereunder (together with any irrecoverable VAT payable in respect of such costs or expenses), including without limitation, (i) the costs incident to the authorization, issuance, sale, preparation and delivery of the Notes and any taxes payable in that connection, excluding for the avoidance of doubt any VAT, documentary, stamp, registration or similar issuance tax actually indemnified and paid under Section 4(j); (ii) the costs in connection with the preparation, printing, filing, shipping and distribution of the Registration Statement, the Preliminary Prospectus, the Prospectus, any free writing prospectus and all amendments and supplements thereto; (iii) the costs of reproducing and distributing this Agreement; (iv) the fees and expenses of counsel of the Company and the Guarantor and independent accountants; (v) the fees and expenses incurred in connection with the qualification and determination of eligibility for investment of the Notes under the state or foreign securities or blue sky laws of such jurisdictions as the Representatives may designate and the preparation, printing and distribution of a Blue Sky Memorandum (including the related reasonable fees and expenses of counsel for the Underwriters in an amount not to exceed $5,000 for the offering contemplated by this Agreement); (vi) the cost of preparing certificates of global notes representing the Notes, if any; (vii) the costs and charges of the Trustee, any paying agent, transfer agent and any registrar; (viii) all expenses and application fees incurred in connection with any filing with, and clearance of the offering by, FINRA, if required (including the related reasonable fees and expenses of counsel for the Underwriters in an amount not to exceed $5,000 for the offering contemplated by this Agreement (it being agreed and understood that any other related expenses, including filing fees, shall be reimbursed in full)); (ix) any fees payable in connection with the rating of the Notes with the nationally recognized statistical rating organizations; and (x) all expenses incurred by the Company and the Guarantor in connection with any “road show” presentation, if any, to potential investors. It is understood that except as provided in this Section 11 and Section 7, the Underwriters will pay all of their costs and expenses, including fees and disbursements of their counsel, share transfer taxes payable on resale of any of the Notes by them and any advertising expenses connected with any offers they may make, with all such expenses paid by each Underwriter in proportion to its pro rata share (based on the notional amount of Securities that each Underwriter agreed to purchase). </w:t>
      </w:r>
    </w:p>
    <w:p>
      <w:pPr>
        <w:pStyle w:val="TextBody"/>
        <w:bidi w:val="0"/>
        <w:spacing w:before="240" w:after="0"/>
        <w:jc w:val="left"/>
        <w:rPr>
          <w:rFonts w:ascii="Times New Roman" w:hAnsi="Times New Roman"/>
          <w:sz w:val="20"/>
        </w:rPr>
      </w:pPr>
      <w:r>
        <w:rPr>
          <w:rFonts w:ascii="Times New Roman" w:hAnsi="Times New Roman"/>
          <w:sz w:val="20"/>
        </w:rPr>
        <w:t xml:space="preserve">(b) If (A) this Agreement is terminated pursuant to Section 9(ii), where there has been no general suspension or material limitation on trading described in Section 9(i), (B) the Company fails to tender the Notes for delivery to the Underwriters as obligated hereunder or under the Indenture or (C) the Underwriters decline to purchase the Notes as a result of a breach of the obligations of the Company or the Guarantor under this Agreement or a failure to satisfy the conditions in Sections 5(a), (b), (c), (e), (f), (g), (h), (i), (j) and (n) the Company and the Guarantor agree to reimburse the Underwriters for all reasonable out of pocket costs and expenses (including reasonable fees and expenses of their counsel) reasonably incurred by the Underwriters in connection with this Agreement and the offering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Persons Entitled to Benefit of Agreement.</w:t>
      </w:r>
      <w:r>
        <w:rPr>
          <w:rFonts w:ascii="Times New Roman" w:hAnsi="Times New Roman"/>
          <w:sz w:val="20"/>
        </w:rPr>
        <w:t xml:space="preserve"> This Agreement shall inure to the benefit of and be binding upon the parties hereto and their respective successors and the officers and directors and any controlling persons referred to in Section 7 hereof. Nothing in this Agreement is intended or shall be construed to give any other person any legal or equitable right, remedy or claim under or in respect of this Agreement or any provision contained herein. No purchaser of Notes from any Underwriter shall be deemed to be a successor merely by reason of such purchase.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Survival</w:t>
      </w:r>
      <w:r>
        <w:rPr>
          <w:rFonts w:ascii="Times New Roman" w:hAnsi="Times New Roman"/>
          <w:sz w:val="20"/>
        </w:rPr>
        <w:t xml:space="preserve">. The respective indemnities, rights of contribution, representations, warranties and agreements of the Company, the Guarantor and the Underwriters contained in this Agreement or made by or on behalf of the Company, the Guarantor or the Underwriters pursuant to this Agreement or any certificate delivered pursuant hereto shall survive the delivery of and payment for the Notes and shall remain in full force and effect, regardless of any termination of this Agreement or any investigation made by or on behalf of the Company, the Guarantor or the Underwriters. </w:t>
      </w:r>
    </w:p>
    <w:p>
      <w:pPr>
        <w:pStyle w:val="TextBody"/>
        <w:bidi w:val="0"/>
        <w:spacing w:before="24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Certain Defined Terms</w:t>
      </w:r>
      <w:r>
        <w:rPr>
          <w:rFonts w:ascii="Times New Roman" w:hAnsi="Times New Roman"/>
          <w:sz w:val="20"/>
        </w:rPr>
        <w:t xml:space="preserve">. For purposes of this Agreement, (i) except where otherwise expressly provided, the term “affiliate” has the meaning set forth in Rule 501(b) under the Securities Act; (ii) the term “business day” means any day other than a day on which banks are permitted or required to be closed in New York City or London; and (iii) the term “subsidiary” has the meaning set forth in Rule 405 under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15. </w:t>
      </w:r>
      <w:r>
        <w:rPr>
          <w:rFonts w:ascii="Times New Roman" w:hAnsi="Times New Roman"/>
          <w:sz w:val="20"/>
          <w:u w:val="single"/>
        </w:rPr>
        <w:t>Miscellaneous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Notices</w:t>
      </w:r>
      <w:r>
        <w:rPr>
          <w:rFonts w:ascii="Times New Roman" w:hAnsi="Times New Roman"/>
          <w:sz w:val="20"/>
        </w:rPr>
        <w:t xml:space="preserve">. All notices and other communications hereunder shall be in writing and shall be deemed to have been duly given if mailed or transmitted and confirmed by any standard form of telecommunication. Notices to the Underwriters shall be given to the Representatives c/o Citigroup Global Markets Inc., 388 Greenwich Street, New York, NY 10013, Attention: General Counsel (fax: +1 646 291 1469); Deutsche Bank Securities Inc., 1 Columbus Circle New York, New York 10019, Attention: Debt Capital Markets Syndicate, with a copy at the same address to Attention: General Counsel Email: </w:t>
      </w:r>
      <w:r>
        <w:rPr>
          <w:rFonts w:ascii="Times New Roman" w:hAnsi="Times New Roman"/>
          <w:sz w:val="20"/>
          <w:u w:val="single"/>
        </w:rPr>
        <w:t>dbcapmarkets.gcnotices@list.db.com</w:t>
      </w:r>
      <w:r>
        <w:rPr>
          <w:rFonts w:ascii="Times New Roman" w:hAnsi="Times New Roman"/>
          <w:sz w:val="20"/>
        </w:rPr>
        <w:t xml:space="preserve">; Goldman Sachs &amp; Co. LLC, 200 West Street, New York, New York 10282; Attention: Registration Department; Intesa Sanpaolo IMI Securities Corp., 1 William Street, New York, New York 10282, Attention: Debt Capital Markets (tel: +1 877 792 1374; email: dcm.ny@intesasanpaolo.com); Morgan Stanley &amp; Co. LLC, 1585 Broadway, 29th Floor, New York, New York 10036 (fax: +1-212-507-8999), Attention: Investment Banking Division; RBC Capital Markets, LLC, Brookfield Place, 200 Vesey Street, 8th Floor, New York, New York 10281 (tel: +1-212-618-7706), Attention: DCM Transaction Management/Scott Primrose; SMBC Nikko Securities America, Inc., 277 Park Avenue, New York, NY 10172; Attention: Debt Capital Markets (tel: 1-212-224-5135; email: NikkoGCNotices@smbcnikko-si.com). Notices to the Guarantor shall be given to it at Stellantis N.V., Taurusavenue 1, 2132 LS Hoofddorp, the Netherlands (email: ferrante.zileri@stellantis.com); Attention: Ferrante Zileri Dal Verme, with a copy to Sullivan &amp; Cromwell LLP, 125 Broad Street, New York, NY 10004 (email: millersc@sullcrom.com), Attention: Scott D. Miller, and 1 New Fetter Lane, London EC4A 1AN, United Kingdom (email: deVitoPiscicelliO@sullcrom.com), Attention: Oderisio de Vito Piscicelli. Notices to the Company shall be given to it at Stellantis Finance US Inc., 1000 Chrysler Drive, Auburn Hills, Michigan 48326 (email: david.gubbini@stellantis.com); Attention: David Gubbini, with a copy to Sullivan &amp; Cromwell LLP, 125 Broad Street, New York, NY 10004 (email: millersc@sullcrom.com), Attention: Scott D. Miller, and 1 New Fetter Lane, London EC4A 1AN, United Kingdom (email: deVitoPiscicelliO@sullcrom.com), Attention: Oderisio de Vito Piscicelli.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 xml:space="preserve">Governing Law. </w:t>
      </w:r>
      <w:r>
        <w:rPr>
          <w:rFonts w:ascii="Times New Roman" w:hAnsi="Times New Roman"/>
          <w:sz w:val="20"/>
        </w:rPr>
        <w:t xml:space="preserve">This Agreement and any claim, controversy or dispute arising under or related to this Agreement shall be governed by and construed in accordance with the laws of the State of New York applicable to agreements made and to be performed in such state.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Waiver of Immunity</w:t>
      </w:r>
      <w:r>
        <w:rPr>
          <w:rFonts w:ascii="Times New Roman" w:hAnsi="Times New Roman"/>
          <w:sz w:val="20"/>
        </w:rPr>
        <w:t xml:space="preserve">. To the extent that the Company and the Guarantor have or hereafter may acquire any immunity (sovereign or otherwise) from jurisdiction of any court of (i) the Netherlands, or any political subdivision thereof, (ii) the United States, the State of New York or any political subdivision thereof; or (iii) any jurisdiction in which it owns or leases property or assets (including without limitation Italy, or any political subdivision thereof) or from any legal process (whether through service of notice, attachment prior to judgment, attachment in aid of execution, execution, set-off or otherwise) with respect to themselves or their respective property and assets or this Agreement, the Company and the Guarantor hereby irrevocably waive such immunity in respect of its obligations under this Agreement to the fullest extent permitted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Submission to Jurisdiction</w:t>
      </w:r>
      <w:r>
        <w:rPr>
          <w:rFonts w:ascii="Times New Roman" w:hAnsi="Times New Roman"/>
          <w:sz w:val="20"/>
        </w:rPr>
        <w:t xml:space="preserve">. The Company, the Guarantor and the Underwriters hereby submit to the non-exclusive jurisdiction of the U.S. federal and New York state courts in the Borough of Manhattan in The City of New York in any suit or proceeding arising out of or relating to this Agreement or the transactions contemplated hereby. The Company and the Guarantor waive any objection which it may now or hereafter have to the laying of venue of any such suit or proceeding in such courts. The Company and the Guarantor agree that final judgment in any such suit, action or proceeding brought in such court shall be conclusive and binding upon the Company or the Guarantor and may be enforced in any court to the jurisdiction of which Company or the Guarantor are subject by a suit upon such judgment. The Guarantor irrevocably appoints Fiat Chrysler Finance North America, Inc., 1000 Chrysler Drive, Auburn Hills, MI 48326, as its authorized agent upon which process may be served in any such suit or proceeding, and agrees to accept service of process upon such authorized agent, accompanied by written notice of such service to the Guarantor by the person serving the same to the address provided in this Section 15, and not dispute that such service will be in every respect effective service of process upon the Guarantor in any such suit or proceeding. The Guarantor hereby represents and warrants that such authorized agent has accepted such appointment and has agreed to act as such authorized agent for service of process.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 xml:space="preserve">Recognition of U.S. Special Resolution Regimes.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that any Underwriter that is a Covered Entity and it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used in this Section 15(e): </w:t>
      </w:r>
    </w:p>
    <w:p>
      <w:pPr>
        <w:pStyle w:val="TextBody"/>
        <w:bidi w:val="0"/>
        <w:spacing w:before="120" w:after="0"/>
        <w:jc w:val="left"/>
        <w:rPr/>
      </w:pPr>
      <w:r>
        <w:rPr/>
        <w:t>“</w:t>
      </w:r>
      <w:r>
        <w:rPr>
          <w:rFonts w:ascii="Times New Roman" w:hAnsi="Times New Roman"/>
          <w:sz w:val="20"/>
        </w:rPr>
        <w:t xml:space="preserve">BHC Act Affiliate” has the meaning assigned to the term “affiliate” in, and shall be interpreted in accordance with, 12 U.S.C. § 1841(k). </w:t>
      </w:r>
    </w:p>
    <w:p>
      <w:pPr>
        <w:pStyle w:val="TextBody"/>
        <w:bidi w:val="0"/>
        <w:spacing w:before="120" w:after="0"/>
        <w:jc w:val="left"/>
        <w:rPr/>
      </w:pPr>
      <w:r>
        <w:rPr/>
        <w:t>“</w:t>
      </w:r>
      <w:r>
        <w:rPr>
          <w:rFonts w:ascii="Times New Roman" w:hAnsi="Times New Roman"/>
          <w:sz w:val="20"/>
        </w:rPr>
        <w:t xml:space="preserve">Covered Entity” means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7"/>
        <w:gridCol w:w="8882"/>
      </w:tblGrid>
      <w:tr>
        <w:trPr/>
        <w:tc>
          <w:tcPr>
            <w:tcW w:w="91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a “covered entity” as that term is defined in, and interpreted in accordance with, 12 C.F.R. § 252.82(b);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(ii) a “covered bank” as that term is defined in, and interpreted in accordance with, 12 C.F.R. § 47.3(b);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(iii) a “covered FSI” as that term is defined in, and interpreted in accordance with, 12 C.F.R. § 382.2(b). </w:t>
            </w:r>
          </w:p>
        </w:tc>
      </w:tr>
    </w:tbl>
    <w:p>
      <w:pPr>
        <w:pStyle w:val="TextBody"/>
        <w:bidi w:val="0"/>
        <w:spacing w:before="120" w:after="0"/>
        <w:jc w:val="left"/>
        <w:rPr/>
      </w:pPr>
      <w:r>
        <w:rPr/>
        <w:t>“</w:t>
      </w:r>
      <w:r>
        <w:rPr>
          <w:rFonts w:ascii="Times New Roman" w:hAnsi="Times New Roman"/>
          <w:sz w:val="20"/>
        </w:rPr>
        <w:t xml:space="preserve">Default Right” has the meaning assigned to that term in, and shall be interpreted in accordance with, 12 C.F.R. §§ 252.81, 47.2 or 382.1, as applicable. </w:t>
      </w:r>
    </w:p>
    <w:p>
      <w:pPr>
        <w:pStyle w:val="TextBody"/>
        <w:bidi w:val="0"/>
        <w:spacing w:before="120" w:after="0"/>
        <w:jc w:val="left"/>
        <w:rPr/>
      </w:pPr>
      <w:r>
        <w:rPr/>
        <w:t>“</w:t>
      </w:r>
      <w:r>
        <w:rPr>
          <w:rFonts w:ascii="Times New Roman" w:hAnsi="Times New Roman"/>
          <w:sz w:val="20"/>
        </w:rPr>
        <w:t xml:space="preserve">U.S. Special Resolution Regime” means each of (i) the Federal Deposit Insurance Act and the regulations promulgated thereunder and (ii) Title II of the Dodd-Frank Wall Street Reform and Consumer Protection Act and the regulations promulgated thereunder.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Recognition of bail-in</w:t>
      </w:r>
      <w:r>
        <w:rPr>
          <w:rFonts w:ascii="Times New Roman" w:hAnsi="Times New Roman"/>
          <w:sz w:val="20"/>
        </w:rPr>
        <w:t xml:space="preserve">. Notwithstanding and to the exclusion of any other term of this Agreement, or any other agreements, arrangements, or understandings between the Company, the Guarantor, and the Underwriters, each of the Company and the Guarantor acknowledges and accepts that a BRRD Liability arising under this Agreement may be subject to the exercise of Bail-in Powers by the Relevant Resolution Authority and acknowledges, accepts, consents and agrees to be bound 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 of the exercise of Bail-in Powers by any Relevant Resolution Authority in relation to any BRRD Liability of any Underwriter to the Company or the Guarantor, under this Agreement that (without limitation) may include and result in any of the following, or some combination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631"/>
        <w:gridCol w:w="611"/>
        <w:gridCol w:w="7963"/>
      </w:tblGrid>
      <w:tr>
        <w:trPr/>
        <w:tc>
          <w:tcPr>
            <w:tcW w:w="1631"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(1)</w:t>
            </w:r>
          </w:p>
        </w:tc>
        <w:tc>
          <w:tcPr>
            <w:tcW w:w="796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reduction of all, or a portion, of any BRRD Liability or outstanding amounts due thereon;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631"/>
        <w:gridCol w:w="612"/>
        <w:gridCol w:w="7962"/>
      </w:tblGrid>
      <w:tr>
        <w:trPr/>
        <w:tc>
          <w:tcPr>
            <w:tcW w:w="1631"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(2)</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conversion of all, or a portion, of any BRRD Liability into shares, other securities or other obligations of any Underwriter or another person (and the issue to or conferral on the Company or the Guarantor of such shares, securities or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7"/>
        <w:gridCol w:w="406"/>
        <w:gridCol w:w="7962"/>
      </w:tblGrid>
      <w:tr>
        <w:trPr/>
        <w:tc>
          <w:tcPr>
            <w:tcW w:w="183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(3)</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cancellation of any BRRD Liability;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7"/>
        <w:gridCol w:w="7962"/>
      </w:tblGrid>
      <w:tr>
        <w:trPr/>
        <w:tc>
          <w:tcPr>
            <w:tcW w:w="183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(4)</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amendment or alteration of any interest, if applicable, thereon, the maturity or the dates on which any payments are due, including by suspending payment for a temporary period;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variation of the terms of this Agreement, as deemed necessary by the Relevant Resolution Authority, to give effect to the exercise of Bail-in Power by any Relevant Resolution Authority.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this Section 15(f): </w:t>
      </w:r>
    </w:p>
    <w:p>
      <w:pPr>
        <w:pStyle w:val="TextBody"/>
        <w:bidi w:val="0"/>
        <w:spacing w:before="240" w:after="0"/>
        <w:jc w:val="left"/>
        <w:rPr/>
      </w:pPr>
      <w:r>
        <w:rPr/>
        <w:t>“</w:t>
      </w:r>
      <w:r>
        <w:rPr>
          <w:rFonts w:ascii="Times New Roman" w:hAnsi="Times New Roman"/>
          <w:sz w:val="20"/>
        </w:rPr>
        <w:t xml:space="preserve">Bail-in Legislation” means in relation to a member state of the European Economic Area which has implemented, or which at any time implements, the BRRD, the relevant implementing law, regulation, rule or requirement as described in the EU Bail-in Legislation Schedule from time to time; </w:t>
      </w:r>
    </w:p>
    <w:p>
      <w:pPr>
        <w:pStyle w:val="TextBody"/>
        <w:bidi w:val="0"/>
        <w:spacing w:before="240" w:after="0"/>
        <w:jc w:val="left"/>
        <w:rPr/>
      </w:pPr>
      <w:r>
        <w:rPr/>
        <w:t>“</w:t>
      </w:r>
      <w:r>
        <w:rPr>
          <w:rFonts w:ascii="Times New Roman" w:hAnsi="Times New Roman"/>
          <w:sz w:val="20"/>
        </w:rPr>
        <w:t xml:space="preserve">Bail-in Powers” means any Write-down and Conversion Powers as defined in the EU Bail-in Legislation Schedule, in relation to the relevant Bail-in Legislation; </w:t>
      </w:r>
    </w:p>
    <w:p>
      <w:pPr>
        <w:pStyle w:val="TextBody"/>
        <w:bidi w:val="0"/>
        <w:spacing w:before="240" w:after="0"/>
        <w:jc w:val="left"/>
        <w:rPr/>
      </w:pPr>
      <w:r>
        <w:rPr/>
        <w:t>“</w:t>
      </w:r>
      <w:r>
        <w:rPr>
          <w:rFonts w:ascii="Times New Roman" w:hAnsi="Times New Roman"/>
          <w:sz w:val="20"/>
        </w:rPr>
        <w:t xml:space="preserve">BRRD” means Directive 2014/59/EU establishing a framework for the recovery and resolution of credit institutions and investment firms, as amended; </w:t>
      </w:r>
    </w:p>
    <w:p>
      <w:pPr>
        <w:pStyle w:val="TextBody"/>
        <w:bidi w:val="0"/>
        <w:spacing w:before="240" w:after="0"/>
        <w:jc w:val="left"/>
        <w:rPr/>
      </w:pPr>
      <w:r>
        <w:rPr/>
        <w:t>“</w:t>
      </w:r>
      <w:r>
        <w:rPr>
          <w:rFonts w:ascii="Times New Roman" w:hAnsi="Times New Roman"/>
          <w:sz w:val="20"/>
        </w:rPr>
        <w:t xml:space="preserve">BRRD Liability” means a liability in respect of which the relevant Bail-in Powers may be exercised; </w:t>
      </w:r>
    </w:p>
    <w:p>
      <w:pPr>
        <w:pStyle w:val="TextBody"/>
        <w:bidi w:val="0"/>
        <w:spacing w:before="240" w:after="0"/>
        <w:jc w:val="left"/>
        <w:rPr/>
      </w:pPr>
      <w:r>
        <w:rPr/>
        <w:t>“</w:t>
      </w:r>
      <w:r>
        <w:rPr>
          <w:rFonts w:ascii="Times New Roman" w:hAnsi="Times New Roman"/>
          <w:sz w:val="20"/>
        </w:rPr>
        <w:t xml:space="preserve">EU Bail-in Legislation Schedule” means the document described as such, then in effect, and published by the Loan Market Association (or any successor person) from time to time at http://www.lma.eu.com/pages.aspx?p=499; and </w:t>
      </w:r>
    </w:p>
    <w:p>
      <w:pPr>
        <w:pStyle w:val="TextBody"/>
        <w:bidi w:val="0"/>
        <w:spacing w:before="240" w:after="0"/>
        <w:jc w:val="left"/>
        <w:rPr/>
      </w:pPr>
      <w:r>
        <w:rPr/>
        <w:t>“</w:t>
      </w:r>
      <w:r>
        <w:rPr>
          <w:rFonts w:ascii="Times New Roman" w:hAnsi="Times New Roman"/>
          <w:sz w:val="20"/>
        </w:rPr>
        <w:t xml:space="preserve">Relevant Resolution Authority” means each resolution authority with the ability to exercise any Bail-in Powers in relation to any Underwriter.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Counterparts</w:t>
      </w:r>
      <w:r>
        <w:rPr>
          <w:rFonts w:ascii="Times New Roman" w:hAnsi="Times New Roman"/>
          <w:sz w:val="20"/>
        </w:rPr>
        <w:t xml:space="preserve">. This Agreement may be signed in counterparts (which may include counterparts delivered by any standard form of telecommunication), each of which shall be an original and all of which together shall constitute one and the same instrument.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 xml:space="preserve">Patriot Act. </w:t>
      </w:r>
      <w:r>
        <w:rPr>
          <w:rFonts w:ascii="Times New Roman" w:hAnsi="Times New Roman"/>
          <w:sz w:val="20"/>
        </w:rPr>
        <w:t xml:space="preserve">The Underwriters hereby notify the Company and the Guarantor that, pursuant to the requirements of the USA Patriot Act (Title III of Pub. L. 107-56 (signed into law October 26, 2001)), they are required to obtain, verify and record information that identifies their respective clients, including the Company and the Guarantor, which information may include the name and address of the Company and the Guarantor, as well as other information that will allow the Underwriters to properly identify the Company and the Guarantor in accordance with the USA Patriot Act.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Amendments or Waivers</w:t>
      </w:r>
      <w:r>
        <w:rPr>
          <w:rFonts w:ascii="Times New Roman" w:hAnsi="Times New Roman"/>
          <w:sz w:val="20"/>
        </w:rPr>
        <w:t xml:space="preserve">. No amendment or waiver of any provision of this Agreement, nor any consent or approval to any departure therefrom, shall in any event be effective unless the same shall be in writing and signed by the parties hereto.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Headings</w:t>
      </w:r>
      <w:r>
        <w:rPr>
          <w:rFonts w:ascii="Times New Roman" w:hAnsi="Times New Roman"/>
          <w:sz w:val="20"/>
        </w:rPr>
        <w:t xml:space="preserve">. The headings herein are included for convenience of reference only and are not intended to be part of, or to affect the meaning or interpretation of, this Agreement.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pages follow</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the foregoing is in accordance with your understanding, please indicate your acceptance of this Agreement by signing in the space provided below.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65"/>
        <w:gridCol w:w="60"/>
        <w:gridCol w:w="660"/>
        <w:gridCol w:w="60"/>
        <w:gridCol w:w="2937"/>
      </w:tblGrid>
      <w:tr>
        <w:trPr/>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37"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Very truly yours,</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STELLANTIS FINANCE US INC.</w:t>
            </w:r>
          </w:p>
        </w:tc>
      </w:tr>
      <w:tr>
        <w:trPr>
          <w:trHeight w:val="240" w:hRule="atLeast"/>
        </w:trPr>
        <w:tc>
          <w:tcPr>
            <w:tcW w:w="365" w:type="dxa"/>
            <w:tcBorders/>
            <w:vAlign w:val="center"/>
          </w:tcPr>
          <w:p>
            <w:pPr>
              <w:pStyle w:val="TableContents"/>
              <w:bidi w:val="0"/>
              <w:spacing w:before="0" w:after="283"/>
              <w:jc w:val="left"/>
              <w:rPr>
                <w:sz w:val="4"/>
                <w:szCs w:val="4"/>
              </w:rPr>
            </w:pPr>
            <w:r>
              <w:rPr>
                <w:sz w:val="4"/>
                <w:szCs w:val="4"/>
              </w:rPr>
            </w:r>
          </w:p>
        </w:tc>
        <w:tc>
          <w:tcPr>
            <w:tcW w:w="3717" w:type="dxa"/>
            <w:gridSpan w:val="4"/>
            <w:tcBorders/>
            <w:vAlign w:val="center"/>
          </w:tcPr>
          <w:p>
            <w:pPr>
              <w:pStyle w:val="TableContents"/>
              <w:bidi w:val="0"/>
              <w:spacing w:before="0" w:after="283"/>
              <w:jc w:val="left"/>
              <w:rPr>
                <w:sz w:val="4"/>
                <w:szCs w:val="4"/>
              </w:rPr>
            </w:pPr>
            <w:r>
              <w:rPr>
                <w:sz w:val="4"/>
                <w:szCs w:val="4"/>
              </w:rPr>
            </w:r>
          </w:p>
        </w:tc>
      </w:tr>
      <w:tr>
        <w:trPr/>
        <w:tc>
          <w:tcPr>
            <w:tcW w:w="36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7"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Ferrante Zileri Dal Verme</w:t>
            </w:r>
          </w:p>
        </w:tc>
      </w:tr>
      <w:tr>
        <w:trPr/>
        <w:tc>
          <w:tcPr>
            <w:tcW w:w="36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60"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37" w:type="dxa"/>
            <w:tcBorders/>
          </w:tcPr>
          <w:p>
            <w:pPr>
              <w:pStyle w:val="TableContents"/>
              <w:bidi w:val="0"/>
              <w:spacing w:before="0" w:after="283"/>
              <w:jc w:val="left"/>
              <w:rPr/>
            </w:pPr>
            <w:r>
              <w:rPr/>
              <w:t>Ferrante Zileri Dal Verme</w:t>
            </w:r>
          </w:p>
        </w:tc>
      </w:tr>
      <w:tr>
        <w:trPr/>
        <w:tc>
          <w:tcPr>
            <w:tcW w:w="36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60"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37" w:type="dxa"/>
            <w:tcBorders/>
          </w:tcPr>
          <w:p>
            <w:pPr>
              <w:pStyle w:val="TableContents"/>
              <w:bidi w:val="0"/>
              <w:spacing w:before="0" w:after="283"/>
              <w:jc w:val="left"/>
              <w:rPr/>
            </w:pPr>
            <w:r>
              <w:rPr/>
              <w:t>President</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STELLANTIS N.V.</w:t>
            </w:r>
          </w:p>
        </w:tc>
      </w:tr>
      <w:tr>
        <w:trPr>
          <w:trHeight w:val="240" w:hRule="atLeast"/>
        </w:trPr>
        <w:tc>
          <w:tcPr>
            <w:tcW w:w="365" w:type="dxa"/>
            <w:tcBorders/>
            <w:vAlign w:val="center"/>
          </w:tcPr>
          <w:p>
            <w:pPr>
              <w:pStyle w:val="TableContents"/>
              <w:bidi w:val="0"/>
              <w:spacing w:before="0" w:after="283"/>
              <w:jc w:val="left"/>
              <w:rPr>
                <w:sz w:val="4"/>
                <w:szCs w:val="4"/>
              </w:rPr>
            </w:pPr>
            <w:r>
              <w:rPr>
                <w:sz w:val="4"/>
                <w:szCs w:val="4"/>
              </w:rPr>
            </w:r>
          </w:p>
        </w:tc>
        <w:tc>
          <w:tcPr>
            <w:tcW w:w="3717" w:type="dxa"/>
            <w:gridSpan w:val="4"/>
            <w:tcBorders/>
            <w:vAlign w:val="center"/>
          </w:tcPr>
          <w:p>
            <w:pPr>
              <w:pStyle w:val="TableContents"/>
              <w:bidi w:val="0"/>
              <w:spacing w:before="0" w:after="283"/>
              <w:jc w:val="left"/>
              <w:rPr>
                <w:sz w:val="4"/>
                <w:szCs w:val="4"/>
              </w:rPr>
            </w:pPr>
            <w:r>
              <w:rPr>
                <w:sz w:val="4"/>
                <w:szCs w:val="4"/>
              </w:rPr>
            </w:r>
          </w:p>
        </w:tc>
      </w:tr>
      <w:tr>
        <w:trPr/>
        <w:tc>
          <w:tcPr>
            <w:tcW w:w="36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7"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Ferrante Zileri Dal Verme</w:t>
            </w:r>
          </w:p>
        </w:tc>
      </w:tr>
      <w:tr>
        <w:trPr/>
        <w:tc>
          <w:tcPr>
            <w:tcW w:w="36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60"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37" w:type="dxa"/>
            <w:tcBorders/>
          </w:tcPr>
          <w:p>
            <w:pPr>
              <w:pStyle w:val="TableContents"/>
              <w:bidi w:val="0"/>
              <w:spacing w:before="0" w:after="283"/>
              <w:jc w:val="left"/>
              <w:rPr/>
            </w:pPr>
            <w:r>
              <w:rPr/>
              <w:t>Ferrante Zileri Dal Verme</w:t>
            </w:r>
          </w:p>
        </w:tc>
      </w:tr>
      <w:tr>
        <w:trPr/>
        <w:tc>
          <w:tcPr>
            <w:tcW w:w="36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60"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37" w:type="dxa"/>
            <w:tcBorders/>
          </w:tcPr>
          <w:p>
            <w:pPr>
              <w:pStyle w:val="TableContents"/>
              <w:bidi w:val="0"/>
              <w:spacing w:before="0" w:after="283"/>
              <w:jc w:val="left"/>
              <w:rPr/>
            </w:pPr>
            <w:r>
              <w:rPr/>
              <w:t>Group Treasurer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Underwriting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Accepted: As of the date first written above </w:t>
      </w:r>
    </w:p>
    <w:p>
      <w:pPr>
        <w:pStyle w:val="TextBody"/>
        <w:bidi w:val="0"/>
        <w:spacing w:before="360" w:after="0"/>
        <w:jc w:val="left"/>
        <w:rPr>
          <w:rFonts w:ascii="Times New Roman" w:hAnsi="Times New Roman"/>
          <w:b/>
          <w:sz w:val="20"/>
        </w:rPr>
      </w:pPr>
      <w:r>
        <w:rPr>
          <w:rFonts w:ascii="Times New Roman" w:hAnsi="Times New Roman"/>
          <w:b/>
          <w:sz w:val="20"/>
        </w:rPr>
        <w:t xml:space="preserve">Citigroup Global Markets Inc. </w:t>
      </w:r>
    </w:p>
    <w:p>
      <w:pPr>
        <w:pStyle w:val="TextBody"/>
        <w:bidi w:val="0"/>
        <w:spacing w:before="0" w:after="0"/>
        <w:jc w:val="left"/>
        <w:rPr>
          <w:rFonts w:ascii="Times New Roman" w:hAnsi="Times New Roman"/>
          <w:sz w:val="20"/>
        </w:rPr>
      </w:pPr>
      <w:r>
        <w:rPr>
          <w:rFonts w:ascii="Times New Roman" w:hAnsi="Times New Roman"/>
          <w:sz w:val="20"/>
        </w:rPr>
        <w:t xml:space="preserve">388 Greenwich Street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10013 </w:t>
      </w:r>
    </w:p>
    <w:p>
      <w:pPr>
        <w:pStyle w:val="TextBody"/>
        <w:bidi w:val="0"/>
        <w:spacing w:before="0" w:after="0"/>
        <w:jc w:val="left"/>
        <w:rPr>
          <w:rFonts w:ascii="Times New Roman" w:hAnsi="Times New Roman"/>
          <w:sz w:val="20"/>
        </w:rPr>
      </w:pPr>
      <w:r>
        <w:rPr>
          <w:rFonts w:ascii="Times New Roman" w:hAnsi="Times New Roman"/>
          <w:sz w:val="20"/>
        </w:rPr>
        <w:t xml:space="preserve">United States of America </w:t>
      </w:r>
    </w:p>
    <w:p>
      <w:pPr>
        <w:pStyle w:val="TextBody"/>
        <w:bidi w:val="0"/>
        <w:spacing w:before="360" w:after="0"/>
        <w:jc w:val="left"/>
        <w:rPr>
          <w:rFonts w:ascii="Times New Roman" w:hAnsi="Times New Roman"/>
          <w:b/>
          <w:sz w:val="20"/>
        </w:rPr>
      </w:pPr>
      <w:r>
        <w:rPr>
          <w:rFonts w:ascii="Times New Roman" w:hAnsi="Times New Roman"/>
          <w:b/>
          <w:sz w:val="20"/>
        </w:rPr>
        <w:t xml:space="preserve">Deutsche Bank Securities Inc. </w:t>
      </w:r>
    </w:p>
    <w:p>
      <w:pPr>
        <w:pStyle w:val="TextBody"/>
        <w:bidi w:val="0"/>
        <w:spacing w:before="0" w:after="0"/>
        <w:jc w:val="left"/>
        <w:rPr>
          <w:rFonts w:ascii="Times New Roman" w:hAnsi="Times New Roman"/>
          <w:sz w:val="20"/>
        </w:rPr>
      </w:pPr>
      <w:r>
        <w:rPr>
          <w:rFonts w:ascii="Times New Roman" w:hAnsi="Times New Roman"/>
          <w:sz w:val="20"/>
        </w:rPr>
        <w:t xml:space="preserve">1 Columbus Circle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10019 </w:t>
      </w:r>
    </w:p>
    <w:p>
      <w:pPr>
        <w:pStyle w:val="TextBody"/>
        <w:bidi w:val="0"/>
        <w:spacing w:before="0" w:after="0"/>
        <w:jc w:val="left"/>
        <w:rPr>
          <w:rFonts w:ascii="Times New Roman" w:hAnsi="Times New Roman"/>
          <w:sz w:val="20"/>
        </w:rPr>
      </w:pPr>
      <w:r>
        <w:rPr>
          <w:rFonts w:ascii="Times New Roman" w:hAnsi="Times New Roman"/>
          <w:sz w:val="20"/>
        </w:rPr>
        <w:t xml:space="preserve">United States of America </w:t>
      </w:r>
    </w:p>
    <w:p>
      <w:pPr>
        <w:pStyle w:val="TextBody"/>
        <w:bidi w:val="0"/>
        <w:spacing w:before="360" w:after="0"/>
        <w:jc w:val="left"/>
        <w:rPr>
          <w:rFonts w:ascii="Times New Roman" w:hAnsi="Times New Roman"/>
          <w:b/>
          <w:sz w:val="20"/>
        </w:rPr>
      </w:pPr>
      <w:r>
        <w:rPr>
          <w:rFonts w:ascii="Times New Roman" w:hAnsi="Times New Roman"/>
          <w:b/>
          <w:sz w:val="20"/>
        </w:rPr>
        <w:t xml:space="preserve">Goldman Sachs &amp; Co. LLC </w:t>
      </w:r>
    </w:p>
    <w:p>
      <w:pPr>
        <w:pStyle w:val="TextBody"/>
        <w:bidi w:val="0"/>
        <w:spacing w:before="0" w:after="0"/>
        <w:jc w:val="left"/>
        <w:rPr>
          <w:rFonts w:ascii="Times New Roman" w:hAnsi="Times New Roman"/>
          <w:sz w:val="20"/>
        </w:rPr>
      </w:pPr>
      <w:r>
        <w:rPr>
          <w:rFonts w:ascii="Times New Roman" w:hAnsi="Times New Roman"/>
          <w:sz w:val="20"/>
        </w:rPr>
        <w:t xml:space="preserve">200 West Street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10282 </w:t>
      </w:r>
    </w:p>
    <w:p>
      <w:pPr>
        <w:pStyle w:val="TextBody"/>
        <w:bidi w:val="0"/>
        <w:spacing w:before="0" w:after="0"/>
        <w:jc w:val="left"/>
        <w:rPr>
          <w:rFonts w:ascii="Times New Roman" w:hAnsi="Times New Roman"/>
          <w:sz w:val="20"/>
        </w:rPr>
      </w:pPr>
      <w:r>
        <w:rPr>
          <w:rFonts w:ascii="Times New Roman" w:hAnsi="Times New Roman"/>
          <w:sz w:val="20"/>
        </w:rPr>
        <w:t xml:space="preserve">United States of America </w:t>
      </w:r>
    </w:p>
    <w:p>
      <w:pPr>
        <w:pStyle w:val="TextBody"/>
        <w:bidi w:val="0"/>
        <w:spacing w:before="360" w:after="0"/>
        <w:jc w:val="left"/>
        <w:rPr>
          <w:rFonts w:ascii="Times New Roman" w:hAnsi="Times New Roman"/>
          <w:b/>
          <w:sz w:val="20"/>
        </w:rPr>
      </w:pPr>
      <w:r>
        <w:rPr>
          <w:rFonts w:ascii="Times New Roman" w:hAnsi="Times New Roman"/>
          <w:b/>
          <w:sz w:val="20"/>
        </w:rPr>
        <w:t xml:space="preserve">Intesa Sanpaolo IMI Securities Corp. </w:t>
      </w:r>
    </w:p>
    <w:p>
      <w:pPr>
        <w:pStyle w:val="TextBody"/>
        <w:bidi w:val="0"/>
        <w:spacing w:before="0" w:after="0"/>
        <w:jc w:val="left"/>
        <w:rPr>
          <w:rFonts w:ascii="Times New Roman" w:hAnsi="Times New Roman"/>
          <w:sz w:val="20"/>
        </w:rPr>
      </w:pPr>
      <w:r>
        <w:rPr>
          <w:rFonts w:ascii="Times New Roman" w:hAnsi="Times New Roman"/>
          <w:sz w:val="20"/>
        </w:rPr>
        <w:t xml:space="preserve">1 William Street,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10004 </w:t>
      </w:r>
    </w:p>
    <w:p>
      <w:pPr>
        <w:pStyle w:val="TextBody"/>
        <w:bidi w:val="0"/>
        <w:spacing w:before="0" w:after="0"/>
        <w:jc w:val="left"/>
        <w:rPr>
          <w:rFonts w:ascii="Times New Roman" w:hAnsi="Times New Roman"/>
          <w:sz w:val="20"/>
        </w:rPr>
      </w:pPr>
      <w:r>
        <w:rPr>
          <w:rFonts w:ascii="Times New Roman" w:hAnsi="Times New Roman"/>
          <w:sz w:val="20"/>
        </w:rPr>
        <w:t xml:space="preserve">United States of America </w:t>
      </w:r>
    </w:p>
    <w:p>
      <w:pPr>
        <w:pStyle w:val="TextBody"/>
        <w:bidi w:val="0"/>
        <w:spacing w:before="360" w:after="0"/>
        <w:jc w:val="left"/>
        <w:rPr>
          <w:rFonts w:ascii="Times New Roman" w:hAnsi="Times New Roman"/>
          <w:b/>
          <w:sz w:val="20"/>
        </w:rPr>
      </w:pPr>
      <w:r>
        <w:rPr>
          <w:rFonts w:ascii="Times New Roman" w:hAnsi="Times New Roman"/>
          <w:b/>
          <w:sz w:val="20"/>
        </w:rPr>
        <w:t xml:space="preserve">Morgan Stanley &amp; Co. LLC </w:t>
      </w:r>
    </w:p>
    <w:p>
      <w:pPr>
        <w:pStyle w:val="TextBody"/>
        <w:bidi w:val="0"/>
        <w:spacing w:before="0" w:after="0"/>
        <w:jc w:val="left"/>
        <w:rPr>
          <w:rFonts w:ascii="Times New Roman" w:hAnsi="Times New Roman"/>
          <w:sz w:val="20"/>
        </w:rPr>
      </w:pPr>
      <w:r>
        <w:rPr>
          <w:rFonts w:ascii="Times New Roman" w:hAnsi="Times New Roman"/>
          <w:sz w:val="20"/>
        </w:rPr>
        <w:t xml:space="preserve">1585 Broadway, 29th Floor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10036 </w:t>
      </w:r>
    </w:p>
    <w:p>
      <w:pPr>
        <w:pStyle w:val="TextBody"/>
        <w:bidi w:val="0"/>
        <w:spacing w:before="0" w:after="0"/>
        <w:jc w:val="left"/>
        <w:rPr>
          <w:rFonts w:ascii="Times New Roman" w:hAnsi="Times New Roman"/>
          <w:sz w:val="20"/>
        </w:rPr>
      </w:pPr>
      <w:r>
        <w:rPr>
          <w:rFonts w:ascii="Times New Roman" w:hAnsi="Times New Roman"/>
          <w:sz w:val="20"/>
        </w:rPr>
        <w:t xml:space="preserve">United States of America </w:t>
      </w:r>
    </w:p>
    <w:p>
      <w:pPr>
        <w:pStyle w:val="TextBody"/>
        <w:bidi w:val="0"/>
        <w:spacing w:before="360" w:after="0"/>
        <w:jc w:val="left"/>
        <w:rPr>
          <w:rFonts w:ascii="Times New Roman" w:hAnsi="Times New Roman"/>
          <w:b/>
          <w:sz w:val="20"/>
        </w:rPr>
      </w:pPr>
      <w:r>
        <w:rPr>
          <w:rFonts w:ascii="Times New Roman" w:hAnsi="Times New Roman"/>
          <w:b/>
          <w:sz w:val="20"/>
        </w:rPr>
        <w:t xml:space="preserve">RBC Capital Markets, LLC </w:t>
      </w:r>
    </w:p>
    <w:p>
      <w:pPr>
        <w:pStyle w:val="TextBody"/>
        <w:bidi w:val="0"/>
        <w:spacing w:before="0" w:after="0"/>
        <w:jc w:val="left"/>
        <w:rPr>
          <w:rFonts w:ascii="Times New Roman" w:hAnsi="Times New Roman"/>
          <w:sz w:val="20"/>
        </w:rPr>
      </w:pPr>
      <w:r>
        <w:rPr>
          <w:rFonts w:ascii="Times New Roman" w:hAnsi="Times New Roman"/>
          <w:sz w:val="20"/>
        </w:rPr>
        <w:t xml:space="preserve">Brookfield Place, 200 Vesey Street, 8th Floor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10281 </w:t>
      </w:r>
    </w:p>
    <w:p>
      <w:pPr>
        <w:pStyle w:val="TextBody"/>
        <w:bidi w:val="0"/>
        <w:spacing w:before="0" w:after="0"/>
        <w:jc w:val="left"/>
        <w:rPr>
          <w:rFonts w:ascii="Times New Roman" w:hAnsi="Times New Roman"/>
          <w:sz w:val="20"/>
        </w:rPr>
      </w:pPr>
      <w:r>
        <w:rPr>
          <w:rFonts w:ascii="Times New Roman" w:hAnsi="Times New Roman"/>
          <w:sz w:val="20"/>
        </w:rPr>
        <w:t xml:space="preserve">United States of America </w:t>
      </w:r>
    </w:p>
    <w:p>
      <w:pPr>
        <w:pStyle w:val="TextBody"/>
        <w:bidi w:val="0"/>
        <w:spacing w:before="360" w:after="0"/>
        <w:jc w:val="left"/>
        <w:rPr>
          <w:rFonts w:ascii="Times New Roman" w:hAnsi="Times New Roman"/>
          <w:b/>
          <w:sz w:val="20"/>
        </w:rPr>
      </w:pPr>
      <w:r>
        <w:rPr>
          <w:rFonts w:ascii="Times New Roman" w:hAnsi="Times New Roman"/>
          <w:b/>
          <w:sz w:val="20"/>
        </w:rPr>
        <w:t xml:space="preserve">SMBC Nikko Securities America, Inc. </w:t>
      </w:r>
    </w:p>
    <w:p>
      <w:pPr>
        <w:pStyle w:val="TextBody"/>
        <w:bidi w:val="0"/>
        <w:spacing w:before="0" w:after="0"/>
        <w:jc w:val="left"/>
        <w:rPr>
          <w:rFonts w:ascii="Times New Roman" w:hAnsi="Times New Roman"/>
          <w:sz w:val="20"/>
        </w:rPr>
      </w:pPr>
      <w:r>
        <w:rPr>
          <w:rFonts w:ascii="Times New Roman" w:hAnsi="Times New Roman"/>
          <w:sz w:val="20"/>
        </w:rPr>
        <w:t xml:space="preserve">277 Park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10172 </w:t>
      </w:r>
    </w:p>
    <w:p>
      <w:pPr>
        <w:pStyle w:val="TextBody"/>
        <w:bidi w:val="0"/>
        <w:spacing w:before="0" w:after="0"/>
        <w:jc w:val="left"/>
        <w:rPr>
          <w:rFonts w:ascii="Times New Roman" w:hAnsi="Times New Roman"/>
          <w:sz w:val="20"/>
        </w:rPr>
      </w:pPr>
      <w:r>
        <w:rPr>
          <w:rFonts w:ascii="Times New Roman" w:hAnsi="Times New Roman"/>
          <w:sz w:val="20"/>
        </w:rPr>
        <w:t xml:space="preserve">United States of America </w:t>
      </w:r>
    </w:p>
    <w:p>
      <w:pPr>
        <w:pStyle w:val="TextBody"/>
        <w:bidi w:val="0"/>
        <w:spacing w:before="240" w:after="0"/>
        <w:jc w:val="left"/>
        <w:rPr>
          <w:rFonts w:ascii="Times New Roman" w:hAnsi="Times New Roman"/>
          <w:sz w:val="20"/>
        </w:rPr>
      </w:pPr>
      <w:r>
        <w:rPr>
          <w:rFonts w:ascii="Times New Roman" w:hAnsi="Times New Roman"/>
          <w:sz w:val="20"/>
        </w:rPr>
        <w:t xml:space="preserve">For themselves and the other several </w:t>
      </w:r>
    </w:p>
    <w:p>
      <w:pPr>
        <w:pStyle w:val="TextBody"/>
        <w:bidi w:val="0"/>
        <w:spacing w:before="0" w:after="0"/>
        <w:jc w:val="left"/>
        <w:rPr>
          <w:rFonts w:ascii="Times New Roman" w:hAnsi="Times New Roman"/>
          <w:sz w:val="20"/>
        </w:rPr>
      </w:pPr>
      <w:r>
        <w:rPr>
          <w:rFonts w:ascii="Times New Roman" w:hAnsi="Times New Roman"/>
          <w:sz w:val="20"/>
        </w:rPr>
        <w:t xml:space="preserve">Underwriters named in </w:t>
      </w:r>
    </w:p>
    <w:p>
      <w:pPr>
        <w:pStyle w:val="TextBody"/>
        <w:bidi w:val="0"/>
        <w:spacing w:before="0" w:after="0"/>
        <w:jc w:val="left"/>
        <w:rPr>
          <w:rFonts w:ascii="Times New Roman" w:hAnsi="Times New Roman"/>
          <w:sz w:val="20"/>
        </w:rPr>
      </w:pPr>
      <w:r>
        <w:rPr>
          <w:rFonts w:ascii="Times New Roman" w:hAnsi="Times New Roman"/>
          <w:sz w:val="20"/>
        </w:rPr>
        <w:t xml:space="preserve">Schedule I to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Underwriting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400"/>
        <w:gridCol w:w="60"/>
        <w:gridCol w:w="3622"/>
      </w:tblGrid>
      <w:tr>
        <w:trPr/>
        <w:tc>
          <w:tcPr>
            <w:tcW w:w="4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CITIGROUP GLOBAL MARKETS INC.</w:t>
            </w:r>
          </w:p>
        </w:tc>
      </w:tr>
      <w:tr>
        <w:trPr>
          <w:trHeight w:val="240" w:hRule="atLeast"/>
        </w:trPr>
        <w:tc>
          <w:tcPr>
            <w:tcW w:w="400" w:type="dxa"/>
            <w:tcBorders/>
            <w:vAlign w:val="center"/>
          </w:tcPr>
          <w:p>
            <w:pPr>
              <w:pStyle w:val="TableContents"/>
              <w:bidi w:val="0"/>
              <w:spacing w:before="0" w:after="283"/>
              <w:jc w:val="left"/>
              <w:rPr>
                <w:sz w:val="4"/>
                <w:szCs w:val="4"/>
              </w:rPr>
            </w:pPr>
            <w:r>
              <w:rPr>
                <w:sz w:val="4"/>
                <w:szCs w:val="4"/>
              </w:rPr>
            </w:r>
          </w:p>
        </w:tc>
        <w:tc>
          <w:tcPr>
            <w:tcW w:w="3682" w:type="dxa"/>
            <w:gridSpan w:val="2"/>
            <w:tcBorders/>
            <w:vAlign w:val="center"/>
          </w:tcPr>
          <w:p>
            <w:pPr>
              <w:pStyle w:val="TableContents"/>
              <w:bidi w:val="0"/>
              <w:spacing w:before="0" w:after="283"/>
              <w:jc w:val="left"/>
              <w:rPr>
                <w:sz w:val="4"/>
                <w:szCs w:val="4"/>
              </w:rPr>
            </w:pPr>
            <w:r>
              <w:rPr>
                <w:sz w:val="4"/>
                <w:szCs w:val="4"/>
              </w:rPr>
            </w:r>
          </w:p>
        </w:tc>
      </w:tr>
      <w:tr>
        <w:trPr/>
        <w:tc>
          <w:tcPr>
            <w:tcW w:w="40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Adam D. Bordner</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283"/>
              <w:jc w:val="left"/>
              <w:rPr/>
            </w:pPr>
            <w:r>
              <w:rPr/>
              <w:t>Name: Adam D. Bordner</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283"/>
              <w:jc w:val="left"/>
              <w:rPr/>
            </w:pPr>
            <w:r>
              <w:rPr/>
              <w:t>Title: Managing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Underwriting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95"/>
        <w:gridCol w:w="60"/>
        <w:gridCol w:w="3627"/>
      </w:tblGrid>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DEUTSCHE BANK SECURITIES INC.</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Matthew Siracuse</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Name: Matthew Siracuse</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Title: Managing Director, DBSI</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Thomas Short</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Name: Thomas Short</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Title: Managing Director, DBSI</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Underwriting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95"/>
        <w:gridCol w:w="60"/>
        <w:gridCol w:w="3627"/>
      </w:tblGrid>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GOLDMAN SACHS &amp; CO. LLC</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Crystal Gao</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Name: Crystal Gao</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Title: 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Underwriting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95"/>
        <w:gridCol w:w="60"/>
        <w:gridCol w:w="3627"/>
      </w:tblGrid>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INTESA SANPAOLO IMI SECURITIES CORP.</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Jon Basagoiti</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Name: Jon Basagoiti</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Title: Managing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Underwriting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93"/>
        <w:gridCol w:w="60"/>
        <w:gridCol w:w="3629"/>
      </w:tblGrid>
      <w:tr>
        <w:trPr/>
        <w:tc>
          <w:tcPr>
            <w:tcW w:w="39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MORGAN STANLEY &amp; CO. LLC</w:t>
            </w:r>
          </w:p>
        </w:tc>
      </w:tr>
      <w:tr>
        <w:trPr>
          <w:trHeight w:val="240" w:hRule="atLeast"/>
        </w:trPr>
        <w:tc>
          <w:tcPr>
            <w:tcW w:w="393" w:type="dxa"/>
            <w:tcBorders/>
            <w:vAlign w:val="center"/>
          </w:tcPr>
          <w:p>
            <w:pPr>
              <w:pStyle w:val="TableContents"/>
              <w:bidi w:val="0"/>
              <w:spacing w:before="0" w:after="283"/>
              <w:jc w:val="left"/>
              <w:rPr>
                <w:sz w:val="4"/>
                <w:szCs w:val="4"/>
              </w:rPr>
            </w:pPr>
            <w:r>
              <w:rPr>
                <w:sz w:val="4"/>
                <w:szCs w:val="4"/>
              </w:rPr>
            </w:r>
          </w:p>
        </w:tc>
        <w:tc>
          <w:tcPr>
            <w:tcW w:w="3689" w:type="dxa"/>
            <w:gridSpan w:val="2"/>
            <w:tcBorders/>
            <w:vAlign w:val="center"/>
          </w:tcPr>
          <w:p>
            <w:pPr>
              <w:pStyle w:val="TableContents"/>
              <w:bidi w:val="0"/>
              <w:spacing w:before="0" w:after="283"/>
              <w:jc w:val="left"/>
              <w:rPr>
                <w:sz w:val="4"/>
                <w:szCs w:val="4"/>
              </w:rPr>
            </w:pPr>
            <w:r>
              <w:rPr>
                <w:sz w:val="4"/>
                <w:szCs w:val="4"/>
              </w:rPr>
            </w:r>
          </w:p>
        </w:tc>
      </w:tr>
      <w:tr>
        <w:trPr/>
        <w:tc>
          <w:tcPr>
            <w:tcW w:w="39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Hector Vazquez</w:t>
            </w:r>
          </w:p>
        </w:tc>
      </w:tr>
      <w:tr>
        <w:trPr/>
        <w:tc>
          <w:tcPr>
            <w:tcW w:w="39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bidi w:val="0"/>
              <w:spacing w:before="0" w:after="283"/>
              <w:jc w:val="left"/>
              <w:rPr/>
            </w:pPr>
            <w:r>
              <w:rPr/>
              <w:t>Name: Hector Vazquez</w:t>
            </w:r>
          </w:p>
        </w:tc>
      </w:tr>
      <w:tr>
        <w:trPr/>
        <w:tc>
          <w:tcPr>
            <w:tcW w:w="39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bidi w:val="0"/>
              <w:spacing w:before="0" w:after="283"/>
              <w:jc w:val="left"/>
              <w:rPr/>
            </w:pPr>
            <w:r>
              <w:rPr/>
              <w:t>Title: Managing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Underwriting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72"/>
        <w:gridCol w:w="60"/>
        <w:gridCol w:w="3650"/>
      </w:tblGrid>
      <w:tr>
        <w:trPr/>
        <w:tc>
          <w:tcPr>
            <w:tcW w:w="37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RBC CAPITAL MARKETS, LLC</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William Oberrender</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Name: William Oberrender</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Title: Managing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Underwriting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95"/>
        <w:gridCol w:w="60"/>
        <w:gridCol w:w="3627"/>
      </w:tblGrid>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SMBC NIKKO SECURITIES AMERICA, INC.</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John Bolger</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Name: John Bolger</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Title: Managing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Underwriting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I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393"/>
        <w:gridCol w:w="141"/>
        <w:gridCol w:w="154"/>
        <w:gridCol w:w="1550"/>
        <w:gridCol w:w="60"/>
        <w:gridCol w:w="141"/>
        <w:gridCol w:w="154"/>
        <w:gridCol w:w="1550"/>
        <w:gridCol w:w="62"/>
      </w:tblGrid>
      <w:tr>
        <w:trPr/>
        <w:tc>
          <w:tcPr>
            <w:tcW w:w="6393"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6393"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Underwriters</w:t>
            </w:r>
          </w:p>
        </w:tc>
        <w:tc>
          <w:tcPr>
            <w:tcW w:w="141" w:type="dxa"/>
            <w:tcBorders/>
            <w:vAlign w:val="bottom"/>
          </w:tcPr>
          <w:p>
            <w:pPr>
              <w:pStyle w:val="TableContents"/>
              <w:bidi w:val="0"/>
              <w:spacing w:before="0" w:after="283"/>
              <w:jc w:val="left"/>
              <w:rPr/>
            </w:pPr>
            <w:r>
              <w:rPr/>
              <w:t>  </w:t>
            </w:r>
          </w:p>
        </w:tc>
        <w:tc>
          <w:tcPr>
            <w:tcW w:w="1704" w:type="dxa"/>
            <w:gridSpan w:val="2"/>
            <w:tcBorders>
              <w:bottom w:val="single" w:sz="8" w:space="0" w:color="000000"/>
            </w:tcBorders>
            <w:tcMar>
              <w:bottom w:w="28" w:type="dxa"/>
            </w:tcMar>
            <w:vAlign w:val="bottom"/>
          </w:tcPr>
          <w:p>
            <w:pPr>
              <w:pStyle w:val="TableContents"/>
              <w:bidi w:val="0"/>
              <w:spacing w:before="0" w:after="283"/>
              <w:jc w:val="center"/>
              <w:rPr/>
            </w:pPr>
            <w:r>
              <w:rPr/>
              <w:t>Principal Amount</w:t>
              <w:br/>
              <w:t>of 2031 Notes to</w:t>
              <w:br/>
              <w:t>be Purchased</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704" w:type="dxa"/>
            <w:gridSpan w:val="2"/>
            <w:tcBorders>
              <w:bottom w:val="single" w:sz="8" w:space="0" w:color="000000"/>
            </w:tcBorders>
            <w:tcMar>
              <w:bottom w:w="28" w:type="dxa"/>
            </w:tcMar>
            <w:vAlign w:val="bottom"/>
          </w:tcPr>
          <w:p>
            <w:pPr>
              <w:pStyle w:val="TableContents"/>
              <w:bidi w:val="0"/>
              <w:spacing w:before="0" w:after="283"/>
              <w:jc w:val="center"/>
              <w:rPr/>
            </w:pPr>
            <w:r>
              <w:rPr/>
              <w:t>Principal Amount</w:t>
              <w:br/>
              <w:t>of 2036 Notes to</w:t>
              <w:br/>
              <w:t>be Purchased</w:t>
            </w:r>
          </w:p>
        </w:tc>
        <w:tc>
          <w:tcPr>
            <w:tcW w:w="62" w:type="dxa"/>
            <w:tcBorders/>
            <w:vAlign w:val="bottom"/>
          </w:tcPr>
          <w:p>
            <w:pPr>
              <w:pStyle w:val="TableContents"/>
              <w:bidi w:val="0"/>
              <w:spacing w:before="0" w:after="283"/>
              <w:jc w:val="left"/>
              <w:rPr/>
            </w:pPr>
            <w:r>
              <w:rPr/>
              <w:t> </w:t>
            </w:r>
          </w:p>
        </w:tc>
      </w:tr>
      <w:tr>
        <w:trPr/>
        <w:tc>
          <w:tcPr>
            <w:tcW w:w="63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Citigroup Global Markets Inc.</w:t>
            </w:r>
          </w:p>
        </w:tc>
        <w:tc>
          <w:tcPr>
            <w:tcW w:w="141"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1550" w:type="dxa"/>
            <w:tcBorders/>
            <w:shd w:fill="CCEEFF" w:val="clear"/>
            <w:vAlign w:val="bottom"/>
          </w:tcPr>
          <w:p>
            <w:pPr>
              <w:pStyle w:val="TableContents"/>
              <w:bidi w:val="0"/>
              <w:spacing w:before="0" w:after="283"/>
              <w:jc w:val="right"/>
              <w:rPr/>
            </w:pPr>
            <w:r>
              <w:rPr/>
              <w:t>125,000,000</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1550" w:type="dxa"/>
            <w:tcBorders/>
            <w:shd w:fill="CCEEFF" w:val="clear"/>
            <w:vAlign w:val="bottom"/>
          </w:tcPr>
          <w:p>
            <w:pPr>
              <w:pStyle w:val="TableContents"/>
              <w:bidi w:val="0"/>
              <w:spacing w:before="0" w:after="283"/>
              <w:jc w:val="right"/>
              <w:rPr/>
            </w:pPr>
            <w:r>
              <w:rPr/>
              <w:t>125,000,000</w:t>
            </w:r>
          </w:p>
        </w:tc>
        <w:tc>
          <w:tcPr>
            <w:tcW w:w="62" w:type="dxa"/>
            <w:tcBorders/>
            <w:shd w:fill="CCEEFF" w:val="clear"/>
            <w:vAlign w:val="bottom"/>
          </w:tcPr>
          <w:p>
            <w:pPr>
              <w:pStyle w:val="TableContents"/>
              <w:bidi w:val="0"/>
              <w:spacing w:before="0" w:after="283"/>
              <w:jc w:val="left"/>
              <w:rPr/>
            </w:pPr>
            <w:r>
              <w:rPr/>
              <w:t> </w:t>
            </w:r>
          </w:p>
        </w:tc>
      </w:tr>
      <w:tr>
        <w:trPr/>
        <w:tc>
          <w:tcPr>
            <w:tcW w:w="6393" w:type="dxa"/>
            <w:tcBorders/>
          </w:tcPr>
          <w:p>
            <w:pPr>
              <w:pStyle w:val="TableContents"/>
              <w:bidi w:val="0"/>
              <w:spacing w:before="0" w:after="0"/>
              <w:jc w:val="left"/>
              <w:rPr>
                <w:rFonts w:ascii="Times New Roman" w:hAnsi="Times New Roman"/>
                <w:sz w:val="20"/>
              </w:rPr>
            </w:pPr>
            <w:r>
              <w:rPr>
                <w:rFonts w:ascii="Times New Roman" w:hAnsi="Times New Roman"/>
                <w:sz w:val="20"/>
              </w:rPr>
              <w:t>Deutsche Bank Securities Inc.</w:t>
            </w:r>
          </w:p>
        </w:tc>
        <w:tc>
          <w:tcPr>
            <w:tcW w:w="14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1550" w:type="dxa"/>
            <w:tcBorders/>
            <w:vAlign w:val="bottom"/>
          </w:tcPr>
          <w:p>
            <w:pPr>
              <w:pStyle w:val="TableContents"/>
              <w:bidi w:val="0"/>
              <w:spacing w:before="0" w:after="283"/>
              <w:jc w:val="right"/>
              <w:rPr/>
            </w:pPr>
            <w:r>
              <w:rPr/>
              <w:t>125,000,000</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1550" w:type="dxa"/>
            <w:tcBorders/>
            <w:vAlign w:val="bottom"/>
          </w:tcPr>
          <w:p>
            <w:pPr>
              <w:pStyle w:val="TableContents"/>
              <w:bidi w:val="0"/>
              <w:spacing w:before="0" w:after="283"/>
              <w:jc w:val="right"/>
              <w:rPr/>
            </w:pPr>
            <w:r>
              <w:rPr/>
              <w:t>125,000,000</w:t>
            </w:r>
          </w:p>
        </w:tc>
        <w:tc>
          <w:tcPr>
            <w:tcW w:w="62" w:type="dxa"/>
            <w:tcBorders/>
            <w:vAlign w:val="bottom"/>
          </w:tcPr>
          <w:p>
            <w:pPr>
              <w:pStyle w:val="TableContents"/>
              <w:bidi w:val="0"/>
              <w:spacing w:before="0" w:after="283"/>
              <w:jc w:val="left"/>
              <w:rPr/>
            </w:pPr>
            <w:r>
              <w:rPr/>
              <w:t> </w:t>
            </w:r>
          </w:p>
        </w:tc>
      </w:tr>
      <w:tr>
        <w:trPr/>
        <w:tc>
          <w:tcPr>
            <w:tcW w:w="63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Goldman Sachs &amp; Co. LLC</w:t>
            </w:r>
          </w:p>
        </w:tc>
        <w:tc>
          <w:tcPr>
            <w:tcW w:w="141"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1550" w:type="dxa"/>
            <w:tcBorders/>
            <w:shd w:fill="CCEEFF" w:val="clear"/>
            <w:vAlign w:val="bottom"/>
          </w:tcPr>
          <w:p>
            <w:pPr>
              <w:pStyle w:val="TableContents"/>
              <w:bidi w:val="0"/>
              <w:spacing w:before="0" w:after="283"/>
              <w:jc w:val="right"/>
              <w:rPr/>
            </w:pPr>
            <w:r>
              <w:rPr/>
              <w:t>125,000,000</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1550" w:type="dxa"/>
            <w:tcBorders/>
            <w:shd w:fill="CCEEFF" w:val="clear"/>
            <w:vAlign w:val="bottom"/>
          </w:tcPr>
          <w:p>
            <w:pPr>
              <w:pStyle w:val="TableContents"/>
              <w:bidi w:val="0"/>
              <w:spacing w:before="0" w:after="283"/>
              <w:jc w:val="right"/>
              <w:rPr/>
            </w:pPr>
            <w:r>
              <w:rPr/>
              <w:t>125,000,000</w:t>
            </w:r>
          </w:p>
        </w:tc>
        <w:tc>
          <w:tcPr>
            <w:tcW w:w="62" w:type="dxa"/>
            <w:tcBorders/>
            <w:shd w:fill="CCEEFF" w:val="clear"/>
            <w:vAlign w:val="bottom"/>
          </w:tcPr>
          <w:p>
            <w:pPr>
              <w:pStyle w:val="TableContents"/>
              <w:bidi w:val="0"/>
              <w:spacing w:before="0" w:after="283"/>
              <w:jc w:val="left"/>
              <w:rPr/>
            </w:pPr>
            <w:r>
              <w:rPr/>
              <w:t> </w:t>
            </w:r>
          </w:p>
        </w:tc>
      </w:tr>
      <w:tr>
        <w:trPr/>
        <w:tc>
          <w:tcPr>
            <w:tcW w:w="6393" w:type="dxa"/>
            <w:tcBorders/>
          </w:tcPr>
          <w:p>
            <w:pPr>
              <w:pStyle w:val="TableContents"/>
              <w:bidi w:val="0"/>
              <w:spacing w:before="0" w:after="0"/>
              <w:jc w:val="left"/>
              <w:rPr>
                <w:rFonts w:ascii="Times New Roman" w:hAnsi="Times New Roman"/>
                <w:sz w:val="20"/>
              </w:rPr>
            </w:pPr>
            <w:r>
              <w:rPr>
                <w:rFonts w:ascii="Times New Roman" w:hAnsi="Times New Roman"/>
                <w:sz w:val="20"/>
              </w:rPr>
              <w:t>Intesa Sanpaolo IMI Securities Corp.</w:t>
            </w:r>
          </w:p>
        </w:tc>
        <w:tc>
          <w:tcPr>
            <w:tcW w:w="14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1550" w:type="dxa"/>
            <w:tcBorders/>
            <w:vAlign w:val="bottom"/>
          </w:tcPr>
          <w:p>
            <w:pPr>
              <w:pStyle w:val="TableContents"/>
              <w:bidi w:val="0"/>
              <w:spacing w:before="0" w:after="283"/>
              <w:jc w:val="right"/>
              <w:rPr/>
            </w:pPr>
            <w:r>
              <w:rPr/>
              <w:t>125,000,000</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1550" w:type="dxa"/>
            <w:tcBorders/>
            <w:vAlign w:val="bottom"/>
          </w:tcPr>
          <w:p>
            <w:pPr>
              <w:pStyle w:val="TableContents"/>
              <w:bidi w:val="0"/>
              <w:spacing w:before="0" w:after="283"/>
              <w:jc w:val="right"/>
              <w:rPr/>
            </w:pPr>
            <w:r>
              <w:rPr/>
              <w:t>125,000,000</w:t>
            </w:r>
          </w:p>
        </w:tc>
        <w:tc>
          <w:tcPr>
            <w:tcW w:w="62" w:type="dxa"/>
            <w:tcBorders/>
            <w:vAlign w:val="bottom"/>
          </w:tcPr>
          <w:p>
            <w:pPr>
              <w:pStyle w:val="TableContents"/>
              <w:bidi w:val="0"/>
              <w:spacing w:before="0" w:after="283"/>
              <w:jc w:val="left"/>
              <w:rPr/>
            </w:pPr>
            <w:r>
              <w:rPr/>
              <w:t> </w:t>
            </w:r>
          </w:p>
        </w:tc>
      </w:tr>
      <w:tr>
        <w:trPr/>
        <w:tc>
          <w:tcPr>
            <w:tcW w:w="63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Morgan Stanley &amp; Co. LLC</w:t>
            </w:r>
          </w:p>
        </w:tc>
        <w:tc>
          <w:tcPr>
            <w:tcW w:w="141"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1550" w:type="dxa"/>
            <w:tcBorders/>
            <w:shd w:fill="CCEEFF" w:val="clear"/>
            <w:vAlign w:val="bottom"/>
          </w:tcPr>
          <w:p>
            <w:pPr>
              <w:pStyle w:val="TableContents"/>
              <w:bidi w:val="0"/>
              <w:spacing w:before="0" w:after="283"/>
              <w:jc w:val="right"/>
              <w:rPr/>
            </w:pPr>
            <w:r>
              <w:rPr/>
              <w:t>125,000,000</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1550" w:type="dxa"/>
            <w:tcBorders/>
            <w:shd w:fill="CCEEFF" w:val="clear"/>
            <w:vAlign w:val="bottom"/>
          </w:tcPr>
          <w:p>
            <w:pPr>
              <w:pStyle w:val="TableContents"/>
              <w:bidi w:val="0"/>
              <w:spacing w:before="0" w:after="283"/>
              <w:jc w:val="right"/>
              <w:rPr/>
            </w:pPr>
            <w:r>
              <w:rPr/>
              <w:t>125,000,000</w:t>
            </w:r>
          </w:p>
        </w:tc>
        <w:tc>
          <w:tcPr>
            <w:tcW w:w="62" w:type="dxa"/>
            <w:tcBorders/>
            <w:shd w:fill="CCEEFF" w:val="clear"/>
            <w:vAlign w:val="bottom"/>
          </w:tcPr>
          <w:p>
            <w:pPr>
              <w:pStyle w:val="TableContents"/>
              <w:bidi w:val="0"/>
              <w:spacing w:before="0" w:after="283"/>
              <w:jc w:val="left"/>
              <w:rPr/>
            </w:pPr>
            <w:r>
              <w:rPr/>
              <w:t> </w:t>
            </w:r>
          </w:p>
        </w:tc>
      </w:tr>
      <w:tr>
        <w:trPr/>
        <w:tc>
          <w:tcPr>
            <w:tcW w:w="6393" w:type="dxa"/>
            <w:tcBorders/>
          </w:tcPr>
          <w:p>
            <w:pPr>
              <w:pStyle w:val="TableContents"/>
              <w:bidi w:val="0"/>
              <w:spacing w:before="0" w:after="0"/>
              <w:jc w:val="left"/>
              <w:rPr>
                <w:rFonts w:ascii="Times New Roman" w:hAnsi="Times New Roman"/>
                <w:sz w:val="20"/>
              </w:rPr>
            </w:pPr>
            <w:r>
              <w:rPr>
                <w:rFonts w:ascii="Times New Roman" w:hAnsi="Times New Roman"/>
                <w:sz w:val="20"/>
              </w:rPr>
              <w:t>Natixis Securities Americas LLC</w:t>
            </w:r>
          </w:p>
        </w:tc>
        <w:tc>
          <w:tcPr>
            <w:tcW w:w="14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1550" w:type="dxa"/>
            <w:tcBorders/>
            <w:vAlign w:val="bottom"/>
          </w:tcPr>
          <w:p>
            <w:pPr>
              <w:pStyle w:val="TableContents"/>
              <w:bidi w:val="0"/>
              <w:spacing w:before="0" w:after="283"/>
              <w:jc w:val="right"/>
              <w:rPr/>
            </w:pPr>
            <w:r>
              <w:rPr/>
              <w:t>125,000,000</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1550" w:type="dxa"/>
            <w:tcBorders/>
            <w:vAlign w:val="bottom"/>
          </w:tcPr>
          <w:p>
            <w:pPr>
              <w:pStyle w:val="TableContents"/>
              <w:bidi w:val="0"/>
              <w:spacing w:before="0" w:after="283"/>
              <w:jc w:val="right"/>
              <w:rPr/>
            </w:pPr>
            <w:r>
              <w:rPr/>
              <w:t>125,000,000</w:t>
            </w:r>
          </w:p>
        </w:tc>
        <w:tc>
          <w:tcPr>
            <w:tcW w:w="62" w:type="dxa"/>
            <w:tcBorders/>
            <w:vAlign w:val="bottom"/>
          </w:tcPr>
          <w:p>
            <w:pPr>
              <w:pStyle w:val="TableContents"/>
              <w:bidi w:val="0"/>
              <w:spacing w:before="0" w:after="283"/>
              <w:jc w:val="left"/>
              <w:rPr/>
            </w:pPr>
            <w:r>
              <w:rPr/>
              <w:t> </w:t>
            </w:r>
          </w:p>
        </w:tc>
      </w:tr>
      <w:tr>
        <w:trPr/>
        <w:tc>
          <w:tcPr>
            <w:tcW w:w="63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RBC Capital Markets, LLC</w:t>
            </w:r>
          </w:p>
        </w:tc>
        <w:tc>
          <w:tcPr>
            <w:tcW w:w="141"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1550" w:type="dxa"/>
            <w:tcBorders/>
            <w:shd w:fill="CCEEFF" w:val="clear"/>
            <w:vAlign w:val="bottom"/>
          </w:tcPr>
          <w:p>
            <w:pPr>
              <w:pStyle w:val="TableContents"/>
              <w:bidi w:val="0"/>
              <w:spacing w:before="0" w:after="283"/>
              <w:jc w:val="right"/>
              <w:rPr/>
            </w:pPr>
            <w:r>
              <w:rPr/>
              <w:t>125,000,000</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1550" w:type="dxa"/>
            <w:tcBorders/>
            <w:shd w:fill="CCEEFF" w:val="clear"/>
            <w:vAlign w:val="bottom"/>
          </w:tcPr>
          <w:p>
            <w:pPr>
              <w:pStyle w:val="TableContents"/>
              <w:bidi w:val="0"/>
              <w:spacing w:before="0" w:after="283"/>
              <w:jc w:val="right"/>
              <w:rPr/>
            </w:pPr>
            <w:r>
              <w:rPr/>
              <w:t>125,000,000</w:t>
            </w:r>
          </w:p>
        </w:tc>
        <w:tc>
          <w:tcPr>
            <w:tcW w:w="62" w:type="dxa"/>
            <w:tcBorders/>
            <w:shd w:fill="CCEEFF" w:val="clear"/>
            <w:vAlign w:val="bottom"/>
          </w:tcPr>
          <w:p>
            <w:pPr>
              <w:pStyle w:val="TableContents"/>
              <w:bidi w:val="0"/>
              <w:spacing w:before="0" w:after="283"/>
              <w:jc w:val="left"/>
              <w:rPr/>
            </w:pPr>
            <w:r>
              <w:rPr/>
              <w:t> </w:t>
            </w:r>
          </w:p>
        </w:tc>
      </w:tr>
      <w:tr>
        <w:trPr/>
        <w:tc>
          <w:tcPr>
            <w:tcW w:w="6393" w:type="dxa"/>
            <w:tcBorders/>
          </w:tcPr>
          <w:p>
            <w:pPr>
              <w:pStyle w:val="TableContents"/>
              <w:bidi w:val="0"/>
              <w:spacing w:before="0" w:after="0"/>
              <w:jc w:val="left"/>
              <w:rPr>
                <w:rFonts w:ascii="Times New Roman" w:hAnsi="Times New Roman"/>
                <w:sz w:val="20"/>
              </w:rPr>
            </w:pPr>
            <w:r>
              <w:rPr>
                <w:rFonts w:ascii="Times New Roman" w:hAnsi="Times New Roman"/>
                <w:sz w:val="20"/>
              </w:rPr>
              <w:t>SMBC Nikko Securities America, Inc.</w:t>
            </w:r>
          </w:p>
        </w:tc>
        <w:tc>
          <w:tcPr>
            <w:tcW w:w="14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1550" w:type="dxa"/>
            <w:tcBorders/>
            <w:vAlign w:val="bottom"/>
          </w:tcPr>
          <w:p>
            <w:pPr>
              <w:pStyle w:val="TableContents"/>
              <w:bidi w:val="0"/>
              <w:spacing w:before="0" w:after="283"/>
              <w:jc w:val="right"/>
              <w:rPr/>
            </w:pPr>
            <w:r>
              <w:rPr/>
              <w:t>125,000,000</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1550" w:type="dxa"/>
            <w:tcBorders/>
            <w:vAlign w:val="bottom"/>
          </w:tcPr>
          <w:p>
            <w:pPr>
              <w:pStyle w:val="TableContents"/>
              <w:bidi w:val="0"/>
              <w:spacing w:before="0" w:after="283"/>
              <w:jc w:val="right"/>
              <w:rPr/>
            </w:pPr>
            <w:r>
              <w:rPr/>
              <w:t>125,000,000</w:t>
            </w:r>
          </w:p>
        </w:tc>
        <w:tc>
          <w:tcPr>
            <w:tcW w:w="62" w:type="dxa"/>
            <w:tcBorders/>
            <w:vAlign w:val="bottom"/>
          </w:tcPr>
          <w:p>
            <w:pPr>
              <w:pStyle w:val="TableContents"/>
              <w:bidi w:val="0"/>
              <w:spacing w:before="0" w:after="283"/>
              <w:jc w:val="left"/>
              <w:rPr/>
            </w:pPr>
            <w:r>
              <w:rPr/>
              <w:t> </w:t>
            </w:r>
          </w:p>
        </w:tc>
      </w:tr>
      <w:tr>
        <w:trPr/>
        <w:tc>
          <w:tcPr>
            <w:tcW w:w="63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Bank of China (Europe) S.A.</w:t>
            </w:r>
          </w:p>
        </w:tc>
        <w:tc>
          <w:tcPr>
            <w:tcW w:w="141"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1550" w:type="dxa"/>
            <w:tcBorders/>
            <w:shd w:fill="CCEEFF" w:val="clear"/>
            <w:vAlign w:val="bottom"/>
          </w:tcPr>
          <w:p>
            <w:pPr>
              <w:pStyle w:val="TableContents"/>
              <w:bidi w:val="0"/>
              <w:spacing w:before="0" w:after="283"/>
              <w:jc w:val="right"/>
              <w:rPr/>
            </w:pPr>
            <w:r>
              <w:rPr/>
              <w:t>59,375,000</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1550" w:type="dxa"/>
            <w:tcBorders/>
            <w:shd w:fill="CCEEFF" w:val="clear"/>
            <w:vAlign w:val="bottom"/>
          </w:tcPr>
          <w:p>
            <w:pPr>
              <w:pStyle w:val="TableContents"/>
              <w:bidi w:val="0"/>
              <w:spacing w:before="0" w:after="283"/>
              <w:jc w:val="right"/>
              <w:rPr/>
            </w:pPr>
            <w:r>
              <w:rPr/>
              <w:t>59,375,000</w:t>
            </w:r>
          </w:p>
        </w:tc>
        <w:tc>
          <w:tcPr>
            <w:tcW w:w="62" w:type="dxa"/>
            <w:tcBorders/>
            <w:shd w:fill="CCEEFF" w:val="clear"/>
            <w:vAlign w:val="bottom"/>
          </w:tcPr>
          <w:p>
            <w:pPr>
              <w:pStyle w:val="TableContents"/>
              <w:bidi w:val="0"/>
              <w:spacing w:before="0" w:after="283"/>
              <w:jc w:val="left"/>
              <w:rPr/>
            </w:pPr>
            <w:r>
              <w:rPr/>
              <w:t> </w:t>
            </w:r>
          </w:p>
        </w:tc>
      </w:tr>
      <w:tr>
        <w:trPr/>
        <w:tc>
          <w:tcPr>
            <w:tcW w:w="6393" w:type="dxa"/>
            <w:tcBorders/>
          </w:tcPr>
          <w:p>
            <w:pPr>
              <w:pStyle w:val="TableContents"/>
              <w:bidi w:val="0"/>
              <w:spacing w:before="0" w:after="0"/>
              <w:jc w:val="left"/>
              <w:rPr>
                <w:rFonts w:ascii="Times New Roman" w:hAnsi="Times New Roman"/>
                <w:sz w:val="20"/>
              </w:rPr>
            </w:pPr>
            <w:r>
              <w:rPr>
                <w:rFonts w:ascii="Times New Roman" w:hAnsi="Times New Roman"/>
                <w:sz w:val="20"/>
              </w:rPr>
              <w:t>Commerz Markets LLC</w:t>
            </w:r>
          </w:p>
        </w:tc>
        <w:tc>
          <w:tcPr>
            <w:tcW w:w="14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1550" w:type="dxa"/>
            <w:tcBorders/>
            <w:vAlign w:val="bottom"/>
          </w:tcPr>
          <w:p>
            <w:pPr>
              <w:pStyle w:val="TableContents"/>
              <w:bidi w:val="0"/>
              <w:spacing w:before="0" w:after="283"/>
              <w:jc w:val="right"/>
              <w:rPr/>
            </w:pPr>
            <w:r>
              <w:rPr/>
              <w:t>59,375,000</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1550" w:type="dxa"/>
            <w:tcBorders/>
            <w:vAlign w:val="bottom"/>
          </w:tcPr>
          <w:p>
            <w:pPr>
              <w:pStyle w:val="TableContents"/>
              <w:bidi w:val="0"/>
              <w:spacing w:before="0" w:after="283"/>
              <w:jc w:val="right"/>
              <w:rPr/>
            </w:pPr>
            <w:r>
              <w:rPr/>
              <w:t>59,375,000</w:t>
            </w:r>
          </w:p>
        </w:tc>
        <w:tc>
          <w:tcPr>
            <w:tcW w:w="62" w:type="dxa"/>
            <w:tcBorders/>
            <w:vAlign w:val="bottom"/>
          </w:tcPr>
          <w:p>
            <w:pPr>
              <w:pStyle w:val="TableContents"/>
              <w:bidi w:val="0"/>
              <w:spacing w:before="0" w:after="283"/>
              <w:jc w:val="left"/>
              <w:rPr/>
            </w:pPr>
            <w:r>
              <w:rPr/>
              <w:t> </w:t>
            </w:r>
          </w:p>
        </w:tc>
      </w:tr>
      <w:tr>
        <w:trPr/>
        <w:tc>
          <w:tcPr>
            <w:tcW w:w="63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ING Financial Markets LLC</w:t>
            </w:r>
          </w:p>
        </w:tc>
        <w:tc>
          <w:tcPr>
            <w:tcW w:w="141"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1550" w:type="dxa"/>
            <w:tcBorders/>
            <w:shd w:fill="CCEEFF" w:val="clear"/>
            <w:vAlign w:val="bottom"/>
          </w:tcPr>
          <w:p>
            <w:pPr>
              <w:pStyle w:val="TableContents"/>
              <w:bidi w:val="0"/>
              <w:spacing w:before="0" w:after="283"/>
              <w:jc w:val="right"/>
              <w:rPr/>
            </w:pPr>
            <w:r>
              <w:rPr/>
              <w:t>59,375,000</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1550" w:type="dxa"/>
            <w:tcBorders/>
            <w:shd w:fill="CCEEFF" w:val="clear"/>
            <w:vAlign w:val="bottom"/>
          </w:tcPr>
          <w:p>
            <w:pPr>
              <w:pStyle w:val="TableContents"/>
              <w:bidi w:val="0"/>
              <w:spacing w:before="0" w:after="283"/>
              <w:jc w:val="right"/>
              <w:rPr/>
            </w:pPr>
            <w:r>
              <w:rPr/>
              <w:t>59,375,000</w:t>
            </w:r>
          </w:p>
        </w:tc>
        <w:tc>
          <w:tcPr>
            <w:tcW w:w="62" w:type="dxa"/>
            <w:tcBorders/>
            <w:shd w:fill="CCEEFF" w:val="clear"/>
            <w:vAlign w:val="bottom"/>
          </w:tcPr>
          <w:p>
            <w:pPr>
              <w:pStyle w:val="TableContents"/>
              <w:bidi w:val="0"/>
              <w:spacing w:before="0" w:after="283"/>
              <w:jc w:val="left"/>
              <w:rPr/>
            </w:pPr>
            <w:r>
              <w:rPr/>
              <w:t> </w:t>
            </w:r>
          </w:p>
        </w:tc>
      </w:tr>
      <w:tr>
        <w:trPr/>
        <w:tc>
          <w:tcPr>
            <w:tcW w:w="6393" w:type="dxa"/>
            <w:tcBorders/>
          </w:tcPr>
          <w:p>
            <w:pPr>
              <w:pStyle w:val="TableContents"/>
              <w:bidi w:val="0"/>
              <w:spacing w:before="0" w:after="0"/>
              <w:jc w:val="left"/>
              <w:rPr>
                <w:rFonts w:ascii="Times New Roman" w:hAnsi="Times New Roman"/>
                <w:sz w:val="20"/>
              </w:rPr>
            </w:pPr>
            <w:r>
              <w:rPr>
                <w:rFonts w:ascii="Times New Roman" w:hAnsi="Times New Roman"/>
                <w:sz w:val="20"/>
              </w:rPr>
              <w:t>Santander US Capital Markets LLC</w:t>
            </w:r>
          </w:p>
        </w:tc>
        <w:tc>
          <w:tcPr>
            <w:tcW w:w="14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1550" w:type="dxa"/>
            <w:tcBorders/>
            <w:vAlign w:val="bottom"/>
          </w:tcPr>
          <w:p>
            <w:pPr>
              <w:pStyle w:val="TableContents"/>
              <w:bidi w:val="0"/>
              <w:spacing w:before="0" w:after="283"/>
              <w:jc w:val="right"/>
              <w:rPr/>
            </w:pPr>
            <w:r>
              <w:rPr/>
              <w:t>59,375,000</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1550" w:type="dxa"/>
            <w:tcBorders/>
            <w:vAlign w:val="bottom"/>
          </w:tcPr>
          <w:p>
            <w:pPr>
              <w:pStyle w:val="TableContents"/>
              <w:bidi w:val="0"/>
              <w:spacing w:before="0" w:after="283"/>
              <w:jc w:val="right"/>
              <w:rPr/>
            </w:pPr>
            <w:r>
              <w:rPr/>
              <w:t>59,375,000</w:t>
            </w:r>
          </w:p>
        </w:tc>
        <w:tc>
          <w:tcPr>
            <w:tcW w:w="62" w:type="dxa"/>
            <w:tcBorders/>
            <w:vAlign w:val="bottom"/>
          </w:tcPr>
          <w:p>
            <w:pPr>
              <w:pStyle w:val="TableContents"/>
              <w:bidi w:val="0"/>
              <w:spacing w:before="0" w:after="283"/>
              <w:jc w:val="left"/>
              <w:rPr/>
            </w:pPr>
            <w:r>
              <w:rPr/>
              <w:t> </w:t>
            </w:r>
          </w:p>
        </w:tc>
      </w:tr>
      <w:tr>
        <w:trPr/>
        <w:tc>
          <w:tcPr>
            <w:tcW w:w="63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Academy Securities, Inc.</w:t>
            </w:r>
          </w:p>
        </w:tc>
        <w:tc>
          <w:tcPr>
            <w:tcW w:w="141"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1550" w:type="dxa"/>
            <w:tcBorders/>
            <w:shd w:fill="CCEEFF" w:val="clear"/>
            <w:vAlign w:val="bottom"/>
          </w:tcPr>
          <w:p>
            <w:pPr>
              <w:pStyle w:val="TableContents"/>
              <w:bidi w:val="0"/>
              <w:spacing w:before="0" w:after="283"/>
              <w:jc w:val="right"/>
              <w:rPr/>
            </w:pPr>
            <w:r>
              <w:rPr/>
              <w:t>4,168,000</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1550" w:type="dxa"/>
            <w:tcBorders/>
            <w:shd w:fill="CCEEFF" w:val="clear"/>
            <w:vAlign w:val="bottom"/>
          </w:tcPr>
          <w:p>
            <w:pPr>
              <w:pStyle w:val="TableContents"/>
              <w:bidi w:val="0"/>
              <w:spacing w:before="0" w:after="283"/>
              <w:jc w:val="right"/>
              <w:rPr/>
            </w:pPr>
            <w:r>
              <w:rPr/>
              <w:t>4,168,000</w:t>
            </w:r>
          </w:p>
        </w:tc>
        <w:tc>
          <w:tcPr>
            <w:tcW w:w="62" w:type="dxa"/>
            <w:tcBorders/>
            <w:shd w:fill="CCEEFF" w:val="clear"/>
            <w:vAlign w:val="bottom"/>
          </w:tcPr>
          <w:p>
            <w:pPr>
              <w:pStyle w:val="TableContents"/>
              <w:bidi w:val="0"/>
              <w:spacing w:before="0" w:after="283"/>
              <w:jc w:val="left"/>
              <w:rPr/>
            </w:pPr>
            <w:r>
              <w:rPr/>
              <w:t> </w:t>
            </w:r>
          </w:p>
        </w:tc>
      </w:tr>
      <w:tr>
        <w:trPr/>
        <w:tc>
          <w:tcPr>
            <w:tcW w:w="6393" w:type="dxa"/>
            <w:tcBorders/>
          </w:tcPr>
          <w:p>
            <w:pPr>
              <w:pStyle w:val="TableContents"/>
              <w:bidi w:val="0"/>
              <w:spacing w:before="0" w:after="0"/>
              <w:jc w:val="left"/>
              <w:rPr>
                <w:rFonts w:ascii="Times New Roman" w:hAnsi="Times New Roman"/>
                <w:sz w:val="20"/>
              </w:rPr>
            </w:pPr>
            <w:r>
              <w:rPr>
                <w:rFonts w:ascii="Times New Roman" w:hAnsi="Times New Roman"/>
                <w:sz w:val="20"/>
              </w:rPr>
              <w:t>Samuel A. Ramirez &amp; Company, Inc.</w:t>
            </w:r>
          </w:p>
        </w:tc>
        <w:tc>
          <w:tcPr>
            <w:tcW w:w="14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1550" w:type="dxa"/>
            <w:tcBorders/>
            <w:vAlign w:val="bottom"/>
          </w:tcPr>
          <w:p>
            <w:pPr>
              <w:pStyle w:val="TableContents"/>
              <w:bidi w:val="0"/>
              <w:spacing w:before="0" w:after="283"/>
              <w:jc w:val="right"/>
              <w:rPr/>
            </w:pPr>
            <w:r>
              <w:rPr/>
              <w:t>4,166,000</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1550" w:type="dxa"/>
            <w:tcBorders/>
            <w:vAlign w:val="bottom"/>
          </w:tcPr>
          <w:p>
            <w:pPr>
              <w:pStyle w:val="TableContents"/>
              <w:bidi w:val="0"/>
              <w:spacing w:before="0" w:after="283"/>
              <w:jc w:val="right"/>
              <w:rPr/>
            </w:pPr>
            <w:r>
              <w:rPr/>
              <w:t>4,166,000</w:t>
            </w:r>
          </w:p>
        </w:tc>
        <w:tc>
          <w:tcPr>
            <w:tcW w:w="62" w:type="dxa"/>
            <w:tcBorders/>
            <w:vAlign w:val="bottom"/>
          </w:tcPr>
          <w:p>
            <w:pPr>
              <w:pStyle w:val="TableContents"/>
              <w:bidi w:val="0"/>
              <w:spacing w:before="0" w:after="283"/>
              <w:jc w:val="left"/>
              <w:rPr/>
            </w:pPr>
            <w:r>
              <w:rPr/>
              <w:t> </w:t>
            </w:r>
          </w:p>
        </w:tc>
      </w:tr>
      <w:tr>
        <w:trPr/>
        <w:tc>
          <w:tcPr>
            <w:tcW w:w="63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Siebert Williams Shank &amp; Co., LLC</w:t>
            </w:r>
          </w:p>
        </w:tc>
        <w:tc>
          <w:tcPr>
            <w:tcW w:w="141"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1550" w:type="dxa"/>
            <w:tcBorders/>
            <w:shd w:fill="CCEEFF" w:val="clear"/>
            <w:vAlign w:val="bottom"/>
          </w:tcPr>
          <w:p>
            <w:pPr>
              <w:pStyle w:val="TableContents"/>
              <w:bidi w:val="0"/>
              <w:spacing w:before="0" w:after="283"/>
              <w:jc w:val="right"/>
              <w:rPr/>
            </w:pPr>
            <w:r>
              <w:rPr/>
              <w:t>4,166,000</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1550" w:type="dxa"/>
            <w:tcBorders/>
            <w:shd w:fill="CCEEFF" w:val="clear"/>
            <w:vAlign w:val="bottom"/>
          </w:tcPr>
          <w:p>
            <w:pPr>
              <w:pStyle w:val="TableContents"/>
              <w:bidi w:val="0"/>
              <w:spacing w:before="0" w:after="283"/>
              <w:jc w:val="right"/>
              <w:rPr/>
            </w:pPr>
            <w:r>
              <w:rPr/>
              <w:t>4,166,000</w:t>
            </w:r>
          </w:p>
        </w:tc>
        <w:tc>
          <w:tcPr>
            <w:tcW w:w="62" w:type="dxa"/>
            <w:tcBorders/>
            <w:shd w:fill="CCEEFF" w:val="clear"/>
            <w:vAlign w:val="bottom"/>
          </w:tcPr>
          <w:p>
            <w:pPr>
              <w:pStyle w:val="TableContents"/>
              <w:bidi w:val="0"/>
              <w:spacing w:before="0" w:after="283"/>
              <w:jc w:val="left"/>
              <w:rPr/>
            </w:pPr>
            <w:r>
              <w:rPr/>
              <w:t> </w:t>
            </w:r>
          </w:p>
        </w:tc>
      </w:tr>
      <w:tr>
        <w:trPr/>
        <w:tc>
          <w:tcPr>
            <w:tcW w:w="6393"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155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1550"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639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4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b/>
              </w:rPr>
            </w:pPr>
            <w:r>
              <w:rPr>
                <w:b/>
              </w:rPr>
              <w:t>$</w:t>
            </w:r>
          </w:p>
        </w:tc>
        <w:tc>
          <w:tcPr>
            <w:tcW w:w="1550" w:type="dxa"/>
            <w:tcBorders/>
            <w:vAlign w:val="bottom"/>
          </w:tcPr>
          <w:p>
            <w:pPr>
              <w:pStyle w:val="TableContents"/>
              <w:bidi w:val="0"/>
              <w:spacing w:before="0" w:after="283"/>
              <w:jc w:val="right"/>
              <w:rPr>
                <w:b/>
              </w:rPr>
            </w:pPr>
            <w:r>
              <w:rPr>
                <w:b/>
              </w:rPr>
              <w:t>1,250,000,000</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b/>
              </w:rPr>
            </w:pPr>
            <w:r>
              <w:rPr>
                <w:b/>
              </w:rPr>
              <w:t>$</w:t>
            </w:r>
          </w:p>
        </w:tc>
        <w:tc>
          <w:tcPr>
            <w:tcW w:w="1550" w:type="dxa"/>
            <w:tcBorders/>
            <w:vAlign w:val="bottom"/>
          </w:tcPr>
          <w:p>
            <w:pPr>
              <w:pStyle w:val="TableContents"/>
              <w:bidi w:val="0"/>
              <w:spacing w:before="0" w:after="283"/>
              <w:jc w:val="right"/>
              <w:rPr>
                <w:b/>
              </w:rPr>
            </w:pPr>
            <w:r>
              <w:rPr>
                <w:b/>
              </w:rPr>
              <w:t>1,250,000,000</w:t>
            </w:r>
          </w:p>
        </w:tc>
        <w:tc>
          <w:tcPr>
            <w:tcW w:w="62" w:type="dxa"/>
            <w:tcBorders/>
            <w:vAlign w:val="bottom"/>
          </w:tcPr>
          <w:p>
            <w:pPr>
              <w:pStyle w:val="TableContents"/>
              <w:bidi w:val="0"/>
              <w:spacing w:before="0" w:after="283"/>
              <w:jc w:val="left"/>
              <w:rPr/>
            </w:pPr>
            <w:r>
              <w:rPr/>
              <w:t> </w:t>
            </w:r>
          </w:p>
        </w:tc>
      </w:tr>
      <w:tr>
        <w:trPr/>
        <w:tc>
          <w:tcPr>
            <w:tcW w:w="6393"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155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1550"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II </w:t>
      </w:r>
    </w:p>
    <w:p>
      <w:pPr>
        <w:pStyle w:val="TextBody"/>
        <w:bidi w:val="0"/>
        <w:spacing w:before="240" w:after="0"/>
        <w:jc w:val="center"/>
        <w:rPr>
          <w:rFonts w:ascii="Times New Roman" w:hAnsi="Times New Roman"/>
          <w:b/>
          <w:sz w:val="20"/>
        </w:rPr>
      </w:pPr>
      <w:r>
        <w:rPr>
          <w:rFonts w:ascii="Times New Roman" w:hAnsi="Times New Roman"/>
          <w:b/>
          <w:sz w:val="20"/>
        </w:rPr>
        <w:t xml:space="preserve">Significant Subsidiaries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315"/>
        <w:gridCol w:w="124"/>
        <w:gridCol w:w="2766"/>
      </w:tblGrid>
      <w:tr>
        <w:trPr/>
        <w:tc>
          <w:tcPr>
            <w:tcW w:w="7315"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2766" w:type="dxa"/>
            <w:tcBorders/>
            <w:vAlign w:val="center"/>
          </w:tcPr>
          <w:p>
            <w:pPr>
              <w:pStyle w:val="TableContents"/>
              <w:bidi w:val="0"/>
              <w:spacing w:before="0" w:after="283"/>
              <w:jc w:val="left"/>
              <w:rPr>
                <w:sz w:val="4"/>
                <w:szCs w:val="4"/>
              </w:rPr>
            </w:pPr>
            <w:r>
              <w:rPr>
                <w:sz w:val="4"/>
                <w:szCs w:val="4"/>
              </w:rPr>
            </w:r>
          </w:p>
        </w:tc>
      </w:tr>
      <w:tr>
        <w:trPr/>
        <w:tc>
          <w:tcPr>
            <w:tcW w:w="7315"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Subsidiary</w:t>
            </w:r>
          </w:p>
        </w:tc>
        <w:tc>
          <w:tcPr>
            <w:tcW w:w="124" w:type="dxa"/>
            <w:tcBorders/>
            <w:vAlign w:val="bottom"/>
          </w:tcPr>
          <w:p>
            <w:pPr>
              <w:pStyle w:val="TableContents"/>
              <w:bidi w:val="0"/>
              <w:spacing w:before="0" w:after="283"/>
              <w:jc w:val="left"/>
              <w:rPr/>
            </w:pPr>
            <w:r>
              <w:rPr/>
              <w:t>  </w:t>
            </w:r>
          </w:p>
        </w:tc>
        <w:tc>
          <w:tcPr>
            <w:tcW w:w="276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Organized Under the Laws of</w:t>
            </w:r>
          </w:p>
        </w:tc>
      </w:tr>
      <w:tr>
        <w:trPr/>
        <w:tc>
          <w:tcPr>
            <w:tcW w:w="7315" w:type="dxa"/>
            <w:tcBorders/>
          </w:tcPr>
          <w:p>
            <w:pPr>
              <w:pStyle w:val="TableContents"/>
              <w:bidi w:val="0"/>
              <w:spacing w:before="0" w:after="283"/>
              <w:jc w:val="left"/>
              <w:rPr/>
            </w:pPr>
            <w:r>
              <w:rPr/>
              <w:t>FCA US LLC</w:t>
            </w:r>
          </w:p>
        </w:tc>
        <w:tc>
          <w:tcPr>
            <w:tcW w:w="124" w:type="dxa"/>
            <w:tcBorders/>
            <w:vAlign w:val="bottom"/>
          </w:tcPr>
          <w:p>
            <w:pPr>
              <w:pStyle w:val="TableContents"/>
              <w:bidi w:val="0"/>
              <w:spacing w:before="0" w:after="283"/>
              <w:jc w:val="left"/>
              <w:rPr/>
            </w:pPr>
            <w:r>
              <w:rPr/>
              <w:t>  </w:t>
            </w:r>
          </w:p>
        </w:tc>
        <w:tc>
          <w:tcPr>
            <w:tcW w:w="2766" w:type="dxa"/>
            <w:tcBorders/>
          </w:tcPr>
          <w:p>
            <w:pPr>
              <w:pStyle w:val="TableContents"/>
              <w:bidi w:val="0"/>
              <w:spacing w:before="0" w:after="283"/>
              <w:jc w:val="left"/>
              <w:rPr/>
            </w:pPr>
            <w:r>
              <w:rPr/>
              <w:t>United States (Delaware)</w:t>
            </w:r>
          </w:p>
        </w:tc>
      </w:tr>
      <w:tr>
        <w:trPr/>
        <w:tc>
          <w:tcPr>
            <w:tcW w:w="7315" w:type="dxa"/>
            <w:tcBorders/>
          </w:tcPr>
          <w:p>
            <w:pPr>
              <w:pStyle w:val="TableContents"/>
              <w:bidi w:val="0"/>
              <w:spacing w:before="0" w:after="283"/>
              <w:jc w:val="left"/>
              <w:rPr/>
            </w:pPr>
            <w:r>
              <w:rPr/>
              <w:t>Stellantis Europe S.p.A.</w:t>
            </w:r>
          </w:p>
        </w:tc>
        <w:tc>
          <w:tcPr>
            <w:tcW w:w="124" w:type="dxa"/>
            <w:tcBorders/>
            <w:vAlign w:val="bottom"/>
          </w:tcPr>
          <w:p>
            <w:pPr>
              <w:pStyle w:val="TableContents"/>
              <w:bidi w:val="0"/>
              <w:spacing w:before="0" w:after="283"/>
              <w:jc w:val="left"/>
              <w:rPr/>
            </w:pPr>
            <w:r>
              <w:rPr/>
              <w:t>  </w:t>
            </w:r>
          </w:p>
        </w:tc>
        <w:tc>
          <w:tcPr>
            <w:tcW w:w="2766" w:type="dxa"/>
            <w:tcBorders/>
          </w:tcPr>
          <w:p>
            <w:pPr>
              <w:pStyle w:val="TableContents"/>
              <w:bidi w:val="0"/>
              <w:spacing w:before="0" w:after="283"/>
              <w:jc w:val="left"/>
              <w:rPr/>
            </w:pPr>
            <w:r>
              <w:rPr/>
              <w:t>Italy</w:t>
            </w:r>
          </w:p>
        </w:tc>
      </w:tr>
      <w:tr>
        <w:trPr/>
        <w:tc>
          <w:tcPr>
            <w:tcW w:w="7315" w:type="dxa"/>
            <w:tcBorders/>
          </w:tcPr>
          <w:p>
            <w:pPr>
              <w:pStyle w:val="TableContents"/>
              <w:bidi w:val="0"/>
              <w:spacing w:before="0" w:after="283"/>
              <w:jc w:val="left"/>
              <w:rPr/>
            </w:pPr>
            <w:r>
              <w:rPr/>
              <w:t>Stellantis Auto SAS</w:t>
            </w:r>
          </w:p>
        </w:tc>
        <w:tc>
          <w:tcPr>
            <w:tcW w:w="124" w:type="dxa"/>
            <w:tcBorders/>
            <w:vAlign w:val="bottom"/>
          </w:tcPr>
          <w:p>
            <w:pPr>
              <w:pStyle w:val="TableContents"/>
              <w:bidi w:val="0"/>
              <w:spacing w:before="0" w:after="283"/>
              <w:jc w:val="left"/>
              <w:rPr/>
            </w:pPr>
            <w:r>
              <w:rPr/>
              <w:t>  </w:t>
            </w:r>
          </w:p>
        </w:tc>
        <w:tc>
          <w:tcPr>
            <w:tcW w:w="2766" w:type="dxa"/>
            <w:tcBorders/>
          </w:tcPr>
          <w:p>
            <w:pPr>
              <w:pStyle w:val="TableContents"/>
              <w:bidi w:val="0"/>
              <w:spacing w:before="0" w:after="283"/>
              <w:jc w:val="left"/>
              <w:rPr/>
            </w:pPr>
            <w:r>
              <w:rPr/>
              <w:t>France</w:t>
            </w:r>
          </w:p>
        </w:tc>
      </w:tr>
      <w:tr>
        <w:trPr/>
        <w:tc>
          <w:tcPr>
            <w:tcW w:w="7315" w:type="dxa"/>
            <w:tcBorders/>
          </w:tcPr>
          <w:p>
            <w:pPr>
              <w:pStyle w:val="TableContents"/>
              <w:bidi w:val="0"/>
              <w:spacing w:before="0" w:after="283"/>
              <w:jc w:val="left"/>
              <w:rPr/>
            </w:pPr>
            <w:r>
              <w:rPr/>
              <w:t>Stellantis Financial Services US Corp.</w:t>
            </w:r>
          </w:p>
        </w:tc>
        <w:tc>
          <w:tcPr>
            <w:tcW w:w="124" w:type="dxa"/>
            <w:tcBorders/>
            <w:vAlign w:val="bottom"/>
          </w:tcPr>
          <w:p>
            <w:pPr>
              <w:pStyle w:val="TableContents"/>
              <w:bidi w:val="0"/>
              <w:spacing w:before="0" w:after="283"/>
              <w:jc w:val="left"/>
              <w:rPr/>
            </w:pPr>
            <w:r>
              <w:rPr/>
              <w:t>  </w:t>
            </w:r>
          </w:p>
        </w:tc>
        <w:tc>
          <w:tcPr>
            <w:tcW w:w="2766" w:type="dxa"/>
            <w:tcBorders/>
          </w:tcPr>
          <w:p>
            <w:pPr>
              <w:pStyle w:val="TableContents"/>
              <w:bidi w:val="0"/>
              <w:spacing w:before="0" w:after="283"/>
              <w:jc w:val="left"/>
              <w:rPr/>
            </w:pPr>
            <w:r>
              <w:rPr/>
              <w:t>United States (Delaware)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ANNEX 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1"/>
        <w:gridCol w:w="120"/>
        <w:gridCol w:w="4884"/>
      </w:tblGrid>
      <w:tr>
        <w:trPr/>
        <w:tc>
          <w:tcPr>
            <w:tcW w:w="520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84" w:type="dxa"/>
            <w:tcBorders/>
            <w:vAlign w:val="center"/>
          </w:tcPr>
          <w:p>
            <w:pPr>
              <w:pStyle w:val="TableContents"/>
              <w:bidi w:val="0"/>
              <w:spacing w:before="0" w:after="283"/>
              <w:jc w:val="left"/>
              <w:rPr>
                <w:sz w:val="4"/>
                <w:szCs w:val="4"/>
              </w:rPr>
            </w:pPr>
            <w:r>
              <w:rPr>
                <w:sz w:val="4"/>
                <w:szCs w:val="4"/>
              </w:rPr>
            </w:r>
          </w:p>
        </w:tc>
      </w:tr>
      <w:tr>
        <w:trPr/>
        <w:tc>
          <w:tcPr>
            <w:tcW w:w="5201" w:type="dxa"/>
            <w:tcBorders/>
          </w:tcPr>
          <w:p>
            <w:pPr>
              <w:pStyle w:val="TableContents"/>
              <w:bidi w:val="0"/>
              <w:spacing w:before="0" w:after="0"/>
              <w:jc w:val="left"/>
              <w:rPr>
                <w:rFonts w:ascii="Times New Roman" w:hAnsi="Times New Roman"/>
                <w:b/>
                <w:sz w:val="20"/>
              </w:rPr>
            </w:pPr>
            <w:r>
              <w:rPr>
                <w:rFonts w:ascii="Times New Roman" w:hAnsi="Times New Roman"/>
                <w:b/>
                <w:sz w:val="20"/>
              </w:rPr>
              <w:t>Free Writing Prospectus dated September 10, 2026</w:t>
            </w:r>
          </w:p>
          <w:p>
            <w:pPr>
              <w:pStyle w:val="TableContents"/>
              <w:bidi w:val="0"/>
              <w:spacing w:before="0" w:after="0"/>
              <w:jc w:val="left"/>
              <w:rPr>
                <w:rFonts w:ascii="Times New Roman" w:hAnsi="Times New Roman"/>
                <w:b/>
                <w:sz w:val="20"/>
              </w:rPr>
            </w:pPr>
            <w:r>
              <w:rPr>
                <w:rFonts w:ascii="Times New Roman" w:hAnsi="Times New Roman"/>
                <w:b/>
                <w:sz w:val="20"/>
              </w:rPr>
              <w:t>(to the prospectus dated August 3, 2026 and</w:t>
            </w:r>
          </w:p>
          <w:p>
            <w:pPr>
              <w:pStyle w:val="TableContents"/>
              <w:bidi w:val="0"/>
              <w:spacing w:before="0" w:after="0"/>
              <w:jc w:val="left"/>
              <w:rPr>
                <w:rFonts w:ascii="Times New Roman" w:hAnsi="Times New Roman"/>
                <w:b/>
                <w:sz w:val="20"/>
              </w:rPr>
            </w:pPr>
            <w:r>
              <w:rPr>
                <w:rFonts w:ascii="Times New Roman" w:hAnsi="Times New Roman"/>
                <w:b/>
                <w:sz w:val="20"/>
              </w:rPr>
              <w:t>Preliminary Prospectus Supplement dated</w:t>
            </w:r>
          </w:p>
          <w:p>
            <w:pPr>
              <w:pStyle w:val="TableContents"/>
              <w:bidi w:val="0"/>
              <w:spacing w:before="0" w:after="20"/>
              <w:jc w:val="left"/>
              <w:rPr>
                <w:rFonts w:ascii="Times New Roman" w:hAnsi="Times New Roman"/>
                <w:b/>
                <w:sz w:val="20"/>
              </w:rPr>
            </w:pPr>
            <w:r>
              <w:rPr>
                <w:rFonts w:ascii="Times New Roman" w:hAnsi="Times New Roman"/>
                <w:b/>
                <w:sz w:val="20"/>
              </w:rPr>
              <w:t>September 10, 2026)</w:t>
            </w:r>
          </w:p>
        </w:tc>
        <w:tc>
          <w:tcPr>
            <w:tcW w:w="120" w:type="dxa"/>
            <w:tcBorders/>
            <w:vAlign w:val="bottom"/>
          </w:tcPr>
          <w:p>
            <w:pPr>
              <w:pStyle w:val="TableContents"/>
              <w:bidi w:val="0"/>
              <w:spacing w:before="0" w:after="283"/>
              <w:jc w:val="left"/>
              <w:rPr/>
            </w:pPr>
            <w:r>
              <w:rPr/>
              <w:t>  </w:t>
            </w:r>
          </w:p>
        </w:tc>
        <w:tc>
          <w:tcPr>
            <w:tcW w:w="4884" w:type="dxa"/>
            <w:tcBorders/>
          </w:tcPr>
          <w:p>
            <w:pPr>
              <w:pStyle w:val="TableContents"/>
              <w:bidi w:val="0"/>
              <w:spacing w:before="0" w:after="0"/>
              <w:jc w:val="right"/>
              <w:rPr>
                <w:rFonts w:ascii="Times New Roman" w:hAnsi="Times New Roman"/>
                <w:b/>
                <w:sz w:val="20"/>
              </w:rPr>
            </w:pPr>
            <w:r>
              <w:rPr>
                <w:rFonts w:ascii="Times New Roman" w:hAnsi="Times New Roman"/>
                <w:b/>
                <w:sz w:val="20"/>
              </w:rPr>
              <w:t>Filed Pursuant to Rule 433</w:t>
            </w:r>
          </w:p>
          <w:p>
            <w:pPr>
              <w:pStyle w:val="TableContents"/>
              <w:bidi w:val="0"/>
              <w:spacing w:before="0" w:after="0"/>
              <w:jc w:val="right"/>
              <w:rPr>
                <w:rFonts w:ascii="Times New Roman" w:hAnsi="Times New Roman"/>
                <w:b/>
                <w:sz w:val="20"/>
              </w:rPr>
            </w:pPr>
            <w:r>
              <w:rPr>
                <w:rFonts w:ascii="Times New Roman" w:hAnsi="Times New Roman"/>
                <w:b/>
                <w:sz w:val="20"/>
              </w:rPr>
              <w:t>Registration Statement Nos.</w:t>
            </w:r>
          </w:p>
          <w:p>
            <w:pPr>
              <w:pStyle w:val="TableContents"/>
              <w:bidi w:val="0"/>
              <w:spacing w:before="0" w:after="20"/>
              <w:jc w:val="right"/>
              <w:rPr>
                <w:rFonts w:ascii="Times New Roman" w:hAnsi="Times New Roman"/>
                <w:b/>
                <w:sz w:val="20"/>
              </w:rPr>
            </w:pPr>
            <w:r>
              <w:rPr>
                <w:rFonts w:ascii="Times New Roman" w:hAnsi="Times New Roman"/>
                <w:b/>
                <w:sz w:val="20"/>
              </w:rPr>
              <w:t>333-297933 and 333-297933-01</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FINAL TERM SHEET </w:t>
      </w:r>
    </w:p>
    <w:p>
      <w:pPr>
        <w:pStyle w:val="TextBody"/>
        <w:bidi w:val="0"/>
        <w:spacing w:before="120" w:after="0"/>
        <w:jc w:val="center"/>
        <w:rPr>
          <w:rFonts w:ascii="Times New Roman" w:hAnsi="Times New Roman"/>
          <w:b/>
          <w:sz w:val="20"/>
        </w:rPr>
      </w:pPr>
      <w:r>
        <w:rPr>
          <w:rFonts w:ascii="Times New Roman" w:hAnsi="Times New Roman"/>
          <w:b/>
          <w:sz w:val="20"/>
        </w:rPr>
        <w:t xml:space="preserve">STELLANTIS FINANCE US INC. </w:t>
      </w:r>
    </w:p>
    <w:p>
      <w:pPr>
        <w:pStyle w:val="TextBody"/>
        <w:bidi w:val="0"/>
        <w:spacing w:before="120" w:after="0"/>
        <w:jc w:val="center"/>
        <w:rPr>
          <w:rFonts w:ascii="Times New Roman" w:hAnsi="Times New Roman"/>
          <w:b/>
          <w:sz w:val="20"/>
        </w:rPr>
      </w:pPr>
      <w:r>
        <w:rPr>
          <w:rFonts w:ascii="Times New Roman" w:hAnsi="Times New Roman"/>
          <w:b/>
          <w:sz w:val="20"/>
        </w:rPr>
        <w:t xml:space="preserve">$1,250,000,000 6.750% Fixed Rate Notes due 2031 </w:t>
      </w:r>
    </w:p>
    <w:p>
      <w:pPr>
        <w:pStyle w:val="TextBody"/>
        <w:bidi w:val="0"/>
        <w:spacing w:before="0" w:after="0"/>
        <w:jc w:val="center"/>
        <w:rPr>
          <w:rFonts w:ascii="Times New Roman" w:hAnsi="Times New Roman"/>
          <w:b/>
          <w:sz w:val="20"/>
        </w:rPr>
      </w:pPr>
      <w:r>
        <w:rPr>
          <w:rFonts w:ascii="Times New Roman" w:hAnsi="Times New Roman"/>
          <w:b/>
          <w:sz w:val="20"/>
        </w:rPr>
        <w:t xml:space="preserve">$1,250,000,000 7.400% Fixed Rate Notes due 2036 </w:t>
      </w:r>
    </w:p>
    <w:p>
      <w:pPr>
        <w:pStyle w:val="TextBody"/>
        <w:bidi w:val="0"/>
        <w:spacing w:before="240" w:after="0"/>
        <w:jc w:val="center"/>
        <w:rPr>
          <w:rFonts w:ascii="Times New Roman" w:hAnsi="Times New Roman"/>
          <w:i/>
          <w:sz w:val="20"/>
        </w:rPr>
      </w:pPr>
      <w:r>
        <w:rPr>
          <w:rFonts w:ascii="Times New Roman" w:hAnsi="Times New Roman"/>
          <w:i/>
          <w:sz w:val="20"/>
        </w:rPr>
        <w:t xml:space="preserve">Fully and unconditionally guaranteed by </w:t>
      </w:r>
    </w:p>
    <w:p>
      <w:pPr>
        <w:pStyle w:val="TextBody"/>
        <w:bidi w:val="0"/>
        <w:spacing w:before="0" w:after="0"/>
        <w:jc w:val="center"/>
        <w:rPr>
          <w:rFonts w:ascii="Times New Roman" w:hAnsi="Times New Roman"/>
          <w:b/>
          <w:sz w:val="20"/>
        </w:rPr>
      </w:pPr>
      <w:r>
        <w:rPr>
          <w:rFonts w:ascii="Times New Roman" w:hAnsi="Times New Roman"/>
          <w:b/>
          <w:sz w:val="20"/>
        </w:rPr>
        <w:t xml:space="preserve">STELLANTIS N.V.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67"/>
        <w:gridCol w:w="203"/>
        <w:gridCol w:w="6635"/>
      </w:tblGrid>
      <w:tr>
        <w:trPr/>
        <w:tc>
          <w:tcPr>
            <w:tcW w:w="3367"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6635" w:type="dxa"/>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b/>
              </w:rPr>
            </w:pPr>
            <w:r>
              <w:rPr>
                <w:b/>
              </w:rPr>
              <w:t>Issuer:</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Stellantis Finance US Inc. (the “Company”)</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b/>
              </w:rPr>
            </w:pPr>
            <w:r>
              <w:rPr>
                <w:b/>
              </w:rPr>
              <w:t>Guarantor:</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Stellantis N.V. (the “Guarantor”)</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b/>
              </w:rPr>
            </w:pPr>
            <w:r>
              <w:rPr>
                <w:b/>
              </w:rPr>
              <w:t>Title of Securities:</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0"/>
              <w:jc w:val="left"/>
              <w:rPr>
                <w:rFonts w:ascii="Times New Roman" w:hAnsi="Times New Roman"/>
                <w:sz w:val="20"/>
              </w:rPr>
            </w:pPr>
            <w:r>
              <w:rPr>
                <w:rFonts w:ascii="Times New Roman" w:hAnsi="Times New Roman"/>
                <w:sz w:val="20"/>
              </w:rPr>
              <w:t>6.750% Fixed Rate Notes due 2031 (the “2031 Notes”)</w:t>
            </w:r>
          </w:p>
          <w:p>
            <w:pPr>
              <w:pStyle w:val="TableContents"/>
              <w:bidi w:val="0"/>
              <w:spacing w:before="0" w:after="20"/>
              <w:jc w:val="left"/>
              <w:rPr>
                <w:rFonts w:ascii="Times New Roman" w:hAnsi="Times New Roman"/>
                <w:sz w:val="20"/>
              </w:rPr>
            </w:pPr>
            <w:r>
              <w:rPr>
                <w:rFonts w:ascii="Times New Roman" w:hAnsi="Times New Roman"/>
                <w:sz w:val="20"/>
              </w:rPr>
              <w:t>7.400% Fixed Rate Notes due 2036 (the “2036 Notes” and, together with the 2031 Notes, the “Notes”)</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b/>
              </w:rPr>
            </w:pPr>
            <w:r>
              <w:rPr>
                <w:b/>
              </w:rPr>
              <w:t>Expected Ratings*:</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Baa3 / BBB- (Moody’s / S&amp;P)</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b/>
              </w:rPr>
            </w:pPr>
            <w:r>
              <w:rPr>
                <w:b/>
              </w:rPr>
              <w:t>Aggregate Principal Amount:</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0"/>
              <w:jc w:val="left"/>
              <w:rPr>
                <w:rFonts w:ascii="Times New Roman" w:hAnsi="Times New Roman"/>
                <w:sz w:val="20"/>
              </w:rPr>
            </w:pPr>
            <w:r>
              <w:rPr>
                <w:rFonts w:ascii="Times New Roman" w:hAnsi="Times New Roman"/>
                <w:sz w:val="20"/>
              </w:rPr>
              <w:t>2031 Notes:   $1,250,000,000</w:t>
            </w:r>
          </w:p>
          <w:p>
            <w:pPr>
              <w:pStyle w:val="TableContents"/>
              <w:bidi w:val="0"/>
              <w:spacing w:before="0" w:after="20"/>
              <w:jc w:val="left"/>
              <w:rPr>
                <w:rFonts w:ascii="Times New Roman" w:hAnsi="Times New Roman"/>
                <w:sz w:val="20"/>
              </w:rPr>
            </w:pPr>
            <w:r>
              <w:rPr>
                <w:rFonts w:ascii="Times New Roman" w:hAnsi="Times New Roman"/>
                <w:sz w:val="20"/>
              </w:rPr>
              <w:t>2036 Notes:   $1,250,000,000</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b/>
              </w:rPr>
            </w:pPr>
            <w:r>
              <w:rPr>
                <w:b/>
              </w:rPr>
              <w:t>Trade Date:</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September 10, 2026</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b/>
              </w:rPr>
            </w:pPr>
            <w:r>
              <w:rPr>
                <w:b/>
              </w:rPr>
              <w:t>Settlement Date**:</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September 16, 2026 (T+4)</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b/>
              </w:rPr>
            </w:pPr>
            <w:r>
              <w:rPr>
                <w:b/>
              </w:rPr>
              <w:t>Maturity Date:</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0"/>
              <w:jc w:val="left"/>
              <w:rPr>
                <w:rFonts w:ascii="Times New Roman" w:hAnsi="Times New Roman"/>
                <w:sz w:val="20"/>
              </w:rPr>
            </w:pPr>
            <w:r>
              <w:rPr>
                <w:rFonts w:ascii="Times New Roman" w:hAnsi="Times New Roman"/>
                <w:sz w:val="20"/>
              </w:rPr>
              <w:t>2031 Notes:   September 16, 2031</w:t>
            </w:r>
          </w:p>
          <w:p>
            <w:pPr>
              <w:pStyle w:val="TableContents"/>
              <w:bidi w:val="0"/>
              <w:spacing w:before="0" w:after="20"/>
              <w:jc w:val="left"/>
              <w:rPr>
                <w:rFonts w:ascii="Times New Roman" w:hAnsi="Times New Roman"/>
                <w:sz w:val="20"/>
              </w:rPr>
            </w:pPr>
            <w:r>
              <w:rPr>
                <w:rFonts w:ascii="Times New Roman" w:hAnsi="Times New Roman"/>
                <w:sz w:val="20"/>
              </w:rPr>
              <w:t>2036 Notes:   September 16, 2036</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b/>
              </w:rPr>
            </w:pPr>
            <w:r>
              <w:rPr>
                <w:b/>
              </w:rPr>
              <w:t>Public Offering Price:</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0"/>
              <w:jc w:val="left"/>
              <w:rPr>
                <w:rFonts w:ascii="Times New Roman" w:hAnsi="Times New Roman"/>
                <w:sz w:val="20"/>
              </w:rPr>
            </w:pPr>
            <w:r>
              <w:rPr>
                <w:rFonts w:ascii="Times New Roman" w:hAnsi="Times New Roman"/>
                <w:sz w:val="20"/>
              </w:rPr>
              <w:t>Per 2031 Note: 99.950%; Total $1,249,375,000</w:t>
            </w:r>
          </w:p>
          <w:p>
            <w:pPr>
              <w:pStyle w:val="TableContents"/>
              <w:bidi w:val="0"/>
              <w:spacing w:before="0" w:after="20"/>
              <w:jc w:val="left"/>
              <w:rPr>
                <w:rFonts w:ascii="Times New Roman" w:hAnsi="Times New Roman"/>
                <w:sz w:val="20"/>
              </w:rPr>
            </w:pPr>
            <w:r>
              <w:rPr>
                <w:rFonts w:ascii="Times New Roman" w:hAnsi="Times New Roman"/>
                <w:sz w:val="20"/>
              </w:rPr>
              <w:t>Per 2036 Note: 99.909%; Total $1,248,862,500</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b/>
              </w:rPr>
            </w:pPr>
            <w:r>
              <w:rPr>
                <w:b/>
              </w:rPr>
              <w:t>Net Proceeds, After Underwriting Discount, but Before Expenses to the Company:</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0"/>
              <w:jc w:val="left"/>
              <w:rPr>
                <w:rFonts w:ascii="Times New Roman" w:hAnsi="Times New Roman"/>
                <w:sz w:val="20"/>
              </w:rPr>
            </w:pPr>
            <w:r>
              <w:rPr>
                <w:rFonts w:ascii="Times New Roman" w:hAnsi="Times New Roman"/>
                <w:sz w:val="20"/>
              </w:rPr>
              <w:t>Per 2031 Note: 99.600%; Total $1,245,000,000</w:t>
            </w:r>
          </w:p>
          <w:p>
            <w:pPr>
              <w:pStyle w:val="TableContents"/>
              <w:bidi w:val="0"/>
              <w:spacing w:before="0" w:after="20"/>
              <w:jc w:val="left"/>
              <w:rPr>
                <w:rFonts w:ascii="Times New Roman" w:hAnsi="Times New Roman"/>
                <w:sz w:val="20"/>
              </w:rPr>
            </w:pPr>
            <w:r>
              <w:rPr>
                <w:rFonts w:ascii="Times New Roman" w:hAnsi="Times New Roman"/>
                <w:sz w:val="20"/>
              </w:rPr>
              <w:t>Per 2036 Note: 99.459%; Total $1,243,237,500</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b/>
              </w:rPr>
            </w:pPr>
            <w:r>
              <w:rPr>
                <w:b/>
              </w:rPr>
              <w:t>Underwriting Discount:</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0"/>
              <w:jc w:val="left"/>
              <w:rPr>
                <w:rFonts w:ascii="Times New Roman" w:hAnsi="Times New Roman"/>
                <w:sz w:val="20"/>
              </w:rPr>
            </w:pPr>
            <w:r>
              <w:rPr>
                <w:rFonts w:ascii="Times New Roman" w:hAnsi="Times New Roman"/>
                <w:sz w:val="20"/>
              </w:rPr>
              <w:t>Per 2031 Note: 0.350%; Total $4,375,000</w:t>
            </w:r>
          </w:p>
          <w:p>
            <w:pPr>
              <w:pStyle w:val="TableContents"/>
              <w:bidi w:val="0"/>
              <w:spacing w:before="0" w:after="20"/>
              <w:jc w:val="left"/>
              <w:rPr>
                <w:rFonts w:ascii="Times New Roman" w:hAnsi="Times New Roman"/>
                <w:sz w:val="20"/>
              </w:rPr>
            </w:pPr>
            <w:r>
              <w:rPr>
                <w:rFonts w:ascii="Times New Roman" w:hAnsi="Times New Roman"/>
                <w:sz w:val="20"/>
              </w:rPr>
              <w:t>Per 2036 Note: 0.450%; Total $5,625,000</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b/>
              </w:rPr>
            </w:pPr>
            <w:r>
              <w:rPr>
                <w:b/>
              </w:rPr>
              <w:t>Interest Rate:</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0"/>
              <w:jc w:val="left"/>
              <w:rPr>
                <w:rFonts w:ascii="Times New Roman" w:hAnsi="Times New Roman"/>
                <w:sz w:val="20"/>
              </w:rPr>
            </w:pPr>
            <w:r>
              <w:rPr>
                <w:rFonts w:ascii="Times New Roman" w:hAnsi="Times New Roman"/>
                <w:sz w:val="20"/>
              </w:rPr>
              <w:t>2031 Notes:   6.750% per annum</w:t>
            </w:r>
          </w:p>
          <w:p>
            <w:pPr>
              <w:pStyle w:val="TableContents"/>
              <w:bidi w:val="0"/>
              <w:spacing w:before="0" w:after="20"/>
              <w:jc w:val="left"/>
              <w:rPr>
                <w:rFonts w:ascii="Times New Roman" w:hAnsi="Times New Roman"/>
                <w:sz w:val="20"/>
              </w:rPr>
            </w:pPr>
            <w:r>
              <w:rPr>
                <w:rFonts w:ascii="Times New Roman" w:hAnsi="Times New Roman"/>
                <w:sz w:val="20"/>
              </w:rPr>
              <w:t>2036 Notes:   7.400% per annum</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b/>
              </w:rPr>
            </w:pPr>
            <w:r>
              <w:rPr>
                <w:b/>
              </w:rPr>
              <w:t>Day Count Convention:</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30/360</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b/>
              </w:rPr>
            </w:pPr>
            <w:r>
              <w:rPr>
                <w:b/>
              </w:rPr>
              <w:t>Business Day Convention:</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Following unadjusted</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367"/>
        <w:gridCol w:w="204"/>
        <w:gridCol w:w="6634"/>
      </w:tblGrid>
      <w:tr>
        <w:trPr/>
        <w:tc>
          <w:tcPr>
            <w:tcW w:w="3367"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6634" w:type="dxa"/>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b/>
              </w:rPr>
            </w:pPr>
            <w:r>
              <w:rPr>
                <w:b/>
              </w:rPr>
              <w:t>Date Interest Starts Accruing:</w:t>
            </w:r>
          </w:p>
        </w:tc>
        <w:tc>
          <w:tcPr>
            <w:tcW w:w="204" w:type="dxa"/>
            <w:tcBorders/>
            <w:vAlign w:val="bottom"/>
          </w:tcPr>
          <w:p>
            <w:pPr>
              <w:pStyle w:val="TableContents"/>
              <w:bidi w:val="0"/>
              <w:spacing w:before="0" w:after="283"/>
              <w:jc w:val="left"/>
              <w:rPr/>
            </w:pPr>
            <w:r>
              <w:rPr/>
              <w:t>  </w:t>
            </w:r>
          </w:p>
        </w:tc>
        <w:tc>
          <w:tcPr>
            <w:tcW w:w="6634" w:type="dxa"/>
            <w:tcBorders/>
          </w:tcPr>
          <w:p>
            <w:pPr>
              <w:pStyle w:val="TableContents"/>
              <w:bidi w:val="0"/>
              <w:spacing w:before="0" w:after="283"/>
              <w:jc w:val="left"/>
              <w:rPr/>
            </w:pPr>
            <w:r>
              <w:rPr/>
              <w:t>September 16, 2026</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b/>
              </w:rPr>
            </w:pPr>
            <w:r>
              <w:rPr>
                <w:b/>
              </w:rPr>
              <w:t>Interest Payment Dates:</w:t>
            </w:r>
          </w:p>
        </w:tc>
        <w:tc>
          <w:tcPr>
            <w:tcW w:w="204" w:type="dxa"/>
            <w:tcBorders/>
            <w:vAlign w:val="bottom"/>
          </w:tcPr>
          <w:p>
            <w:pPr>
              <w:pStyle w:val="TableContents"/>
              <w:bidi w:val="0"/>
              <w:spacing w:before="0" w:after="283"/>
              <w:jc w:val="left"/>
              <w:rPr/>
            </w:pPr>
            <w:r>
              <w:rPr/>
              <w:t>  </w:t>
            </w:r>
          </w:p>
        </w:tc>
        <w:tc>
          <w:tcPr>
            <w:tcW w:w="6634" w:type="dxa"/>
            <w:tcBorders/>
          </w:tcPr>
          <w:p>
            <w:pPr>
              <w:pStyle w:val="TableContents"/>
              <w:bidi w:val="0"/>
              <w:spacing w:before="0" w:after="0"/>
              <w:jc w:val="left"/>
              <w:rPr>
                <w:rFonts w:ascii="Times New Roman" w:hAnsi="Times New Roman"/>
                <w:sz w:val="20"/>
              </w:rPr>
            </w:pPr>
            <w:r>
              <w:rPr>
                <w:rFonts w:ascii="Times New Roman" w:hAnsi="Times New Roman"/>
                <w:sz w:val="20"/>
              </w:rPr>
              <w:t>2031 Notes: March 16 and September 16 of each year, subject to the Business Day Convention, commencing March 16, 2027, to and including the maturity date, or, if redeemed early, the date of such redemption</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2036 Notes: March 16 and September 16 of each year, subject to the Business Day Convention, commencing March 16, 2027, to and including the maturity date, or, if redeemed early, the date of such redemption</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b/>
              </w:rPr>
            </w:pPr>
            <w:r>
              <w:rPr>
                <w:b/>
              </w:rPr>
              <w:t>Spread to Benchmark Treasury:</w:t>
            </w:r>
          </w:p>
        </w:tc>
        <w:tc>
          <w:tcPr>
            <w:tcW w:w="204" w:type="dxa"/>
            <w:tcBorders/>
            <w:vAlign w:val="bottom"/>
          </w:tcPr>
          <w:p>
            <w:pPr>
              <w:pStyle w:val="TableContents"/>
              <w:bidi w:val="0"/>
              <w:spacing w:before="0" w:after="283"/>
              <w:jc w:val="left"/>
              <w:rPr/>
            </w:pPr>
            <w:r>
              <w:rPr/>
              <w:t>  </w:t>
            </w:r>
          </w:p>
        </w:tc>
        <w:tc>
          <w:tcPr>
            <w:tcW w:w="6634" w:type="dxa"/>
            <w:tcBorders/>
          </w:tcPr>
          <w:p>
            <w:pPr>
              <w:pStyle w:val="TableContents"/>
              <w:bidi w:val="0"/>
              <w:spacing w:before="0" w:after="0"/>
              <w:jc w:val="left"/>
              <w:rPr>
                <w:rFonts w:ascii="Times New Roman" w:hAnsi="Times New Roman"/>
                <w:sz w:val="20"/>
              </w:rPr>
            </w:pPr>
            <w:r>
              <w:rPr>
                <w:rFonts w:ascii="Times New Roman" w:hAnsi="Times New Roman"/>
                <w:sz w:val="20"/>
              </w:rPr>
              <w:t>2031 Notes: T+200bps</w:t>
            </w:r>
          </w:p>
          <w:p>
            <w:pPr>
              <w:pStyle w:val="TableContents"/>
              <w:bidi w:val="0"/>
              <w:spacing w:before="0" w:after="20"/>
              <w:jc w:val="left"/>
              <w:rPr>
                <w:rFonts w:ascii="Times New Roman" w:hAnsi="Times New Roman"/>
                <w:sz w:val="20"/>
              </w:rPr>
            </w:pPr>
            <w:r>
              <w:rPr>
                <w:rFonts w:ascii="Times New Roman" w:hAnsi="Times New Roman"/>
                <w:sz w:val="20"/>
              </w:rPr>
              <w:t>2036 Notes: T+245bps</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b/>
              </w:rPr>
            </w:pPr>
            <w:r>
              <w:rPr>
                <w:b/>
              </w:rPr>
              <w:t>Benchmark Treasury:</w:t>
            </w:r>
          </w:p>
        </w:tc>
        <w:tc>
          <w:tcPr>
            <w:tcW w:w="204" w:type="dxa"/>
            <w:tcBorders/>
            <w:vAlign w:val="bottom"/>
          </w:tcPr>
          <w:p>
            <w:pPr>
              <w:pStyle w:val="TableContents"/>
              <w:bidi w:val="0"/>
              <w:spacing w:before="0" w:after="283"/>
              <w:jc w:val="left"/>
              <w:rPr/>
            </w:pPr>
            <w:r>
              <w:rPr/>
              <w:t>  </w:t>
            </w:r>
          </w:p>
        </w:tc>
        <w:tc>
          <w:tcPr>
            <w:tcW w:w="6634" w:type="dxa"/>
            <w:tcBorders/>
          </w:tcPr>
          <w:p>
            <w:pPr>
              <w:pStyle w:val="TableContents"/>
              <w:bidi w:val="0"/>
              <w:spacing w:before="0" w:after="0"/>
              <w:jc w:val="left"/>
              <w:rPr>
                <w:rFonts w:ascii="Times New Roman" w:hAnsi="Times New Roman"/>
                <w:sz w:val="20"/>
              </w:rPr>
            </w:pPr>
            <w:r>
              <w:rPr>
                <w:rFonts w:ascii="Times New Roman" w:hAnsi="Times New Roman"/>
                <w:sz w:val="20"/>
              </w:rPr>
              <w:t>2031 Notes: UST 4.375% due August 31, 2031</w:t>
            </w:r>
          </w:p>
          <w:p>
            <w:pPr>
              <w:pStyle w:val="TableContents"/>
              <w:bidi w:val="0"/>
              <w:spacing w:before="0" w:after="20"/>
              <w:jc w:val="left"/>
              <w:rPr>
                <w:rFonts w:ascii="Times New Roman" w:hAnsi="Times New Roman"/>
                <w:sz w:val="20"/>
              </w:rPr>
            </w:pPr>
            <w:r>
              <w:rPr>
                <w:rFonts w:ascii="Times New Roman" w:hAnsi="Times New Roman"/>
                <w:sz w:val="20"/>
              </w:rPr>
              <w:t>2036 Notes: UST 4.625% due August 15, 2036</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b/>
              </w:rPr>
            </w:pPr>
            <w:r>
              <w:rPr>
                <w:b/>
              </w:rPr>
              <w:t>Benchmark Treasury Price and Yield:</w:t>
            </w:r>
          </w:p>
        </w:tc>
        <w:tc>
          <w:tcPr>
            <w:tcW w:w="204" w:type="dxa"/>
            <w:tcBorders/>
            <w:vAlign w:val="bottom"/>
          </w:tcPr>
          <w:p>
            <w:pPr>
              <w:pStyle w:val="TableContents"/>
              <w:bidi w:val="0"/>
              <w:spacing w:before="0" w:after="283"/>
              <w:jc w:val="left"/>
              <w:rPr/>
            </w:pPr>
            <w:r>
              <w:rPr/>
              <w:t>  </w:t>
            </w:r>
          </w:p>
        </w:tc>
        <w:tc>
          <w:tcPr>
            <w:tcW w:w="6634" w:type="dxa"/>
            <w:tcBorders/>
          </w:tcPr>
          <w:p>
            <w:pPr>
              <w:pStyle w:val="TableContents"/>
              <w:bidi w:val="0"/>
              <w:spacing w:before="0" w:after="0"/>
              <w:jc w:val="left"/>
              <w:rPr>
                <w:rFonts w:ascii="Times New Roman" w:hAnsi="Times New Roman"/>
                <w:sz w:val="20"/>
              </w:rPr>
            </w:pPr>
            <w:r>
              <w:rPr>
                <w:rFonts w:ascii="Times New Roman" w:hAnsi="Times New Roman"/>
                <w:sz w:val="20"/>
              </w:rPr>
              <w:t>2031 Notes: 98-09 3⁄4; 4.762%</w:t>
            </w:r>
          </w:p>
          <w:p>
            <w:pPr>
              <w:pStyle w:val="TableContents"/>
              <w:bidi w:val="0"/>
              <w:spacing w:before="0" w:after="20"/>
              <w:jc w:val="left"/>
              <w:rPr>
                <w:rFonts w:ascii="Times New Roman" w:hAnsi="Times New Roman"/>
                <w:sz w:val="20"/>
              </w:rPr>
            </w:pPr>
            <w:r>
              <w:rPr>
                <w:rFonts w:ascii="Times New Roman" w:hAnsi="Times New Roman"/>
                <w:sz w:val="20"/>
              </w:rPr>
              <w:t>2036 Notes: 97-12; 4.963%</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b/>
              </w:rPr>
            </w:pPr>
            <w:r>
              <w:rPr>
                <w:b/>
              </w:rPr>
              <w:t>Yield to Maturity:</w:t>
            </w:r>
          </w:p>
        </w:tc>
        <w:tc>
          <w:tcPr>
            <w:tcW w:w="204" w:type="dxa"/>
            <w:tcBorders/>
            <w:vAlign w:val="bottom"/>
          </w:tcPr>
          <w:p>
            <w:pPr>
              <w:pStyle w:val="TableContents"/>
              <w:bidi w:val="0"/>
              <w:spacing w:before="0" w:after="283"/>
              <w:jc w:val="left"/>
              <w:rPr/>
            </w:pPr>
            <w:r>
              <w:rPr/>
              <w:t>  </w:t>
            </w:r>
          </w:p>
        </w:tc>
        <w:tc>
          <w:tcPr>
            <w:tcW w:w="6634" w:type="dxa"/>
            <w:tcBorders/>
          </w:tcPr>
          <w:p>
            <w:pPr>
              <w:pStyle w:val="TableContents"/>
              <w:bidi w:val="0"/>
              <w:spacing w:before="0" w:after="0"/>
              <w:jc w:val="left"/>
              <w:rPr>
                <w:rFonts w:ascii="Times New Roman" w:hAnsi="Times New Roman"/>
                <w:sz w:val="20"/>
              </w:rPr>
            </w:pPr>
            <w:r>
              <w:rPr>
                <w:rFonts w:ascii="Times New Roman" w:hAnsi="Times New Roman"/>
                <w:sz w:val="20"/>
              </w:rPr>
              <w:t>2031 Notes: 6.762%</w:t>
            </w:r>
          </w:p>
          <w:p>
            <w:pPr>
              <w:pStyle w:val="TableContents"/>
              <w:bidi w:val="0"/>
              <w:spacing w:before="0" w:after="20"/>
              <w:jc w:val="left"/>
              <w:rPr>
                <w:rFonts w:ascii="Times New Roman" w:hAnsi="Times New Roman"/>
                <w:sz w:val="20"/>
              </w:rPr>
            </w:pPr>
            <w:r>
              <w:rPr>
                <w:rFonts w:ascii="Times New Roman" w:hAnsi="Times New Roman"/>
                <w:sz w:val="20"/>
              </w:rPr>
              <w:t>2036 Notes: 7.413%</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b/>
              </w:rPr>
            </w:pPr>
            <w:r>
              <w:rPr>
                <w:b/>
              </w:rPr>
              <w:t>Optional Redemption:</w:t>
            </w:r>
          </w:p>
        </w:tc>
        <w:tc>
          <w:tcPr>
            <w:tcW w:w="204" w:type="dxa"/>
            <w:tcBorders/>
            <w:vAlign w:val="bottom"/>
          </w:tcPr>
          <w:p>
            <w:pPr>
              <w:pStyle w:val="TableContents"/>
              <w:bidi w:val="0"/>
              <w:spacing w:before="0" w:after="283"/>
              <w:jc w:val="left"/>
              <w:rPr/>
            </w:pPr>
            <w:r>
              <w:rPr/>
              <w:t>  </w:t>
            </w:r>
          </w:p>
        </w:tc>
        <w:tc>
          <w:tcPr>
            <w:tcW w:w="6634" w:type="dxa"/>
            <w:tcBorders/>
          </w:tcPr>
          <w:p>
            <w:pPr>
              <w:pStyle w:val="TableContents"/>
              <w:bidi w:val="0"/>
              <w:spacing w:before="0" w:after="0"/>
              <w:jc w:val="left"/>
              <w:rPr>
                <w:rFonts w:ascii="Times New Roman" w:hAnsi="Times New Roman"/>
                <w:sz w:val="20"/>
              </w:rPr>
            </w:pPr>
            <w:r>
              <w:rPr>
                <w:rFonts w:ascii="Times New Roman" w:hAnsi="Times New Roman"/>
                <w:sz w:val="20"/>
              </w:rPr>
              <w:t>The Company may redeem any series of the Notes, in whole or in part, at its option, at any time and from time to time before the applicable “Par Call Date” (as set out in the table below) at a redemption price (expressed as a percentage of principal amount and rounded to three decimal places) equal to the greater of: (1) (a) the sum of the present values of the remaining scheduled payments of principal and interest on the Notes to be redeemed discounted to the redemption date (assuming the Notes matured on the applicable “Par Call Date”) on a semi-annual basis (assuming a 360-day year consisting of twelve 30-day months) at the treasury rate (as defined in the preliminary prospectus supplement) plus the applicable “Make-Whole Spread” (as set out in the table below), less (b) interest accrued to the date of redemption, and (2) 100% of the principal amount of the Notes of the series to be redeemed, plus, in either case, accrued and unpaid interest thereon to the redemption date.</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On or after the applicable “Par Call Date”, the Company may at its option redeem any series of the Notes, in whole or in part, at any time and from time to time, at a redemption price equal to 100% of the principal amount of the Notes to be redeemed, plus accrued and unpaid interest thereon to the redemption date.</w:t>
            </w:r>
          </w:p>
        </w:tc>
      </w:tr>
    </w:tbl>
    <w:p>
      <w:pPr>
        <w:pStyle w:val="TextBody"/>
        <w:bidi w:val="0"/>
        <w:spacing w:before="0" w:after="0"/>
        <w:jc w:val="left"/>
        <w:rPr/>
      </w:pPr>
      <w:r>
        <w:rPr/>
        <w:t> </w:t>
      </w:r>
    </w:p>
    <w:tbl>
      <w:tblPr>
        <w:tblW w:w="3250" w:type="pct"/>
        <w:jc w:val="right"/>
        <w:tblInd w:w="0" w:type="dxa"/>
        <w:tblLayout w:type="fixed"/>
        <w:tblCellMar>
          <w:top w:w="0" w:type="dxa"/>
          <w:left w:w="0" w:type="dxa"/>
          <w:bottom w:w="0" w:type="dxa"/>
          <w:right w:w="0" w:type="dxa"/>
        </w:tblCellMar>
      </w:tblPr>
      <w:tblGrid>
        <w:gridCol w:w="2070"/>
        <w:gridCol w:w="121"/>
        <w:gridCol w:w="2220"/>
        <w:gridCol w:w="121"/>
        <w:gridCol w:w="2101"/>
      </w:tblGrid>
      <w:tr>
        <w:trPr/>
        <w:tc>
          <w:tcPr>
            <w:tcW w:w="207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22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207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Series</w:t>
            </w:r>
          </w:p>
        </w:tc>
        <w:tc>
          <w:tcPr>
            <w:tcW w:w="121" w:type="dxa"/>
            <w:tcBorders/>
            <w:vAlign w:val="bottom"/>
          </w:tcPr>
          <w:p>
            <w:pPr>
              <w:pStyle w:val="TableContents"/>
              <w:bidi w:val="0"/>
              <w:spacing w:before="0" w:after="283"/>
              <w:jc w:val="left"/>
              <w:rPr/>
            </w:pPr>
            <w:r>
              <w:rPr/>
              <w:t>  </w:t>
            </w:r>
          </w:p>
        </w:tc>
        <w:tc>
          <w:tcPr>
            <w:tcW w:w="222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Par Call Date</w:t>
            </w:r>
          </w:p>
        </w:tc>
        <w:tc>
          <w:tcPr>
            <w:tcW w:w="121" w:type="dxa"/>
            <w:tcBorders/>
            <w:vAlign w:val="bottom"/>
          </w:tcPr>
          <w:p>
            <w:pPr>
              <w:pStyle w:val="TableContents"/>
              <w:bidi w:val="0"/>
              <w:spacing w:before="0" w:after="283"/>
              <w:jc w:val="left"/>
              <w:rPr/>
            </w:pPr>
            <w:r>
              <w:rPr/>
              <w:t>  </w:t>
            </w:r>
          </w:p>
        </w:tc>
        <w:tc>
          <w:tcPr>
            <w:tcW w:w="210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Make-Whole Spread</w:t>
            </w:r>
          </w:p>
        </w:tc>
      </w:tr>
      <w:tr>
        <w:trPr/>
        <w:tc>
          <w:tcPr>
            <w:tcW w:w="2070" w:type="dxa"/>
            <w:tcBorders/>
          </w:tcPr>
          <w:p>
            <w:pPr>
              <w:pStyle w:val="TableContents"/>
              <w:bidi w:val="0"/>
              <w:spacing w:before="0" w:after="283"/>
              <w:jc w:val="left"/>
              <w:rPr/>
            </w:pPr>
            <w:r>
              <w:rPr/>
              <w:t>2031 Notes</w:t>
            </w:r>
          </w:p>
        </w:tc>
        <w:tc>
          <w:tcPr>
            <w:tcW w:w="121" w:type="dxa"/>
            <w:tcBorders/>
            <w:vAlign w:val="bottom"/>
          </w:tcPr>
          <w:p>
            <w:pPr>
              <w:pStyle w:val="TableContents"/>
              <w:bidi w:val="0"/>
              <w:spacing w:before="0" w:after="283"/>
              <w:jc w:val="left"/>
              <w:rPr/>
            </w:pPr>
            <w:r>
              <w:rPr/>
              <w:t>  </w:t>
            </w:r>
          </w:p>
        </w:tc>
        <w:tc>
          <w:tcPr>
            <w:tcW w:w="2220" w:type="dxa"/>
            <w:tcBorders/>
          </w:tcPr>
          <w:p>
            <w:pPr>
              <w:pStyle w:val="TableContents"/>
              <w:bidi w:val="0"/>
              <w:spacing w:before="0" w:after="283"/>
              <w:jc w:val="left"/>
              <w:rPr/>
            </w:pPr>
            <w:r>
              <w:rPr/>
              <w:t>August 16, 2031</w:t>
            </w:r>
          </w:p>
        </w:tc>
        <w:tc>
          <w:tcPr>
            <w:tcW w:w="121" w:type="dxa"/>
            <w:tcBorders/>
            <w:vAlign w:val="bottom"/>
          </w:tcPr>
          <w:p>
            <w:pPr>
              <w:pStyle w:val="TableContents"/>
              <w:bidi w:val="0"/>
              <w:spacing w:before="0" w:after="283"/>
              <w:jc w:val="left"/>
              <w:rPr/>
            </w:pPr>
            <w:r>
              <w:rPr/>
              <w:t>  </w:t>
            </w:r>
          </w:p>
        </w:tc>
        <w:tc>
          <w:tcPr>
            <w:tcW w:w="2101" w:type="dxa"/>
            <w:tcBorders/>
          </w:tcPr>
          <w:p>
            <w:pPr>
              <w:pStyle w:val="TableContents"/>
              <w:bidi w:val="0"/>
              <w:spacing w:before="0" w:after="283"/>
              <w:jc w:val="left"/>
              <w:rPr/>
            </w:pPr>
            <w:r>
              <w:rPr/>
              <w:t>30 basis points</w:t>
            </w:r>
          </w:p>
        </w:tc>
      </w:tr>
      <w:tr>
        <w:trPr>
          <w:trHeight w:val="120" w:hRule="atLeast"/>
        </w:trPr>
        <w:tc>
          <w:tcPr>
            <w:tcW w:w="2070" w:type="dxa"/>
            <w:tcBorders/>
            <w:vAlign w:val="center"/>
          </w:tcPr>
          <w:p>
            <w:pPr>
              <w:pStyle w:val="TableContents"/>
              <w:bidi w:val="0"/>
              <w:spacing w:before="0" w:after="283"/>
              <w:jc w:val="left"/>
              <w:rPr>
                <w:sz w:val="4"/>
                <w:szCs w:val="4"/>
              </w:rPr>
            </w:pPr>
            <w:r>
              <w:rPr>
                <w:sz w:val="4"/>
                <w:szCs w:val="4"/>
              </w:rPr>
            </w:r>
          </w:p>
        </w:tc>
        <w:tc>
          <w:tcPr>
            <w:tcW w:w="2341" w:type="dxa"/>
            <w:gridSpan w:val="2"/>
            <w:tcBorders/>
            <w:vAlign w:val="center"/>
          </w:tcPr>
          <w:p>
            <w:pPr>
              <w:pStyle w:val="TableContents"/>
              <w:bidi w:val="0"/>
              <w:spacing w:before="0" w:after="283"/>
              <w:jc w:val="left"/>
              <w:rPr>
                <w:sz w:val="4"/>
                <w:szCs w:val="4"/>
              </w:rPr>
            </w:pPr>
            <w:r>
              <w:rPr>
                <w:sz w:val="4"/>
                <w:szCs w:val="4"/>
              </w:rPr>
            </w:r>
          </w:p>
        </w:tc>
        <w:tc>
          <w:tcPr>
            <w:tcW w:w="2222" w:type="dxa"/>
            <w:gridSpan w:val="2"/>
            <w:tcBorders/>
            <w:vAlign w:val="center"/>
          </w:tcPr>
          <w:p>
            <w:pPr>
              <w:pStyle w:val="TableContents"/>
              <w:bidi w:val="0"/>
              <w:spacing w:before="0" w:after="283"/>
              <w:jc w:val="left"/>
              <w:rPr>
                <w:sz w:val="4"/>
                <w:szCs w:val="4"/>
              </w:rPr>
            </w:pPr>
            <w:r>
              <w:rPr>
                <w:sz w:val="4"/>
                <w:szCs w:val="4"/>
              </w:rPr>
            </w:r>
          </w:p>
        </w:tc>
      </w:tr>
      <w:tr>
        <w:trPr/>
        <w:tc>
          <w:tcPr>
            <w:tcW w:w="2070" w:type="dxa"/>
            <w:tcBorders/>
          </w:tcPr>
          <w:p>
            <w:pPr>
              <w:pStyle w:val="TableContents"/>
              <w:bidi w:val="0"/>
              <w:spacing w:before="0" w:after="283"/>
              <w:jc w:val="left"/>
              <w:rPr/>
            </w:pPr>
            <w:r>
              <w:rPr/>
              <w:t>2036 Notes</w:t>
            </w:r>
          </w:p>
        </w:tc>
        <w:tc>
          <w:tcPr>
            <w:tcW w:w="121" w:type="dxa"/>
            <w:tcBorders/>
            <w:vAlign w:val="bottom"/>
          </w:tcPr>
          <w:p>
            <w:pPr>
              <w:pStyle w:val="TableContents"/>
              <w:bidi w:val="0"/>
              <w:spacing w:before="0" w:after="283"/>
              <w:jc w:val="left"/>
              <w:rPr/>
            </w:pPr>
            <w:r>
              <w:rPr/>
              <w:t>  </w:t>
            </w:r>
          </w:p>
        </w:tc>
        <w:tc>
          <w:tcPr>
            <w:tcW w:w="2220" w:type="dxa"/>
            <w:tcBorders/>
          </w:tcPr>
          <w:p>
            <w:pPr>
              <w:pStyle w:val="TableContents"/>
              <w:bidi w:val="0"/>
              <w:spacing w:before="0" w:after="283"/>
              <w:jc w:val="left"/>
              <w:rPr/>
            </w:pPr>
            <w:r>
              <w:rPr/>
              <w:t>June 16, 2036</w:t>
            </w:r>
          </w:p>
        </w:tc>
        <w:tc>
          <w:tcPr>
            <w:tcW w:w="121" w:type="dxa"/>
            <w:tcBorders/>
            <w:vAlign w:val="bottom"/>
          </w:tcPr>
          <w:p>
            <w:pPr>
              <w:pStyle w:val="TableContents"/>
              <w:bidi w:val="0"/>
              <w:spacing w:before="0" w:after="283"/>
              <w:jc w:val="left"/>
              <w:rPr/>
            </w:pPr>
            <w:r>
              <w:rPr/>
              <w:t>  </w:t>
            </w:r>
          </w:p>
        </w:tc>
        <w:tc>
          <w:tcPr>
            <w:tcW w:w="2101" w:type="dxa"/>
            <w:tcBorders/>
          </w:tcPr>
          <w:p>
            <w:pPr>
              <w:pStyle w:val="TableContents"/>
              <w:bidi w:val="0"/>
              <w:spacing w:before="0" w:after="283"/>
              <w:jc w:val="left"/>
              <w:rPr/>
            </w:pPr>
            <w:r>
              <w:rPr/>
              <w:t>40 basis points</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67"/>
        <w:gridCol w:w="204"/>
        <w:gridCol w:w="6634"/>
      </w:tblGrid>
      <w:tr>
        <w:trPr/>
        <w:tc>
          <w:tcPr>
            <w:tcW w:w="3367"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6634" w:type="dxa"/>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b/>
              </w:rPr>
            </w:pPr>
            <w:r>
              <w:rPr>
                <w:b/>
              </w:rPr>
              <w:t>Change of Control:</w:t>
            </w:r>
          </w:p>
        </w:tc>
        <w:tc>
          <w:tcPr>
            <w:tcW w:w="204" w:type="dxa"/>
            <w:tcBorders/>
            <w:vAlign w:val="bottom"/>
          </w:tcPr>
          <w:p>
            <w:pPr>
              <w:pStyle w:val="TableContents"/>
              <w:bidi w:val="0"/>
              <w:spacing w:before="0" w:after="283"/>
              <w:jc w:val="left"/>
              <w:rPr/>
            </w:pPr>
            <w:r>
              <w:rPr/>
              <w:t>  </w:t>
            </w:r>
          </w:p>
        </w:tc>
        <w:tc>
          <w:tcPr>
            <w:tcW w:w="6634" w:type="dxa"/>
            <w:tcBorders/>
          </w:tcPr>
          <w:p>
            <w:pPr>
              <w:pStyle w:val="TableContents"/>
              <w:bidi w:val="0"/>
              <w:spacing w:before="0" w:after="283"/>
              <w:jc w:val="left"/>
              <w:rPr/>
            </w:pPr>
            <w:r>
              <w:rPr/>
              <w:t>As described in the preliminary prospectus supplement.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367"/>
        <w:gridCol w:w="203"/>
        <w:gridCol w:w="6635"/>
      </w:tblGrid>
      <w:tr>
        <w:trPr/>
        <w:tc>
          <w:tcPr>
            <w:tcW w:w="3367"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6635" w:type="dxa"/>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b/>
              </w:rPr>
            </w:pPr>
            <w:r>
              <w:rPr>
                <w:b/>
              </w:rPr>
              <w:t>Optional Tax Redemption:</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As described in the preliminary prospectus supplement.</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b/>
              </w:rPr>
            </w:pPr>
            <w:r>
              <w:rPr>
                <w:b/>
              </w:rPr>
              <w:t>Issuer Substitution Provisions:</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As described in the preliminary prospectus supplement.</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b/>
              </w:rPr>
            </w:pPr>
            <w:r>
              <w:rPr>
                <w:b/>
              </w:rPr>
              <w:t>Ranking:</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As described in the preliminary prospectus supplement.</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b/>
              </w:rPr>
            </w:pPr>
            <w:r>
              <w:rPr>
                <w:b/>
              </w:rPr>
              <w:t>Use of Proceeds:</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We intend to use the net proceeds from the sale of the Notes for general corporate purposes.</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b/>
              </w:rPr>
            </w:pPr>
            <w:r>
              <w:rPr>
                <w:b/>
              </w:rPr>
              <w:t>Minimum Denominations:</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$2,000 and integral multiples of $1,000 in excess thereof</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b/>
              </w:rPr>
            </w:pPr>
            <w:r>
              <w:rPr>
                <w:b/>
              </w:rPr>
              <w:t>CUSIP/ISIN:</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0"/>
              <w:jc w:val="left"/>
              <w:rPr>
                <w:rFonts w:ascii="Times New Roman" w:hAnsi="Times New Roman"/>
                <w:sz w:val="20"/>
              </w:rPr>
            </w:pPr>
            <w:r>
              <w:rPr>
                <w:rFonts w:ascii="Times New Roman" w:hAnsi="Times New Roman"/>
                <w:sz w:val="20"/>
              </w:rPr>
              <w:t>2031 Notes: 85855C AR1 / US85855CAR16</w:t>
            </w:r>
          </w:p>
          <w:p>
            <w:pPr>
              <w:pStyle w:val="TableContents"/>
              <w:bidi w:val="0"/>
              <w:spacing w:before="0" w:after="20"/>
              <w:jc w:val="left"/>
              <w:rPr>
                <w:rFonts w:ascii="Times New Roman" w:hAnsi="Times New Roman"/>
                <w:sz w:val="20"/>
              </w:rPr>
            </w:pPr>
            <w:r>
              <w:rPr>
                <w:rFonts w:ascii="Times New Roman" w:hAnsi="Times New Roman"/>
                <w:sz w:val="20"/>
              </w:rPr>
              <w:t>2036 Notes: 85855C AS9 / US85855CAS98</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b/>
              </w:rPr>
            </w:pPr>
            <w:r>
              <w:rPr>
                <w:b/>
              </w:rPr>
              <w:t>Joint Book-Running Managers:</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0"/>
              <w:jc w:val="left"/>
              <w:rPr>
                <w:rFonts w:ascii="Times New Roman" w:hAnsi="Times New Roman"/>
                <w:sz w:val="20"/>
              </w:rPr>
            </w:pPr>
            <w:r>
              <w:rPr>
                <w:rFonts w:ascii="Times New Roman" w:hAnsi="Times New Roman"/>
                <w:sz w:val="20"/>
              </w:rPr>
              <w:t>Citigroup Global Markets Inc.</w:t>
            </w:r>
          </w:p>
          <w:p>
            <w:pPr>
              <w:pStyle w:val="TableContents"/>
              <w:bidi w:val="0"/>
              <w:spacing w:before="0" w:after="0"/>
              <w:jc w:val="left"/>
              <w:rPr>
                <w:rFonts w:ascii="Times New Roman" w:hAnsi="Times New Roman"/>
                <w:sz w:val="20"/>
              </w:rPr>
            </w:pPr>
            <w:r>
              <w:rPr>
                <w:rFonts w:ascii="Times New Roman" w:hAnsi="Times New Roman"/>
                <w:sz w:val="20"/>
              </w:rPr>
              <w:t>Deutsche Bank Securities Inc.</w:t>
            </w:r>
          </w:p>
          <w:p>
            <w:pPr>
              <w:pStyle w:val="TableContents"/>
              <w:bidi w:val="0"/>
              <w:spacing w:before="0" w:after="0"/>
              <w:jc w:val="left"/>
              <w:rPr>
                <w:rFonts w:ascii="Times New Roman" w:hAnsi="Times New Roman"/>
                <w:sz w:val="20"/>
              </w:rPr>
            </w:pPr>
            <w:r>
              <w:rPr>
                <w:rFonts w:ascii="Times New Roman" w:hAnsi="Times New Roman"/>
                <w:sz w:val="20"/>
              </w:rPr>
              <w:t>Goldman Sachs &amp; Co. LLC</w:t>
            </w:r>
          </w:p>
          <w:p>
            <w:pPr>
              <w:pStyle w:val="TableContents"/>
              <w:bidi w:val="0"/>
              <w:spacing w:before="0" w:after="0"/>
              <w:jc w:val="left"/>
              <w:rPr>
                <w:rFonts w:ascii="Times New Roman" w:hAnsi="Times New Roman"/>
                <w:sz w:val="20"/>
              </w:rPr>
            </w:pPr>
            <w:r>
              <w:rPr>
                <w:rFonts w:ascii="Times New Roman" w:hAnsi="Times New Roman"/>
                <w:sz w:val="20"/>
              </w:rPr>
              <w:t>Intesa Sanpaolo IMI Securities Corp.</w:t>
            </w:r>
          </w:p>
          <w:p>
            <w:pPr>
              <w:pStyle w:val="TableContents"/>
              <w:bidi w:val="0"/>
              <w:spacing w:before="0" w:after="0"/>
              <w:jc w:val="left"/>
              <w:rPr>
                <w:rFonts w:ascii="Times New Roman" w:hAnsi="Times New Roman"/>
                <w:sz w:val="20"/>
              </w:rPr>
            </w:pPr>
            <w:r>
              <w:rPr>
                <w:rFonts w:ascii="Times New Roman" w:hAnsi="Times New Roman"/>
                <w:sz w:val="20"/>
              </w:rPr>
              <w:t>Morgan Stanley &amp; Co. LLC</w:t>
            </w:r>
          </w:p>
          <w:p>
            <w:pPr>
              <w:pStyle w:val="TableContents"/>
              <w:bidi w:val="0"/>
              <w:spacing w:before="0" w:after="0"/>
              <w:jc w:val="left"/>
              <w:rPr>
                <w:rFonts w:ascii="Times New Roman" w:hAnsi="Times New Roman"/>
                <w:sz w:val="20"/>
              </w:rPr>
            </w:pPr>
            <w:r>
              <w:rPr>
                <w:rFonts w:ascii="Times New Roman" w:hAnsi="Times New Roman"/>
                <w:sz w:val="20"/>
              </w:rPr>
              <w:t>Natixis Securities Americas LLC</w:t>
            </w:r>
          </w:p>
          <w:p>
            <w:pPr>
              <w:pStyle w:val="TableContents"/>
              <w:bidi w:val="0"/>
              <w:spacing w:before="0" w:after="0"/>
              <w:jc w:val="left"/>
              <w:rPr>
                <w:rFonts w:ascii="Times New Roman" w:hAnsi="Times New Roman"/>
                <w:sz w:val="20"/>
              </w:rPr>
            </w:pPr>
            <w:r>
              <w:rPr>
                <w:rFonts w:ascii="Times New Roman" w:hAnsi="Times New Roman"/>
                <w:sz w:val="20"/>
              </w:rPr>
              <w:t>RBC Capital Markets, LLC</w:t>
            </w:r>
          </w:p>
          <w:p>
            <w:pPr>
              <w:pStyle w:val="TableContents"/>
              <w:bidi w:val="0"/>
              <w:spacing w:before="0" w:after="20"/>
              <w:jc w:val="left"/>
              <w:rPr>
                <w:rFonts w:ascii="Times New Roman" w:hAnsi="Times New Roman"/>
                <w:sz w:val="20"/>
              </w:rPr>
            </w:pPr>
            <w:r>
              <w:rPr>
                <w:rFonts w:ascii="Times New Roman" w:hAnsi="Times New Roman"/>
                <w:sz w:val="20"/>
              </w:rPr>
              <w:t>SMBC Nikko Securities America, Inc.</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b/>
              </w:rPr>
            </w:pPr>
            <w:r>
              <w:rPr>
                <w:b/>
              </w:rPr>
              <w:t>Senior Co-Managers:</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0"/>
              <w:jc w:val="left"/>
              <w:rPr>
                <w:rFonts w:ascii="Times New Roman" w:hAnsi="Times New Roman"/>
                <w:sz w:val="20"/>
              </w:rPr>
            </w:pPr>
            <w:r>
              <w:rPr>
                <w:rFonts w:ascii="Times New Roman" w:hAnsi="Times New Roman"/>
                <w:sz w:val="20"/>
              </w:rPr>
              <w:t>Bank of China (Europe) S.A.</w:t>
            </w:r>
          </w:p>
          <w:p>
            <w:pPr>
              <w:pStyle w:val="TableContents"/>
              <w:bidi w:val="0"/>
              <w:spacing w:before="0" w:after="0"/>
              <w:jc w:val="left"/>
              <w:rPr>
                <w:rFonts w:ascii="Times New Roman" w:hAnsi="Times New Roman"/>
                <w:sz w:val="20"/>
              </w:rPr>
            </w:pPr>
            <w:r>
              <w:rPr>
                <w:rFonts w:ascii="Times New Roman" w:hAnsi="Times New Roman"/>
                <w:sz w:val="20"/>
              </w:rPr>
              <w:t>Commerz Markets LLC</w:t>
            </w:r>
          </w:p>
          <w:p>
            <w:pPr>
              <w:pStyle w:val="TableContents"/>
              <w:bidi w:val="0"/>
              <w:spacing w:before="0" w:after="0"/>
              <w:jc w:val="left"/>
              <w:rPr>
                <w:rFonts w:ascii="Times New Roman" w:hAnsi="Times New Roman"/>
                <w:sz w:val="20"/>
              </w:rPr>
            </w:pPr>
            <w:r>
              <w:rPr>
                <w:rFonts w:ascii="Times New Roman" w:hAnsi="Times New Roman"/>
                <w:sz w:val="20"/>
              </w:rPr>
              <w:t>ING Financial Markets LLC</w:t>
            </w:r>
          </w:p>
          <w:p>
            <w:pPr>
              <w:pStyle w:val="TableContents"/>
              <w:bidi w:val="0"/>
              <w:spacing w:before="0" w:after="20"/>
              <w:jc w:val="left"/>
              <w:rPr>
                <w:rFonts w:ascii="Times New Roman" w:hAnsi="Times New Roman"/>
                <w:sz w:val="20"/>
              </w:rPr>
            </w:pPr>
            <w:r>
              <w:rPr>
                <w:rFonts w:ascii="Times New Roman" w:hAnsi="Times New Roman"/>
                <w:sz w:val="20"/>
              </w:rPr>
              <w:t>Santander US Capital Markets LLC</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b/>
              </w:rPr>
            </w:pPr>
            <w:r>
              <w:rPr>
                <w:b/>
              </w:rPr>
              <w:t>Co-Managers:</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0"/>
              <w:jc w:val="left"/>
              <w:rPr>
                <w:rFonts w:ascii="Times New Roman" w:hAnsi="Times New Roman"/>
                <w:sz w:val="20"/>
              </w:rPr>
            </w:pPr>
            <w:r>
              <w:rPr>
                <w:rFonts w:ascii="Times New Roman" w:hAnsi="Times New Roman"/>
                <w:sz w:val="20"/>
              </w:rPr>
              <w:t>Academy Securities, Inc.</w:t>
            </w:r>
          </w:p>
          <w:p>
            <w:pPr>
              <w:pStyle w:val="TableContents"/>
              <w:bidi w:val="0"/>
              <w:spacing w:before="0" w:after="0"/>
              <w:jc w:val="left"/>
              <w:rPr>
                <w:rFonts w:ascii="Times New Roman" w:hAnsi="Times New Roman"/>
                <w:sz w:val="20"/>
              </w:rPr>
            </w:pPr>
            <w:r>
              <w:rPr>
                <w:rFonts w:ascii="Times New Roman" w:hAnsi="Times New Roman"/>
                <w:sz w:val="20"/>
              </w:rPr>
              <w:t>Samuel A. Ramirez &amp; Company, Inc.</w:t>
            </w:r>
          </w:p>
          <w:p>
            <w:pPr>
              <w:pStyle w:val="TableContents"/>
              <w:bidi w:val="0"/>
              <w:spacing w:before="0" w:after="20"/>
              <w:jc w:val="left"/>
              <w:rPr>
                <w:rFonts w:ascii="Times New Roman" w:hAnsi="Times New Roman"/>
                <w:sz w:val="20"/>
              </w:rPr>
            </w:pPr>
            <w:r>
              <w:rPr>
                <w:rFonts w:ascii="Times New Roman" w:hAnsi="Times New Roman"/>
                <w:sz w:val="20"/>
              </w:rPr>
              <w:t>Siebert Williams Shank &amp; Co., LLC</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i/>
                <w:sz w:val="20"/>
              </w:rPr>
              <w:t>A securities</w:t>
            </w:r>
            <w:r>
              <w:rPr>
                <w:rFonts w:ascii="Times New Roman" w:hAnsi="Times New Roman"/>
                <w:sz w:val="20"/>
              </w:rPr>
              <w:t xml:space="preserve"> </w:t>
            </w:r>
            <w:r>
              <w:rPr>
                <w:rFonts w:ascii="Times New Roman" w:hAnsi="Times New Roman"/>
                <w:b/>
                <w:i/>
                <w:sz w:val="20"/>
              </w:rPr>
              <w:t>rating is not a recommendation to purchase, hold or sell securities, and may be changed, superseded or withdrawn at any time. Each rating should be evaluated independently of any other rating.</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expects that delivery of the Notes will be made against payment therefor on or about September 16, 2026, which will be the fourth business day following the date of pricing of the Notes (this settlement cycle being herein referred to as “T+4”). Under Rule 15c6-1 under the U.S. Securities Exchange Act of 1934, as amended, trades in the secondary market generally are required to settle in one business day, unless the parties to any such trade expressly agree otherwise. Accordingly, purchasers who wish to trade the Notes prior to the first business day before the delivery of the Notes will be required, by virtue of the fact that the Notes initially will settle in T+4, to specify an alternative settlement cycle at the time of any such trade to prevent a failed settlement. Purchasers of the Notes who wish to make such trades should consult their own advisor. </w:t>
            </w:r>
          </w:p>
        </w:tc>
      </w:tr>
    </w:tbl>
    <w:p>
      <w:pPr>
        <w:pStyle w:val="TextBody"/>
        <w:bidi w:val="0"/>
        <w:spacing w:before="240" w:after="0"/>
        <w:jc w:val="left"/>
        <w:rPr>
          <w:rFonts w:ascii="Times New Roman" w:hAnsi="Times New Roman"/>
          <w:b/>
          <w:i/>
          <w:sz w:val="20"/>
        </w:rPr>
      </w:pPr>
      <w:r>
        <w:rPr>
          <w:rFonts w:ascii="Times New Roman" w:hAnsi="Times New Roman"/>
          <w:b/>
          <w:i/>
          <w:sz w:val="20"/>
        </w:rPr>
        <w:t xml:space="preserve">The Company and the Guarantor have filed a registration statement (including a prospectus and a preliminary prospectus supplement) with the Securities and Exchange Commission (the “SEC”) for the offering to which this communication relates. Before you invest, you should read the prospectus and the preliminary prospectus supplement in that registration statement and other documents the Company and the Guarantor have filed with the SEC for more complete information about the Company, the Guarantor and this offering. You may get these documents for free by visiting EDGAR on the SEC website at www.sec.gov. </w:t>
      </w:r>
    </w:p>
    <w:p>
      <w:pPr>
        <w:pStyle w:val="TextBody"/>
        <w:bidi w:val="0"/>
        <w:spacing w:before="240" w:after="0"/>
        <w:jc w:val="left"/>
        <w:rPr>
          <w:rFonts w:ascii="Times New Roman" w:hAnsi="Times New Roman"/>
          <w:b/>
          <w:i/>
          <w:sz w:val="20"/>
        </w:rPr>
      </w:pPr>
      <w:r>
        <w:rPr>
          <w:rFonts w:ascii="Times New Roman" w:hAnsi="Times New Roman"/>
          <w:b/>
          <w:i/>
          <w:sz w:val="20"/>
        </w:rPr>
        <w:t xml:space="preserve">Alternatively, the Company, any underwriter or any dealer participating in the offering will arrange to send you the prospectus if you request it by calling Citigroup Global Markets Inc. toll-free at +1-800-831-9146, Deutsche Bank Securities Inc., at +1-800-503-4611, Goldman Sachs &amp; Co. LLC at +1-866-471-2526, Intesa Sanpaolo IMI Securities Corp. at +1-877-792-1374, Morgan Stanley &amp; Co. LLC at +1-866-718-1649, Natixis Securities Americas LLC at +1-866-425-1819, RBC Capital Markets, LLC at +1-866-375-6829 and SMBC Nikko Securities America, Inc. at +1-888-868-6856.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Not for retail investors in the European Economic Area (“EEA”) or the United Kingdom. No key information document (KID) as required by Regulation (EU) No 1286/2014 (as amended, the “PRIIPs Regulation”) or as required by the PRIIPs Regulation as it forms part of domestic UK law by virtue of the European Union (Withdrawal) Act 2018, as amended, has been prepared as the Notes are not available to retail investors in the EEA or the United Kingdom, respectively. </w:t>
      </w:r>
    </w:p>
    <w:p>
      <w:pPr>
        <w:pStyle w:val="TextBody"/>
        <w:bidi w:val="0"/>
        <w:spacing w:before="240" w:after="0"/>
        <w:jc w:val="left"/>
        <w:rPr>
          <w:rFonts w:ascii="Times New Roman" w:hAnsi="Times New Roman"/>
          <w:i/>
          <w:sz w:val="20"/>
        </w:rPr>
      </w:pPr>
      <w:r>
        <w:rPr>
          <w:rFonts w:ascii="Times New Roman" w:hAnsi="Times New Roman"/>
          <w:i/>
          <w:sz w:val="20"/>
        </w:rPr>
        <w:t xml:space="preserve">Any disclaimer or other notice that may appear below is not applicable to this communication and should be disregarded. Such disclaimer or notice was automatically generated as a result of this communication being sent by Bloomberg or another email system.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ANNEX B </w:t>
      </w:r>
    </w:p>
    <w:p>
      <w:pPr>
        <w:pStyle w:val="TextBody"/>
        <w:bidi w:val="0"/>
        <w:spacing w:before="480" w:after="0"/>
        <w:jc w:val="center"/>
        <w:rPr>
          <w:rFonts w:ascii="Times New Roman" w:hAnsi="Times New Roman"/>
          <w:b/>
          <w:sz w:val="20"/>
        </w:rPr>
      </w:pPr>
      <w:r>
        <w:rPr>
          <w:rFonts w:ascii="Times New Roman" w:hAnsi="Times New Roman"/>
          <w:b/>
          <w:sz w:val="20"/>
        </w:rPr>
        <w:t xml:space="preserve">Form of Opinion and Disclosure Letter of Sullivan &amp; Cromwell LLP </w:t>
      </w:r>
    </w:p>
    <w:p>
      <w:pPr>
        <w:pStyle w:val="TextBody"/>
        <w:bidi w:val="0"/>
        <w:spacing w:before="240" w:after="0"/>
        <w:jc w:val="right"/>
        <w:rPr>
          <w:rFonts w:ascii="Times New Roman" w:hAnsi="Times New Roman"/>
          <w:sz w:val="20"/>
        </w:rPr>
      </w:pPr>
      <w:r>
        <w:rPr>
          <w:rFonts w:ascii="Times New Roman" w:hAnsi="Times New Roman"/>
          <w:sz w:val="20"/>
        </w:rPr>
        <w:t xml:space="preserve">September [], 2026 </w:t>
      </w:r>
    </w:p>
    <w:p>
      <w:pPr>
        <w:pStyle w:val="TextBody"/>
        <w:bidi w:val="0"/>
        <w:spacing w:before="240" w:after="0"/>
        <w:jc w:val="left"/>
        <w:rPr>
          <w:rFonts w:ascii="Times New Roman" w:hAnsi="Times New Roman"/>
          <w:sz w:val="20"/>
        </w:rPr>
      </w:pPr>
      <w:r>
        <w:rPr>
          <w:rFonts w:ascii="Times New Roman" w:hAnsi="Times New Roman"/>
          <w:sz w:val="20"/>
        </w:rPr>
        <w:t xml:space="preserve">To each of the several Underwriters listed on Schedule A </w:t>
      </w:r>
    </w:p>
    <w:p>
      <w:pPr>
        <w:pStyle w:val="TextBody"/>
        <w:bidi w:val="0"/>
        <w:spacing w:before="0" w:after="0"/>
        <w:jc w:val="left"/>
        <w:rPr>
          <w:rFonts w:ascii="Times New Roman" w:hAnsi="Times New Roman"/>
          <w:sz w:val="20"/>
        </w:rPr>
      </w:pPr>
      <w:r>
        <w:rPr>
          <w:rFonts w:ascii="Times New Roman" w:hAnsi="Times New Roman"/>
          <w:sz w:val="20"/>
        </w:rPr>
        <w:t xml:space="preserve">As Representatives of the several Underwriters.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several purchases today by you and the other Underwriters named in Schedule I to the Underwriting Agreement, dated September [], 2026 (the “Underwriting Agreement”), among Stellantis Finance US Inc., a Delaware corporation (the “Company”), Stellantis N.V., a public company with limited liability incorporated under the laws of the Netherlands, as Guarantor (the “Guarantor”), and you, as Representatives of the several Underwriters named therein (the “Underwriters”), of (i) $[] aggregate principal amount of the Company’s []% Fixed Rate Notes due [2031], and (ii) $[] aggregate principal amount of the Company’s []% Fixed Rate Notes due [2036] (collectively, the “Notes”) and the related guarantees (the “Guarantees”, and together with the Notes, the “Securities”) of the Notes by the Guarantor, issued pursuant to the Indenture, dated as of September [], 2026 (the “Indenture”), among the Company, the Guarantor and The Bank of New York Mellon, as Trustee (the “Trustee”), we, as United States counsel for the Company and the Guarantor, have examined such corporate records, certificates and other documents, and such questions of law, as we have considered necessary or appropriate for the purposes of this opinion. Upon the basis of such examination, it is our opinion that: </w:t>
      </w:r>
    </w:p>
    <w:p>
      <w:pPr>
        <w:pStyle w:val="TextBody"/>
        <w:bidi w:val="0"/>
        <w:spacing w:before="120" w:after="0"/>
        <w:jc w:val="left"/>
        <w:rPr>
          <w:rFonts w:ascii="Times New Roman" w:hAnsi="Times New Roman"/>
          <w:sz w:val="20"/>
        </w:rPr>
      </w:pPr>
      <w:r>
        <w:rPr>
          <w:rFonts w:ascii="Times New Roman" w:hAnsi="Times New Roman"/>
          <w:sz w:val="20"/>
        </w:rPr>
        <w:t xml:space="preserve">(1) The Company is an existing corporation in good standing under the laws of the State of Delaware.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The Indenture has been duly authorized, executed and delivered by the Company and duly qualified under the Trust Indenture Act of 1939, and assuming the Indenture has been duly authorized, executed and delivered by the Guarantor under Dutch law, the Indenture has been duly executed and delivered by the Guarantor and constitutes a valid and legally binding obligation of each of the Company and the Guarantor enforceable in accordance with its terms, subject to bankruptcy, insolvency, fraudulent transfer, reorganization, moratorium and similar laws of general applicability relating to or affecting creditors’ rights and to general equity principles. </w:t>
      </w:r>
    </w:p>
    <w:p>
      <w:pPr>
        <w:pStyle w:val="TextBody"/>
        <w:bidi w:val="0"/>
        <w:spacing w:before="120" w:after="0"/>
        <w:jc w:val="left"/>
        <w:rPr>
          <w:rFonts w:ascii="Times New Roman" w:hAnsi="Times New Roman"/>
          <w:sz w:val="20"/>
        </w:rPr>
      </w:pPr>
      <w:r>
        <w:rPr>
          <w:rFonts w:ascii="Times New Roman" w:hAnsi="Times New Roman"/>
          <w:sz w:val="20"/>
        </w:rPr>
        <w:t xml:space="preserve">(3) The Notes have been duly authorized, executed, issued and delivered and constitute valid and legally binding obligations of the Company, enforceable in accordance with their terms, subject to bankruptcy, insolvency, fraudulent transfer, reorganization, moratorium and similar laws of general applicability relating to or affecting creditors’ rights and to general equity principles. </w:t>
      </w:r>
    </w:p>
    <w:p>
      <w:pPr>
        <w:pStyle w:val="TextBody"/>
        <w:bidi w:val="0"/>
        <w:spacing w:before="120" w:after="0"/>
        <w:jc w:val="left"/>
        <w:rPr>
          <w:rFonts w:ascii="Times New Roman" w:hAnsi="Times New Roman"/>
          <w:sz w:val="20"/>
        </w:rPr>
      </w:pPr>
      <w:r>
        <w:rPr>
          <w:rFonts w:ascii="Times New Roman" w:hAnsi="Times New Roman"/>
          <w:sz w:val="20"/>
        </w:rPr>
        <w:t xml:space="preserve">(4) Assuming the Guarantees have been duly authorized, executed and delivered under Dutch law, the Guarantees have been duly executed and delivered by the Guarantor and constitute valid and legally binding obligations of the Guarantor, enforceable in accordance with their terms, subject to bankruptcy, insolvency, fraudulent transfer, reorganization, moratorium and similar laws of general applicability relating to or affecting creditors’ rights and to general equity principles. </w:t>
      </w:r>
    </w:p>
    <w:p>
      <w:pPr>
        <w:pStyle w:val="TextBody"/>
        <w:bidi w:val="0"/>
        <w:spacing w:before="120" w:after="0"/>
        <w:jc w:val="left"/>
        <w:rPr>
          <w:rFonts w:ascii="Times New Roman" w:hAnsi="Times New Roman"/>
          <w:sz w:val="20"/>
        </w:rPr>
      </w:pPr>
      <w:r>
        <w:rPr>
          <w:rFonts w:ascii="Times New Roman" w:hAnsi="Times New Roman"/>
          <w:sz w:val="20"/>
        </w:rPr>
        <w:t xml:space="preserve">(5) The Underwriting Agreement has been duly authorized, executed and delivered by the Company and, assuming the Underwriting Agreement has been duly authorized, executed and delivered by the Guarantor under Dutch law, the Underwriting Agreement has been duly executed and delivered by the Guarantor.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 Neither the Company nor the Guarantor is and, after giving effect to the offering and sale of the Securities and the application of the proceeds thereof as described in the Disclosure Package, as such term is defined in the Underwriting Agreement, would be on the date hereof, required to register under, or seek an exemption from, the Investment Company Act of 1940, in connection with the offer and sale of the Securities. </w:t>
      </w:r>
    </w:p>
    <w:p>
      <w:pPr>
        <w:pStyle w:val="TextBody"/>
        <w:bidi w:val="0"/>
        <w:spacing w:before="120" w:after="0"/>
        <w:jc w:val="left"/>
        <w:rPr>
          <w:rFonts w:ascii="Times New Roman" w:hAnsi="Times New Roman"/>
          <w:sz w:val="20"/>
        </w:rPr>
      </w:pPr>
      <w:r>
        <w:rPr>
          <w:rFonts w:ascii="Times New Roman" w:hAnsi="Times New Roman"/>
          <w:sz w:val="20"/>
        </w:rPr>
        <w:t xml:space="preserve">(7) All regulatory consents, authorizations, approvals and filings required to be obtained or made by the Company or the Guarantor, as the case may be, under the Covered Laws for the issuance, sale and delivery of the Notes by the Company, and the issuance, sale and delivery of the Guarantees by the Guarantor, to the Underwriters, and the performance by the Company and the Guarantor of their respective obligations under the Underwriting Agreement, have been obtained or made. </w:t>
      </w:r>
    </w:p>
    <w:p>
      <w:pPr>
        <w:pStyle w:val="TextBody"/>
        <w:bidi w:val="0"/>
        <w:spacing w:before="120" w:after="0"/>
        <w:jc w:val="left"/>
        <w:rPr>
          <w:rFonts w:ascii="Times New Roman" w:hAnsi="Times New Roman"/>
          <w:sz w:val="20"/>
        </w:rPr>
      </w:pPr>
      <w:r>
        <w:rPr>
          <w:rFonts w:ascii="Times New Roman" w:hAnsi="Times New Roman"/>
          <w:sz w:val="20"/>
        </w:rPr>
        <w:t xml:space="preserve">(8) The issuance, sale and delivery of the Notes by the Company, and the issuance, sale and delivery of the Guarantees by the Guarantor, to the Underwriters pursuant to the Underwriting Agreement do not, and the performance by the Company and the Guarantor of their respective obligations under the Underwriting Agreement will not, violate any Covered Laws applicable to the Company or the Guarantor. </w:t>
      </w:r>
    </w:p>
    <w:p>
      <w:pPr>
        <w:pStyle w:val="TextBody"/>
        <w:bidi w:val="0"/>
        <w:spacing w:before="120" w:after="0"/>
        <w:jc w:val="left"/>
        <w:rPr>
          <w:rFonts w:ascii="Times New Roman" w:hAnsi="Times New Roman"/>
          <w:sz w:val="20"/>
        </w:rPr>
      </w:pPr>
      <w:r>
        <w:rPr>
          <w:rFonts w:ascii="Times New Roman" w:hAnsi="Times New Roman"/>
          <w:sz w:val="20"/>
        </w:rPr>
        <w:t xml:space="preserve">(9) Under the laws of the State of New York relating to submission to personal jurisdiction each of the Company and, assuming the validity of such submission insofar as the laws of the Netherlands are concerned, the Guarantor has, pursuant to Section 16(d) of the Underwriting Agreement, validly submitted to the non-exclusive personal jurisdiction of the U.S. federal and New York state courts in the Borough of Manhattan in The City of New York, in any action arising out of or relating to the Underwriting Agreement or the transactions contemplated thereby.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connection with our opinion set forth in paragraph (1) above, we have relied solely on a good standing certificate for the Company issued by the Secretary of State of the State of Delaware. </w:t>
      </w:r>
    </w:p>
    <w:p>
      <w:pPr>
        <w:pStyle w:val="TextBody"/>
        <w:bidi w:val="0"/>
        <w:spacing w:before="240" w:after="0"/>
        <w:jc w:val="left"/>
        <w:rPr>
          <w:rFonts w:ascii="Times New Roman" w:hAnsi="Times New Roman"/>
          <w:sz w:val="20"/>
        </w:rPr>
      </w:pPr>
      <w:r>
        <w:rPr>
          <w:rFonts w:ascii="Times New Roman" w:hAnsi="Times New Roman"/>
          <w:sz w:val="20"/>
        </w:rPr>
        <w:t xml:space="preserve">We are expressing no opinion in paragraphs (7) and (8) above, insofar as performance by the Company or the Guarantor of their respective obligations under the Securities is concerned, as to bankruptcy, insolvency, fraudulent transfer, reorganization, moratorium and similar laws of general applicability relating to or affecting creditors’ rights. Also, for purposes of the opinions in paragraphs (7) and (8) above, “Covered Laws” means the Federal laws of the United States and the statutory laws of the State of New York (including the published rules and regulations thereunder) that in our experience normally are applicable to general business corporations, and the performance by the Company and the Guarantor of their respective obligations under the Underwriting Agreement; provided, however, that such term does not include Federal or state securities laws, antifraud laws or fraudulent transfer laws, tax laws, the Employee Retirement Income Security Act of 1974, antitrust laws, or any law that is applicable to the Company, the Guarantor, the Securities, or the issuance, sale or delivery of the Securities solely as part of a regulatory regime applicable to the Company, the Guarantor or their affiliates due to its or their status, business or assets.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our opinion set forth in paragraph (9) above, we assume that any such action will be properly brought in a court having jurisdiction over the subject matter, and we are expressing no opinion with respect to the subject matter jurisdiction of any such court. Also, we are expressing no opinion as to whether or under what circumstances such a court might decline to accept jurisdiction over such action on the ground that New York is an inconvenient forum.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foregoing opinion is limited to the Federal laws of the United States, the laws of the State of New York and the General Corporation Law of the State of Delaware, and we are expressing no opinion as to the effect of the laws of any other jurisdiction. With respect to all matters of Dutch law, we note that you have received an opinion, dated September [], 2026 of De Brauw Blackstone Westbroek N.V. pursuant to Section 5(h) of the Underwriting Agreement. </w:t>
      </w:r>
    </w:p>
    <w:p>
      <w:pPr>
        <w:pStyle w:val="TextBody"/>
        <w:bidi w:val="0"/>
        <w:spacing w:before="240" w:after="0"/>
        <w:jc w:val="left"/>
        <w:rPr>
          <w:rFonts w:ascii="Times New Roman" w:hAnsi="Times New Roman"/>
          <w:sz w:val="20"/>
        </w:rPr>
      </w:pPr>
      <w:r>
        <w:rPr>
          <w:rFonts w:ascii="Times New Roman" w:hAnsi="Times New Roman"/>
          <w:sz w:val="20"/>
        </w:rPr>
        <w:t xml:space="preserve">We have also relied as to certain matters upon information obtained from public officials, officers of the Company and the Guarantor and other sources believed by us to be responsible, and we have assumed that (i) the Indenture has been duly authorized, executed and delivered by the Trustee, (ii) the Notes and the Guarantees conform to the specimens thereof examined by us, (iii) the Trustee’s certificates of authentication of the Notes have been manually or electronically signed by one of the Trustee’s authorized officers, and (iv) the signatures on all documents examined by us are genuine, assumptions which we have not independently verified. </w:t>
      </w:r>
    </w:p>
    <w:p>
      <w:pPr>
        <w:pStyle w:val="TextBody"/>
        <w:bidi w:val="0"/>
        <w:spacing w:before="240" w:after="0"/>
        <w:jc w:val="left"/>
        <w:rPr>
          <w:rFonts w:ascii="Times New Roman" w:hAnsi="Times New Roman"/>
          <w:sz w:val="20"/>
        </w:rPr>
      </w:pPr>
      <w:r>
        <w:rPr>
          <w:rFonts w:ascii="Times New Roman" w:hAnsi="Times New Roman"/>
          <w:sz w:val="20"/>
        </w:rPr>
        <w:t xml:space="preserve">This opinion is furnished by us, as United States counsel to the Company and the Guarantor, to you, as Representatives of the several Underwriters, solely for the benefit of the Underwriters in their capacity as such, and may not be relied upon by any other person. This opinion may not be quoted, referred to or furnished to any purchaser or prospective purchaser of the Securities and may not be used in furtherance of any offer or sale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Very truly yours,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A </w:t>
      </w:r>
    </w:p>
    <w:p>
      <w:pPr>
        <w:pStyle w:val="TextBody"/>
        <w:bidi w:val="0"/>
        <w:spacing w:before="360" w:after="0"/>
        <w:jc w:val="left"/>
        <w:rPr>
          <w:rFonts w:ascii="Times New Roman" w:hAnsi="Times New Roman"/>
          <w:b/>
          <w:sz w:val="20"/>
        </w:rPr>
      </w:pPr>
      <w:r>
        <w:rPr>
          <w:rFonts w:ascii="Times New Roman" w:hAnsi="Times New Roman"/>
          <w:b/>
          <w:sz w:val="20"/>
        </w:rPr>
        <w:t xml:space="preserve">Citigroup Global Markets Inc. </w:t>
      </w:r>
    </w:p>
    <w:p>
      <w:pPr>
        <w:pStyle w:val="TextBody"/>
        <w:bidi w:val="0"/>
        <w:spacing w:before="0" w:after="0"/>
        <w:jc w:val="left"/>
        <w:rPr>
          <w:rFonts w:ascii="Times New Roman" w:hAnsi="Times New Roman"/>
          <w:sz w:val="20"/>
        </w:rPr>
      </w:pPr>
      <w:r>
        <w:rPr>
          <w:rFonts w:ascii="Times New Roman" w:hAnsi="Times New Roman"/>
          <w:sz w:val="20"/>
        </w:rPr>
        <w:t xml:space="preserve">388 Greenwich Street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10013 </w:t>
      </w:r>
    </w:p>
    <w:p>
      <w:pPr>
        <w:pStyle w:val="TextBody"/>
        <w:bidi w:val="0"/>
        <w:spacing w:before="0" w:after="0"/>
        <w:jc w:val="left"/>
        <w:rPr>
          <w:rFonts w:ascii="Times New Roman" w:hAnsi="Times New Roman"/>
          <w:sz w:val="20"/>
        </w:rPr>
      </w:pPr>
      <w:r>
        <w:rPr>
          <w:rFonts w:ascii="Times New Roman" w:hAnsi="Times New Roman"/>
          <w:sz w:val="20"/>
        </w:rPr>
        <w:t xml:space="preserve">United States of America </w:t>
      </w:r>
    </w:p>
    <w:p>
      <w:pPr>
        <w:pStyle w:val="TextBody"/>
        <w:bidi w:val="0"/>
        <w:spacing w:before="360" w:after="0"/>
        <w:jc w:val="left"/>
        <w:rPr>
          <w:rFonts w:ascii="Times New Roman" w:hAnsi="Times New Roman"/>
          <w:b/>
          <w:sz w:val="20"/>
        </w:rPr>
      </w:pPr>
      <w:r>
        <w:rPr>
          <w:rFonts w:ascii="Times New Roman" w:hAnsi="Times New Roman"/>
          <w:b/>
          <w:sz w:val="20"/>
        </w:rPr>
        <w:t xml:space="preserve">Deutsche Bank Securities Inc. </w:t>
      </w:r>
    </w:p>
    <w:p>
      <w:pPr>
        <w:pStyle w:val="TextBody"/>
        <w:bidi w:val="0"/>
        <w:spacing w:before="0" w:after="0"/>
        <w:jc w:val="left"/>
        <w:rPr>
          <w:rFonts w:ascii="Times New Roman" w:hAnsi="Times New Roman"/>
          <w:sz w:val="20"/>
        </w:rPr>
      </w:pPr>
      <w:r>
        <w:rPr>
          <w:rFonts w:ascii="Times New Roman" w:hAnsi="Times New Roman"/>
          <w:sz w:val="20"/>
        </w:rPr>
        <w:t xml:space="preserve">1 Columbus Circle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10019 </w:t>
      </w:r>
    </w:p>
    <w:p>
      <w:pPr>
        <w:pStyle w:val="TextBody"/>
        <w:bidi w:val="0"/>
        <w:spacing w:before="0" w:after="0"/>
        <w:jc w:val="left"/>
        <w:rPr>
          <w:rFonts w:ascii="Times New Roman" w:hAnsi="Times New Roman"/>
          <w:sz w:val="20"/>
        </w:rPr>
      </w:pPr>
      <w:r>
        <w:rPr>
          <w:rFonts w:ascii="Times New Roman" w:hAnsi="Times New Roman"/>
          <w:sz w:val="20"/>
        </w:rPr>
        <w:t xml:space="preserve">United States of America </w:t>
      </w:r>
    </w:p>
    <w:p>
      <w:pPr>
        <w:pStyle w:val="TextBody"/>
        <w:bidi w:val="0"/>
        <w:spacing w:before="360" w:after="0"/>
        <w:jc w:val="left"/>
        <w:rPr>
          <w:rFonts w:ascii="Times New Roman" w:hAnsi="Times New Roman"/>
          <w:b/>
          <w:sz w:val="20"/>
        </w:rPr>
      </w:pPr>
      <w:r>
        <w:rPr>
          <w:rFonts w:ascii="Times New Roman" w:hAnsi="Times New Roman"/>
          <w:b/>
          <w:sz w:val="20"/>
        </w:rPr>
        <w:t xml:space="preserve">Goldman Sachs &amp; Co. LLC </w:t>
      </w:r>
    </w:p>
    <w:p>
      <w:pPr>
        <w:pStyle w:val="TextBody"/>
        <w:bidi w:val="0"/>
        <w:spacing w:before="0" w:after="0"/>
        <w:jc w:val="left"/>
        <w:rPr>
          <w:rFonts w:ascii="Times New Roman" w:hAnsi="Times New Roman"/>
          <w:sz w:val="20"/>
        </w:rPr>
      </w:pPr>
      <w:r>
        <w:rPr>
          <w:rFonts w:ascii="Times New Roman" w:hAnsi="Times New Roman"/>
          <w:sz w:val="20"/>
        </w:rPr>
        <w:t xml:space="preserve">200 West Street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10282 </w:t>
      </w:r>
    </w:p>
    <w:p>
      <w:pPr>
        <w:pStyle w:val="TextBody"/>
        <w:bidi w:val="0"/>
        <w:spacing w:before="0" w:after="0"/>
        <w:jc w:val="left"/>
        <w:rPr>
          <w:rFonts w:ascii="Times New Roman" w:hAnsi="Times New Roman"/>
          <w:sz w:val="20"/>
        </w:rPr>
      </w:pPr>
      <w:r>
        <w:rPr>
          <w:rFonts w:ascii="Times New Roman" w:hAnsi="Times New Roman"/>
          <w:sz w:val="20"/>
        </w:rPr>
        <w:t xml:space="preserve">United States of America </w:t>
      </w:r>
    </w:p>
    <w:p>
      <w:pPr>
        <w:pStyle w:val="TextBody"/>
        <w:bidi w:val="0"/>
        <w:spacing w:before="360" w:after="0"/>
        <w:jc w:val="left"/>
        <w:rPr>
          <w:rFonts w:ascii="Times New Roman" w:hAnsi="Times New Roman"/>
          <w:b/>
          <w:sz w:val="20"/>
        </w:rPr>
      </w:pPr>
      <w:r>
        <w:rPr>
          <w:rFonts w:ascii="Times New Roman" w:hAnsi="Times New Roman"/>
          <w:b/>
          <w:sz w:val="20"/>
        </w:rPr>
        <w:t xml:space="preserve">Intesa Sanpaolo IMI Securities Corp. </w:t>
      </w:r>
    </w:p>
    <w:p>
      <w:pPr>
        <w:pStyle w:val="TextBody"/>
        <w:bidi w:val="0"/>
        <w:spacing w:before="0" w:after="0"/>
        <w:jc w:val="left"/>
        <w:rPr>
          <w:rFonts w:ascii="Times New Roman" w:hAnsi="Times New Roman"/>
          <w:sz w:val="20"/>
        </w:rPr>
      </w:pPr>
      <w:r>
        <w:rPr>
          <w:rFonts w:ascii="Times New Roman" w:hAnsi="Times New Roman"/>
          <w:sz w:val="20"/>
        </w:rPr>
        <w:t xml:space="preserve">1 William Street,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10004 </w:t>
      </w:r>
    </w:p>
    <w:p>
      <w:pPr>
        <w:pStyle w:val="TextBody"/>
        <w:bidi w:val="0"/>
        <w:spacing w:before="0" w:after="0"/>
        <w:jc w:val="left"/>
        <w:rPr>
          <w:rFonts w:ascii="Times New Roman" w:hAnsi="Times New Roman"/>
          <w:sz w:val="20"/>
        </w:rPr>
      </w:pPr>
      <w:r>
        <w:rPr>
          <w:rFonts w:ascii="Times New Roman" w:hAnsi="Times New Roman"/>
          <w:sz w:val="20"/>
        </w:rPr>
        <w:t xml:space="preserve">United States of America </w:t>
      </w:r>
    </w:p>
    <w:p>
      <w:pPr>
        <w:pStyle w:val="TextBody"/>
        <w:bidi w:val="0"/>
        <w:spacing w:before="360" w:after="0"/>
        <w:jc w:val="left"/>
        <w:rPr>
          <w:rFonts w:ascii="Times New Roman" w:hAnsi="Times New Roman"/>
          <w:b/>
          <w:sz w:val="20"/>
        </w:rPr>
      </w:pPr>
      <w:r>
        <w:rPr>
          <w:rFonts w:ascii="Times New Roman" w:hAnsi="Times New Roman"/>
          <w:b/>
          <w:sz w:val="20"/>
        </w:rPr>
        <w:t xml:space="preserve">Morgan Stanley &amp; Co. LLC </w:t>
      </w:r>
    </w:p>
    <w:p>
      <w:pPr>
        <w:pStyle w:val="TextBody"/>
        <w:bidi w:val="0"/>
        <w:spacing w:before="0" w:after="0"/>
        <w:jc w:val="left"/>
        <w:rPr>
          <w:rFonts w:ascii="Times New Roman" w:hAnsi="Times New Roman"/>
          <w:sz w:val="20"/>
        </w:rPr>
      </w:pPr>
      <w:r>
        <w:rPr>
          <w:rFonts w:ascii="Times New Roman" w:hAnsi="Times New Roman"/>
          <w:sz w:val="20"/>
        </w:rPr>
        <w:t xml:space="preserve">1585 Broadway, 29th Floor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10036 </w:t>
      </w:r>
    </w:p>
    <w:p>
      <w:pPr>
        <w:pStyle w:val="TextBody"/>
        <w:bidi w:val="0"/>
        <w:spacing w:before="0" w:after="0"/>
        <w:jc w:val="left"/>
        <w:rPr>
          <w:rFonts w:ascii="Times New Roman" w:hAnsi="Times New Roman"/>
          <w:sz w:val="20"/>
        </w:rPr>
      </w:pPr>
      <w:r>
        <w:rPr>
          <w:rFonts w:ascii="Times New Roman" w:hAnsi="Times New Roman"/>
          <w:sz w:val="20"/>
        </w:rPr>
        <w:t xml:space="preserve">United States of America </w:t>
      </w:r>
    </w:p>
    <w:p>
      <w:pPr>
        <w:pStyle w:val="TextBody"/>
        <w:bidi w:val="0"/>
        <w:spacing w:before="360" w:after="0"/>
        <w:jc w:val="left"/>
        <w:rPr>
          <w:rFonts w:ascii="Times New Roman" w:hAnsi="Times New Roman"/>
          <w:b/>
          <w:sz w:val="20"/>
        </w:rPr>
      </w:pPr>
      <w:r>
        <w:rPr>
          <w:rFonts w:ascii="Times New Roman" w:hAnsi="Times New Roman"/>
          <w:b/>
          <w:sz w:val="20"/>
        </w:rPr>
        <w:t xml:space="preserve">RBC Capital Markets, LLC </w:t>
      </w:r>
    </w:p>
    <w:p>
      <w:pPr>
        <w:pStyle w:val="TextBody"/>
        <w:bidi w:val="0"/>
        <w:spacing w:before="0" w:after="0"/>
        <w:jc w:val="left"/>
        <w:rPr>
          <w:rFonts w:ascii="Times New Roman" w:hAnsi="Times New Roman"/>
          <w:sz w:val="20"/>
        </w:rPr>
      </w:pPr>
      <w:r>
        <w:rPr>
          <w:rFonts w:ascii="Times New Roman" w:hAnsi="Times New Roman"/>
          <w:sz w:val="20"/>
        </w:rPr>
        <w:t xml:space="preserve">Brookfield Place, 200 Vesey Street, 8th Floor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10281 </w:t>
      </w:r>
    </w:p>
    <w:p>
      <w:pPr>
        <w:pStyle w:val="TextBody"/>
        <w:bidi w:val="0"/>
        <w:spacing w:before="0" w:after="0"/>
        <w:jc w:val="left"/>
        <w:rPr>
          <w:rFonts w:ascii="Times New Roman" w:hAnsi="Times New Roman"/>
          <w:sz w:val="20"/>
        </w:rPr>
      </w:pPr>
      <w:r>
        <w:rPr>
          <w:rFonts w:ascii="Times New Roman" w:hAnsi="Times New Roman"/>
          <w:sz w:val="20"/>
        </w:rPr>
        <w:t xml:space="preserve">United States of America </w:t>
      </w:r>
    </w:p>
    <w:p>
      <w:pPr>
        <w:pStyle w:val="TextBody"/>
        <w:bidi w:val="0"/>
        <w:spacing w:before="360" w:after="0"/>
        <w:jc w:val="left"/>
        <w:rPr>
          <w:rFonts w:ascii="Times New Roman" w:hAnsi="Times New Roman"/>
          <w:b/>
          <w:sz w:val="20"/>
        </w:rPr>
      </w:pPr>
      <w:r>
        <w:rPr>
          <w:rFonts w:ascii="Times New Roman" w:hAnsi="Times New Roman"/>
          <w:b/>
          <w:sz w:val="20"/>
        </w:rPr>
        <w:t xml:space="preserve">SMBC Nikko Securities America, Inc. </w:t>
      </w:r>
    </w:p>
    <w:p>
      <w:pPr>
        <w:pStyle w:val="TextBody"/>
        <w:bidi w:val="0"/>
        <w:spacing w:before="0" w:after="0"/>
        <w:jc w:val="left"/>
        <w:rPr>
          <w:rFonts w:ascii="Times New Roman" w:hAnsi="Times New Roman"/>
          <w:sz w:val="20"/>
        </w:rPr>
      </w:pPr>
      <w:r>
        <w:rPr>
          <w:rFonts w:ascii="Times New Roman" w:hAnsi="Times New Roman"/>
          <w:sz w:val="20"/>
        </w:rPr>
        <w:t xml:space="preserve">277 Park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NY 10172 </w:t>
      </w:r>
    </w:p>
    <w:p>
      <w:pPr>
        <w:pStyle w:val="TextBody"/>
        <w:bidi w:val="0"/>
        <w:spacing w:before="0" w:after="0"/>
        <w:jc w:val="left"/>
        <w:rPr>
          <w:rFonts w:ascii="Times New Roman" w:hAnsi="Times New Roman"/>
          <w:sz w:val="20"/>
        </w:rPr>
      </w:pPr>
      <w:r>
        <w:rPr>
          <w:rFonts w:ascii="Times New Roman" w:hAnsi="Times New Roman"/>
          <w:sz w:val="20"/>
        </w:rPr>
        <w:t xml:space="preserve">United States of America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B-6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September [], 2026 </w:t>
      </w:r>
    </w:p>
    <w:p>
      <w:pPr>
        <w:pStyle w:val="TextBody"/>
        <w:bidi w:val="0"/>
        <w:spacing w:before="240" w:after="0"/>
        <w:jc w:val="left"/>
        <w:rPr>
          <w:rFonts w:ascii="Times New Roman" w:hAnsi="Times New Roman"/>
          <w:sz w:val="20"/>
        </w:rPr>
      </w:pPr>
      <w:r>
        <w:rPr>
          <w:rFonts w:ascii="Times New Roman" w:hAnsi="Times New Roman"/>
          <w:sz w:val="20"/>
        </w:rPr>
        <w:t xml:space="preserve">To each of the several Underwriters listed on Schedule B </w:t>
      </w:r>
    </w:p>
    <w:p>
      <w:pPr>
        <w:pStyle w:val="TextBody"/>
        <w:bidi w:val="0"/>
        <w:spacing w:before="0" w:after="0"/>
        <w:jc w:val="left"/>
        <w:rPr>
          <w:rFonts w:ascii="Times New Roman" w:hAnsi="Times New Roman"/>
          <w:sz w:val="20"/>
        </w:rPr>
      </w:pPr>
      <w:r>
        <w:rPr>
          <w:rFonts w:ascii="Times New Roman" w:hAnsi="Times New Roman"/>
          <w:sz w:val="20"/>
        </w:rPr>
        <w:t xml:space="preserve">As Representatives of the several Underwriters.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This is with reference to the registration under the Securities Act of 1933 (the “Securities Act”) and offering of (i) $[] aggregate principal amount of []% Fixed Rate Notes due [2031], and (ii) $[] aggregate principal amount of []% Fixed Rate Notes due [2036] (collectively, the “Securities”) of Stellantis Finance US Inc., a Delaware corporation (the “Company”), and the related guarantees (the “Guarantees”) of the Securities by Stellantis N.V., a public company with limited liability incorporated under the laws of the Netherlands (the “Guarantor”). </w:t>
      </w:r>
    </w:p>
    <w:p>
      <w:pPr>
        <w:pStyle w:val="TextBody"/>
        <w:bidi w:val="0"/>
        <w:spacing w:before="240" w:after="0"/>
        <w:jc w:val="left"/>
        <w:rPr>
          <w:rFonts w:ascii="Times New Roman" w:hAnsi="Times New Roman"/>
          <w:sz w:val="20"/>
        </w:rPr>
      </w:pPr>
      <w:r>
        <w:rPr>
          <w:rFonts w:ascii="Times New Roman" w:hAnsi="Times New Roman"/>
          <w:sz w:val="20"/>
        </w:rPr>
        <w:t xml:space="preserve">The Registration Statement relating to the Securities and the Guarantees (File Nos. 333-297933 and 333-297933-01) (the “Registration Statement”), was filed on Form F-3 in accordance with procedures of the Securities and Exchange Commission (the “Commission”) permitting a delayed or continuous offering of securities pursuant thereto and, if appropriate, a post-effective amendment, document incorporated by reference therein or prospectus supplement that provides information relating to the terms of the securities and the manner of their distribution. The Securities and Guarantees have been offered by the Prospectus, dated August 3, 2026 (the “Basic Prospectus”), as supplemented by the Prospectus Supplement, dated September [], 2026 (the “Prospectus Supplement”), which updates or supplements certain information contained in the Basic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As United States counsel to the Company and the Guarantor, we reviewed the Registration Statement, the Basic Prospectus, the Prospectus Supplement and the documents listed in Schedule A hereto (those listed documents, taken together with the Basic Prospectus being referred to herein as the “Pricing Disclosure Package”), and participated in discussions with your representatives and those of the Guarantor, the Guarantor’s accountants and the Guarantor’s Dutch counsel. Between the date of the Prospectus Supplement and the time of delivery of this letter, we participated in further discussions with your representatives and those of the Company, the Guarantor [and the Guarantor’s accountants] concerning certain matters relating to the Company and the Guarantor, and reviewed certificates of certain officers of the Guarantor, opinions addressed to you from the Guarantor’s Dutch counsel and letters addressed to you from the Guarantor’s accountants. On the basis of the information that we gained in the course of the performance of the services referred to above, considered in the light of our understanding of the applicable law (including the requirements of Form F-3 and the character of the prospectus contemplated thereby) and the experience we have gained through our practice under the Securities Act, we confirm to you that, in our opinion, the Registration Statement, as of the date of the Prospectus Supplement, and the Basic Prospectus, as supplemented by the Prospectus Supplement, as of the date of the Prospectus Supplement, appeared on their face to be appropriately responsive, in all material respects relevant to the offering of the Securities, to the requirements of the Securities Act, the Trust Indenture Act of 1939 and the applicable rules and regulations of the Commission thereunder. Also, we confirm to you that the statements contained (i) under the captions “Description of Debt Securities and Guarantees” in the Basic Prospectus and “Description of Notes and Guarantees” in the Prospectus Supplement insofar as they relate to the provisions of the indenture therein described, and (ii) under the caption “United States Taxation of Debt Securities” in the Basic Prospectus insofar as they relate to the provisions of United States Federal tax law therein described, and in each case insofar as relevant to the offering of the Securities, constitute a fair and accurate summary of such provisions in all material respects.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Further, nothing that came to our attention in the course of such review has caused us to believe that, insofar as relevant to the offering of the Securities, </w:t>
      </w:r>
    </w:p>
    <w:p>
      <w:pPr>
        <w:pStyle w:val="TextBody"/>
        <w:bidi w:val="0"/>
        <w:spacing w:before="120" w:after="0"/>
        <w:jc w:val="left"/>
        <w:rPr>
          <w:rFonts w:ascii="Times New Roman" w:hAnsi="Times New Roman"/>
          <w:sz w:val="20"/>
        </w:rPr>
      </w:pPr>
      <w:r>
        <w:rPr>
          <w:rFonts w:ascii="Times New Roman" w:hAnsi="Times New Roman"/>
          <w:sz w:val="20"/>
        </w:rPr>
        <w:t xml:space="preserve">(a) the Registration Statement, as of the date of the Prospectus Supplement, contained any untrue statement of a material fact or omitted to state any material fact required to be stated therein or necessary to make the statements therein not misleading, </w:t>
      </w:r>
    </w:p>
    <w:p>
      <w:pPr>
        <w:pStyle w:val="TextBody"/>
        <w:bidi w:val="0"/>
        <w:spacing w:before="120" w:after="0"/>
        <w:jc w:val="left"/>
        <w:rPr>
          <w:rFonts w:ascii="Times New Roman" w:hAnsi="Times New Roman"/>
          <w:sz w:val="20"/>
        </w:rPr>
      </w:pPr>
      <w:r>
        <w:rPr>
          <w:rFonts w:ascii="Times New Roman" w:hAnsi="Times New Roman"/>
          <w:sz w:val="20"/>
        </w:rPr>
        <w:t xml:space="preserve">(b) the Pricing Disclosure Package as of [] P.M., New York City time, on September [], 2026, contained any untrue statement of a material fact or omitted to state any material fact necessary in order to make the statements therein, in the light of the circumstances under which they were made, not misleading, or </w:t>
      </w:r>
    </w:p>
    <w:p>
      <w:pPr>
        <w:pStyle w:val="TextBody"/>
        <w:bidi w:val="0"/>
        <w:spacing w:before="120" w:after="0"/>
        <w:jc w:val="left"/>
        <w:rPr>
          <w:rFonts w:ascii="Times New Roman" w:hAnsi="Times New Roman"/>
          <w:sz w:val="20"/>
        </w:rPr>
      </w:pPr>
      <w:r>
        <w:rPr>
          <w:rFonts w:ascii="Times New Roman" w:hAnsi="Times New Roman"/>
          <w:sz w:val="20"/>
        </w:rPr>
        <w:t xml:space="preserve">(c) the Basic Prospectus, as supplemented by the Prospectus Supplement, as of the date of the Prospectus Supplement, contained any untrue statement of a material fact or omitted to state any material fact necessary in order to make the statements therein, in the light of the circumstances under which they were made, not misleading. </w:t>
      </w:r>
    </w:p>
    <w:p>
      <w:pPr>
        <w:pStyle w:val="TextBody"/>
        <w:bidi w:val="0"/>
        <w:spacing w:before="240" w:after="0"/>
        <w:jc w:val="left"/>
        <w:rPr>
          <w:rFonts w:ascii="Times New Roman" w:hAnsi="Times New Roman"/>
          <w:sz w:val="20"/>
        </w:rPr>
      </w:pPr>
      <w:r>
        <w:rPr>
          <w:rFonts w:ascii="Times New Roman" w:hAnsi="Times New Roman"/>
          <w:sz w:val="20"/>
        </w:rPr>
        <w:t xml:space="preserve">We also advise you that nothing that came to our attention in the course of the procedures described in the second sentence of the preceding paragraph of this letter has caused us to believe that, insofar as relevant to the offering of the Securities, the Basic Prospectus, as supplemented by the Prospectus Supplement, as of the time of delivery of this letter, contained any untrue statement of a material fact or omitted to state any material fact necessary in order to make the statements therein, in the light of the circumstances under which they were made, not misleading.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limitations inherent in the independent verification of factual matters and the character of determinations involved in the registration process are such, however, that we do not assume any responsibility for the accuracy, completeness or fairness of the statements contained in the Registration Statement, the Basic Prospectus, the Prospectus Supplement, or the Pricing Disclosure Package, except to the extent specifically noted in the last sentence of the second preceding paragraph of this letter. Also, we do not express any opinion or belief as to the financial statements or other financial data derived from accounting records contained in the Registration Statement, the Basic Prospectus, the Prospectus Supplement or the Pricing Disclosure Package, as to management’s report of its assessment of the effectiveness of the Guarantor’s internal control over financial reporting or the registered public accounting firm’s attestation report thereon, each as included in the Registration Statement, the Basic Prospectus, the Prospectus Supplement, or the Pricing Disclosure Package, or as to the statement of the eligibility of the Trustee under the Indenture under which the Securities are being issued. </w:t>
      </w:r>
    </w:p>
    <w:p>
      <w:pPr>
        <w:pStyle w:val="TextBody"/>
        <w:bidi w:val="0"/>
        <w:spacing w:before="240" w:after="0"/>
        <w:jc w:val="left"/>
        <w:rPr>
          <w:rFonts w:ascii="Times New Roman" w:hAnsi="Times New Roman"/>
          <w:sz w:val="20"/>
        </w:rPr>
      </w:pPr>
      <w:r>
        <w:rPr>
          <w:rFonts w:ascii="Times New Roman" w:hAnsi="Times New Roman"/>
          <w:sz w:val="20"/>
        </w:rPr>
        <w:t xml:space="preserve">This letter is furnished by us, as United States counsel to the Company and the Guarantor, to you, as Representatives of the several Underwriters, solely for the benefit of the Underwriters in their capacity as such and may not be relied upon by any other person. This letter may not be quoted, referred to or furnished to any purchaser or prospective purchaser of the Securities and may not be used in furtherance of any offer or sale of the Securities. </w:t>
      </w:r>
    </w:p>
    <w:p>
      <w:pPr>
        <w:pStyle w:val="TextBody"/>
        <w:bidi w:val="0"/>
        <w:spacing w:before="240" w:after="0"/>
        <w:jc w:val="right"/>
        <w:rPr>
          <w:rFonts w:ascii="Times New Roman" w:hAnsi="Times New Roman"/>
          <w:sz w:val="20"/>
        </w:rPr>
      </w:pPr>
      <w:r>
        <w:rPr>
          <w:rFonts w:ascii="Times New Roman" w:hAnsi="Times New Roman"/>
          <w:sz w:val="20"/>
        </w:rPr>
        <w:t xml:space="preserve">Very truly yours,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A </w:t>
      </w:r>
    </w:p>
    <w:p>
      <w:pPr>
        <w:pStyle w:val="TextBody"/>
        <w:bidi w:val="0"/>
        <w:spacing w:before="240" w:after="0"/>
        <w:jc w:val="left"/>
        <w:rPr>
          <w:rFonts w:ascii="Times New Roman" w:hAnsi="Times New Roman"/>
          <w:sz w:val="20"/>
        </w:rPr>
      </w:pPr>
      <w:r>
        <w:rPr>
          <w:rFonts w:ascii="Times New Roman" w:hAnsi="Times New Roman"/>
          <w:sz w:val="20"/>
        </w:rPr>
        <w:t xml:space="preserve">Preliminary Prospectus Supplement, dated September [], 2026  </w:t>
      </w:r>
    </w:p>
    <w:p>
      <w:pPr>
        <w:pStyle w:val="TextBody"/>
        <w:bidi w:val="0"/>
        <w:spacing w:before="240" w:after="0"/>
        <w:jc w:val="left"/>
        <w:rPr>
          <w:rFonts w:ascii="Times New Roman" w:hAnsi="Times New Roman"/>
          <w:sz w:val="20"/>
        </w:rPr>
      </w:pPr>
      <w:r>
        <w:rPr>
          <w:rFonts w:ascii="Times New Roman" w:hAnsi="Times New Roman"/>
          <w:sz w:val="20"/>
        </w:rPr>
        <w:t xml:space="preserve">Final Term Sheet, dated September [],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B </w:t>
      </w:r>
    </w:p>
    <w:p>
      <w:pPr>
        <w:pStyle w:val="TextBody"/>
        <w:bidi w:val="0"/>
        <w:spacing w:before="240" w:after="0"/>
        <w:jc w:val="left"/>
        <w:rPr>
          <w:rFonts w:ascii="Times New Roman" w:hAnsi="Times New Roman"/>
          <w:b/>
          <w:sz w:val="20"/>
        </w:rPr>
      </w:pPr>
      <w:r>
        <w:rPr>
          <w:rFonts w:ascii="Times New Roman" w:hAnsi="Times New Roman"/>
          <w:b/>
          <w:sz w:val="20"/>
        </w:rPr>
        <w:t xml:space="preserve">Citigroup Global Markets Inc. </w:t>
      </w:r>
    </w:p>
    <w:p>
      <w:pPr>
        <w:pStyle w:val="TextBody"/>
        <w:bidi w:val="0"/>
        <w:spacing w:before="0" w:after="0"/>
        <w:jc w:val="left"/>
        <w:rPr>
          <w:rFonts w:ascii="Times New Roman" w:hAnsi="Times New Roman"/>
          <w:sz w:val="20"/>
        </w:rPr>
      </w:pPr>
      <w:r>
        <w:rPr>
          <w:rFonts w:ascii="Times New Roman" w:hAnsi="Times New Roman"/>
          <w:sz w:val="20"/>
        </w:rPr>
        <w:t xml:space="preserve">388 Greenwich Street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10013 </w:t>
      </w:r>
    </w:p>
    <w:p>
      <w:pPr>
        <w:pStyle w:val="TextBody"/>
        <w:bidi w:val="0"/>
        <w:spacing w:before="0" w:after="0"/>
        <w:jc w:val="left"/>
        <w:rPr>
          <w:rFonts w:ascii="Times New Roman" w:hAnsi="Times New Roman"/>
          <w:sz w:val="20"/>
        </w:rPr>
      </w:pPr>
      <w:r>
        <w:rPr>
          <w:rFonts w:ascii="Times New Roman" w:hAnsi="Times New Roman"/>
          <w:sz w:val="20"/>
        </w:rPr>
        <w:t xml:space="preserve">United States of America </w:t>
      </w:r>
    </w:p>
    <w:p>
      <w:pPr>
        <w:pStyle w:val="TextBody"/>
        <w:bidi w:val="0"/>
        <w:spacing w:before="240" w:after="0"/>
        <w:jc w:val="left"/>
        <w:rPr>
          <w:rFonts w:ascii="Times New Roman" w:hAnsi="Times New Roman"/>
          <w:b/>
          <w:sz w:val="20"/>
        </w:rPr>
      </w:pPr>
      <w:r>
        <w:rPr>
          <w:rFonts w:ascii="Times New Roman" w:hAnsi="Times New Roman"/>
          <w:b/>
          <w:sz w:val="20"/>
        </w:rPr>
        <w:t xml:space="preserve">Deutsche Bank Securities Inc. </w:t>
      </w:r>
    </w:p>
    <w:p>
      <w:pPr>
        <w:pStyle w:val="TextBody"/>
        <w:bidi w:val="0"/>
        <w:spacing w:before="0" w:after="0"/>
        <w:jc w:val="left"/>
        <w:rPr>
          <w:rFonts w:ascii="Times New Roman" w:hAnsi="Times New Roman"/>
          <w:sz w:val="20"/>
        </w:rPr>
      </w:pPr>
      <w:r>
        <w:rPr>
          <w:rFonts w:ascii="Times New Roman" w:hAnsi="Times New Roman"/>
          <w:sz w:val="20"/>
        </w:rPr>
        <w:t xml:space="preserve">1 Columbus Circle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10019 </w:t>
      </w:r>
    </w:p>
    <w:p>
      <w:pPr>
        <w:pStyle w:val="TextBody"/>
        <w:bidi w:val="0"/>
        <w:spacing w:before="0" w:after="0"/>
        <w:jc w:val="left"/>
        <w:rPr>
          <w:rFonts w:ascii="Times New Roman" w:hAnsi="Times New Roman"/>
          <w:sz w:val="20"/>
        </w:rPr>
      </w:pPr>
      <w:r>
        <w:rPr>
          <w:rFonts w:ascii="Times New Roman" w:hAnsi="Times New Roman"/>
          <w:sz w:val="20"/>
        </w:rPr>
        <w:t xml:space="preserve">United States of America </w:t>
      </w:r>
    </w:p>
    <w:p>
      <w:pPr>
        <w:pStyle w:val="TextBody"/>
        <w:bidi w:val="0"/>
        <w:spacing w:before="240" w:after="0"/>
        <w:jc w:val="left"/>
        <w:rPr>
          <w:rFonts w:ascii="Times New Roman" w:hAnsi="Times New Roman"/>
          <w:b/>
          <w:sz w:val="20"/>
        </w:rPr>
      </w:pPr>
      <w:r>
        <w:rPr>
          <w:rFonts w:ascii="Times New Roman" w:hAnsi="Times New Roman"/>
          <w:b/>
          <w:sz w:val="20"/>
        </w:rPr>
        <w:t xml:space="preserve">Goldman Sachs &amp; Co. LLC </w:t>
      </w:r>
    </w:p>
    <w:p>
      <w:pPr>
        <w:pStyle w:val="TextBody"/>
        <w:bidi w:val="0"/>
        <w:spacing w:before="0" w:after="0"/>
        <w:jc w:val="left"/>
        <w:rPr>
          <w:rFonts w:ascii="Times New Roman" w:hAnsi="Times New Roman"/>
          <w:sz w:val="20"/>
        </w:rPr>
      </w:pPr>
      <w:r>
        <w:rPr>
          <w:rFonts w:ascii="Times New Roman" w:hAnsi="Times New Roman"/>
          <w:sz w:val="20"/>
        </w:rPr>
        <w:t xml:space="preserve">200 West Street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10282 </w:t>
      </w:r>
    </w:p>
    <w:p>
      <w:pPr>
        <w:pStyle w:val="TextBody"/>
        <w:bidi w:val="0"/>
        <w:spacing w:before="0" w:after="0"/>
        <w:jc w:val="left"/>
        <w:rPr>
          <w:rFonts w:ascii="Times New Roman" w:hAnsi="Times New Roman"/>
          <w:sz w:val="20"/>
        </w:rPr>
      </w:pPr>
      <w:r>
        <w:rPr>
          <w:rFonts w:ascii="Times New Roman" w:hAnsi="Times New Roman"/>
          <w:sz w:val="20"/>
        </w:rPr>
        <w:t xml:space="preserve">United States of America </w:t>
      </w:r>
    </w:p>
    <w:p>
      <w:pPr>
        <w:pStyle w:val="TextBody"/>
        <w:bidi w:val="0"/>
        <w:spacing w:before="240" w:after="0"/>
        <w:jc w:val="left"/>
        <w:rPr>
          <w:rFonts w:ascii="Times New Roman" w:hAnsi="Times New Roman"/>
          <w:b/>
          <w:sz w:val="20"/>
        </w:rPr>
      </w:pPr>
      <w:r>
        <w:rPr>
          <w:rFonts w:ascii="Times New Roman" w:hAnsi="Times New Roman"/>
          <w:b/>
          <w:sz w:val="20"/>
        </w:rPr>
        <w:t xml:space="preserve">Intesa Sanpaolo IMI Securities Corp. </w:t>
      </w:r>
    </w:p>
    <w:p>
      <w:pPr>
        <w:pStyle w:val="TextBody"/>
        <w:bidi w:val="0"/>
        <w:spacing w:before="0" w:after="0"/>
        <w:jc w:val="left"/>
        <w:rPr>
          <w:rFonts w:ascii="Times New Roman" w:hAnsi="Times New Roman"/>
          <w:sz w:val="20"/>
        </w:rPr>
      </w:pPr>
      <w:r>
        <w:rPr>
          <w:rFonts w:ascii="Times New Roman" w:hAnsi="Times New Roman"/>
          <w:sz w:val="20"/>
        </w:rPr>
        <w:t xml:space="preserve">1 William Street,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10004 </w:t>
      </w:r>
    </w:p>
    <w:p>
      <w:pPr>
        <w:pStyle w:val="TextBody"/>
        <w:bidi w:val="0"/>
        <w:spacing w:before="0" w:after="0"/>
        <w:jc w:val="left"/>
        <w:rPr>
          <w:rFonts w:ascii="Times New Roman" w:hAnsi="Times New Roman"/>
          <w:sz w:val="20"/>
        </w:rPr>
      </w:pPr>
      <w:r>
        <w:rPr>
          <w:rFonts w:ascii="Times New Roman" w:hAnsi="Times New Roman"/>
          <w:sz w:val="20"/>
        </w:rPr>
        <w:t xml:space="preserve">United States of America </w:t>
      </w:r>
    </w:p>
    <w:p>
      <w:pPr>
        <w:pStyle w:val="TextBody"/>
        <w:bidi w:val="0"/>
        <w:spacing w:before="240" w:after="0"/>
        <w:jc w:val="left"/>
        <w:rPr>
          <w:rFonts w:ascii="Times New Roman" w:hAnsi="Times New Roman"/>
          <w:b/>
          <w:sz w:val="20"/>
        </w:rPr>
      </w:pPr>
      <w:r>
        <w:rPr>
          <w:rFonts w:ascii="Times New Roman" w:hAnsi="Times New Roman"/>
          <w:b/>
          <w:sz w:val="20"/>
        </w:rPr>
        <w:t xml:space="preserve">Morgan Stanley &amp; Co. LLC </w:t>
      </w:r>
    </w:p>
    <w:p>
      <w:pPr>
        <w:pStyle w:val="TextBody"/>
        <w:bidi w:val="0"/>
        <w:spacing w:before="0" w:after="0"/>
        <w:jc w:val="left"/>
        <w:rPr>
          <w:rFonts w:ascii="Times New Roman" w:hAnsi="Times New Roman"/>
          <w:sz w:val="20"/>
        </w:rPr>
      </w:pPr>
      <w:r>
        <w:rPr>
          <w:rFonts w:ascii="Times New Roman" w:hAnsi="Times New Roman"/>
          <w:sz w:val="20"/>
        </w:rPr>
        <w:t xml:space="preserve">1585 Broadway, 29th Floor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10036 </w:t>
      </w:r>
    </w:p>
    <w:p>
      <w:pPr>
        <w:pStyle w:val="TextBody"/>
        <w:bidi w:val="0"/>
        <w:spacing w:before="0" w:after="0"/>
        <w:jc w:val="left"/>
        <w:rPr>
          <w:rFonts w:ascii="Times New Roman" w:hAnsi="Times New Roman"/>
          <w:sz w:val="20"/>
        </w:rPr>
      </w:pPr>
      <w:r>
        <w:rPr>
          <w:rFonts w:ascii="Times New Roman" w:hAnsi="Times New Roman"/>
          <w:sz w:val="20"/>
        </w:rPr>
        <w:t xml:space="preserve">United States of America </w:t>
      </w:r>
    </w:p>
    <w:p>
      <w:pPr>
        <w:pStyle w:val="TextBody"/>
        <w:bidi w:val="0"/>
        <w:spacing w:before="240" w:after="0"/>
        <w:jc w:val="left"/>
        <w:rPr>
          <w:rFonts w:ascii="Times New Roman" w:hAnsi="Times New Roman"/>
          <w:b/>
          <w:sz w:val="20"/>
        </w:rPr>
      </w:pPr>
      <w:r>
        <w:rPr>
          <w:rFonts w:ascii="Times New Roman" w:hAnsi="Times New Roman"/>
          <w:b/>
          <w:sz w:val="20"/>
        </w:rPr>
        <w:t xml:space="preserve">RBC Capital Markets, LLC </w:t>
      </w:r>
    </w:p>
    <w:p>
      <w:pPr>
        <w:pStyle w:val="TextBody"/>
        <w:bidi w:val="0"/>
        <w:spacing w:before="0" w:after="0"/>
        <w:jc w:val="left"/>
        <w:rPr>
          <w:rFonts w:ascii="Times New Roman" w:hAnsi="Times New Roman"/>
          <w:sz w:val="20"/>
        </w:rPr>
      </w:pPr>
      <w:r>
        <w:rPr>
          <w:rFonts w:ascii="Times New Roman" w:hAnsi="Times New Roman"/>
          <w:sz w:val="20"/>
        </w:rPr>
        <w:t xml:space="preserve">Brookfield Place, 200 Vesey Street, 8th Floor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10281 </w:t>
      </w:r>
    </w:p>
    <w:p>
      <w:pPr>
        <w:pStyle w:val="TextBody"/>
        <w:bidi w:val="0"/>
        <w:spacing w:before="0" w:after="0"/>
        <w:jc w:val="left"/>
        <w:rPr>
          <w:rFonts w:ascii="Times New Roman" w:hAnsi="Times New Roman"/>
          <w:sz w:val="20"/>
        </w:rPr>
      </w:pPr>
      <w:r>
        <w:rPr>
          <w:rFonts w:ascii="Times New Roman" w:hAnsi="Times New Roman"/>
          <w:sz w:val="20"/>
        </w:rPr>
        <w:t xml:space="preserve">United States of America </w:t>
      </w:r>
    </w:p>
    <w:p>
      <w:pPr>
        <w:pStyle w:val="TextBody"/>
        <w:bidi w:val="0"/>
        <w:spacing w:before="240" w:after="0"/>
        <w:jc w:val="left"/>
        <w:rPr>
          <w:rFonts w:ascii="Times New Roman" w:hAnsi="Times New Roman"/>
          <w:b/>
          <w:sz w:val="20"/>
        </w:rPr>
      </w:pPr>
      <w:r>
        <w:rPr>
          <w:rFonts w:ascii="Times New Roman" w:hAnsi="Times New Roman"/>
          <w:b/>
          <w:sz w:val="20"/>
        </w:rPr>
        <w:t xml:space="preserve">SMBC Nikko Securities America, Inc. </w:t>
      </w:r>
    </w:p>
    <w:p>
      <w:pPr>
        <w:pStyle w:val="TextBody"/>
        <w:bidi w:val="0"/>
        <w:spacing w:before="0" w:after="0"/>
        <w:jc w:val="left"/>
        <w:rPr>
          <w:rFonts w:ascii="Times New Roman" w:hAnsi="Times New Roman"/>
          <w:sz w:val="20"/>
        </w:rPr>
      </w:pPr>
      <w:r>
        <w:rPr>
          <w:rFonts w:ascii="Times New Roman" w:hAnsi="Times New Roman"/>
          <w:sz w:val="20"/>
        </w:rPr>
        <w:t xml:space="preserve">277 Park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NY 10172 </w:t>
      </w:r>
    </w:p>
    <w:p>
      <w:pPr>
        <w:pStyle w:val="TextBody"/>
        <w:bidi w:val="0"/>
        <w:spacing w:before="0" w:after="0"/>
        <w:jc w:val="left"/>
        <w:rPr>
          <w:rFonts w:ascii="Times New Roman" w:hAnsi="Times New Roman"/>
          <w:sz w:val="20"/>
        </w:rPr>
      </w:pPr>
      <w:r>
        <w:rPr>
          <w:rFonts w:ascii="Times New Roman" w:hAnsi="Times New Roman"/>
          <w:sz w:val="20"/>
        </w:rPr>
        <w:t xml:space="preserve">United States of America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B-12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ANNEX C </w:t>
      </w:r>
    </w:p>
    <w:p>
      <w:pPr>
        <w:pStyle w:val="TextBody"/>
        <w:bidi w:val="0"/>
        <w:spacing w:before="480" w:after="0"/>
        <w:jc w:val="center"/>
        <w:rPr>
          <w:rFonts w:ascii="Times New Roman" w:hAnsi="Times New Roman"/>
          <w:b/>
          <w:sz w:val="20"/>
        </w:rPr>
      </w:pPr>
      <w:r>
        <w:rPr>
          <w:rFonts w:ascii="Times New Roman" w:hAnsi="Times New Roman"/>
          <w:b/>
          <w:sz w:val="20"/>
        </w:rPr>
        <w:t xml:space="preserve">Form of Opinion of De Brauw Blackstone Westbroek N.V. </w:t>
      </w:r>
    </w:p>
    <w:p>
      <w:pPr>
        <w:pStyle w:val="TextBody"/>
        <w:bidi w:val="0"/>
        <w:spacing w:before="240" w:after="0"/>
        <w:jc w:val="left"/>
        <w:rPr>
          <w:rFonts w:ascii="Times New Roman" w:hAnsi="Times New Roman"/>
          <w:sz w:val="20"/>
        </w:rPr>
      </w:pPr>
      <w:r>
        <w:rPr>
          <w:rFonts w:ascii="Times New Roman" w:hAnsi="Times New Roman"/>
          <w:sz w:val="20"/>
        </w:rPr>
        <w:t xml:space="preserve">To the Underwriters (as defined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72"/>
        <w:gridCol w:w="126"/>
        <w:gridCol w:w="3447"/>
        <w:gridCol w:w="126"/>
        <w:gridCol w:w="5734"/>
      </w:tblGrid>
      <w:tr>
        <w:trPr/>
        <w:tc>
          <w:tcPr>
            <w:tcW w:w="772"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447"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5734" w:type="dxa"/>
            <w:tcBorders/>
            <w:vAlign w:val="center"/>
          </w:tcPr>
          <w:p>
            <w:pPr>
              <w:pStyle w:val="TableContents"/>
              <w:bidi w:val="0"/>
              <w:spacing w:before="0" w:after="283"/>
              <w:jc w:val="left"/>
              <w:rPr>
                <w:sz w:val="4"/>
                <w:szCs w:val="4"/>
              </w:rPr>
            </w:pPr>
            <w:r>
              <w:rPr>
                <w:sz w:val="4"/>
                <w:szCs w:val="4"/>
              </w:rPr>
            </w:r>
          </w:p>
        </w:tc>
      </w:tr>
      <w:tr>
        <w:trPr/>
        <w:tc>
          <w:tcPr>
            <w:tcW w:w="4345" w:type="dxa"/>
            <w:gridSpan w:val="3"/>
            <w:tcBorders/>
          </w:tcPr>
          <w:p>
            <w:pPr>
              <w:pStyle w:val="TableContents"/>
              <w:bidi w:val="0"/>
              <w:spacing w:before="0" w:after="283"/>
              <w:jc w:val="left"/>
              <w:rPr/>
            </w:pPr>
            <w:r>
              <w:rPr/>
              <w:t>Date [] September 2026</w:t>
            </w:r>
          </w:p>
        </w:tc>
        <w:tc>
          <w:tcPr>
            <w:tcW w:w="126" w:type="dxa"/>
            <w:vMerge w:val="restart"/>
            <w:tcBorders/>
            <w:vAlign w:val="bottom"/>
          </w:tcPr>
          <w:p>
            <w:pPr>
              <w:pStyle w:val="TableContents"/>
              <w:bidi w:val="0"/>
              <w:spacing w:before="0" w:after="283"/>
              <w:jc w:val="left"/>
              <w:rPr/>
            </w:pPr>
            <w:r>
              <w:rPr/>
              <w:t>  </w:t>
            </w:r>
          </w:p>
        </w:tc>
        <w:tc>
          <w:tcPr>
            <w:tcW w:w="5734" w:type="dxa"/>
            <w:vMerge w:val="restart"/>
            <w:tcBorders/>
          </w:tcPr>
          <w:p>
            <w:pPr>
              <w:pStyle w:val="TableContents"/>
              <w:bidi w:val="0"/>
              <w:spacing w:before="0" w:after="0"/>
              <w:jc w:val="left"/>
              <w:rPr>
                <w:rFonts w:ascii="Times New Roman" w:hAnsi="Times New Roman"/>
                <w:sz w:val="20"/>
              </w:rPr>
            </w:pPr>
            <w:r>
              <w:rPr>
                <w:rFonts w:ascii="Times New Roman" w:hAnsi="Times New Roman"/>
                <w:sz w:val="20"/>
              </w:rPr>
              <w:t>B.J. Boutellier</w:t>
            </w:r>
          </w:p>
          <w:p>
            <w:pPr>
              <w:pStyle w:val="TableContents"/>
              <w:bidi w:val="0"/>
              <w:spacing w:before="0" w:after="0"/>
              <w:jc w:val="left"/>
              <w:rPr>
                <w:rFonts w:ascii="Times New Roman" w:hAnsi="Times New Roman"/>
                <w:sz w:val="20"/>
              </w:rPr>
            </w:pPr>
            <w:r>
              <w:rPr>
                <w:rFonts w:ascii="Times New Roman" w:hAnsi="Times New Roman"/>
                <w:sz w:val="20"/>
              </w:rPr>
              <w:t>E bas.boutellier@debrauw.com</w:t>
            </w:r>
          </w:p>
          <w:p>
            <w:pPr>
              <w:pStyle w:val="TableContents"/>
              <w:bidi w:val="0"/>
              <w:spacing w:before="0" w:after="0"/>
              <w:jc w:val="left"/>
              <w:rPr>
                <w:rFonts w:ascii="Times New Roman" w:hAnsi="Times New Roman"/>
                <w:sz w:val="20"/>
              </w:rPr>
            </w:pPr>
            <w:r>
              <w:rPr>
                <w:rFonts w:ascii="Times New Roman" w:hAnsi="Times New Roman"/>
                <w:sz w:val="20"/>
              </w:rPr>
              <w:t>T +31 20 577 1442</w:t>
            </w:r>
          </w:p>
          <w:p>
            <w:pPr>
              <w:pStyle w:val="TableContents"/>
              <w:bidi w:val="0"/>
              <w:spacing w:before="0" w:after="20"/>
              <w:jc w:val="left"/>
              <w:rPr>
                <w:rFonts w:ascii="Times New Roman" w:hAnsi="Times New Roman"/>
                <w:sz w:val="20"/>
              </w:rPr>
            </w:pPr>
            <w:r>
              <w:rPr>
                <w:rFonts w:ascii="Times New Roman" w:hAnsi="Times New Roman"/>
                <w:sz w:val="20"/>
              </w:rPr>
              <w:t>F +31 20 577 1775</w:t>
            </w:r>
          </w:p>
        </w:tc>
      </w:tr>
      <w:tr>
        <w:trPr/>
        <w:tc>
          <w:tcPr>
            <w:tcW w:w="772" w:type="dxa"/>
            <w:tcBorders/>
          </w:tcPr>
          <w:p>
            <w:pPr>
              <w:pStyle w:val="TableContents"/>
              <w:bidi w:val="0"/>
              <w:spacing w:before="0" w:after="283"/>
              <w:jc w:val="left"/>
              <w:rPr/>
            </w:pPr>
            <w:r>
              <w:rPr/>
              <w:t>Our ref.</w:t>
            </w:r>
          </w:p>
        </w:tc>
        <w:tc>
          <w:tcPr>
            <w:tcW w:w="126" w:type="dxa"/>
            <w:tcBorders/>
            <w:vAlign w:val="bottom"/>
          </w:tcPr>
          <w:p>
            <w:pPr>
              <w:pStyle w:val="TableContents"/>
              <w:bidi w:val="0"/>
              <w:spacing w:before="0" w:after="283"/>
              <w:jc w:val="left"/>
              <w:rPr/>
            </w:pPr>
            <w:r>
              <w:rPr/>
              <w:t>  </w:t>
            </w:r>
          </w:p>
        </w:tc>
        <w:tc>
          <w:tcPr>
            <w:tcW w:w="3447" w:type="dxa"/>
            <w:tcBorders/>
          </w:tcPr>
          <w:p>
            <w:pPr>
              <w:pStyle w:val="TableContents"/>
              <w:bidi w:val="0"/>
              <w:spacing w:before="0" w:after="283"/>
              <w:jc w:val="left"/>
              <w:rPr/>
            </w:pPr>
            <w:r>
              <w:rPr/>
              <w:t>M47699974/5/20731795</w:t>
            </w:r>
          </w:p>
        </w:tc>
        <w:tc>
          <w:tcPr>
            <w:tcW w:w="126" w:type="dxa"/>
            <w:vMerge w:val="continue"/>
            <w:tcBorders/>
            <w:vAlign w:val="bottom"/>
          </w:tcPr>
          <w:p>
            <w:pPr>
              <w:pStyle w:val="Normal"/>
              <w:bidi w:val="0"/>
              <w:jc w:val="left"/>
              <w:rPr/>
            </w:pPr>
            <w:r>
              <w:rPr/>
            </w:r>
          </w:p>
        </w:tc>
        <w:tc>
          <w:tcPr>
            <w:tcW w:w="5734" w:type="dxa"/>
            <w:vMerge w:val="continue"/>
            <w:tcBorders/>
          </w:tcPr>
          <w:p>
            <w:pPr>
              <w:pStyle w:val="Normal"/>
              <w:bidi w:val="0"/>
              <w:jc w:val="left"/>
              <w:rPr/>
            </w:pPr>
            <w:r>
              <w:rPr/>
            </w:r>
          </w:p>
        </w:tc>
      </w:tr>
      <w:tr>
        <w:trPr>
          <w:trHeight w:val="240" w:hRule="atLeast"/>
        </w:trPr>
        <w:tc>
          <w:tcPr>
            <w:tcW w:w="10205" w:type="dxa"/>
            <w:gridSpan w:val="5"/>
            <w:tcBorders/>
            <w:vAlign w:val="center"/>
          </w:tcPr>
          <w:p>
            <w:pPr>
              <w:pStyle w:val="TableContents"/>
              <w:bidi w:val="0"/>
              <w:spacing w:before="0" w:after="283"/>
              <w:jc w:val="left"/>
              <w:rPr>
                <w:sz w:val="4"/>
                <w:szCs w:val="4"/>
              </w:rPr>
            </w:pPr>
            <w:r>
              <w:rPr>
                <w:sz w:val="4"/>
                <w:szCs w:val="4"/>
              </w:rPr>
            </w:r>
          </w:p>
        </w:tc>
      </w:tr>
      <w:tr>
        <w:trPr/>
        <w:tc>
          <w:tcPr>
            <w:tcW w:w="10205" w:type="dxa"/>
            <w:gridSpan w:val="5"/>
            <w:tcBorders/>
          </w:tcPr>
          <w:p>
            <w:pPr>
              <w:pStyle w:val="TableContents"/>
              <w:bidi w:val="0"/>
              <w:spacing w:before="0" w:after="283"/>
              <w:jc w:val="left"/>
              <w:rPr>
                <w:b/>
              </w:rPr>
            </w:pPr>
            <w:r>
              <w:rPr>
                <w:b/>
              </w:rPr>
              <w:t>DRAFT 10 SEPTEMBER 2026; SUBJECT TO REVIEW OF DOCUMENTS AND PARTNER’S APPROVAL</w:t>
            </w:r>
          </w:p>
        </w:tc>
      </w:tr>
      <w:tr>
        <w:trPr>
          <w:trHeight w:val="120" w:hRule="atLeast"/>
        </w:trPr>
        <w:tc>
          <w:tcPr>
            <w:tcW w:w="772" w:type="dxa"/>
            <w:tcBorders/>
            <w:vAlign w:val="center"/>
          </w:tcPr>
          <w:p>
            <w:pPr>
              <w:pStyle w:val="TableContents"/>
              <w:bidi w:val="0"/>
              <w:spacing w:before="0" w:after="283"/>
              <w:jc w:val="left"/>
              <w:rPr>
                <w:sz w:val="4"/>
                <w:szCs w:val="4"/>
              </w:rPr>
            </w:pPr>
            <w:r>
              <w:rPr>
                <w:sz w:val="4"/>
                <w:szCs w:val="4"/>
              </w:rPr>
            </w:r>
          </w:p>
        </w:tc>
        <w:tc>
          <w:tcPr>
            <w:tcW w:w="9433" w:type="dxa"/>
            <w:gridSpan w:val="4"/>
            <w:tcBorders/>
            <w:vAlign w:val="center"/>
          </w:tcPr>
          <w:p>
            <w:pPr>
              <w:pStyle w:val="TableContents"/>
              <w:bidi w:val="0"/>
              <w:spacing w:before="0" w:after="283"/>
              <w:jc w:val="left"/>
              <w:rPr>
                <w:sz w:val="4"/>
                <w:szCs w:val="4"/>
              </w:rPr>
            </w:pPr>
            <w:r>
              <w:rPr>
                <w:sz w:val="4"/>
                <w:szCs w:val="4"/>
              </w:rPr>
            </w:r>
          </w:p>
        </w:tc>
      </w:tr>
      <w:tr>
        <w:trPr/>
        <w:tc>
          <w:tcPr>
            <w:tcW w:w="772" w:type="dxa"/>
            <w:tcBorders/>
          </w:tcPr>
          <w:p>
            <w:pPr>
              <w:pStyle w:val="TableContents"/>
              <w:bidi w:val="0"/>
              <w:spacing w:before="0" w:after="283"/>
              <w:jc w:val="left"/>
              <w:rPr/>
            </w:pPr>
            <w:r>
              <w:rPr/>
              <w:t>Re:</w:t>
            </w:r>
          </w:p>
        </w:tc>
        <w:tc>
          <w:tcPr>
            <w:tcW w:w="126" w:type="dxa"/>
            <w:tcBorders/>
            <w:vAlign w:val="bottom"/>
          </w:tcPr>
          <w:p>
            <w:pPr>
              <w:pStyle w:val="TableContents"/>
              <w:bidi w:val="0"/>
              <w:spacing w:before="0" w:after="283"/>
              <w:jc w:val="left"/>
              <w:rPr/>
            </w:pPr>
            <w:r>
              <w:rPr/>
              <w:t>  </w:t>
            </w:r>
          </w:p>
        </w:tc>
        <w:tc>
          <w:tcPr>
            <w:tcW w:w="9307" w:type="dxa"/>
            <w:gridSpan w:val="3"/>
            <w:tcBorders/>
          </w:tcPr>
          <w:p>
            <w:pPr>
              <w:pStyle w:val="TableContents"/>
              <w:bidi w:val="0"/>
              <w:spacing w:before="0" w:after="283"/>
              <w:jc w:val="left"/>
              <w:rPr>
                <w:sz w:val="4"/>
                <w:szCs w:val="4"/>
              </w:rPr>
            </w:pPr>
            <w:r>
              <w:rPr>
                <w:sz w:val="4"/>
                <w:szCs w:val="4"/>
              </w:rPr>
            </w:r>
          </w:p>
        </w:tc>
      </w:tr>
      <w:tr>
        <w:trPr>
          <w:trHeight w:val="120" w:hRule="atLeast"/>
        </w:trPr>
        <w:tc>
          <w:tcPr>
            <w:tcW w:w="10205" w:type="dxa"/>
            <w:gridSpan w:val="5"/>
            <w:tcBorders/>
            <w:vAlign w:val="center"/>
          </w:tcPr>
          <w:p>
            <w:pPr>
              <w:pStyle w:val="TableContents"/>
              <w:bidi w:val="0"/>
              <w:spacing w:before="0" w:after="283"/>
              <w:jc w:val="left"/>
              <w:rPr>
                <w:sz w:val="4"/>
                <w:szCs w:val="4"/>
              </w:rPr>
            </w:pPr>
            <w:r>
              <w:rPr>
                <w:sz w:val="4"/>
                <w:szCs w:val="4"/>
              </w:rPr>
            </w:r>
          </w:p>
        </w:tc>
      </w:tr>
      <w:tr>
        <w:trPr/>
        <w:tc>
          <w:tcPr>
            <w:tcW w:w="10205" w:type="dxa"/>
            <w:gridSpan w:val="5"/>
            <w:tcBorders/>
          </w:tcPr>
          <w:p>
            <w:pPr>
              <w:pStyle w:val="TableContents"/>
              <w:bidi w:val="0"/>
              <w:spacing w:before="0" w:after="283"/>
              <w:jc w:val="left"/>
              <w:rPr/>
            </w:pPr>
            <w:r>
              <w:rPr/>
              <w:t>Dear Addressee,</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Stellantis N.V. (the “Company”) </w:t>
      </w:r>
    </w:p>
    <w:p>
      <w:pPr>
        <w:pStyle w:val="TextBody"/>
        <w:bidi w:val="0"/>
        <w:spacing w:before="240" w:after="0"/>
        <w:jc w:val="center"/>
        <w:rPr>
          <w:rFonts w:ascii="Times New Roman" w:hAnsi="Times New Roman"/>
          <w:b/>
          <w:sz w:val="20"/>
        </w:rPr>
      </w:pPr>
      <w:r>
        <w:rPr>
          <w:rFonts w:ascii="Times New Roman" w:hAnsi="Times New Roman"/>
          <w:b/>
          <w:sz w:val="20"/>
        </w:rPr>
        <w:t xml:space="preserve">USD [] % [] fixed rate notes due [] (the “20[] Notes”) and USD [] % [] fixed rate notes due [] (the “20[] Notes”, and together with the 20[] Notes, the “Notes”) guaranteed by the Company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rPr>
            </w:pPr>
            <w:r>
              <w:rPr>
                <w:b/>
              </w:rPr>
              <w:t>1</w:t>
            </w:r>
          </w:p>
        </w:tc>
        <w:tc>
          <w:tcPr>
            <w:tcW w:w="980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INTRODUCTION </w:t>
            </w:r>
          </w:p>
        </w:tc>
      </w:tr>
    </w:tbl>
    <w:p>
      <w:pPr>
        <w:pStyle w:val="TextBody"/>
        <w:bidi w:val="0"/>
        <w:spacing w:before="120" w:after="0"/>
        <w:jc w:val="left"/>
        <w:rPr>
          <w:rFonts w:ascii="Times New Roman" w:hAnsi="Times New Roman"/>
          <w:sz w:val="20"/>
        </w:rPr>
      </w:pPr>
      <w:r>
        <w:rPr>
          <w:rFonts w:ascii="Times New Roman" w:hAnsi="Times New Roman"/>
          <w:sz w:val="20"/>
        </w:rPr>
        <w:t>We, De Brauw Blackstone Westbroek N.V., (“</w:t>
      </w:r>
      <w:r>
        <w:rPr>
          <w:rFonts w:ascii="Times New Roman" w:hAnsi="Times New Roman"/>
          <w:b/>
          <w:sz w:val="20"/>
        </w:rPr>
        <w:t>De Brauw</w:t>
      </w:r>
      <w:r>
        <w:rPr>
          <w:rFonts w:ascii="Times New Roman" w:hAnsi="Times New Roman"/>
          <w:sz w:val="20"/>
        </w:rPr>
        <w:t xml:space="preserve">”) act as Dutch legal advisers to the Company in connection with the Agreements. </w:t>
      </w:r>
    </w:p>
    <w:p>
      <w:pPr>
        <w:pStyle w:val="TextBody"/>
        <w:bidi w:val="0"/>
        <w:spacing w:before="120" w:after="0"/>
        <w:jc w:val="left"/>
        <w:rPr>
          <w:rFonts w:ascii="Times New Roman" w:hAnsi="Times New Roman"/>
          <w:sz w:val="20"/>
        </w:rPr>
      </w:pPr>
      <w:r>
        <w:rPr>
          <w:rFonts w:ascii="Times New Roman" w:hAnsi="Times New Roman"/>
          <w:sz w:val="20"/>
        </w:rPr>
        <w:t xml:space="preserve">Certain terms used in this opinion are defined in the </w:t>
      </w:r>
      <w:r>
        <w:rPr>
          <w:rFonts w:ascii="Times New Roman" w:hAnsi="Times New Roman"/>
          <w:b/>
          <w:sz w:val="20"/>
        </w:rPr>
        <w:t>Annex</w:t>
      </w:r>
      <w:r>
        <w:rPr>
          <w:rFonts w:ascii="Times New Roman" w:hAnsi="Times New Roman"/>
          <w:sz w:val="20"/>
        </w:rPr>
        <w:t xml:space="preserve"> (</w:t>
      </w:r>
      <w:r>
        <w:rPr>
          <w:rFonts w:ascii="Times New Roman" w:hAnsi="Times New Roman"/>
          <w:i/>
          <w:sz w:val="20"/>
        </w:rPr>
        <w:t>Definitions</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2</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SCOPE OF WORK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set out in paragraphs 1 and 7, we give this opinion as Dutch legal advisers and our duty of care is governed by Dutch law. By implication: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opinion is limited to Dutch law. It (including all terms used in it) is to be construed in accordance with Dutch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(b)</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required by Dutch law, in preparing and issuing this opinion, we have observed the care which is to be expected from a reasonably proficient and reasonably acting Dutch opinion giver in similar circumstances (including our reputation) and accordingly: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8"/>
        <w:gridCol w:w="8881"/>
      </w:tblGrid>
      <w:tr>
        <w:trPr/>
        <w:tc>
          <w:tcPr>
            <w:tcW w:w="9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performed the factual research set out in paragraph 3 and not any additional fact-finding actions (including not in respect of the correctness of the assumptions in paragraph 4 or the applicability of the qualifications in paragraph 6 except as expressly set out in it);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examined the text of the documents listed in paragraph 3 and not researched their meaning and effect beyond their semantic meaning to a Dutch opinion giver (including not their meaning and effect under any law other than Dutch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performed legal research into Dutch law reasonably likely to be relevant to this opinion and not any additional legal research (including into Dutch law not in effect on or prior to the date of this opinion);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(iv)</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do not express any opinion or view other than as expressly set out in paragraphs 5 and 6 (including not in respect of any document, or on any reference to a document, not listed in paragraph 3).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This opinion is limited to its date.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3</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FACTUAL RESEARCH </w:t>
            </w:r>
          </w:p>
        </w:tc>
      </w:tr>
    </w:tbl>
    <w:p>
      <w:pPr>
        <w:pStyle w:val="TextBody"/>
        <w:bidi w:val="0"/>
        <w:spacing w:before="120" w:after="0"/>
        <w:jc w:val="left"/>
        <w:rPr>
          <w:rFonts w:ascii="Times New Roman" w:hAnsi="Times New Roman"/>
          <w:sz w:val="20"/>
        </w:rPr>
      </w:pPr>
      <w:r>
        <w:rPr>
          <w:rFonts w:ascii="Times New Roman" w:hAnsi="Times New Roman"/>
          <w:sz w:val="20"/>
        </w:rPr>
        <w:t xml:space="preserve">We have examined the following documents: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copy 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Agreement signed by the Company;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Preliminary Prospectus and the 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(b)</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copy 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the Company’s deed of incorporation and its Articles of Association, as provided by the Chamber of Commerce (</w:t>
            </w:r>
            <w:r>
              <w:rPr>
                <w:rFonts w:ascii="Times New Roman" w:hAnsi="Times New Roman"/>
                <w:i/>
                <w:sz w:val="20"/>
              </w:rPr>
              <w:t>Kamer van Koophandel</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Board Regulations;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Trade Register Extract.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copy of each Corporate Resolution.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(d)</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copy of each Power of Attorney.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we have obtained the following confirmations on the date of this opinion: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(e)</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Confirmation by telephone from the Chamber of Commerce that the Trade Register Extract is up to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(f)</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Confirmation through https://data.europa.eu/data/datasets/consolidated-list-of-persons-groups-and-entities-subject-to-eu-financial-sanctions?locale=en and https://www.rijksoverheid.nl/documenten/rapporten/2015/08/27/nationale-terrorismelijst that the Company is not included on any Sanctions List.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(g)</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Confirmation through www.rechtspraak.nl, derived from the Central Insolvency Register (including from the segments for EU registrations and publications about public composition proceedings outside bankruptcy), that the Company is not registered as being subject to a public Dutch Insolvency or foreign Insolvency Proceedings.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4</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ASSUMPTIONS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We have made the following assumptions: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(a)</w:t>
            </w:r>
          </w:p>
        </w:tc>
        <w:tc>
          <w:tcPr>
            <w:tcW w:w="969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(i)</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copy document conforms to the original and each original is genuine and complete.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w:t>
            </w:r>
          </w:p>
        </w:tc>
        <w:tc>
          <w:tcPr>
            <w:tcW w:w="8880"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signature (including each electronic signature) is the genuine signature of the individual concerned.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electronic signature is a qualified electronic signature or the signing method used for it is sufficiently reliable.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confirmation listed in paragraph 3 is true.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(iv)</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Agreement has been signed by all parties in the form referred to in this opinion.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(b)</w:t>
            </w:r>
          </w:p>
        </w:tc>
        <w:tc>
          <w:tcPr>
            <w:tcW w:w="969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Board Regulations remain in force without modification.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Corporate Resolution has been duly adopted and remains in force without modification.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There is no works council (</w:t>
            </w:r>
            <w:r>
              <w:rPr>
                <w:rFonts w:ascii="Times New Roman" w:hAnsi="Times New Roman"/>
                <w:i/>
                <w:sz w:val="20"/>
              </w:rPr>
              <w:t>ondernemingsraad</w:t>
            </w:r>
            <w:r>
              <w:rPr>
                <w:rFonts w:ascii="Times New Roman" w:hAnsi="Times New Roman"/>
                <w:sz w:val="20"/>
              </w:rPr>
              <w:t xml:space="preserve">) the advice of which must be sought on the Company’s decision to guarantee the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(c)</w:t>
            </w:r>
          </w:p>
        </w:tc>
        <w:tc>
          <w:tcPr>
            <w:tcW w:w="969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party other than the Company has [or will have] validly entered into each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Power of Attorney remains in force without modification and no rule of law (other than Dutch law) which under the 1978 Hague Convention on the Law applicable to Agency applies or may be applied to the existence and extent of the authority of any person authorised to sign any Agreement on behalf of the Company under a Power of Attorney, adversely affects the existence and extent of that authority as expressed in that Power of Attorney (including, whether or not expressed, to sign by electronic signature).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Agreement has been signed on behalf of the Company by all of its managing directors, by its chief executive officer or by a person named as authorised representative in a Power of Attorney].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(d)</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When validly signed by all parties (including by electronic signature), each Agreement is valid and binding on and enforceable against each party under New York law by which they are expressed to be governed.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(e)</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The Company’s assets are not intended for public use (</w:t>
            </w:r>
            <w:r>
              <w:rPr>
                <w:rFonts w:ascii="Times New Roman" w:hAnsi="Times New Roman"/>
                <w:i/>
                <w:sz w:val="20"/>
              </w:rPr>
              <w:t>de openbare</w:t>
            </w:r>
            <w:r>
              <w:rPr>
                <w:rFonts w:ascii="Times New Roman" w:hAnsi="Times New Roman"/>
                <w:sz w:val="20"/>
              </w:rPr>
              <w:t xml:space="preserve"> </w:t>
            </w:r>
            <w:r>
              <w:rPr>
                <w:rFonts w:ascii="Times New Roman" w:hAnsi="Times New Roman"/>
                <w:i/>
                <w:sz w:val="20"/>
              </w:rPr>
              <w:t>dienst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(f)</w:t>
            </w:r>
          </w:p>
        </w:tc>
        <w:tc>
          <w:tcPr>
            <w:tcW w:w="9797"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(i)</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No Underwriter is prevented or restricted from entering into, performing or enforcing the Agreements under the Sanctions Act 1977 (</w:t>
            </w:r>
            <w:r>
              <w:rPr>
                <w:rFonts w:ascii="Times New Roman" w:hAnsi="Times New Roman"/>
                <w:i/>
                <w:sz w:val="20"/>
              </w:rPr>
              <w:t>Sanctiewet 1977</w:t>
            </w:r>
            <w:r>
              <w:rPr>
                <w:rFonts w:ascii="Times New Roman" w:hAnsi="Times New Roman"/>
                <w:sz w:val="20"/>
              </w:rPr>
              <w:t xml:space="preserve">) or otherwise by international sanctions.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Each Underwriter which qualifies as an investment firm (</w:t>
            </w:r>
            <w:r>
              <w:rPr>
                <w:rFonts w:ascii="Times New Roman" w:hAnsi="Times New Roman"/>
                <w:i/>
                <w:sz w:val="20"/>
              </w:rPr>
              <w:t>beleggingsonderneming</w:t>
            </w:r>
            <w:r>
              <w:rPr>
                <w:rFonts w:ascii="Times New Roman" w:hAnsi="Times New Roman"/>
                <w:sz w:val="20"/>
              </w:rPr>
              <w:t xml:space="preserve">) within the meaning of the Wft complies with the Wft.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(g)</w:t>
            </w:r>
          </w:p>
        </w:tc>
        <w:tc>
          <w:tcPr>
            <w:tcW w:w="9797"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selling restrictions set out in the Prospectus and the Preliminary Prospectus have been complied with.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Notes offered to the public in the Netherlands have been, are and will be so offered in accordance with the Prospectus Regulation and the Offer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Notes have not been, are not and will not be admitted to trading on the regulated market of Euronext Amsterdam or on any other regulated market in the Netherlands.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(h)</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registration statement (including the Prospectus and the Preliminary Prospectus) has been filed with the Securities and Exchange Commission for the offering of the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The Company and the Issuer belong to the same group (</w:t>
            </w:r>
            <w:r>
              <w:rPr>
                <w:rFonts w:ascii="Times New Roman" w:hAnsi="Times New Roman"/>
                <w:i/>
                <w:sz w:val="20"/>
              </w:rPr>
              <w:t>groep</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rPr>
            </w:pPr>
            <w:r>
              <w:rPr>
                <w:b/>
              </w:rPr>
              <w:t>5</w:t>
            </w:r>
          </w:p>
        </w:tc>
        <w:tc>
          <w:tcPr>
            <w:tcW w:w="980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OPINION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Within the limitations set out in paragraph 2, based on the factual research described in paragraph 3 and the assumptions made in paragraph 4, and subject to the qualifications in paragraph 6 and any matters not disclosed to us in the context of this opinion, we are of the following opinion: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The Company has been incorporated and exists as a public limited liability company (</w:t>
            </w:r>
            <w:r>
              <w:rPr>
                <w:rFonts w:ascii="Times New Roman" w:hAnsi="Times New Roman"/>
                <w:i/>
                <w:sz w:val="20"/>
              </w:rPr>
              <w:t>naamloze vennootschap</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(b)</w:t>
            </w:r>
          </w:p>
        </w:tc>
        <w:tc>
          <w:tcPr>
            <w:tcW w:w="9797"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has the corporate power to enter into and perform each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has taken all necessary corporate action to authorise its entry into and performance of each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has validly signed each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(c)</w:t>
            </w:r>
          </w:p>
        </w:tc>
        <w:tc>
          <w:tcPr>
            <w:tcW w:w="9797"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8"/>
        <w:gridCol w:w="8881"/>
      </w:tblGrid>
      <w:tr>
        <w:trPr/>
        <w:tc>
          <w:tcPr>
            <w:tcW w:w="9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does not require any governmental licence, dispensation, recognition or other consent for its entry into and performance of any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are no governmental registration, filing or similar formalities required to ensure the validity and binding effect on and enforceability against the Company of any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(d)</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entry into and performance of each Agreement do not violate Dutch law or its Articles of Association.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(e)</w:t>
            </w:r>
          </w:p>
        </w:tc>
        <w:tc>
          <w:tcPr>
            <w:tcW w:w="9797"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choice of New York law as the governing law of each of the Guarantees, the Underwriting Agreement and the Base Indenture is recognised.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Dutch law does not restrict the validity and binding effect on and enforceability against the Company of each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(f)</w:t>
            </w:r>
          </w:p>
        </w:tc>
        <w:tc>
          <w:tcPr>
            <w:tcW w:w="9797"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validity and binding effect on and enforceability against the Company of the submission to the jurisdiction of the New York Courts in each of the Underwriting Agreement and the Base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1"/>
        <w:gridCol w:w="8369"/>
      </w:tblGrid>
      <w:tr>
        <w:trPr/>
        <w:tc>
          <w:tcPr>
            <w:tcW w:w="1325"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(A)</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 Dutch private international law are likely governed by New York law;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are not restricted by Dutch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validity and binding effect on and enforceability against the Company of the appointment by it in each of the Underwriting Agreement and the Base Indenture of an agent for service of process: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1"/>
        <w:gridCol w:w="8369"/>
      </w:tblGrid>
      <w:tr>
        <w:trPr/>
        <w:tc>
          <w:tcPr>
            <w:tcW w:w="1325"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(A)</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governed by the law designated by New York private international law;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not restricted by Dutch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judgment in a civil or commercial matter rendered by a New York Court cannot be enforced in the Netherlands. However, if a person has obtained a final judgment without appeal in such a matter rendered by a New York Court which is enforceable in New York and files his claim with a Dutch court with jurisdiction, the Dutch court will generally recognise and give effect to the judgment insofar as it finds that (A) the jurisdiction of the court has been based on an internationally generally accepted ground, (B) proper legal procedures have been observed, (C) the judgment does not contravene Dutch public policy, and (D) the judgment is not irreconcilable with a judgment of a Dutch court or an earlier judgment of a foreign court that is capable of being recognised in the Netherlands.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(g)</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is not entitled to immunity from legal proceedings nor are its assets immune from execution.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(h)</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governmental consent, registration or similar requirement prohibits or restricts any Underwriter from entering into, performing or enforcing any Agreement, other than any requirement implied in the assumption in paragraph 4(f)(ii).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 Dutch court, the creditor of a claim expressed in a foreign currency may seek an order for payment at his option in that foreign currency or in the Dutch currency.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(j)</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statements in the Base Prospectus under the heading “Dutch Taxation of Debt Securities” included in the chapter “TAXATION”, to the extent that they are statements as to Dutch tax law, are correct in all material aspects.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6</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QUALIFICATIONS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This opinion is subject to the following qualifications: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opinion is subject to any limitations arising from (i) rules relating to Dutch Insolvencies, (ii) rules relating to foreign insolvency or composition or restructuring proceedings (including foreign Insolvency Proceedings), (iii) other rules regulating conflicts between rights of creditors, or (iv) resolution, intervention and other measures in relation to financial enterprises or their affiliated entities.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recognition of New York law as the governing law of each of the Guarantees, the Underwriting Agreement and the Base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 not prejudice the provisions of the law of the European Union (where appropriate as implemented in the Netherlands) which cannot be derogated from by agreement if all elements relevant to the situation at the time when each of Guarantees, the Underwriting Agreement and the Base Indenture was entered into (other than the choice of New York law as the governing law of such Agreement) are located in one or more Member States of the European Union;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w:t>
            </w:r>
          </w:p>
        </w:tc>
        <w:tc>
          <w:tcPr>
            <w:tcW w:w="8880"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 not restrict the application of the overriding provisions of Dutch law;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 not prevent effect being given to the overriding provisions of the law of a jurisdiction with which the situation has a close connection;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(and for this purpose “overriding provisions” are provisions the respect for which is regarded as crucial by a jurisdiction for safeguarding its public interests to such an extent that they are applicable to any situation falling within their scope, irrespective of the law otherwise applicable to an agreement);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will not prevent the application of New York law being refused if it is manifestly incompatible with Dutch public policy (</w:t>
            </w:r>
            <w:r>
              <w:rPr>
                <w:rFonts w:ascii="Times New Roman" w:hAnsi="Times New Roman"/>
                <w:i/>
                <w:sz w:val="20"/>
              </w:rPr>
              <w:t>ordre public</w:t>
            </w:r>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(iv)</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 not prevent regard being had to the law of the jurisdiction in which performance takes place in relation to the manner of performance and the steps to be taken in the event of defective performance.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binding effect and enforceability of the submission to the jurisdiction of the New York Courts in each of the Underwriting Agreement and the Base Indenture are subject to limited exceptions, including any exceptions applicable under the Brussels I-bis Regulation or the Lugano Convention.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(d)</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 the Brussels I-bis Regulation, a choice of court agreement that (i) provides for a choice of court in the European Union, and (ii) permits a party to bring proceedings before another court, is valid insofar as (A) the other court is a court in the European Union or a state party to the Lugano Convention, and (B) the agreement identifies objective factors which are sufficiently precise to enable the other court to ascertain whether it has jurisdiction. It is uncertain whether this rule applies to other non-exclusive choices of court and we do not express any opinion on the effects of this rule on each of the Underwriting Agreement and the Base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(e)</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Enforcement in the Netherlands of each Agreement and of foreign judgments is subject to Dutch rules of civil procedure.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(f)</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The Sanction Act 1977 (</w:t>
            </w:r>
            <w:r>
              <w:rPr>
                <w:rFonts w:ascii="Times New Roman" w:hAnsi="Times New Roman"/>
                <w:i/>
                <w:sz w:val="20"/>
              </w:rPr>
              <w:t>Sanctiewet</w:t>
            </w:r>
            <w:r>
              <w:rPr>
                <w:rFonts w:ascii="Times New Roman" w:hAnsi="Times New Roman"/>
                <w:sz w:val="20"/>
              </w:rPr>
              <w:t xml:space="preserve"> </w:t>
            </w:r>
            <w:r>
              <w:rPr>
                <w:rFonts w:ascii="Times New Roman" w:hAnsi="Times New Roman"/>
                <w:i/>
                <w:sz w:val="20"/>
              </w:rPr>
              <w:t>1977</w:t>
            </w:r>
            <w:r>
              <w:rPr>
                <w:rFonts w:ascii="Times New Roman" w:hAnsi="Times New Roman"/>
                <w:sz w:val="20"/>
              </w:rPr>
              <w:t xml:space="preserve">) or international sanctions may affect whether (i) the Company’s entry into and performance of each Agreement violates Dutch law, and (ii) each Agreement is valid, binding and enforceable.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(g)</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respect of proceedings in a Dutch court for the enforcement of each Agreement, the appointment of a process agent pursuant to (i) Clause 16(d) of the Underwriting Agreement and (ii) Section [1.14(1)] of the Base Indenture may be without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(h)</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proceedings in a Dutch court for the enforcement of any Agreement, the court may mitigate amounts due in respect of litigation and collection costs.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(i)</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Any trust to which the 1985 Convention on the Law applicable to Trusts and their Recognition (the “</w:t>
            </w:r>
            <w:r>
              <w:rPr>
                <w:rFonts w:ascii="Times New Roman" w:hAnsi="Times New Roman"/>
                <w:b/>
                <w:sz w:val="20"/>
              </w:rPr>
              <w:t>Trust Convention</w:t>
            </w:r>
            <w:r>
              <w:rPr>
                <w:rFonts w:ascii="Times New Roman" w:hAnsi="Times New Roman"/>
                <w:sz w:val="20"/>
              </w:rPr>
              <w:t xml:space="preserve">”) applies, will be recognised subject to the Trust Convention. Any trust to which the Trust Convention does not apply may not be recognised.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(j)</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If a legal act (</w:t>
            </w:r>
            <w:r>
              <w:rPr>
                <w:rFonts w:ascii="Times New Roman" w:hAnsi="Times New Roman"/>
                <w:i/>
                <w:sz w:val="20"/>
              </w:rPr>
              <w:t>rechtshandeling</w:t>
            </w:r>
            <w:r>
              <w:rPr>
                <w:rFonts w:ascii="Times New Roman" w:hAnsi="Times New Roman"/>
                <w:sz w:val="20"/>
              </w:rPr>
              <w:t xml:space="preserve">) performed by a Dutch legal entity (including (without limitation) an agreement pursuant to which it guarantees the performance of any of another person’s obligations and any other legal act having a similar effect) is not in the entity’s interest, the act may (i) exceed the entity’s corporate or other power, (ii) violate its articles of association, and (iii) be nullified by it if the other party or parties to the act knew or should have known without investigation that the act is not in the entity’s interest.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(k)</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To the extent that Dutch law applies, a legal act (</w:t>
            </w:r>
            <w:r>
              <w:rPr>
                <w:rFonts w:ascii="Times New Roman" w:hAnsi="Times New Roman"/>
                <w:i/>
                <w:sz w:val="20"/>
              </w:rPr>
              <w:t>rechtshandeling</w:t>
            </w:r>
            <w:r>
              <w:rPr>
                <w:rFonts w:ascii="Times New Roman" w:hAnsi="Times New Roman"/>
                <w:sz w:val="20"/>
              </w:rPr>
              <w:t>) performed by a person (including (without limitation) an agreement pursuant to which it guarantees the performance of the obligations of another person and any other legal act having a similar effect) may be nullified by any of its creditors, if (a) it performed the act without an obligation to do so (</w:t>
            </w:r>
            <w:r>
              <w:rPr>
                <w:rFonts w:ascii="Times New Roman" w:hAnsi="Times New Roman"/>
                <w:i/>
                <w:sz w:val="20"/>
              </w:rPr>
              <w:t>onverplicht</w:t>
            </w:r>
            <w:r>
              <w:rPr>
                <w:rFonts w:ascii="Times New Roman" w:hAnsi="Times New Roman"/>
                <w:sz w:val="20"/>
              </w:rPr>
              <w:t>), (b) the creditor concerned was prejudiced as a consequence of the act, and (c) at the time the act was performed both it and (unless the act was for no consideration (</w:t>
            </w:r>
            <w:r>
              <w:rPr>
                <w:rFonts w:ascii="Times New Roman" w:hAnsi="Times New Roman"/>
                <w:i/>
                <w:sz w:val="20"/>
              </w:rPr>
              <w:t>om niet</w:t>
            </w:r>
            <w:r>
              <w:rPr>
                <w:rFonts w:ascii="Times New Roman" w:hAnsi="Times New Roman"/>
                <w:sz w:val="20"/>
              </w:rPr>
              <w:t xml:space="preserve">)) the party with or towards which it acted, knew or should have known that one or more of its creditors (existing or future) would be prejudiced.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(l)</w:t>
            </w:r>
          </w:p>
        </w:tc>
        <w:tc>
          <w:tcPr>
            <w:tcW w:w="9797"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An extract from the Trade Register does not provide conclusive evidence that the facts set out in it are correct. However, under the 2007 Trade Register Act (</w:t>
            </w:r>
            <w:r>
              <w:rPr>
                <w:rFonts w:ascii="Times New Roman" w:hAnsi="Times New Roman"/>
                <w:i/>
                <w:sz w:val="20"/>
              </w:rPr>
              <w:t>Handelsregisterwet 2007</w:t>
            </w:r>
            <w:r>
              <w:rPr>
                <w:rFonts w:ascii="Times New Roman" w:hAnsi="Times New Roman"/>
                <w:sz w:val="20"/>
              </w:rPr>
              <w:t xml:space="preserve">), subject to limited exceptions, a legal entity or partnership cannot invoke the incorrectness or incompleteness of its Trade Register registration against third parties who were unaware of the incorrectness or incompleteness.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confirmation from the Central Insolvency Register does not provide conclusive evidence that an entity is not subject to a Dutch Insolvency or foreign Insolvency Proceedings (also because they are not all registered).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(m)</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do not express any opinion 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competition (including state aid)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validity of any assignment or transfer pursuant to each of the Agreements or any other </w:t>
            </w:r>
            <w:r>
              <w:rPr>
                <w:rFonts w:ascii="Times New Roman" w:hAnsi="Times New Roman"/>
                <w:i/>
                <w:sz w:val="20"/>
              </w:rPr>
              <w:t>in rem</w:t>
            </w:r>
            <w:r>
              <w:rPr>
                <w:rFonts w:ascii="Times New Roman" w:hAnsi="Times New Roman"/>
                <w:sz w:val="20"/>
              </w:rPr>
              <w:t xml:space="preserve"> matters;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7</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RELIANCE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opinion may be relied upon by each Addressee for the purpose of the Agreements and not by any other person or for any other purpose.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accepting this opinion, each Addressee agrees that it shall not supply this opinion, or disclose its contents or existence, to any person for any purpose, except that each Addressee may supply a copy of this opinion 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Allen Overy Shearman Sterling LLP in their capacity as each Addressee’s legal advisers and for the purpose of the Agreements;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its Affiliates, its and their auditors and its and their legal and other professional advisers and its insurers, in each case on a need-to-know basis;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regulatory authority exercising supervision over it;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(iv)</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extent required by law (including by legally binding regulation or by a binding order of a competent court or governmental authority) or necessary for its defence in any proceedings before a competent court or governmental authority provided that each Addressee to the extent permitted by law, has notified De Brauw as soon as reasonably possible that it believes that it may be required or necessary for it to disclose (or, if prior notification is not permitted by law or has not reasonably been possible, that it has disclosed), this opinion,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but, in each case, solely for information purposes (and not to be relied upon) and subject to the restrictions set out in this paragraph 7.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accepting this opinion, each Addressee furthermore agrees that: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agreements in this paragraph 7, our duty of care and all liability and other matters relating to this opinion will be governed exclusively by Dutch law and the Dutch courts will have exclusive jurisdiction to settle any dispute relating to them;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only we, De Brauw, (and not any other person, including any person working at or affiliated with us) will have any liability in connection with this opinion;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opinion (including the agreements in this paragraph 7) does not make an Addressee a client of ours.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(d)</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confirm that the General Conditions of De Brauw do not apply in relation to an Addressee in its capacity as addressee of this opinion. </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follows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C-9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Yours faithfully,</w:t>
            </w:r>
          </w:p>
          <w:p>
            <w:pPr>
              <w:pStyle w:val="TableContents"/>
              <w:bidi w:val="0"/>
              <w:spacing w:before="0" w:after="20"/>
              <w:jc w:val="left"/>
              <w:rPr>
                <w:rFonts w:ascii="Times New Roman" w:hAnsi="Times New Roman"/>
                <w:sz w:val="20"/>
              </w:rPr>
            </w:pPr>
            <w:r>
              <w:rPr>
                <w:rFonts w:ascii="Times New Roman" w:hAnsi="Times New Roman"/>
                <w:sz w:val="20"/>
              </w:rPr>
              <w:t>De Brauw Blackstone Westbroek N.V.</w:t>
            </w:r>
          </w:p>
        </w:tc>
      </w:tr>
      <w:tr>
        <w:trPr>
          <w:trHeight w:val="24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0"/>
              <w:jc w:val="left"/>
              <w:rPr>
                <w:rFonts w:ascii="Times New Roman" w:hAnsi="Times New Roman"/>
                <w:b/>
                <w:sz w:val="20"/>
              </w:rPr>
            </w:pPr>
            <w:r>
              <w:rPr>
                <w:rFonts w:ascii="Times New Roman" w:hAnsi="Times New Roman"/>
                <w:b/>
                <w:sz w:val="20"/>
              </w:rPr>
              <w:t>Bas Boutellier</w:t>
            </w:r>
          </w:p>
          <w:p>
            <w:pPr>
              <w:pStyle w:val="TableContents"/>
              <w:bidi w:val="0"/>
              <w:spacing w:before="0" w:after="20"/>
              <w:jc w:val="left"/>
              <w:rPr>
                <w:rFonts w:ascii="Times New Roman" w:hAnsi="Times New Roman"/>
                <w:i/>
                <w:sz w:val="20"/>
              </w:rPr>
            </w:pPr>
            <w:r>
              <w:rPr>
                <w:rFonts w:ascii="Times New Roman" w:hAnsi="Times New Roman"/>
                <w:i/>
                <w:sz w:val="20"/>
              </w:rPr>
              <w:t>Advocaat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Annex – Definitions </w:t>
      </w:r>
    </w:p>
    <w:p>
      <w:pPr>
        <w:pStyle w:val="TextBody"/>
        <w:bidi w:val="0"/>
        <w:spacing w:before="480" w:after="0"/>
        <w:jc w:val="center"/>
        <w:rPr>
          <w:rFonts w:ascii="Times New Roman" w:hAnsi="Times New Roman"/>
          <w:b/>
          <w:sz w:val="20"/>
        </w:rPr>
      </w:pPr>
      <w:r>
        <w:rPr>
          <w:rFonts w:ascii="Times New Roman" w:hAnsi="Times New Roman"/>
          <w:b/>
          <w:sz w:val="20"/>
        </w:rPr>
        <w:t xml:space="preserve">Part 1 - General </w:t>
      </w:r>
    </w:p>
    <w:p>
      <w:pPr>
        <w:pStyle w:val="TextBody"/>
        <w:bidi w:val="0"/>
        <w:spacing w:before="240" w:after="0"/>
        <w:jc w:val="left"/>
        <w:rPr>
          <w:rFonts w:ascii="Times New Roman" w:hAnsi="Times New Roman"/>
          <w:sz w:val="20"/>
        </w:rPr>
      </w:pPr>
      <w:r>
        <w:rPr>
          <w:rFonts w:ascii="Times New Roman" w:hAnsi="Times New Roman"/>
          <w:sz w:val="20"/>
        </w:rPr>
        <w:t xml:space="preserve">In this opinion: </w:t>
      </w:r>
    </w:p>
    <w:p>
      <w:pPr>
        <w:pStyle w:val="TextBody"/>
        <w:bidi w:val="0"/>
        <w:spacing w:before="240" w:after="0"/>
        <w:jc w:val="left"/>
        <w:rPr/>
      </w:pPr>
      <w:r>
        <w:rPr/>
        <w:t>“</w:t>
      </w:r>
      <w:r>
        <w:rPr>
          <w:rFonts w:ascii="Times New Roman" w:hAnsi="Times New Roman"/>
          <w:b/>
          <w:sz w:val="20"/>
        </w:rPr>
        <w:t xml:space="preserve">20[] Notes” </w:t>
      </w:r>
      <w:r>
        <w:rPr>
          <w:rFonts w:ascii="Times New Roman" w:hAnsi="Times New Roman"/>
          <w:sz w:val="20"/>
        </w:rPr>
        <w:t xml:space="preserve">means USD [] % [] fixed rate notes due []. </w:t>
      </w:r>
    </w:p>
    <w:p>
      <w:pPr>
        <w:pStyle w:val="TextBody"/>
        <w:bidi w:val="0"/>
        <w:spacing w:before="240" w:after="0"/>
        <w:jc w:val="left"/>
        <w:rPr/>
      </w:pPr>
      <w:r>
        <w:rPr/>
        <w:t>“</w:t>
      </w:r>
      <w:r>
        <w:rPr>
          <w:rFonts w:ascii="Times New Roman" w:hAnsi="Times New Roman"/>
          <w:b/>
          <w:sz w:val="20"/>
        </w:rPr>
        <w:t xml:space="preserve">20[] Notes” </w:t>
      </w:r>
      <w:r>
        <w:rPr>
          <w:rFonts w:ascii="Times New Roman" w:hAnsi="Times New Roman"/>
          <w:sz w:val="20"/>
        </w:rPr>
        <w:t xml:space="preserve">means USD [] % [] fixed rate notes due []. </w:t>
      </w:r>
    </w:p>
    <w:p>
      <w:pPr>
        <w:pStyle w:val="TextBody"/>
        <w:bidi w:val="0"/>
        <w:spacing w:before="240" w:after="0"/>
        <w:jc w:val="left"/>
        <w:rPr/>
      </w:pPr>
      <w:r>
        <w:rPr/>
        <w:t>“</w:t>
      </w:r>
      <w:r>
        <w:rPr>
          <w:rFonts w:ascii="Times New Roman" w:hAnsi="Times New Roman"/>
          <w:b/>
          <w:sz w:val="20"/>
        </w:rPr>
        <w:t>Addressee</w:t>
      </w:r>
      <w:r>
        <w:rPr>
          <w:rFonts w:ascii="Times New Roman" w:hAnsi="Times New Roman"/>
          <w:sz w:val="20"/>
        </w:rPr>
        <w:t xml:space="preserve">” means each of the Underwriters. </w:t>
      </w:r>
    </w:p>
    <w:p>
      <w:pPr>
        <w:pStyle w:val="TextBody"/>
        <w:bidi w:val="0"/>
        <w:spacing w:before="240" w:after="0"/>
        <w:jc w:val="left"/>
        <w:rPr/>
      </w:pPr>
      <w:r>
        <w:rPr/>
        <w:t>“</w:t>
      </w:r>
      <w:r>
        <w:rPr>
          <w:rFonts w:ascii="Times New Roman" w:hAnsi="Times New Roman"/>
          <w:b/>
          <w:sz w:val="20"/>
        </w:rPr>
        <w:t>Affiliate</w:t>
      </w:r>
      <w:r>
        <w:rPr>
          <w:rFonts w:ascii="Times New Roman" w:hAnsi="Times New Roman"/>
          <w:sz w:val="20"/>
        </w:rPr>
        <w:t xml:space="preserve">” means, in relation to an entity, another entity controlled by that entity, another entity controlling that entity, or another entity under common control with that entity. </w:t>
      </w:r>
    </w:p>
    <w:p>
      <w:pPr>
        <w:pStyle w:val="TextBody"/>
        <w:bidi w:val="0"/>
        <w:spacing w:before="240" w:after="0"/>
        <w:jc w:val="left"/>
        <w:rPr/>
      </w:pPr>
      <w:r>
        <w:rPr/>
        <w:t>“</w:t>
      </w:r>
      <w:r>
        <w:rPr>
          <w:rFonts w:ascii="Times New Roman" w:hAnsi="Times New Roman"/>
          <w:b/>
          <w:sz w:val="20"/>
        </w:rPr>
        <w:t>Agreements</w:t>
      </w:r>
      <w:r>
        <w:rPr>
          <w:rFonts w:ascii="Times New Roman" w:hAnsi="Times New Roman"/>
          <w:sz w:val="20"/>
        </w:rPr>
        <w:t>” is defined in part 3 (</w:t>
      </w:r>
      <w:r>
        <w:rPr>
          <w:rFonts w:ascii="Times New Roman" w:hAnsi="Times New Roman"/>
          <w:i/>
          <w:sz w:val="20"/>
        </w:rPr>
        <w:t>Documents</w:t>
      </w:r>
      <w:r>
        <w:rPr>
          <w:rFonts w:ascii="Times New Roman" w:hAnsi="Times New Roman"/>
          <w:sz w:val="20"/>
        </w:rPr>
        <w:t xml:space="preserve">) of this Annex. </w:t>
      </w:r>
    </w:p>
    <w:p>
      <w:pPr>
        <w:pStyle w:val="TextBody"/>
        <w:bidi w:val="0"/>
        <w:spacing w:before="240" w:after="0"/>
        <w:jc w:val="left"/>
        <w:rPr/>
      </w:pPr>
      <w:r>
        <w:rPr/>
        <w:t>“</w:t>
      </w:r>
      <w:r>
        <w:rPr>
          <w:rFonts w:ascii="Times New Roman" w:hAnsi="Times New Roman"/>
          <w:b/>
          <w:sz w:val="20"/>
        </w:rPr>
        <w:t>Articles of Association</w:t>
      </w:r>
      <w:r>
        <w:rPr>
          <w:rFonts w:ascii="Times New Roman" w:hAnsi="Times New Roman"/>
          <w:sz w:val="20"/>
        </w:rPr>
        <w:t>” is defined in part 2 (</w:t>
      </w:r>
      <w:r>
        <w:rPr>
          <w:rFonts w:ascii="Times New Roman" w:hAnsi="Times New Roman"/>
          <w:i/>
          <w:sz w:val="20"/>
        </w:rPr>
        <w:t>Company</w:t>
      </w:r>
      <w:r>
        <w:rPr>
          <w:rFonts w:ascii="Times New Roman" w:hAnsi="Times New Roman"/>
          <w:sz w:val="20"/>
        </w:rPr>
        <w:t xml:space="preserve">) of this Annex. </w:t>
      </w:r>
    </w:p>
    <w:p>
      <w:pPr>
        <w:pStyle w:val="TextBody"/>
        <w:bidi w:val="0"/>
        <w:spacing w:before="240" w:after="0"/>
        <w:jc w:val="left"/>
        <w:rPr/>
      </w:pPr>
      <w:r>
        <w:rPr/>
        <w:t>“</w:t>
      </w:r>
      <w:r>
        <w:rPr>
          <w:rFonts w:ascii="Times New Roman" w:hAnsi="Times New Roman"/>
          <w:b/>
          <w:sz w:val="20"/>
        </w:rPr>
        <w:t>Base Indenture</w:t>
      </w:r>
      <w:r>
        <w:rPr>
          <w:rFonts w:ascii="Times New Roman" w:hAnsi="Times New Roman"/>
          <w:sz w:val="20"/>
        </w:rPr>
        <w:t>” is defined in part 3 (</w:t>
      </w:r>
      <w:r>
        <w:rPr>
          <w:rFonts w:ascii="Times New Roman" w:hAnsi="Times New Roman"/>
          <w:i/>
          <w:sz w:val="20"/>
        </w:rPr>
        <w:t>Documents</w:t>
      </w:r>
      <w:r>
        <w:rPr>
          <w:rFonts w:ascii="Times New Roman" w:hAnsi="Times New Roman"/>
          <w:sz w:val="20"/>
        </w:rPr>
        <w:t xml:space="preserve">) of this Annex. </w:t>
      </w:r>
    </w:p>
    <w:p>
      <w:pPr>
        <w:pStyle w:val="TextBody"/>
        <w:bidi w:val="0"/>
        <w:spacing w:before="240" w:after="0"/>
        <w:jc w:val="left"/>
        <w:rPr/>
      </w:pPr>
      <w:r>
        <w:rPr/>
        <w:t>“</w:t>
      </w:r>
      <w:r>
        <w:rPr>
          <w:rFonts w:ascii="Times New Roman" w:hAnsi="Times New Roman"/>
          <w:b/>
          <w:sz w:val="20"/>
        </w:rPr>
        <w:t>Base Prospectus</w:t>
      </w:r>
      <w:r>
        <w:rPr>
          <w:rFonts w:ascii="Times New Roman" w:hAnsi="Times New Roman"/>
          <w:sz w:val="20"/>
        </w:rPr>
        <w:t>” is defined in part 3 (</w:t>
      </w:r>
      <w:r>
        <w:rPr>
          <w:rFonts w:ascii="Times New Roman" w:hAnsi="Times New Roman"/>
          <w:i/>
          <w:sz w:val="20"/>
        </w:rPr>
        <w:t>Documents</w:t>
      </w:r>
      <w:r>
        <w:rPr>
          <w:rFonts w:ascii="Times New Roman" w:hAnsi="Times New Roman"/>
          <w:sz w:val="20"/>
        </w:rPr>
        <w:t xml:space="preserve">) of this Annex. </w:t>
      </w:r>
    </w:p>
    <w:p>
      <w:pPr>
        <w:pStyle w:val="TextBody"/>
        <w:bidi w:val="0"/>
        <w:spacing w:before="240" w:after="0"/>
        <w:jc w:val="left"/>
        <w:rPr/>
      </w:pPr>
      <w:r>
        <w:rPr/>
        <w:t>“</w:t>
      </w:r>
      <w:r>
        <w:rPr>
          <w:rFonts w:ascii="Times New Roman" w:hAnsi="Times New Roman"/>
          <w:b/>
          <w:sz w:val="20"/>
        </w:rPr>
        <w:t>Board Regulations</w:t>
      </w:r>
      <w:r>
        <w:rPr>
          <w:rFonts w:ascii="Times New Roman" w:hAnsi="Times New Roman"/>
          <w:sz w:val="20"/>
        </w:rPr>
        <w:t>” is defined in part 2 (</w:t>
      </w:r>
      <w:r>
        <w:rPr>
          <w:rFonts w:ascii="Times New Roman" w:hAnsi="Times New Roman"/>
          <w:i/>
          <w:sz w:val="20"/>
        </w:rPr>
        <w:t>Company</w:t>
      </w:r>
      <w:r>
        <w:rPr>
          <w:rFonts w:ascii="Times New Roman" w:hAnsi="Times New Roman"/>
          <w:sz w:val="20"/>
        </w:rPr>
        <w:t xml:space="preserve">) of this Annex. </w:t>
      </w:r>
    </w:p>
    <w:p>
      <w:pPr>
        <w:pStyle w:val="TextBody"/>
        <w:bidi w:val="0"/>
        <w:spacing w:before="240" w:after="0"/>
        <w:jc w:val="left"/>
        <w:rPr/>
      </w:pPr>
      <w:r>
        <w:rPr/>
        <w:t>“</w:t>
      </w:r>
      <w:r>
        <w:rPr>
          <w:rFonts w:ascii="Times New Roman" w:hAnsi="Times New Roman"/>
          <w:b/>
          <w:sz w:val="20"/>
        </w:rPr>
        <w:t>Brussels I-bis Regulation</w:t>
      </w:r>
      <w:r>
        <w:rPr>
          <w:rFonts w:ascii="Times New Roman" w:hAnsi="Times New Roman"/>
          <w:sz w:val="20"/>
        </w:rPr>
        <w:t xml:space="preserve">” means Regulation (EU) No 1215/2012 of the European Parliament and of the Council of 12 December 2012 on jurisdiction and the recognition and enforcement of judgments in civil and commercial matters (recast). </w:t>
      </w:r>
    </w:p>
    <w:p>
      <w:pPr>
        <w:pStyle w:val="TextBody"/>
        <w:bidi w:val="0"/>
        <w:spacing w:before="240" w:after="0"/>
        <w:jc w:val="left"/>
        <w:rPr/>
      </w:pPr>
      <w:r>
        <w:rPr/>
        <w:t>“</w:t>
      </w:r>
      <w:r>
        <w:rPr>
          <w:rFonts w:ascii="Times New Roman" w:hAnsi="Times New Roman"/>
          <w:b/>
          <w:sz w:val="20"/>
        </w:rPr>
        <w:t>Company</w:t>
      </w:r>
      <w:r>
        <w:rPr>
          <w:rFonts w:ascii="Times New Roman" w:hAnsi="Times New Roman"/>
          <w:sz w:val="20"/>
        </w:rPr>
        <w:t>” is defined in part 2 (</w:t>
      </w:r>
      <w:r>
        <w:rPr>
          <w:rFonts w:ascii="Times New Roman" w:hAnsi="Times New Roman"/>
          <w:i/>
          <w:sz w:val="20"/>
        </w:rPr>
        <w:t>Company</w:t>
      </w:r>
      <w:r>
        <w:rPr>
          <w:rFonts w:ascii="Times New Roman" w:hAnsi="Times New Roman"/>
          <w:sz w:val="20"/>
        </w:rPr>
        <w:t xml:space="preserve">) of this Annex. </w:t>
      </w:r>
    </w:p>
    <w:p>
      <w:pPr>
        <w:pStyle w:val="TextBody"/>
        <w:bidi w:val="0"/>
        <w:spacing w:before="240" w:after="0"/>
        <w:jc w:val="left"/>
        <w:rPr/>
      </w:pPr>
      <w:r>
        <w:rPr/>
        <w:t>“</w:t>
      </w:r>
      <w:r>
        <w:rPr>
          <w:rFonts w:ascii="Times New Roman" w:hAnsi="Times New Roman"/>
          <w:b/>
          <w:sz w:val="20"/>
        </w:rPr>
        <w:t>Corporate Resolution</w:t>
      </w:r>
      <w:r>
        <w:rPr>
          <w:rFonts w:ascii="Times New Roman" w:hAnsi="Times New Roman"/>
          <w:sz w:val="20"/>
        </w:rPr>
        <w:t>” is defined in part 2 (</w:t>
      </w:r>
      <w:r>
        <w:rPr>
          <w:rFonts w:ascii="Times New Roman" w:hAnsi="Times New Roman"/>
          <w:i/>
          <w:sz w:val="20"/>
        </w:rPr>
        <w:t>Company</w:t>
      </w:r>
      <w:r>
        <w:rPr>
          <w:rFonts w:ascii="Times New Roman" w:hAnsi="Times New Roman"/>
          <w:sz w:val="20"/>
        </w:rPr>
        <w:t xml:space="preserve">) of this Annex. </w:t>
      </w:r>
    </w:p>
    <w:p>
      <w:pPr>
        <w:pStyle w:val="TextBody"/>
        <w:bidi w:val="0"/>
        <w:spacing w:before="240" w:after="0"/>
        <w:jc w:val="left"/>
        <w:rPr/>
      </w:pPr>
      <w:r>
        <w:rPr/>
        <w:t>“</w:t>
      </w:r>
      <w:r>
        <w:rPr>
          <w:rFonts w:ascii="Times New Roman" w:hAnsi="Times New Roman"/>
          <w:b/>
          <w:sz w:val="20"/>
        </w:rPr>
        <w:t>De Brauw</w:t>
      </w:r>
      <w:r>
        <w:rPr>
          <w:rFonts w:ascii="Times New Roman" w:hAnsi="Times New Roman"/>
          <w:sz w:val="20"/>
        </w:rPr>
        <w:t xml:space="preserve">” means De Brauw Blackstone Westbroek N.V. </w:t>
      </w:r>
    </w:p>
    <w:p>
      <w:pPr>
        <w:pStyle w:val="TextBody"/>
        <w:bidi w:val="0"/>
        <w:spacing w:before="240" w:after="0"/>
        <w:jc w:val="left"/>
        <w:rPr/>
      </w:pPr>
      <w:r>
        <w:rPr/>
        <w:t>“</w:t>
      </w:r>
      <w:r>
        <w:rPr>
          <w:rFonts w:ascii="Times New Roman" w:hAnsi="Times New Roman"/>
          <w:b/>
          <w:sz w:val="20"/>
        </w:rPr>
        <w:t>Dutch Insolvency</w:t>
      </w:r>
      <w:r>
        <w:rPr>
          <w:rFonts w:ascii="Times New Roman" w:hAnsi="Times New Roman"/>
          <w:sz w:val="20"/>
        </w:rPr>
        <w:t>” means bankruptcy (</w:t>
      </w:r>
      <w:r>
        <w:rPr>
          <w:rFonts w:ascii="Times New Roman" w:hAnsi="Times New Roman"/>
          <w:i/>
          <w:sz w:val="20"/>
        </w:rPr>
        <w:t>faillissement</w:t>
      </w:r>
      <w:r>
        <w:rPr>
          <w:rFonts w:ascii="Times New Roman" w:hAnsi="Times New Roman"/>
          <w:sz w:val="20"/>
        </w:rPr>
        <w:t>), suspension of payments (</w:t>
      </w:r>
      <w:r>
        <w:rPr>
          <w:rFonts w:ascii="Times New Roman" w:hAnsi="Times New Roman"/>
          <w:i/>
          <w:sz w:val="20"/>
        </w:rPr>
        <w:t>surseance van betaling</w:t>
      </w:r>
      <w:r>
        <w:rPr>
          <w:rFonts w:ascii="Times New Roman" w:hAnsi="Times New Roman"/>
          <w:sz w:val="20"/>
        </w:rPr>
        <w:t>) or restructuring proceedings outside bankruptcy (</w:t>
      </w:r>
      <w:r>
        <w:rPr>
          <w:rFonts w:ascii="Times New Roman" w:hAnsi="Times New Roman"/>
          <w:i/>
          <w:sz w:val="20"/>
        </w:rPr>
        <w:t>akkoordprocedures buiten faillissement</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Dutch law</w:t>
      </w:r>
      <w:r>
        <w:rPr>
          <w:rFonts w:ascii="Times New Roman" w:hAnsi="Times New Roman"/>
          <w:sz w:val="20"/>
        </w:rPr>
        <w:t xml:space="preserve">” means the national law of the Netherlands and European Union and international law to the extent directly applicable in the Netherlands. </w:t>
      </w:r>
    </w:p>
    <w:p>
      <w:pPr>
        <w:pStyle w:val="TextBody"/>
        <w:bidi w:val="0"/>
        <w:spacing w:before="240" w:after="0"/>
        <w:jc w:val="left"/>
        <w:rPr/>
      </w:pPr>
      <w:r>
        <w:rPr/>
        <w:t>“</w:t>
      </w:r>
      <w:r>
        <w:rPr>
          <w:rFonts w:ascii="Times New Roman" w:hAnsi="Times New Roman"/>
          <w:b/>
          <w:sz w:val="20"/>
        </w:rPr>
        <w:t>Guarantees</w:t>
      </w:r>
      <w:r>
        <w:rPr>
          <w:rFonts w:ascii="Times New Roman" w:hAnsi="Times New Roman"/>
          <w:sz w:val="20"/>
        </w:rPr>
        <w:t>” is defined in part 3 (</w:t>
      </w:r>
      <w:r>
        <w:rPr>
          <w:rFonts w:ascii="Times New Roman" w:hAnsi="Times New Roman"/>
          <w:i/>
          <w:sz w:val="20"/>
        </w:rPr>
        <w:t>Documents</w:t>
      </w:r>
      <w:r>
        <w:rPr>
          <w:rFonts w:ascii="Times New Roman" w:hAnsi="Times New Roman"/>
          <w:sz w:val="20"/>
        </w:rPr>
        <w:t xml:space="preserve">) of this Annex. </w:t>
      </w:r>
    </w:p>
    <w:p>
      <w:pPr>
        <w:pStyle w:val="TextBody"/>
        <w:bidi w:val="0"/>
        <w:spacing w:before="240" w:after="0"/>
        <w:jc w:val="left"/>
        <w:rPr/>
      </w:pPr>
      <w:r>
        <w:rPr/>
        <w:t>“</w:t>
      </w:r>
      <w:r>
        <w:rPr>
          <w:rFonts w:ascii="Times New Roman" w:hAnsi="Times New Roman"/>
          <w:b/>
          <w:sz w:val="20"/>
        </w:rPr>
        <w:t>Indenture</w:t>
      </w:r>
      <w:r>
        <w:rPr>
          <w:rFonts w:ascii="Times New Roman" w:hAnsi="Times New Roman"/>
          <w:sz w:val="20"/>
        </w:rPr>
        <w:t>” is defined in part 3 (</w:t>
      </w:r>
      <w:r>
        <w:rPr>
          <w:rFonts w:ascii="Times New Roman" w:hAnsi="Times New Roman"/>
          <w:i/>
          <w:sz w:val="20"/>
        </w:rPr>
        <w:t>Documents</w:t>
      </w:r>
      <w:r>
        <w:rPr>
          <w:rFonts w:ascii="Times New Roman" w:hAnsi="Times New Roman"/>
          <w:sz w:val="20"/>
        </w:rPr>
        <w:t xml:space="preserve">) of this Annex. </w:t>
      </w:r>
    </w:p>
    <w:p>
      <w:pPr>
        <w:pStyle w:val="TextBody"/>
        <w:bidi w:val="0"/>
        <w:spacing w:before="240" w:after="0"/>
        <w:jc w:val="left"/>
        <w:rPr/>
      </w:pPr>
      <w:r>
        <w:rPr/>
        <w:t>“</w:t>
      </w:r>
      <w:r>
        <w:rPr>
          <w:rFonts w:ascii="Times New Roman" w:hAnsi="Times New Roman"/>
          <w:b/>
          <w:sz w:val="20"/>
        </w:rPr>
        <w:t>Insolvency Proceedings</w:t>
      </w:r>
      <w:r>
        <w:rPr>
          <w:rFonts w:ascii="Times New Roman" w:hAnsi="Times New Roman"/>
          <w:sz w:val="20"/>
        </w:rPr>
        <w:t xml:space="preserve">” means insolvency proceedings as defined in Article 2(4) of Regulation (EU) 2015/848 of the European Parliament and of the Council of 20 May 2015 on insolvency proceedings (recast). </w:t>
      </w:r>
    </w:p>
    <w:p>
      <w:pPr>
        <w:pStyle w:val="TextBody"/>
        <w:bidi w:val="0"/>
        <w:spacing w:before="240" w:after="0"/>
        <w:jc w:val="left"/>
        <w:rPr/>
      </w:pPr>
      <w:r>
        <w:rPr/>
        <w:t>“</w:t>
      </w:r>
      <w:r>
        <w:rPr>
          <w:rFonts w:ascii="Times New Roman" w:hAnsi="Times New Roman"/>
          <w:b/>
          <w:sz w:val="20"/>
        </w:rPr>
        <w:t>Issuer</w:t>
      </w:r>
      <w:r>
        <w:rPr>
          <w:rFonts w:ascii="Times New Roman" w:hAnsi="Times New Roman"/>
          <w:sz w:val="20"/>
        </w:rPr>
        <w:t xml:space="preserve">” means Stellantis Finance US Inc.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C-11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Lugano Convention</w:t>
      </w:r>
      <w:r>
        <w:rPr>
          <w:rFonts w:ascii="Times New Roman" w:hAnsi="Times New Roman"/>
          <w:sz w:val="20"/>
        </w:rPr>
        <w:t xml:space="preserve">” means the 2007 Lugano Convention on jurisdiction and the recognition and enforcement of judgments in civil and commercial matters. </w:t>
      </w:r>
    </w:p>
    <w:p>
      <w:pPr>
        <w:pStyle w:val="TextBody"/>
        <w:bidi w:val="0"/>
        <w:spacing w:before="240" w:after="0"/>
        <w:jc w:val="left"/>
        <w:rPr/>
      </w:pPr>
      <w:r>
        <w:rPr/>
        <w:t>“</w:t>
      </w:r>
      <w:r>
        <w:rPr>
          <w:rFonts w:ascii="Times New Roman" w:hAnsi="Times New Roman"/>
          <w:b/>
          <w:sz w:val="20"/>
        </w:rPr>
        <w:t>New York law</w:t>
      </w:r>
      <w:r>
        <w:rPr>
          <w:rFonts w:ascii="Times New Roman" w:hAnsi="Times New Roman"/>
          <w:sz w:val="20"/>
        </w:rPr>
        <w:t xml:space="preserve">” means the laws of the State of New York without regard to its conflicts of laws principles. </w:t>
      </w:r>
    </w:p>
    <w:p>
      <w:pPr>
        <w:pStyle w:val="TextBody"/>
        <w:bidi w:val="0"/>
        <w:spacing w:before="240" w:after="0"/>
        <w:jc w:val="left"/>
        <w:rPr/>
      </w:pPr>
      <w:r>
        <w:rPr/>
        <w:t>“</w:t>
      </w:r>
      <w:r>
        <w:rPr>
          <w:rFonts w:ascii="Times New Roman" w:hAnsi="Times New Roman"/>
          <w:b/>
          <w:sz w:val="20"/>
        </w:rPr>
        <w:t>New York Court</w:t>
      </w:r>
      <w:r>
        <w:rPr>
          <w:rFonts w:ascii="Times New Roman" w:hAnsi="Times New Roman"/>
          <w:sz w:val="20"/>
        </w:rPr>
        <w:t xml:space="preserve">” means any (i) U.S. federal or state court in the State of New York, New York County In the Indenture and (ii) U.S. federal and New York state courts in the Borough of Manhattan in The City of New York in the Underwriting Agreement. </w:t>
      </w:r>
    </w:p>
    <w:p>
      <w:pPr>
        <w:pStyle w:val="TextBody"/>
        <w:bidi w:val="0"/>
        <w:spacing w:before="240" w:after="0"/>
        <w:jc w:val="left"/>
        <w:rPr/>
      </w:pPr>
      <w:r>
        <w:rPr/>
        <w:t>“</w:t>
      </w:r>
      <w:r>
        <w:rPr>
          <w:rFonts w:ascii="Times New Roman" w:hAnsi="Times New Roman"/>
          <w:b/>
          <w:sz w:val="20"/>
        </w:rPr>
        <w:t>Notes</w:t>
      </w:r>
      <w:r>
        <w:rPr>
          <w:rFonts w:ascii="Times New Roman" w:hAnsi="Times New Roman"/>
          <w:sz w:val="20"/>
        </w:rPr>
        <w:t xml:space="preserve">” means each of the 20[] Notes and the 20[] Notes. </w:t>
      </w:r>
    </w:p>
    <w:p>
      <w:pPr>
        <w:pStyle w:val="TextBody"/>
        <w:bidi w:val="0"/>
        <w:spacing w:before="240" w:after="0"/>
        <w:jc w:val="left"/>
        <w:rPr/>
      </w:pPr>
      <w:r>
        <w:rPr/>
        <w:t>“</w:t>
      </w:r>
      <w:r>
        <w:rPr>
          <w:rFonts w:ascii="Times New Roman" w:hAnsi="Times New Roman"/>
          <w:b/>
          <w:sz w:val="20"/>
        </w:rPr>
        <w:t>Offer Regulations</w:t>
      </w:r>
      <w:r>
        <w:rPr>
          <w:rFonts w:ascii="Times New Roman" w:hAnsi="Times New Roman"/>
          <w:sz w:val="20"/>
        </w:rPr>
        <w:t xml:space="preserve">” means: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Commission Delegated Regulation (EU) 2019/979 of 14 March 2019 supplementing Regulation (EU) 2017/1129 of the European Parliament and of the Council with regard to regulatory technical standards on key financial information in the summary of a prospectus, the publication and classification of prospectuses, advertisements for securities, supplements to a prospectus, and the notification portal, and repealing Commission Delegated Regulation (EU) No 382/2014 and Commission Delegated Regulation (EU) 2016/301;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Commission Delegated Regulation (EU) 2019/980 of 14 March 2019 supplementing Regulation (EU) 2017/1129 of the European Parliament and of the Council as regards the format, content, scrutiny and approval of the prospectus to be published when securities are offered to the public or admitted to trading on a regulated market, and repealing Commission Regulation (EC) No 809/2004;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(c)</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Regulation (EU) No 596/2014 of the European Parliament and of the Council of 16 April 2014 on market abuse (market abuse regulation) and repealing Directive 2003/6/EC of the European Parliament and of the Council and Commission Directives 2003/124/EC, 2003/125/EC and 2004/72/EC;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(d)</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Regulation (EC) No 1060/2009 of the European Parliament and of the Council of 16 September 2009 on credit rating agencies to the extent applicable. </w:t>
            </w:r>
          </w:p>
        </w:tc>
      </w:tr>
    </w:tbl>
    <w:p>
      <w:pPr>
        <w:pStyle w:val="TextBody"/>
        <w:bidi w:val="0"/>
        <w:spacing w:before="240" w:after="0"/>
        <w:jc w:val="left"/>
        <w:rPr/>
      </w:pPr>
      <w:r>
        <w:rPr/>
        <w:t>“</w:t>
      </w:r>
      <w:r>
        <w:rPr>
          <w:rFonts w:ascii="Times New Roman" w:hAnsi="Times New Roman"/>
          <w:b/>
          <w:sz w:val="20"/>
        </w:rPr>
        <w:t>Officer’s Certificate</w:t>
      </w:r>
      <w:r>
        <w:rPr>
          <w:rFonts w:ascii="Times New Roman" w:hAnsi="Times New Roman"/>
          <w:sz w:val="20"/>
        </w:rPr>
        <w:t>” is defined in part 3 (</w:t>
      </w:r>
      <w:r>
        <w:rPr>
          <w:rFonts w:ascii="Times New Roman" w:hAnsi="Times New Roman"/>
          <w:i/>
          <w:sz w:val="20"/>
        </w:rPr>
        <w:t>Documents</w:t>
      </w:r>
      <w:r>
        <w:rPr>
          <w:rFonts w:ascii="Times New Roman" w:hAnsi="Times New Roman"/>
          <w:sz w:val="20"/>
        </w:rPr>
        <w:t xml:space="preserve">) of this Annex. </w:t>
      </w:r>
    </w:p>
    <w:p>
      <w:pPr>
        <w:pStyle w:val="TextBody"/>
        <w:bidi w:val="0"/>
        <w:spacing w:before="240" w:after="0"/>
        <w:jc w:val="left"/>
        <w:rPr/>
      </w:pPr>
      <w:r>
        <w:rPr/>
        <w:t>“</w:t>
      </w:r>
      <w:r>
        <w:rPr>
          <w:rFonts w:ascii="Times New Roman" w:hAnsi="Times New Roman"/>
          <w:b/>
          <w:sz w:val="20"/>
        </w:rPr>
        <w:t>Power of Attorney</w:t>
      </w:r>
      <w:r>
        <w:rPr>
          <w:rFonts w:ascii="Times New Roman" w:hAnsi="Times New Roman"/>
          <w:sz w:val="20"/>
        </w:rPr>
        <w:t>” is defined in part 2 (</w:t>
      </w:r>
      <w:r>
        <w:rPr>
          <w:rFonts w:ascii="Times New Roman" w:hAnsi="Times New Roman"/>
          <w:i/>
          <w:sz w:val="20"/>
        </w:rPr>
        <w:t>Company</w:t>
      </w:r>
      <w:r>
        <w:rPr>
          <w:rFonts w:ascii="Times New Roman" w:hAnsi="Times New Roman"/>
          <w:sz w:val="20"/>
        </w:rPr>
        <w:t xml:space="preserve">) of this Annex. </w:t>
      </w:r>
    </w:p>
    <w:p>
      <w:pPr>
        <w:pStyle w:val="TextBody"/>
        <w:bidi w:val="0"/>
        <w:spacing w:before="240" w:after="0"/>
        <w:jc w:val="left"/>
        <w:rPr/>
      </w:pPr>
      <w:r>
        <w:rPr/>
        <w:t>“</w:t>
      </w:r>
      <w:r>
        <w:rPr>
          <w:rFonts w:ascii="Times New Roman" w:hAnsi="Times New Roman"/>
          <w:b/>
          <w:sz w:val="20"/>
        </w:rPr>
        <w:t>Preliminary Prospectus</w:t>
      </w:r>
      <w:r>
        <w:rPr>
          <w:rFonts w:ascii="Times New Roman" w:hAnsi="Times New Roman"/>
          <w:sz w:val="20"/>
        </w:rPr>
        <w:t>” is defined in part 3 (</w:t>
      </w:r>
      <w:r>
        <w:rPr>
          <w:rFonts w:ascii="Times New Roman" w:hAnsi="Times New Roman"/>
          <w:i/>
          <w:sz w:val="20"/>
        </w:rPr>
        <w:t>Documents</w:t>
      </w:r>
      <w:r>
        <w:rPr>
          <w:rFonts w:ascii="Times New Roman" w:hAnsi="Times New Roman"/>
          <w:sz w:val="20"/>
        </w:rPr>
        <w:t xml:space="preserve">) of this Annex. </w:t>
      </w:r>
    </w:p>
    <w:p>
      <w:pPr>
        <w:pStyle w:val="TextBody"/>
        <w:bidi w:val="0"/>
        <w:spacing w:before="240" w:after="0"/>
        <w:jc w:val="left"/>
        <w:rPr/>
      </w:pPr>
      <w:r>
        <w:rPr/>
        <w:t>“</w:t>
      </w:r>
      <w:r>
        <w:rPr>
          <w:rFonts w:ascii="Times New Roman" w:hAnsi="Times New Roman"/>
          <w:b/>
          <w:sz w:val="20"/>
        </w:rPr>
        <w:t>Prospectus</w:t>
      </w:r>
      <w:r>
        <w:rPr>
          <w:rFonts w:ascii="Times New Roman" w:hAnsi="Times New Roman"/>
          <w:sz w:val="20"/>
        </w:rPr>
        <w:t>” is defined in part 3 (</w:t>
      </w:r>
      <w:r>
        <w:rPr>
          <w:rFonts w:ascii="Times New Roman" w:hAnsi="Times New Roman"/>
          <w:i/>
          <w:sz w:val="20"/>
        </w:rPr>
        <w:t>Documents</w:t>
      </w:r>
      <w:r>
        <w:rPr>
          <w:rFonts w:ascii="Times New Roman" w:hAnsi="Times New Roman"/>
          <w:sz w:val="20"/>
        </w:rPr>
        <w:t xml:space="preserve">) of this Annex. </w:t>
      </w:r>
    </w:p>
    <w:p>
      <w:pPr>
        <w:pStyle w:val="TextBody"/>
        <w:bidi w:val="0"/>
        <w:spacing w:before="240" w:after="0"/>
        <w:jc w:val="left"/>
        <w:rPr/>
      </w:pPr>
      <w:r>
        <w:rPr/>
        <w:t>“</w:t>
      </w:r>
      <w:r>
        <w:rPr>
          <w:rFonts w:ascii="Times New Roman" w:hAnsi="Times New Roman"/>
          <w:b/>
          <w:sz w:val="20"/>
        </w:rPr>
        <w:t>Prospectus Regulation</w:t>
      </w:r>
      <w:r>
        <w:rPr>
          <w:rFonts w:ascii="Times New Roman" w:hAnsi="Times New Roman"/>
          <w:sz w:val="20"/>
        </w:rPr>
        <w:t xml:space="preserve">” means Regulation (EU) 2017/1129 of the European Parliament and of the Council of 14 June 2017 on the prospectus to be published when securities are offered to the public or admitted to trading on a regulated market, and repealing Directive 2003/71/EC. </w:t>
      </w:r>
    </w:p>
    <w:p>
      <w:pPr>
        <w:pStyle w:val="TextBody"/>
        <w:bidi w:val="0"/>
        <w:spacing w:before="240" w:after="0"/>
        <w:jc w:val="left"/>
        <w:rPr/>
      </w:pPr>
      <w:r>
        <w:rPr/>
        <w:t>“</w:t>
      </w:r>
      <w:r>
        <w:rPr>
          <w:rFonts w:ascii="Times New Roman" w:hAnsi="Times New Roman"/>
          <w:b/>
          <w:sz w:val="20"/>
        </w:rPr>
        <w:t>Sanctions List</w:t>
      </w:r>
      <w:r>
        <w:rPr>
          <w:rFonts w:ascii="Times New Roman" w:hAnsi="Times New Roman"/>
          <w:sz w:val="20"/>
        </w:rPr>
        <w:t xml:space="preserve">” means each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Consolidated list of persons, groups and entities subject to EU financial sanctions;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(b)</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the National sanction list terrorism (</w:t>
            </w:r>
            <w:r>
              <w:rPr>
                <w:rFonts w:ascii="Times New Roman" w:hAnsi="Times New Roman"/>
                <w:i/>
                <w:sz w:val="20"/>
              </w:rPr>
              <w:t>Nationale sanctielijst terrorisme</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C-12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Securities</w:t>
      </w:r>
      <w:r>
        <w:rPr>
          <w:rFonts w:ascii="Times New Roman" w:hAnsi="Times New Roman"/>
          <w:sz w:val="20"/>
        </w:rPr>
        <w:t xml:space="preserve">” means each of the Notes and the Guarantees. </w:t>
      </w:r>
    </w:p>
    <w:p>
      <w:pPr>
        <w:pStyle w:val="TextBody"/>
        <w:bidi w:val="0"/>
        <w:spacing w:before="240" w:after="0"/>
        <w:jc w:val="left"/>
        <w:rPr/>
      </w:pPr>
      <w:r>
        <w:rPr/>
        <w:t>“</w:t>
      </w:r>
      <w:r>
        <w:rPr>
          <w:rFonts w:ascii="Times New Roman" w:hAnsi="Times New Roman"/>
          <w:b/>
          <w:sz w:val="20"/>
        </w:rPr>
        <w:t>the Netherlands</w:t>
      </w:r>
      <w:r>
        <w:rPr>
          <w:rFonts w:ascii="Times New Roman" w:hAnsi="Times New Roman"/>
          <w:sz w:val="20"/>
        </w:rPr>
        <w:t xml:space="preserve">” means the European part of the Netherlands. </w:t>
      </w:r>
    </w:p>
    <w:p>
      <w:pPr>
        <w:pStyle w:val="TextBody"/>
        <w:bidi w:val="0"/>
        <w:spacing w:before="240" w:after="0"/>
        <w:jc w:val="left"/>
        <w:rPr/>
      </w:pPr>
      <w:r>
        <w:rPr/>
        <w:t>“</w:t>
      </w:r>
      <w:r>
        <w:rPr>
          <w:rFonts w:ascii="Times New Roman" w:hAnsi="Times New Roman"/>
          <w:b/>
          <w:sz w:val="20"/>
        </w:rPr>
        <w:t>Trade Register Extract</w:t>
      </w:r>
      <w:r>
        <w:rPr>
          <w:rFonts w:ascii="Times New Roman" w:hAnsi="Times New Roman"/>
          <w:sz w:val="20"/>
        </w:rPr>
        <w:t>” is defined in part 2 (</w:t>
      </w:r>
      <w:r>
        <w:rPr>
          <w:rFonts w:ascii="Times New Roman" w:hAnsi="Times New Roman"/>
          <w:i/>
          <w:sz w:val="20"/>
        </w:rPr>
        <w:t>Company</w:t>
      </w:r>
      <w:r>
        <w:rPr>
          <w:rFonts w:ascii="Times New Roman" w:hAnsi="Times New Roman"/>
          <w:sz w:val="20"/>
        </w:rPr>
        <w:t xml:space="preserve">) of this Annex. </w:t>
      </w:r>
    </w:p>
    <w:p>
      <w:pPr>
        <w:pStyle w:val="TextBody"/>
        <w:bidi w:val="0"/>
        <w:spacing w:before="240" w:after="0"/>
        <w:jc w:val="left"/>
        <w:rPr/>
      </w:pPr>
      <w:r>
        <w:rPr/>
        <w:t>“</w:t>
      </w:r>
      <w:r>
        <w:rPr>
          <w:rFonts w:ascii="Times New Roman" w:hAnsi="Times New Roman"/>
          <w:b/>
          <w:sz w:val="20"/>
        </w:rPr>
        <w:t>Trustee</w:t>
      </w:r>
      <w:r>
        <w:rPr>
          <w:rFonts w:ascii="Times New Roman" w:hAnsi="Times New Roman"/>
          <w:sz w:val="20"/>
        </w:rPr>
        <w:t xml:space="preserve">” means The Bank of New York Mellon as trustee under the Indenture. </w:t>
      </w:r>
    </w:p>
    <w:p>
      <w:pPr>
        <w:pStyle w:val="TextBody"/>
        <w:bidi w:val="0"/>
        <w:spacing w:before="240" w:after="0"/>
        <w:jc w:val="left"/>
        <w:rPr/>
      </w:pPr>
      <w:r>
        <w:rPr/>
        <w:t>“</w:t>
      </w:r>
      <w:r>
        <w:rPr>
          <w:rFonts w:ascii="Times New Roman" w:hAnsi="Times New Roman"/>
          <w:b/>
          <w:sz w:val="20"/>
        </w:rPr>
        <w:t>Underwriters</w:t>
      </w:r>
      <w:r>
        <w:rPr>
          <w:rFonts w:ascii="Times New Roman" w:hAnsi="Times New Roman"/>
          <w:sz w:val="20"/>
        </w:rPr>
        <w:t xml:space="preserve">” means each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Goldman Sachs &amp; Co. LLC;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w:t>
            </w:r>
          </w:p>
        </w:tc>
      </w:tr>
    </w:tbl>
    <w:p>
      <w:pPr>
        <w:pStyle w:val="TextBody"/>
        <w:bidi w:val="0"/>
        <w:spacing w:before="240" w:after="0"/>
        <w:jc w:val="left"/>
        <w:rPr/>
      </w:pPr>
      <w:r>
        <w:rPr/>
        <w:t>“</w:t>
      </w:r>
      <w:r>
        <w:rPr>
          <w:rFonts w:ascii="Times New Roman" w:hAnsi="Times New Roman"/>
          <w:b/>
          <w:sz w:val="20"/>
        </w:rPr>
        <w:t>Underwriting Agreement</w:t>
      </w:r>
      <w:r>
        <w:rPr>
          <w:rFonts w:ascii="Times New Roman" w:hAnsi="Times New Roman"/>
          <w:sz w:val="20"/>
        </w:rPr>
        <w:t>” is defined in part 3 (</w:t>
      </w:r>
      <w:r>
        <w:rPr>
          <w:rFonts w:ascii="Times New Roman" w:hAnsi="Times New Roman"/>
          <w:i/>
          <w:sz w:val="20"/>
        </w:rPr>
        <w:t>Documents</w:t>
      </w:r>
      <w:r>
        <w:rPr>
          <w:rFonts w:ascii="Times New Roman" w:hAnsi="Times New Roman"/>
          <w:sz w:val="20"/>
        </w:rPr>
        <w:t xml:space="preserve">) of this Annex. </w:t>
      </w:r>
    </w:p>
    <w:p>
      <w:pPr>
        <w:pStyle w:val="TextBody"/>
        <w:bidi w:val="0"/>
        <w:spacing w:before="240" w:after="0"/>
        <w:jc w:val="left"/>
        <w:rPr/>
      </w:pPr>
      <w:r>
        <w:rPr/>
        <w:t>“</w:t>
      </w:r>
      <w:r>
        <w:rPr>
          <w:rFonts w:ascii="Times New Roman" w:hAnsi="Times New Roman"/>
          <w:b/>
          <w:sz w:val="20"/>
        </w:rPr>
        <w:t>Wft</w:t>
      </w:r>
      <w:r>
        <w:rPr>
          <w:rFonts w:ascii="Times New Roman" w:hAnsi="Times New Roman"/>
          <w:sz w:val="20"/>
        </w:rPr>
        <w:t>” means the Financial Markets Supervision Act (</w:t>
      </w:r>
      <w:r>
        <w:rPr>
          <w:rFonts w:ascii="Times New Roman" w:hAnsi="Times New Roman"/>
          <w:i/>
          <w:sz w:val="20"/>
        </w:rPr>
        <w:t>Wet op het financieel toezicht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C-13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Part 2 – Company </w:t>
      </w:r>
    </w:p>
    <w:p>
      <w:pPr>
        <w:pStyle w:val="TextBody"/>
        <w:bidi w:val="0"/>
        <w:spacing w:before="240" w:after="0"/>
        <w:jc w:val="left"/>
        <w:rPr>
          <w:rFonts w:ascii="Times New Roman" w:hAnsi="Times New Roman"/>
          <w:sz w:val="20"/>
        </w:rPr>
      </w:pPr>
      <w:r>
        <w:rPr>
          <w:rFonts w:ascii="Times New Roman" w:hAnsi="Times New Roman"/>
          <w:sz w:val="20"/>
        </w:rPr>
        <w:t xml:space="preserve">In this opinion: </w:t>
      </w:r>
    </w:p>
    <w:p>
      <w:pPr>
        <w:pStyle w:val="TextBody"/>
        <w:bidi w:val="0"/>
        <w:spacing w:before="240" w:after="0"/>
        <w:jc w:val="left"/>
        <w:rPr/>
      </w:pPr>
      <w:r>
        <w:rPr/>
        <w:t>“</w:t>
      </w:r>
      <w:r>
        <w:rPr>
          <w:rFonts w:ascii="Times New Roman" w:hAnsi="Times New Roman"/>
          <w:b/>
          <w:sz w:val="20"/>
        </w:rPr>
        <w:t>Articles of Association</w:t>
      </w:r>
      <w:r>
        <w:rPr>
          <w:rFonts w:ascii="Times New Roman" w:hAnsi="Times New Roman"/>
          <w:sz w:val="20"/>
        </w:rPr>
        <w:t>” means the articles of association (</w:t>
      </w:r>
      <w:r>
        <w:rPr>
          <w:rFonts w:ascii="Times New Roman" w:hAnsi="Times New Roman"/>
          <w:i/>
          <w:sz w:val="20"/>
        </w:rPr>
        <w:t>statuten</w:t>
      </w:r>
      <w:r>
        <w:rPr>
          <w:rFonts w:ascii="Times New Roman" w:hAnsi="Times New Roman"/>
          <w:sz w:val="20"/>
        </w:rPr>
        <w:t xml:space="preserve">) of the Company, as last amended by deed of amendment dated 10 March 2021. </w:t>
      </w:r>
    </w:p>
    <w:p>
      <w:pPr>
        <w:pStyle w:val="TextBody"/>
        <w:bidi w:val="0"/>
        <w:spacing w:before="240" w:after="0"/>
        <w:jc w:val="left"/>
        <w:rPr/>
      </w:pPr>
      <w:r>
        <w:rPr/>
        <w:t>“</w:t>
      </w:r>
      <w:r>
        <w:rPr>
          <w:rFonts w:ascii="Times New Roman" w:hAnsi="Times New Roman"/>
          <w:b/>
          <w:sz w:val="20"/>
        </w:rPr>
        <w:t>Board Regulations</w:t>
      </w:r>
      <w:r>
        <w:rPr>
          <w:rFonts w:ascii="Times New Roman" w:hAnsi="Times New Roman"/>
          <w:sz w:val="20"/>
        </w:rPr>
        <w:t>” means the management board regulations of the Company’s management board (</w:t>
      </w:r>
      <w:r>
        <w:rPr>
          <w:rFonts w:ascii="Times New Roman" w:hAnsi="Times New Roman"/>
          <w:i/>
          <w:sz w:val="20"/>
        </w:rPr>
        <w:t>bestuur</w:t>
      </w:r>
      <w:r>
        <w:rPr>
          <w:rFonts w:ascii="Times New Roman" w:hAnsi="Times New Roman"/>
          <w:sz w:val="20"/>
        </w:rPr>
        <w:t xml:space="preserve">) dated 10 October 2024 pursuant to Article 20.3 of the Articles of Association. </w:t>
      </w:r>
    </w:p>
    <w:p>
      <w:pPr>
        <w:pStyle w:val="TextBody"/>
        <w:bidi w:val="0"/>
        <w:spacing w:before="240" w:after="0"/>
        <w:jc w:val="left"/>
        <w:rPr/>
      </w:pPr>
      <w:r>
        <w:rPr/>
        <w:t>“</w:t>
      </w:r>
      <w:r>
        <w:rPr>
          <w:rFonts w:ascii="Times New Roman" w:hAnsi="Times New Roman"/>
          <w:b/>
          <w:sz w:val="20"/>
        </w:rPr>
        <w:t>Company</w:t>
      </w:r>
      <w:r>
        <w:rPr>
          <w:rFonts w:ascii="Times New Roman" w:hAnsi="Times New Roman"/>
          <w:sz w:val="20"/>
        </w:rPr>
        <w:t>” means Stellantis N.V., a public limited liability company (</w:t>
      </w:r>
      <w:r>
        <w:rPr>
          <w:rFonts w:ascii="Times New Roman" w:hAnsi="Times New Roman"/>
          <w:i/>
          <w:sz w:val="20"/>
        </w:rPr>
        <w:t>naamloze vennootschap</w:t>
      </w:r>
      <w:r>
        <w:rPr>
          <w:rFonts w:ascii="Times New Roman" w:hAnsi="Times New Roman"/>
          <w:sz w:val="20"/>
        </w:rPr>
        <w:t xml:space="preserve">), with seat in Amsterdam,Trade Register number 60372958. </w:t>
      </w:r>
    </w:p>
    <w:p>
      <w:pPr>
        <w:pStyle w:val="TextBody"/>
        <w:bidi w:val="0"/>
        <w:spacing w:before="360" w:after="0"/>
        <w:jc w:val="left"/>
        <w:rPr/>
      </w:pPr>
      <w:r>
        <w:rPr/>
        <w:t>“</w:t>
      </w:r>
      <w:r>
        <w:rPr>
          <w:rFonts w:ascii="Times New Roman" w:hAnsi="Times New Roman"/>
          <w:b/>
          <w:sz w:val="20"/>
        </w:rPr>
        <w:t>Corporate Resolution</w:t>
      </w:r>
      <w:r>
        <w:rPr>
          <w:rFonts w:ascii="Times New Roman" w:hAnsi="Times New Roman"/>
          <w:sz w:val="20"/>
        </w:rPr>
        <w:t xml:space="preserve">” means each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the redacted minutes of Company’s management board (</w:t>
            </w:r>
            <w:r>
              <w:rPr>
                <w:rFonts w:ascii="Times New Roman" w:hAnsi="Times New Roman"/>
                <w:i/>
                <w:sz w:val="20"/>
              </w:rPr>
              <w:t>bestuur</w:t>
            </w:r>
            <w:r>
              <w:rPr>
                <w:rFonts w:ascii="Times New Roman" w:hAnsi="Times New Roman"/>
                <w:sz w:val="20"/>
              </w:rPr>
              <w:t xml:space="preserve">) held on 5 February 2026, including as an annex thereto the debt issuance authorisation resolution adopted at such meeting, pursuant to which the Company’s management board authorised (i) the issuance of the Notes to be guaranteed by the Company and (ii) granted a power of attorney to the Chairman of the board of directors or the Chief Executive Officer of the Company, and any person designated and authorised so to act by the Chairman or the Chief Executive Officer, to implement such issuance to be guaranteed by the Company on behalf of the Company;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(b)</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a written resolution of the Company’s management board (</w:t>
            </w:r>
            <w:r>
              <w:rPr>
                <w:rFonts w:ascii="Times New Roman" w:hAnsi="Times New Roman"/>
                <w:i/>
                <w:sz w:val="20"/>
              </w:rPr>
              <w:t>bestuur</w:t>
            </w:r>
            <w:r>
              <w:rPr>
                <w:rFonts w:ascii="Times New Roman" w:hAnsi="Times New Roman"/>
                <w:sz w:val="20"/>
              </w:rPr>
              <w:t xml:space="preserve">) dated 4 March 2026, including a power of attorney granted by the Company to each of Joao Eduardo Laranjo Alves Ferreira and Ferrante Zileri Dal Verme. </w:t>
            </w:r>
          </w:p>
        </w:tc>
      </w:tr>
    </w:tbl>
    <w:p>
      <w:pPr>
        <w:pStyle w:val="TextBody"/>
        <w:bidi w:val="0"/>
        <w:spacing w:before="240" w:after="0"/>
        <w:jc w:val="left"/>
        <w:rPr/>
      </w:pPr>
      <w:r>
        <w:rPr/>
        <w:t>“</w:t>
      </w:r>
      <w:r>
        <w:rPr>
          <w:rFonts w:ascii="Times New Roman" w:hAnsi="Times New Roman"/>
          <w:b/>
          <w:sz w:val="20"/>
        </w:rPr>
        <w:t>Power of Attorney</w:t>
      </w:r>
      <w:r>
        <w:rPr>
          <w:rFonts w:ascii="Times New Roman" w:hAnsi="Times New Roman"/>
          <w:sz w:val="20"/>
        </w:rPr>
        <w:t xml:space="preserve">” means each of the powers of attorney included in the resolutions of the Company’s management board referred to in the definition of “Corporate Resolution” above. </w:t>
      </w:r>
    </w:p>
    <w:p>
      <w:pPr>
        <w:pStyle w:val="TextBody"/>
        <w:bidi w:val="0"/>
        <w:spacing w:before="240" w:after="0"/>
        <w:jc w:val="left"/>
        <w:rPr/>
      </w:pPr>
      <w:r>
        <w:rPr/>
        <w:t>“</w:t>
      </w:r>
      <w:r>
        <w:rPr>
          <w:rFonts w:ascii="Times New Roman" w:hAnsi="Times New Roman"/>
          <w:b/>
          <w:sz w:val="20"/>
        </w:rPr>
        <w:t>Trade Register Extract</w:t>
      </w:r>
      <w:r>
        <w:rPr>
          <w:rFonts w:ascii="Times New Roman" w:hAnsi="Times New Roman"/>
          <w:sz w:val="20"/>
        </w:rPr>
        <w:t xml:space="preserve">” means a Trade Register extract relating to the Company provided by the Chamber of Commerce and dated []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C-14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Part 3 – Documents </w:t>
      </w:r>
    </w:p>
    <w:p>
      <w:pPr>
        <w:pStyle w:val="TextBody"/>
        <w:bidi w:val="0"/>
        <w:spacing w:before="240" w:after="0"/>
        <w:jc w:val="left"/>
        <w:rPr>
          <w:rFonts w:ascii="Times New Roman" w:hAnsi="Times New Roman"/>
          <w:sz w:val="20"/>
        </w:rPr>
      </w:pPr>
      <w:r>
        <w:rPr>
          <w:rFonts w:ascii="Times New Roman" w:hAnsi="Times New Roman"/>
          <w:sz w:val="20"/>
        </w:rPr>
        <w:t xml:space="preserve">In this opinion: </w:t>
      </w:r>
    </w:p>
    <w:p>
      <w:pPr>
        <w:pStyle w:val="TextBody"/>
        <w:bidi w:val="0"/>
        <w:spacing w:before="120" w:after="0"/>
        <w:jc w:val="left"/>
        <w:rPr/>
      </w:pPr>
      <w:r>
        <w:rPr/>
        <w:t>“</w:t>
      </w:r>
      <w:r>
        <w:rPr>
          <w:rFonts w:ascii="Times New Roman" w:hAnsi="Times New Roman"/>
          <w:b/>
          <w:sz w:val="20"/>
        </w:rPr>
        <w:t>Agreements</w:t>
      </w:r>
      <w:r>
        <w:rPr>
          <w:rFonts w:ascii="Times New Roman" w:hAnsi="Times New Roman"/>
          <w:sz w:val="20"/>
        </w:rPr>
        <w:t xml:space="preserve">” means each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Underwriting Agreement;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Guarantees. </w:t>
            </w:r>
          </w:p>
        </w:tc>
      </w:tr>
    </w:tbl>
    <w:p>
      <w:pPr>
        <w:pStyle w:val="TextBody"/>
        <w:bidi w:val="0"/>
        <w:spacing w:before="240" w:after="0"/>
        <w:jc w:val="left"/>
        <w:rPr/>
      </w:pPr>
      <w:r>
        <w:rPr/>
        <w:t>“</w:t>
      </w:r>
      <w:r>
        <w:rPr>
          <w:rFonts w:ascii="Times New Roman" w:hAnsi="Times New Roman"/>
          <w:b/>
          <w:sz w:val="20"/>
        </w:rPr>
        <w:t>Base Indenture</w:t>
      </w:r>
      <w:r>
        <w:rPr>
          <w:rFonts w:ascii="Times New Roman" w:hAnsi="Times New Roman"/>
          <w:sz w:val="20"/>
        </w:rPr>
        <w:t xml:space="preserve">” means the indenture dated [] 2026 between the Issuer, the Company and the Trustee in relation to the Securities. </w:t>
      </w:r>
    </w:p>
    <w:p>
      <w:pPr>
        <w:pStyle w:val="TextBody"/>
        <w:bidi w:val="0"/>
        <w:spacing w:before="240" w:after="0"/>
        <w:jc w:val="left"/>
        <w:rPr/>
      </w:pPr>
      <w:r>
        <w:rPr/>
        <w:t>“</w:t>
      </w:r>
      <w:r>
        <w:rPr>
          <w:rFonts w:ascii="Times New Roman" w:hAnsi="Times New Roman"/>
          <w:b/>
          <w:sz w:val="20"/>
        </w:rPr>
        <w:t>Base Prospectus</w:t>
      </w:r>
      <w:r>
        <w:rPr>
          <w:rFonts w:ascii="Times New Roman" w:hAnsi="Times New Roman"/>
          <w:sz w:val="20"/>
        </w:rPr>
        <w:t xml:space="preserve">” means the base prospectus, as filed with the Securities and Exchange Commission on 3 August 2026, and to be used in connection with the public offering and sale of debt securities of the Issuer and the Company. </w:t>
      </w:r>
    </w:p>
    <w:p>
      <w:pPr>
        <w:pStyle w:val="TextBody"/>
        <w:bidi w:val="0"/>
        <w:spacing w:before="240" w:after="0"/>
        <w:jc w:val="left"/>
        <w:rPr/>
      </w:pPr>
      <w:r>
        <w:rPr/>
        <w:t>“</w:t>
      </w:r>
      <w:r>
        <w:rPr>
          <w:rFonts w:ascii="Times New Roman" w:hAnsi="Times New Roman"/>
          <w:b/>
          <w:sz w:val="20"/>
        </w:rPr>
        <w:t>Guarantees</w:t>
      </w:r>
      <w:r>
        <w:rPr>
          <w:rFonts w:ascii="Times New Roman" w:hAnsi="Times New Roman"/>
          <w:sz w:val="20"/>
        </w:rPr>
        <w:t xml:space="preserve">” means each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(d)</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unconditional and irrevocable guarantee by the Company of the due and punctual payments on the 20[] Notes issued by the Issuer.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(e)</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unconditional and irrevocable guarantee by the Company of the due and punctual payments on the 20[] Notes issued by the Issuer. </w:t>
            </w:r>
          </w:p>
        </w:tc>
      </w:tr>
    </w:tbl>
    <w:p>
      <w:pPr>
        <w:pStyle w:val="TextBody"/>
        <w:bidi w:val="0"/>
        <w:spacing w:before="240" w:after="0"/>
        <w:jc w:val="left"/>
        <w:rPr/>
      </w:pPr>
      <w:r>
        <w:rPr/>
        <w:t>“</w:t>
      </w:r>
      <w:r>
        <w:rPr>
          <w:rFonts w:ascii="Times New Roman" w:hAnsi="Times New Roman"/>
          <w:b/>
          <w:sz w:val="20"/>
        </w:rPr>
        <w:t>Indenture</w:t>
      </w:r>
      <w:r>
        <w:rPr>
          <w:rFonts w:ascii="Times New Roman" w:hAnsi="Times New Roman"/>
          <w:sz w:val="20"/>
        </w:rPr>
        <w:t xml:space="preserve">” means the Base Indenture, together with the Officer’s Certificate. </w:t>
      </w:r>
    </w:p>
    <w:p>
      <w:pPr>
        <w:pStyle w:val="TextBody"/>
        <w:bidi w:val="0"/>
        <w:spacing w:before="240" w:after="0"/>
        <w:jc w:val="left"/>
        <w:rPr/>
      </w:pPr>
      <w:r>
        <w:rPr/>
        <w:t>“</w:t>
      </w:r>
      <w:r>
        <w:rPr>
          <w:rFonts w:ascii="Times New Roman" w:hAnsi="Times New Roman"/>
          <w:b/>
          <w:sz w:val="20"/>
        </w:rPr>
        <w:t>Officer’s Certificate</w:t>
      </w:r>
      <w:r>
        <w:rPr>
          <w:rFonts w:ascii="Times New Roman" w:hAnsi="Times New Roman"/>
          <w:sz w:val="20"/>
        </w:rPr>
        <w:t xml:space="preserve">” means the officer’s certificate of the Company in relation to the Guarantees. </w:t>
      </w:r>
    </w:p>
    <w:p>
      <w:pPr>
        <w:pStyle w:val="TextBody"/>
        <w:bidi w:val="0"/>
        <w:spacing w:before="240" w:after="0"/>
        <w:jc w:val="left"/>
        <w:rPr/>
      </w:pPr>
      <w:r>
        <w:rPr/>
        <w:t>“</w:t>
      </w:r>
      <w:r>
        <w:rPr>
          <w:rFonts w:ascii="Times New Roman" w:hAnsi="Times New Roman"/>
          <w:b/>
          <w:sz w:val="20"/>
        </w:rPr>
        <w:t>Preliminary Prospectus</w:t>
      </w:r>
      <w:r>
        <w:rPr>
          <w:rFonts w:ascii="Times New Roman" w:hAnsi="Times New Roman"/>
          <w:sz w:val="20"/>
        </w:rPr>
        <w:t xml:space="preserve">” means the preliminary prospectus supplement relating to the Securities, together with the Base Prospectus. </w:t>
      </w:r>
    </w:p>
    <w:p>
      <w:pPr>
        <w:pStyle w:val="TextBody"/>
        <w:bidi w:val="0"/>
        <w:spacing w:before="240" w:after="0"/>
        <w:jc w:val="left"/>
        <w:rPr/>
      </w:pPr>
      <w:r>
        <w:rPr/>
        <w:t>“</w:t>
      </w:r>
      <w:r>
        <w:rPr>
          <w:rFonts w:ascii="Times New Roman" w:hAnsi="Times New Roman"/>
          <w:b/>
          <w:sz w:val="20"/>
        </w:rPr>
        <w:t>Prospectus</w:t>
      </w:r>
      <w:r>
        <w:rPr>
          <w:rFonts w:ascii="Times New Roman" w:hAnsi="Times New Roman"/>
          <w:sz w:val="20"/>
        </w:rPr>
        <w:t xml:space="preserve">” means the final prospectus supplement relating to the Securities, together with the Base Prospectus. </w:t>
      </w:r>
    </w:p>
    <w:p>
      <w:pPr>
        <w:pStyle w:val="TextBody"/>
        <w:bidi w:val="0"/>
        <w:spacing w:before="240" w:after="0"/>
        <w:jc w:val="left"/>
        <w:rPr/>
      </w:pPr>
      <w:r>
        <w:rPr/>
        <w:t>“</w:t>
      </w:r>
      <w:r>
        <w:rPr>
          <w:rFonts w:ascii="Times New Roman" w:hAnsi="Times New Roman"/>
          <w:b/>
          <w:sz w:val="20"/>
        </w:rPr>
        <w:t>Underwriting Agreement</w:t>
      </w:r>
      <w:r>
        <w:rPr>
          <w:rFonts w:ascii="Times New Roman" w:hAnsi="Times New Roman"/>
          <w:sz w:val="20"/>
        </w:rPr>
        <w:t xml:space="preserve">” means the underwriting agreement dated [] 2026 between the Issuer, the Company and the Underwriters.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C-15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ANNEX D </w:t>
      </w:r>
    </w:p>
    <w:p>
      <w:pPr>
        <w:pStyle w:val="TextBody"/>
        <w:bidi w:val="0"/>
        <w:spacing w:before="480" w:after="0"/>
        <w:jc w:val="center"/>
        <w:rPr>
          <w:rFonts w:ascii="Times New Roman" w:hAnsi="Times New Roman"/>
          <w:b/>
          <w:sz w:val="20"/>
        </w:rPr>
      </w:pPr>
      <w:r>
        <w:rPr>
          <w:rFonts w:ascii="Times New Roman" w:hAnsi="Times New Roman"/>
          <w:b/>
          <w:sz w:val="20"/>
        </w:rPr>
        <w:t xml:space="preserve">Issuer Free Writing Prospectuses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Final Term Sheet dated September 10, 2026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ANNEX E </w:t>
      </w:r>
    </w:p>
    <w:p>
      <w:pPr>
        <w:pStyle w:val="TextBody"/>
        <w:bidi w:val="0"/>
        <w:spacing w:before="480" w:after="0"/>
        <w:jc w:val="center"/>
        <w:rPr>
          <w:rFonts w:ascii="Times New Roman" w:hAnsi="Times New Roman"/>
          <w:b/>
          <w:sz w:val="20"/>
        </w:rPr>
      </w:pPr>
      <w:r>
        <w:rPr>
          <w:rFonts w:ascii="Times New Roman" w:hAnsi="Times New Roman"/>
          <w:b/>
          <w:sz w:val="20"/>
        </w:rPr>
        <w:t xml:space="preserve">Additional Written Communication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Electronic road show of the Company relating to the offering of the Notes dated September 10, 2026.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ANNEX F </w:t>
      </w:r>
    </w:p>
    <w:p>
      <w:pPr>
        <w:pStyle w:val="TextBody"/>
        <w:bidi w:val="0"/>
        <w:spacing w:before="480" w:after="0"/>
        <w:jc w:val="center"/>
        <w:rPr>
          <w:rFonts w:ascii="Times New Roman" w:hAnsi="Times New Roman"/>
          <w:b/>
          <w:sz w:val="20"/>
        </w:rPr>
      </w:pPr>
      <w:r>
        <w:rPr>
          <w:rFonts w:ascii="Times New Roman" w:hAnsi="Times New Roman"/>
          <w:b/>
          <w:sz w:val="20"/>
        </w:rPr>
        <w:t xml:space="preserve">Underwriter Free Writing Prospectuses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Electronic road show of the Company relating to the offering of the Notes dated September 10, 2026.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 </w:t>
      </w:r>
    </w:p>
    <w:p>
      <w:pPr>
        <w:pStyle w:val="TextBody"/>
        <w:bidi w:val="0"/>
        <w:spacing w:before="0" w:after="0"/>
        <w:jc w:val="right"/>
        <w:rPr>
          <w:rFonts w:ascii="Times New Roman" w:hAnsi="Times New Roman"/>
          <w:b/>
          <w:sz w:val="20"/>
        </w:rPr>
      </w:pPr>
      <w:bookmarkStart w:id="4" w:name="d71756dex41.htm"/>
      <w:bookmarkStart w:id="5" w:name="ksd71756dex41"/>
      <w:bookmarkEnd w:id="4"/>
      <w:bookmarkEnd w:id="5"/>
      <w:r>
        <w:rPr>
          <w:rFonts w:ascii="Times New Roman" w:hAnsi="Times New Roman"/>
          <w:b/>
          <w:sz w:val="20"/>
        </w:rPr>
        <w:t xml:space="preserve">Exhibit 4.1 </w:t>
      </w:r>
      <w:r>
        <w:br w:type="page"/>
      </w:r>
    </w:p>
    <w:p>
      <w:pPr>
        <w:pStyle w:val="TextBody"/>
        <w:bidi w:val="0"/>
        <w:spacing w:before="240" w:after="0"/>
        <w:jc w:val="right"/>
        <w:rPr>
          <w:rFonts w:ascii="Times New Roman" w:hAnsi="Times New Roman"/>
          <w:sz w:val="20"/>
        </w:rPr>
      </w:pPr>
      <w:r>
        <w:rPr>
          <w:rFonts w:ascii="Times New Roman" w:hAnsi="Times New Roman"/>
          <w:sz w:val="20"/>
        </w:rPr>
        <w:t xml:space="preserve">EXECUTION VERSION </w:t>
      </w:r>
    </w:p>
    <w:p>
      <w:pPr>
        <w:pStyle w:val="TextBody"/>
        <w:bidi w:val="0"/>
        <w:spacing w:before="240" w:after="0"/>
        <w:jc w:val="center"/>
        <w:rPr>
          <w:rFonts w:ascii="Times New Roman" w:hAnsi="Times New Roman"/>
          <w:sz w:val="20"/>
        </w:rPr>
      </w:pPr>
      <w:r>
        <w:rPr>
          <w:rFonts w:ascii="Times New Roman" w:hAnsi="Times New Roman"/>
          <w:sz w:val="20"/>
        </w:rPr>
        <w:t xml:space="preserve">STELLANTIS FINANCE US INC., </w:t>
      </w:r>
    </w:p>
    <w:p>
      <w:pPr>
        <w:pStyle w:val="TextBody"/>
        <w:bidi w:val="0"/>
        <w:spacing w:before="240" w:after="0"/>
        <w:jc w:val="center"/>
        <w:rPr>
          <w:rFonts w:ascii="Times New Roman" w:hAnsi="Times New Roman"/>
          <w:i/>
          <w:sz w:val="20"/>
        </w:rPr>
      </w:pPr>
      <w:r>
        <w:rPr>
          <w:rFonts w:ascii="Times New Roman" w:hAnsi="Times New Roman"/>
          <w:i/>
          <w:sz w:val="20"/>
        </w:rPr>
        <w:t xml:space="preserve">as Company, </w:t>
      </w:r>
    </w:p>
    <w:p>
      <w:pPr>
        <w:pStyle w:val="TextBody"/>
        <w:bidi w:val="0"/>
        <w:spacing w:before="240" w:after="0"/>
        <w:jc w:val="center"/>
        <w:rPr>
          <w:rFonts w:ascii="Times New Roman" w:hAnsi="Times New Roman"/>
          <w:sz w:val="20"/>
        </w:rPr>
      </w:pPr>
      <w:r>
        <w:rPr>
          <w:rFonts w:ascii="Times New Roman" w:hAnsi="Times New Roman"/>
          <w:sz w:val="20"/>
        </w:rPr>
        <w:t xml:space="preserve">STELLANTIS N.V., </w:t>
      </w:r>
    </w:p>
    <w:p>
      <w:pPr>
        <w:pStyle w:val="TextBody"/>
        <w:bidi w:val="0"/>
        <w:spacing w:before="240" w:after="0"/>
        <w:jc w:val="center"/>
        <w:rPr>
          <w:rFonts w:ascii="Times New Roman" w:hAnsi="Times New Roman"/>
          <w:i/>
          <w:sz w:val="20"/>
        </w:rPr>
      </w:pPr>
      <w:r>
        <w:rPr>
          <w:rFonts w:ascii="Times New Roman" w:hAnsi="Times New Roman"/>
          <w:i/>
          <w:sz w:val="20"/>
        </w:rPr>
        <w:t xml:space="preserve">as Guarantor,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0"/>
        </w:rPr>
      </w:pPr>
      <w:r>
        <w:rPr>
          <w:rFonts w:ascii="Times New Roman" w:hAnsi="Times New Roman"/>
          <w:sz w:val="20"/>
        </w:rPr>
        <w:t xml:space="preserve">THE BANK OF NEW YORK MELLON, </w:t>
      </w:r>
    </w:p>
    <w:p>
      <w:pPr>
        <w:pStyle w:val="TextBody"/>
        <w:bidi w:val="0"/>
        <w:spacing w:before="240" w:after="0"/>
        <w:jc w:val="center"/>
        <w:rPr>
          <w:rFonts w:ascii="Times New Roman" w:hAnsi="Times New Roman"/>
          <w:i/>
          <w:sz w:val="20"/>
        </w:rPr>
      </w:pPr>
      <w:r>
        <w:rPr>
          <w:rFonts w:ascii="Times New Roman" w:hAnsi="Times New Roman"/>
          <w:i/>
          <w:sz w:val="20"/>
        </w:rPr>
        <w:t xml:space="preserve">as Trustee </w:t>
      </w:r>
    </w:p>
    <w:p>
      <w:pPr>
        <w:pStyle w:val="TextBody"/>
        <w:bidi w:val="0"/>
        <w:spacing w:before="480" w:after="0"/>
        <w:jc w:val="center"/>
        <w:rPr>
          <w:rFonts w:ascii="Times New Roman" w:hAnsi="Times New Roman"/>
          <w:b/>
          <w:sz w:val="20"/>
        </w:rPr>
      </w:pPr>
      <w:r>
        <w:rPr>
          <w:rFonts w:ascii="Times New Roman" w:hAnsi="Times New Roman"/>
          <w:b/>
          <w:sz w:val="20"/>
        </w:rPr>
        <w:t xml:space="preserve">Indenture </w:t>
      </w:r>
    </w:p>
    <w:p>
      <w:pPr>
        <w:pStyle w:val="TextBody"/>
        <w:bidi w:val="0"/>
        <w:spacing w:before="240" w:after="0"/>
        <w:jc w:val="center"/>
        <w:rPr>
          <w:rFonts w:ascii="Times New Roman" w:hAnsi="Times New Roman"/>
          <w:i/>
          <w:sz w:val="20"/>
        </w:rPr>
      </w:pPr>
      <w:r>
        <w:rPr>
          <w:rFonts w:ascii="Times New Roman" w:hAnsi="Times New Roman"/>
          <w:i/>
          <w:sz w:val="20"/>
        </w:rPr>
        <w:t xml:space="preserve">Dated as of </w:t>
      </w:r>
    </w:p>
    <w:p>
      <w:pPr>
        <w:pStyle w:val="TextBody"/>
        <w:bidi w:val="0"/>
        <w:spacing w:before="240" w:after="0"/>
        <w:jc w:val="center"/>
        <w:rPr>
          <w:rFonts w:ascii="Times New Roman" w:hAnsi="Times New Roman"/>
          <w:i/>
          <w:sz w:val="20"/>
        </w:rPr>
      </w:pPr>
      <w:r>
        <w:rPr>
          <w:rFonts w:ascii="Times New Roman" w:hAnsi="Times New Roman"/>
          <w:i/>
          <w:sz w:val="20"/>
        </w:rPr>
        <w:t xml:space="preserve">September 16, 2026.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Certain Sections of this Indenture relating to Sections 310 through 318, </w:t>
      </w:r>
    </w:p>
    <w:p>
      <w:pPr>
        <w:pStyle w:val="TextBody"/>
        <w:bidi w:val="0"/>
        <w:spacing w:before="0" w:after="0"/>
        <w:jc w:val="center"/>
        <w:rPr>
          <w:rFonts w:ascii="Times New Roman" w:hAnsi="Times New Roman"/>
          <w:sz w:val="20"/>
        </w:rPr>
      </w:pPr>
      <w:r>
        <w:rPr>
          <w:rFonts w:ascii="Times New Roman" w:hAnsi="Times New Roman"/>
          <w:b/>
          <w:sz w:val="20"/>
        </w:rPr>
        <w:t>inclusive, of the Trus</w:t>
      </w:r>
      <w:r>
        <w:rPr>
          <w:rFonts w:ascii="Times New Roman" w:hAnsi="Times New Roman"/>
          <w:sz w:val="20"/>
        </w:rPr>
        <w:t xml:space="preserve">t </w:t>
      </w:r>
      <w:r>
        <w:rPr>
          <w:rFonts w:ascii="Times New Roman" w:hAnsi="Times New Roman"/>
          <w:b/>
          <w:sz w:val="20"/>
        </w:rPr>
        <w:t>Indenture Act of 1939:</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9"/>
        <w:gridCol w:w="1385"/>
        <w:gridCol w:w="60"/>
        <w:gridCol w:w="117"/>
        <w:gridCol w:w="6726"/>
        <w:gridCol w:w="147"/>
        <w:gridCol w:w="1711"/>
      </w:tblGrid>
      <w:tr>
        <w:trPr/>
        <w:tc>
          <w:tcPr>
            <w:tcW w:w="59"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sz w:val="4"/>
                <w:szCs w:val="4"/>
              </w:rPr>
            </w:pPr>
            <w:r>
              <w:rPr>
                <w:sz w:val="4"/>
                <w:szCs w:val="4"/>
              </w:rPr>
            </w:r>
          </w:p>
        </w:tc>
        <w:tc>
          <w:tcPr>
            <w:tcW w:w="6726" w:type="dxa"/>
            <w:tcBorders/>
            <w:vAlign w:val="center"/>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r>
      <w:tr>
        <w:trPr/>
        <w:tc>
          <w:tcPr>
            <w:tcW w:w="1444"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Trust Indenture</w:t>
            </w:r>
          </w:p>
          <w:p>
            <w:pPr>
              <w:pStyle w:val="TableContents"/>
              <w:bidi w:val="0"/>
              <w:spacing w:before="0" w:after="20"/>
              <w:jc w:val="center"/>
              <w:rPr>
                <w:rFonts w:ascii="Times New Roman" w:hAnsi="Times New Roman"/>
                <w:b/>
                <w:sz w:val="16"/>
              </w:rPr>
            </w:pPr>
            <w:r>
              <w:rPr>
                <w:rFonts w:ascii="Times New Roman" w:hAnsi="Times New Roman"/>
                <w:b/>
                <w:sz w:val="16"/>
              </w:rPr>
              <w:t>Act Section</w:t>
            </w:r>
          </w:p>
        </w:tc>
        <w:tc>
          <w:tcPr>
            <w:tcW w:w="60"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6726"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711" w:type="dxa"/>
            <w:tcBorders/>
            <w:vAlign w:val="bottom"/>
          </w:tcPr>
          <w:p>
            <w:pPr>
              <w:pStyle w:val="TableContents"/>
              <w:bidi w:val="0"/>
              <w:spacing w:before="0" w:after="283"/>
              <w:jc w:val="center"/>
              <w:rPr>
                <w:b/>
              </w:rPr>
            </w:pPr>
            <w:r>
              <w:rPr>
                <w:b/>
              </w:rPr>
              <w:t>Indenture Section</w:t>
            </w:r>
          </w:p>
        </w:tc>
      </w:tr>
      <w:tr>
        <w:trPr/>
        <w:tc>
          <w:tcPr>
            <w:tcW w:w="59" w:type="dxa"/>
            <w:tcBorders/>
          </w:tcPr>
          <w:p>
            <w:pPr>
              <w:pStyle w:val="TableContents"/>
              <w:bidi w:val="0"/>
              <w:spacing w:before="0" w:after="283"/>
              <w:jc w:val="left"/>
              <w:rPr/>
            </w:pPr>
            <w:r>
              <w:rPr/>
              <w:t> </w:t>
            </w:r>
          </w:p>
        </w:tc>
        <w:tc>
          <w:tcPr>
            <w:tcW w:w="1385" w:type="dxa"/>
            <w:tcBorders/>
          </w:tcPr>
          <w:p>
            <w:pPr>
              <w:pStyle w:val="TableContents"/>
              <w:bidi w:val="0"/>
              <w:spacing w:before="0" w:after="283"/>
              <w:jc w:val="right"/>
              <w:rPr/>
            </w:pPr>
            <w:r>
              <w:rPr/>
              <w:t>§310(a)(1)  </w:t>
            </w:r>
          </w:p>
        </w:tc>
        <w:tc>
          <w:tcPr>
            <w:tcW w:w="60" w:type="dxa"/>
            <w:tcBorders/>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6726"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1711" w:type="dxa"/>
            <w:tcBorders/>
            <w:vAlign w:val="bottom"/>
          </w:tcPr>
          <w:p>
            <w:pPr>
              <w:pStyle w:val="TableContents"/>
              <w:bidi w:val="0"/>
              <w:spacing w:before="0" w:after="283"/>
              <w:jc w:val="left"/>
              <w:rPr/>
            </w:pPr>
            <w:r>
              <w:rPr/>
              <w:t>6.09</w:t>
            </w:r>
          </w:p>
        </w:tc>
      </w:tr>
      <w:tr>
        <w:trPr/>
        <w:tc>
          <w:tcPr>
            <w:tcW w:w="59" w:type="dxa"/>
            <w:tcBorders/>
          </w:tcPr>
          <w:p>
            <w:pPr>
              <w:pStyle w:val="TableContents"/>
              <w:bidi w:val="0"/>
              <w:spacing w:before="0" w:after="283"/>
              <w:jc w:val="left"/>
              <w:rPr/>
            </w:pPr>
            <w:r>
              <w:rPr/>
              <w:t> </w:t>
            </w:r>
          </w:p>
        </w:tc>
        <w:tc>
          <w:tcPr>
            <w:tcW w:w="1385" w:type="dxa"/>
            <w:tcBorders/>
          </w:tcPr>
          <w:p>
            <w:pPr>
              <w:pStyle w:val="TableContents"/>
              <w:bidi w:val="0"/>
              <w:spacing w:before="0" w:after="283"/>
              <w:jc w:val="right"/>
              <w:rPr/>
            </w:pPr>
            <w:r>
              <w:rPr/>
              <w:t>(a)(2)  </w:t>
            </w:r>
          </w:p>
        </w:tc>
        <w:tc>
          <w:tcPr>
            <w:tcW w:w="60" w:type="dxa"/>
            <w:tcBorders/>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6726"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1711" w:type="dxa"/>
            <w:tcBorders/>
            <w:vAlign w:val="bottom"/>
          </w:tcPr>
          <w:p>
            <w:pPr>
              <w:pStyle w:val="TableContents"/>
              <w:bidi w:val="0"/>
              <w:spacing w:before="0" w:after="283"/>
              <w:jc w:val="left"/>
              <w:rPr/>
            </w:pPr>
            <w:r>
              <w:rPr/>
              <w:t>6.09</w:t>
            </w:r>
          </w:p>
        </w:tc>
      </w:tr>
      <w:tr>
        <w:trPr/>
        <w:tc>
          <w:tcPr>
            <w:tcW w:w="59" w:type="dxa"/>
            <w:tcBorders/>
          </w:tcPr>
          <w:p>
            <w:pPr>
              <w:pStyle w:val="TableContents"/>
              <w:bidi w:val="0"/>
              <w:spacing w:before="0" w:after="283"/>
              <w:jc w:val="left"/>
              <w:rPr/>
            </w:pPr>
            <w:r>
              <w:rPr/>
              <w:t> </w:t>
            </w:r>
          </w:p>
        </w:tc>
        <w:tc>
          <w:tcPr>
            <w:tcW w:w="1385" w:type="dxa"/>
            <w:tcBorders/>
          </w:tcPr>
          <w:p>
            <w:pPr>
              <w:pStyle w:val="TableContents"/>
              <w:bidi w:val="0"/>
              <w:spacing w:before="0" w:after="283"/>
              <w:jc w:val="right"/>
              <w:rPr/>
            </w:pPr>
            <w:r>
              <w:rPr/>
              <w:t>(a)(3)  </w:t>
            </w:r>
          </w:p>
        </w:tc>
        <w:tc>
          <w:tcPr>
            <w:tcW w:w="60" w:type="dxa"/>
            <w:tcBorders/>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6726"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1711" w:type="dxa"/>
            <w:tcBorders/>
            <w:vAlign w:val="bottom"/>
          </w:tcPr>
          <w:p>
            <w:pPr>
              <w:pStyle w:val="TableContents"/>
              <w:bidi w:val="0"/>
              <w:spacing w:before="0" w:after="283"/>
              <w:jc w:val="left"/>
              <w:rPr/>
            </w:pPr>
            <w:r>
              <w:rPr/>
              <w:t>Not Applicable</w:t>
            </w:r>
          </w:p>
        </w:tc>
      </w:tr>
      <w:tr>
        <w:trPr/>
        <w:tc>
          <w:tcPr>
            <w:tcW w:w="59" w:type="dxa"/>
            <w:tcBorders/>
          </w:tcPr>
          <w:p>
            <w:pPr>
              <w:pStyle w:val="TableContents"/>
              <w:bidi w:val="0"/>
              <w:spacing w:before="0" w:after="283"/>
              <w:jc w:val="left"/>
              <w:rPr/>
            </w:pPr>
            <w:r>
              <w:rPr/>
              <w:t> </w:t>
            </w:r>
          </w:p>
        </w:tc>
        <w:tc>
          <w:tcPr>
            <w:tcW w:w="1385" w:type="dxa"/>
            <w:tcBorders/>
          </w:tcPr>
          <w:p>
            <w:pPr>
              <w:pStyle w:val="TableContents"/>
              <w:bidi w:val="0"/>
              <w:spacing w:before="0" w:after="283"/>
              <w:jc w:val="right"/>
              <w:rPr/>
            </w:pPr>
            <w:r>
              <w:rPr/>
              <w:t>(a)(4)  </w:t>
            </w:r>
          </w:p>
        </w:tc>
        <w:tc>
          <w:tcPr>
            <w:tcW w:w="60" w:type="dxa"/>
            <w:tcBorders/>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6726"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1711" w:type="dxa"/>
            <w:tcBorders/>
            <w:vAlign w:val="bottom"/>
          </w:tcPr>
          <w:p>
            <w:pPr>
              <w:pStyle w:val="TableContents"/>
              <w:bidi w:val="0"/>
              <w:spacing w:before="0" w:after="283"/>
              <w:jc w:val="left"/>
              <w:rPr/>
            </w:pPr>
            <w:r>
              <w:rPr/>
              <w:t>Not Applicable</w:t>
            </w:r>
          </w:p>
        </w:tc>
      </w:tr>
      <w:tr>
        <w:trPr/>
        <w:tc>
          <w:tcPr>
            <w:tcW w:w="59" w:type="dxa"/>
            <w:tcBorders/>
          </w:tcPr>
          <w:p>
            <w:pPr>
              <w:pStyle w:val="TableContents"/>
              <w:bidi w:val="0"/>
              <w:spacing w:before="0" w:after="283"/>
              <w:jc w:val="left"/>
              <w:rPr/>
            </w:pPr>
            <w:r>
              <w:rPr/>
              <w:t> </w:t>
            </w:r>
          </w:p>
        </w:tc>
        <w:tc>
          <w:tcPr>
            <w:tcW w:w="1385" w:type="dxa"/>
            <w:tcBorders/>
          </w:tcPr>
          <w:p>
            <w:pPr>
              <w:pStyle w:val="TableContents"/>
              <w:bidi w:val="0"/>
              <w:spacing w:before="0" w:after="283"/>
              <w:jc w:val="right"/>
              <w:rPr/>
            </w:pPr>
            <w:r>
              <w:rPr/>
              <w:t>(b)   </w:t>
            </w:r>
          </w:p>
        </w:tc>
        <w:tc>
          <w:tcPr>
            <w:tcW w:w="60" w:type="dxa"/>
            <w:tcBorders/>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6726"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1711" w:type="dxa"/>
            <w:tcBorders/>
            <w:vAlign w:val="bottom"/>
          </w:tcPr>
          <w:p>
            <w:pPr>
              <w:pStyle w:val="TableContents"/>
              <w:bidi w:val="0"/>
              <w:spacing w:before="0" w:after="283"/>
              <w:jc w:val="left"/>
              <w:rPr/>
            </w:pPr>
            <w:r>
              <w:rPr/>
              <w:t>6.08</w:t>
            </w:r>
          </w:p>
        </w:tc>
      </w:tr>
      <w:tr>
        <w:trPr/>
        <w:tc>
          <w:tcPr>
            <w:tcW w:w="59" w:type="dxa"/>
            <w:tcBorders/>
          </w:tcPr>
          <w:p>
            <w:pPr>
              <w:pStyle w:val="TableContents"/>
              <w:bidi w:val="0"/>
              <w:spacing w:before="0" w:after="283"/>
              <w:jc w:val="left"/>
              <w:rPr>
                <w:sz w:val="4"/>
                <w:szCs w:val="4"/>
              </w:rPr>
            </w:pPr>
            <w:r>
              <w:rPr>
                <w:sz w:val="4"/>
                <w:szCs w:val="4"/>
              </w:rPr>
            </w:r>
          </w:p>
        </w:tc>
        <w:tc>
          <w:tcPr>
            <w:tcW w:w="1385"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6726"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1711" w:type="dxa"/>
            <w:tcBorders/>
            <w:vAlign w:val="bottom"/>
          </w:tcPr>
          <w:p>
            <w:pPr>
              <w:pStyle w:val="TableContents"/>
              <w:bidi w:val="0"/>
              <w:spacing w:before="0" w:after="283"/>
              <w:jc w:val="left"/>
              <w:rPr/>
            </w:pPr>
            <w:r>
              <w:rPr/>
              <w:t>6.10</w:t>
            </w:r>
          </w:p>
        </w:tc>
      </w:tr>
      <w:tr>
        <w:trPr/>
        <w:tc>
          <w:tcPr>
            <w:tcW w:w="59" w:type="dxa"/>
            <w:tcBorders/>
          </w:tcPr>
          <w:p>
            <w:pPr>
              <w:pStyle w:val="TableContents"/>
              <w:bidi w:val="0"/>
              <w:spacing w:before="0" w:after="283"/>
              <w:jc w:val="left"/>
              <w:rPr/>
            </w:pPr>
            <w:r>
              <w:rPr/>
              <w:t> </w:t>
            </w:r>
          </w:p>
        </w:tc>
        <w:tc>
          <w:tcPr>
            <w:tcW w:w="1385" w:type="dxa"/>
            <w:tcBorders/>
          </w:tcPr>
          <w:p>
            <w:pPr>
              <w:pStyle w:val="TableContents"/>
              <w:bidi w:val="0"/>
              <w:spacing w:before="0" w:after="283"/>
              <w:jc w:val="right"/>
              <w:rPr/>
            </w:pPr>
            <w:r>
              <w:rPr/>
              <w:t>§311(a)   </w:t>
            </w:r>
          </w:p>
        </w:tc>
        <w:tc>
          <w:tcPr>
            <w:tcW w:w="60" w:type="dxa"/>
            <w:tcBorders/>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6726"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1711" w:type="dxa"/>
            <w:tcBorders/>
            <w:vAlign w:val="bottom"/>
          </w:tcPr>
          <w:p>
            <w:pPr>
              <w:pStyle w:val="TableContents"/>
              <w:bidi w:val="0"/>
              <w:spacing w:before="0" w:after="283"/>
              <w:jc w:val="left"/>
              <w:rPr/>
            </w:pPr>
            <w:r>
              <w:rPr/>
              <w:t>6.13</w:t>
            </w:r>
          </w:p>
        </w:tc>
      </w:tr>
      <w:tr>
        <w:trPr/>
        <w:tc>
          <w:tcPr>
            <w:tcW w:w="59" w:type="dxa"/>
            <w:tcBorders/>
          </w:tcPr>
          <w:p>
            <w:pPr>
              <w:pStyle w:val="TableContents"/>
              <w:bidi w:val="0"/>
              <w:spacing w:before="0" w:after="283"/>
              <w:jc w:val="left"/>
              <w:rPr/>
            </w:pPr>
            <w:r>
              <w:rPr/>
              <w:t> </w:t>
            </w:r>
          </w:p>
        </w:tc>
        <w:tc>
          <w:tcPr>
            <w:tcW w:w="1385" w:type="dxa"/>
            <w:tcBorders/>
          </w:tcPr>
          <w:p>
            <w:pPr>
              <w:pStyle w:val="TableContents"/>
              <w:bidi w:val="0"/>
              <w:spacing w:before="0" w:after="283"/>
              <w:jc w:val="right"/>
              <w:rPr/>
            </w:pPr>
            <w:r>
              <w:rPr/>
              <w:t>(b)   </w:t>
            </w:r>
          </w:p>
        </w:tc>
        <w:tc>
          <w:tcPr>
            <w:tcW w:w="60" w:type="dxa"/>
            <w:tcBorders/>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6726"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1711" w:type="dxa"/>
            <w:tcBorders/>
            <w:vAlign w:val="bottom"/>
          </w:tcPr>
          <w:p>
            <w:pPr>
              <w:pStyle w:val="TableContents"/>
              <w:bidi w:val="0"/>
              <w:spacing w:before="0" w:after="283"/>
              <w:jc w:val="left"/>
              <w:rPr/>
            </w:pPr>
            <w:r>
              <w:rPr/>
              <w:t>6.13</w:t>
            </w:r>
          </w:p>
        </w:tc>
      </w:tr>
      <w:tr>
        <w:trPr/>
        <w:tc>
          <w:tcPr>
            <w:tcW w:w="59" w:type="dxa"/>
            <w:tcBorders/>
          </w:tcPr>
          <w:p>
            <w:pPr>
              <w:pStyle w:val="TableContents"/>
              <w:bidi w:val="0"/>
              <w:spacing w:before="0" w:after="283"/>
              <w:jc w:val="left"/>
              <w:rPr/>
            </w:pPr>
            <w:r>
              <w:rPr/>
              <w:t> </w:t>
            </w:r>
          </w:p>
        </w:tc>
        <w:tc>
          <w:tcPr>
            <w:tcW w:w="1385" w:type="dxa"/>
            <w:tcBorders/>
          </w:tcPr>
          <w:p>
            <w:pPr>
              <w:pStyle w:val="TableContents"/>
              <w:bidi w:val="0"/>
              <w:spacing w:before="0" w:after="283"/>
              <w:jc w:val="right"/>
              <w:rPr/>
            </w:pPr>
            <w:r>
              <w:rPr/>
              <w:t>§312(a)   </w:t>
            </w:r>
          </w:p>
        </w:tc>
        <w:tc>
          <w:tcPr>
            <w:tcW w:w="60" w:type="dxa"/>
            <w:tcBorders/>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6726"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1711" w:type="dxa"/>
            <w:tcBorders/>
            <w:vAlign w:val="bottom"/>
          </w:tcPr>
          <w:p>
            <w:pPr>
              <w:pStyle w:val="TableContents"/>
              <w:bidi w:val="0"/>
              <w:spacing w:before="0" w:after="283"/>
              <w:jc w:val="left"/>
              <w:rPr/>
            </w:pPr>
            <w:r>
              <w:rPr/>
              <w:t>7.01</w:t>
            </w:r>
          </w:p>
        </w:tc>
      </w:tr>
      <w:tr>
        <w:trPr/>
        <w:tc>
          <w:tcPr>
            <w:tcW w:w="59" w:type="dxa"/>
            <w:tcBorders/>
          </w:tcPr>
          <w:p>
            <w:pPr>
              <w:pStyle w:val="TableContents"/>
              <w:bidi w:val="0"/>
              <w:spacing w:before="0" w:after="283"/>
              <w:jc w:val="left"/>
              <w:rPr>
                <w:sz w:val="4"/>
                <w:szCs w:val="4"/>
              </w:rPr>
            </w:pPr>
            <w:r>
              <w:rPr>
                <w:sz w:val="4"/>
                <w:szCs w:val="4"/>
              </w:rPr>
            </w:r>
          </w:p>
        </w:tc>
        <w:tc>
          <w:tcPr>
            <w:tcW w:w="1385"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6726"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1711" w:type="dxa"/>
            <w:tcBorders/>
            <w:vAlign w:val="bottom"/>
          </w:tcPr>
          <w:p>
            <w:pPr>
              <w:pStyle w:val="TableContents"/>
              <w:bidi w:val="0"/>
              <w:spacing w:before="0" w:after="283"/>
              <w:jc w:val="left"/>
              <w:rPr/>
            </w:pPr>
            <w:r>
              <w:rPr/>
              <w:t>7.02</w:t>
            </w:r>
          </w:p>
        </w:tc>
      </w:tr>
      <w:tr>
        <w:trPr/>
        <w:tc>
          <w:tcPr>
            <w:tcW w:w="59" w:type="dxa"/>
            <w:tcBorders/>
          </w:tcPr>
          <w:p>
            <w:pPr>
              <w:pStyle w:val="TableContents"/>
              <w:bidi w:val="0"/>
              <w:spacing w:before="0" w:after="283"/>
              <w:jc w:val="left"/>
              <w:rPr/>
            </w:pPr>
            <w:r>
              <w:rPr/>
              <w:t> </w:t>
            </w:r>
          </w:p>
        </w:tc>
        <w:tc>
          <w:tcPr>
            <w:tcW w:w="1385" w:type="dxa"/>
            <w:tcBorders/>
          </w:tcPr>
          <w:p>
            <w:pPr>
              <w:pStyle w:val="TableContents"/>
              <w:bidi w:val="0"/>
              <w:spacing w:before="0" w:after="283"/>
              <w:jc w:val="right"/>
              <w:rPr/>
            </w:pPr>
            <w:r>
              <w:rPr/>
              <w:t>(b)   </w:t>
            </w:r>
          </w:p>
        </w:tc>
        <w:tc>
          <w:tcPr>
            <w:tcW w:w="60" w:type="dxa"/>
            <w:tcBorders/>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6726"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1711" w:type="dxa"/>
            <w:tcBorders/>
            <w:vAlign w:val="bottom"/>
          </w:tcPr>
          <w:p>
            <w:pPr>
              <w:pStyle w:val="TableContents"/>
              <w:bidi w:val="0"/>
              <w:spacing w:before="0" w:after="283"/>
              <w:jc w:val="left"/>
              <w:rPr/>
            </w:pPr>
            <w:r>
              <w:rPr/>
              <w:t>7.02</w:t>
            </w:r>
          </w:p>
        </w:tc>
      </w:tr>
      <w:tr>
        <w:trPr/>
        <w:tc>
          <w:tcPr>
            <w:tcW w:w="59" w:type="dxa"/>
            <w:tcBorders/>
          </w:tcPr>
          <w:p>
            <w:pPr>
              <w:pStyle w:val="TableContents"/>
              <w:bidi w:val="0"/>
              <w:spacing w:before="0" w:after="283"/>
              <w:jc w:val="left"/>
              <w:rPr/>
            </w:pPr>
            <w:r>
              <w:rPr/>
              <w:t> </w:t>
            </w:r>
          </w:p>
        </w:tc>
        <w:tc>
          <w:tcPr>
            <w:tcW w:w="1385" w:type="dxa"/>
            <w:tcBorders/>
          </w:tcPr>
          <w:p>
            <w:pPr>
              <w:pStyle w:val="TableContents"/>
              <w:bidi w:val="0"/>
              <w:spacing w:before="0" w:after="283"/>
              <w:jc w:val="right"/>
              <w:rPr/>
            </w:pPr>
            <w:r>
              <w:rPr/>
              <w:t>(c)   </w:t>
            </w:r>
          </w:p>
        </w:tc>
        <w:tc>
          <w:tcPr>
            <w:tcW w:w="60" w:type="dxa"/>
            <w:tcBorders/>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6726"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1711" w:type="dxa"/>
            <w:tcBorders/>
            <w:vAlign w:val="bottom"/>
          </w:tcPr>
          <w:p>
            <w:pPr>
              <w:pStyle w:val="TableContents"/>
              <w:bidi w:val="0"/>
              <w:spacing w:before="0" w:after="283"/>
              <w:jc w:val="left"/>
              <w:rPr/>
            </w:pPr>
            <w:r>
              <w:rPr/>
              <w:t>7.02</w:t>
            </w:r>
          </w:p>
        </w:tc>
      </w:tr>
      <w:tr>
        <w:trPr/>
        <w:tc>
          <w:tcPr>
            <w:tcW w:w="59" w:type="dxa"/>
            <w:tcBorders/>
          </w:tcPr>
          <w:p>
            <w:pPr>
              <w:pStyle w:val="TableContents"/>
              <w:bidi w:val="0"/>
              <w:spacing w:before="0" w:after="283"/>
              <w:jc w:val="left"/>
              <w:rPr/>
            </w:pPr>
            <w:r>
              <w:rPr/>
              <w:t> </w:t>
            </w:r>
          </w:p>
        </w:tc>
        <w:tc>
          <w:tcPr>
            <w:tcW w:w="1385" w:type="dxa"/>
            <w:tcBorders/>
          </w:tcPr>
          <w:p>
            <w:pPr>
              <w:pStyle w:val="TableContents"/>
              <w:bidi w:val="0"/>
              <w:spacing w:before="0" w:after="283"/>
              <w:jc w:val="right"/>
              <w:rPr/>
            </w:pPr>
            <w:r>
              <w:rPr/>
              <w:t>§313(a)   </w:t>
            </w:r>
          </w:p>
        </w:tc>
        <w:tc>
          <w:tcPr>
            <w:tcW w:w="60" w:type="dxa"/>
            <w:tcBorders/>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6726"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1711" w:type="dxa"/>
            <w:tcBorders/>
            <w:vAlign w:val="bottom"/>
          </w:tcPr>
          <w:p>
            <w:pPr>
              <w:pStyle w:val="TableContents"/>
              <w:bidi w:val="0"/>
              <w:spacing w:before="0" w:after="283"/>
              <w:jc w:val="left"/>
              <w:rPr/>
            </w:pPr>
            <w:r>
              <w:rPr/>
              <w:t>7.03</w:t>
            </w:r>
          </w:p>
        </w:tc>
      </w:tr>
      <w:tr>
        <w:trPr/>
        <w:tc>
          <w:tcPr>
            <w:tcW w:w="59" w:type="dxa"/>
            <w:tcBorders/>
          </w:tcPr>
          <w:p>
            <w:pPr>
              <w:pStyle w:val="TableContents"/>
              <w:bidi w:val="0"/>
              <w:spacing w:before="0" w:after="283"/>
              <w:jc w:val="left"/>
              <w:rPr/>
            </w:pPr>
            <w:r>
              <w:rPr/>
              <w:t> </w:t>
            </w:r>
          </w:p>
        </w:tc>
        <w:tc>
          <w:tcPr>
            <w:tcW w:w="1385" w:type="dxa"/>
            <w:tcBorders/>
          </w:tcPr>
          <w:p>
            <w:pPr>
              <w:pStyle w:val="TableContents"/>
              <w:bidi w:val="0"/>
              <w:spacing w:before="0" w:after="283"/>
              <w:jc w:val="right"/>
              <w:rPr/>
            </w:pPr>
            <w:r>
              <w:rPr/>
              <w:t>(b)   </w:t>
            </w:r>
          </w:p>
        </w:tc>
        <w:tc>
          <w:tcPr>
            <w:tcW w:w="60" w:type="dxa"/>
            <w:tcBorders/>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6726"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1711" w:type="dxa"/>
            <w:tcBorders/>
            <w:vAlign w:val="bottom"/>
          </w:tcPr>
          <w:p>
            <w:pPr>
              <w:pStyle w:val="TableContents"/>
              <w:bidi w:val="0"/>
              <w:spacing w:before="0" w:after="283"/>
              <w:jc w:val="left"/>
              <w:rPr/>
            </w:pPr>
            <w:r>
              <w:rPr/>
              <w:t>7.03</w:t>
            </w:r>
          </w:p>
        </w:tc>
      </w:tr>
      <w:tr>
        <w:trPr/>
        <w:tc>
          <w:tcPr>
            <w:tcW w:w="59" w:type="dxa"/>
            <w:tcBorders/>
          </w:tcPr>
          <w:p>
            <w:pPr>
              <w:pStyle w:val="TableContents"/>
              <w:bidi w:val="0"/>
              <w:spacing w:before="0" w:after="283"/>
              <w:jc w:val="left"/>
              <w:rPr/>
            </w:pPr>
            <w:r>
              <w:rPr/>
              <w:t> </w:t>
            </w:r>
          </w:p>
        </w:tc>
        <w:tc>
          <w:tcPr>
            <w:tcW w:w="1385" w:type="dxa"/>
            <w:tcBorders/>
          </w:tcPr>
          <w:p>
            <w:pPr>
              <w:pStyle w:val="TableContents"/>
              <w:bidi w:val="0"/>
              <w:spacing w:before="0" w:after="283"/>
              <w:jc w:val="right"/>
              <w:rPr/>
            </w:pPr>
            <w:r>
              <w:rPr/>
              <w:t>(c)   </w:t>
            </w:r>
          </w:p>
        </w:tc>
        <w:tc>
          <w:tcPr>
            <w:tcW w:w="60" w:type="dxa"/>
            <w:tcBorders/>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6726"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1711" w:type="dxa"/>
            <w:tcBorders/>
            <w:vAlign w:val="bottom"/>
          </w:tcPr>
          <w:p>
            <w:pPr>
              <w:pStyle w:val="TableContents"/>
              <w:bidi w:val="0"/>
              <w:spacing w:before="0" w:after="283"/>
              <w:jc w:val="left"/>
              <w:rPr/>
            </w:pPr>
            <w:r>
              <w:rPr/>
              <w:t>7.03</w:t>
            </w:r>
          </w:p>
        </w:tc>
      </w:tr>
      <w:tr>
        <w:trPr/>
        <w:tc>
          <w:tcPr>
            <w:tcW w:w="59" w:type="dxa"/>
            <w:tcBorders/>
          </w:tcPr>
          <w:p>
            <w:pPr>
              <w:pStyle w:val="TableContents"/>
              <w:bidi w:val="0"/>
              <w:spacing w:before="0" w:after="283"/>
              <w:jc w:val="left"/>
              <w:rPr/>
            </w:pPr>
            <w:r>
              <w:rPr/>
              <w:t> </w:t>
            </w:r>
          </w:p>
        </w:tc>
        <w:tc>
          <w:tcPr>
            <w:tcW w:w="1385" w:type="dxa"/>
            <w:tcBorders/>
          </w:tcPr>
          <w:p>
            <w:pPr>
              <w:pStyle w:val="TableContents"/>
              <w:bidi w:val="0"/>
              <w:spacing w:before="0" w:after="283"/>
              <w:jc w:val="right"/>
              <w:rPr/>
            </w:pPr>
            <w:r>
              <w:rPr/>
              <w:t>(d)   </w:t>
            </w:r>
          </w:p>
        </w:tc>
        <w:tc>
          <w:tcPr>
            <w:tcW w:w="60" w:type="dxa"/>
            <w:tcBorders/>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6726"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1711" w:type="dxa"/>
            <w:tcBorders/>
            <w:vAlign w:val="bottom"/>
          </w:tcPr>
          <w:p>
            <w:pPr>
              <w:pStyle w:val="TableContents"/>
              <w:bidi w:val="0"/>
              <w:spacing w:before="0" w:after="283"/>
              <w:jc w:val="left"/>
              <w:rPr/>
            </w:pPr>
            <w:r>
              <w:rPr/>
              <w:t>7.03</w:t>
            </w:r>
          </w:p>
        </w:tc>
      </w:tr>
      <w:tr>
        <w:trPr/>
        <w:tc>
          <w:tcPr>
            <w:tcW w:w="59" w:type="dxa"/>
            <w:tcBorders/>
          </w:tcPr>
          <w:p>
            <w:pPr>
              <w:pStyle w:val="TableContents"/>
              <w:bidi w:val="0"/>
              <w:spacing w:before="0" w:after="283"/>
              <w:jc w:val="left"/>
              <w:rPr/>
            </w:pPr>
            <w:r>
              <w:rPr/>
              <w:t> </w:t>
            </w:r>
          </w:p>
        </w:tc>
        <w:tc>
          <w:tcPr>
            <w:tcW w:w="1385" w:type="dxa"/>
            <w:tcBorders/>
          </w:tcPr>
          <w:p>
            <w:pPr>
              <w:pStyle w:val="TableContents"/>
              <w:bidi w:val="0"/>
              <w:spacing w:before="0" w:after="283"/>
              <w:jc w:val="right"/>
              <w:rPr/>
            </w:pPr>
            <w:r>
              <w:rPr/>
              <w:t>§314(a)   </w:t>
            </w:r>
          </w:p>
        </w:tc>
        <w:tc>
          <w:tcPr>
            <w:tcW w:w="60" w:type="dxa"/>
            <w:tcBorders/>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6726"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1711" w:type="dxa"/>
            <w:tcBorders/>
            <w:vAlign w:val="bottom"/>
          </w:tcPr>
          <w:p>
            <w:pPr>
              <w:pStyle w:val="TableContents"/>
              <w:bidi w:val="0"/>
              <w:spacing w:before="0" w:after="283"/>
              <w:jc w:val="left"/>
              <w:rPr/>
            </w:pPr>
            <w:r>
              <w:rPr/>
              <w:t>7.04</w:t>
            </w:r>
          </w:p>
        </w:tc>
      </w:tr>
      <w:tr>
        <w:trPr/>
        <w:tc>
          <w:tcPr>
            <w:tcW w:w="59" w:type="dxa"/>
            <w:tcBorders/>
          </w:tcPr>
          <w:p>
            <w:pPr>
              <w:pStyle w:val="TableContents"/>
              <w:bidi w:val="0"/>
              <w:spacing w:before="0" w:after="283"/>
              <w:jc w:val="left"/>
              <w:rPr/>
            </w:pPr>
            <w:r>
              <w:rPr/>
              <w:t> </w:t>
            </w:r>
          </w:p>
        </w:tc>
        <w:tc>
          <w:tcPr>
            <w:tcW w:w="1385" w:type="dxa"/>
            <w:tcBorders/>
          </w:tcPr>
          <w:p>
            <w:pPr>
              <w:pStyle w:val="TableContents"/>
              <w:bidi w:val="0"/>
              <w:spacing w:before="0" w:after="283"/>
              <w:jc w:val="right"/>
              <w:rPr/>
            </w:pPr>
            <w:r>
              <w:rPr/>
              <w:t>(a)(4)  </w:t>
            </w:r>
          </w:p>
        </w:tc>
        <w:tc>
          <w:tcPr>
            <w:tcW w:w="60" w:type="dxa"/>
            <w:tcBorders/>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6726"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1711" w:type="dxa"/>
            <w:tcBorders/>
            <w:vAlign w:val="bottom"/>
          </w:tcPr>
          <w:p>
            <w:pPr>
              <w:pStyle w:val="TableContents"/>
              <w:bidi w:val="0"/>
              <w:spacing w:before="0" w:after="283"/>
              <w:jc w:val="left"/>
              <w:rPr/>
            </w:pPr>
            <w:r>
              <w:rPr/>
              <w:t>1.01</w:t>
            </w:r>
          </w:p>
        </w:tc>
      </w:tr>
      <w:tr>
        <w:trPr/>
        <w:tc>
          <w:tcPr>
            <w:tcW w:w="59" w:type="dxa"/>
            <w:tcBorders/>
          </w:tcPr>
          <w:p>
            <w:pPr>
              <w:pStyle w:val="TableContents"/>
              <w:bidi w:val="0"/>
              <w:spacing w:before="0" w:after="283"/>
              <w:jc w:val="left"/>
              <w:rPr>
                <w:sz w:val="4"/>
                <w:szCs w:val="4"/>
              </w:rPr>
            </w:pPr>
            <w:r>
              <w:rPr>
                <w:sz w:val="4"/>
                <w:szCs w:val="4"/>
              </w:rPr>
            </w:r>
          </w:p>
        </w:tc>
        <w:tc>
          <w:tcPr>
            <w:tcW w:w="1385"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6726"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1711" w:type="dxa"/>
            <w:tcBorders/>
            <w:vAlign w:val="bottom"/>
          </w:tcPr>
          <w:p>
            <w:pPr>
              <w:pStyle w:val="TableContents"/>
              <w:bidi w:val="0"/>
              <w:spacing w:before="0" w:after="283"/>
              <w:jc w:val="left"/>
              <w:rPr/>
            </w:pPr>
            <w:r>
              <w:rPr/>
              <w:t>10.04</w:t>
            </w:r>
          </w:p>
        </w:tc>
      </w:tr>
      <w:tr>
        <w:trPr/>
        <w:tc>
          <w:tcPr>
            <w:tcW w:w="59" w:type="dxa"/>
            <w:tcBorders/>
          </w:tcPr>
          <w:p>
            <w:pPr>
              <w:pStyle w:val="TableContents"/>
              <w:bidi w:val="0"/>
              <w:spacing w:before="0" w:after="283"/>
              <w:jc w:val="left"/>
              <w:rPr/>
            </w:pPr>
            <w:r>
              <w:rPr/>
              <w:t> </w:t>
            </w:r>
          </w:p>
        </w:tc>
        <w:tc>
          <w:tcPr>
            <w:tcW w:w="1385" w:type="dxa"/>
            <w:tcBorders/>
          </w:tcPr>
          <w:p>
            <w:pPr>
              <w:pStyle w:val="TableContents"/>
              <w:bidi w:val="0"/>
              <w:spacing w:before="0" w:after="283"/>
              <w:jc w:val="right"/>
              <w:rPr/>
            </w:pPr>
            <w:r>
              <w:rPr/>
              <w:t>(b)   </w:t>
            </w:r>
          </w:p>
        </w:tc>
        <w:tc>
          <w:tcPr>
            <w:tcW w:w="60" w:type="dxa"/>
            <w:tcBorders/>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6726"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1711" w:type="dxa"/>
            <w:tcBorders/>
            <w:vAlign w:val="bottom"/>
          </w:tcPr>
          <w:p>
            <w:pPr>
              <w:pStyle w:val="TableContents"/>
              <w:bidi w:val="0"/>
              <w:spacing w:before="0" w:after="283"/>
              <w:jc w:val="left"/>
              <w:rPr/>
            </w:pPr>
            <w:r>
              <w:rPr/>
              <w:t>Not Applicable</w:t>
            </w:r>
          </w:p>
        </w:tc>
      </w:tr>
      <w:tr>
        <w:trPr/>
        <w:tc>
          <w:tcPr>
            <w:tcW w:w="59" w:type="dxa"/>
            <w:tcBorders/>
          </w:tcPr>
          <w:p>
            <w:pPr>
              <w:pStyle w:val="TableContents"/>
              <w:bidi w:val="0"/>
              <w:spacing w:before="0" w:after="283"/>
              <w:jc w:val="left"/>
              <w:rPr/>
            </w:pPr>
            <w:r>
              <w:rPr/>
              <w:t> </w:t>
            </w:r>
          </w:p>
        </w:tc>
        <w:tc>
          <w:tcPr>
            <w:tcW w:w="1385" w:type="dxa"/>
            <w:tcBorders/>
          </w:tcPr>
          <w:p>
            <w:pPr>
              <w:pStyle w:val="TableContents"/>
              <w:bidi w:val="0"/>
              <w:spacing w:before="0" w:after="283"/>
              <w:jc w:val="right"/>
              <w:rPr/>
            </w:pPr>
            <w:r>
              <w:rPr/>
              <w:t>(c)(1)  </w:t>
            </w:r>
          </w:p>
        </w:tc>
        <w:tc>
          <w:tcPr>
            <w:tcW w:w="60" w:type="dxa"/>
            <w:tcBorders/>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6726"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1711" w:type="dxa"/>
            <w:tcBorders/>
            <w:vAlign w:val="bottom"/>
          </w:tcPr>
          <w:p>
            <w:pPr>
              <w:pStyle w:val="TableContents"/>
              <w:bidi w:val="0"/>
              <w:spacing w:before="0" w:after="283"/>
              <w:jc w:val="left"/>
              <w:rPr/>
            </w:pPr>
            <w:r>
              <w:rPr/>
              <w:t>1.02</w:t>
            </w:r>
          </w:p>
        </w:tc>
      </w:tr>
      <w:tr>
        <w:trPr/>
        <w:tc>
          <w:tcPr>
            <w:tcW w:w="59" w:type="dxa"/>
            <w:tcBorders/>
          </w:tcPr>
          <w:p>
            <w:pPr>
              <w:pStyle w:val="TableContents"/>
              <w:bidi w:val="0"/>
              <w:spacing w:before="0" w:after="283"/>
              <w:jc w:val="left"/>
              <w:rPr/>
            </w:pPr>
            <w:r>
              <w:rPr/>
              <w:t> </w:t>
            </w:r>
          </w:p>
        </w:tc>
        <w:tc>
          <w:tcPr>
            <w:tcW w:w="1385" w:type="dxa"/>
            <w:tcBorders/>
          </w:tcPr>
          <w:p>
            <w:pPr>
              <w:pStyle w:val="TableContents"/>
              <w:bidi w:val="0"/>
              <w:spacing w:before="0" w:after="283"/>
              <w:jc w:val="right"/>
              <w:rPr/>
            </w:pPr>
            <w:r>
              <w:rPr/>
              <w:t>(c)(2)  </w:t>
            </w:r>
          </w:p>
        </w:tc>
        <w:tc>
          <w:tcPr>
            <w:tcW w:w="60" w:type="dxa"/>
            <w:tcBorders/>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6726"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1711" w:type="dxa"/>
            <w:tcBorders/>
            <w:vAlign w:val="bottom"/>
          </w:tcPr>
          <w:p>
            <w:pPr>
              <w:pStyle w:val="TableContents"/>
              <w:bidi w:val="0"/>
              <w:spacing w:before="0" w:after="283"/>
              <w:jc w:val="left"/>
              <w:rPr/>
            </w:pPr>
            <w:r>
              <w:rPr/>
              <w:t>1.02</w:t>
            </w:r>
          </w:p>
        </w:tc>
      </w:tr>
      <w:tr>
        <w:trPr/>
        <w:tc>
          <w:tcPr>
            <w:tcW w:w="59" w:type="dxa"/>
            <w:tcBorders/>
          </w:tcPr>
          <w:p>
            <w:pPr>
              <w:pStyle w:val="TableContents"/>
              <w:bidi w:val="0"/>
              <w:spacing w:before="0" w:after="283"/>
              <w:jc w:val="left"/>
              <w:rPr/>
            </w:pPr>
            <w:r>
              <w:rPr/>
              <w:t> </w:t>
            </w:r>
          </w:p>
        </w:tc>
        <w:tc>
          <w:tcPr>
            <w:tcW w:w="1385" w:type="dxa"/>
            <w:tcBorders/>
          </w:tcPr>
          <w:p>
            <w:pPr>
              <w:pStyle w:val="TableContents"/>
              <w:bidi w:val="0"/>
              <w:spacing w:before="0" w:after="283"/>
              <w:jc w:val="right"/>
              <w:rPr/>
            </w:pPr>
            <w:r>
              <w:rPr/>
              <w:t>(c)(3)  </w:t>
            </w:r>
          </w:p>
        </w:tc>
        <w:tc>
          <w:tcPr>
            <w:tcW w:w="60" w:type="dxa"/>
            <w:tcBorders/>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6726"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1711" w:type="dxa"/>
            <w:tcBorders/>
            <w:vAlign w:val="bottom"/>
          </w:tcPr>
          <w:p>
            <w:pPr>
              <w:pStyle w:val="TableContents"/>
              <w:bidi w:val="0"/>
              <w:spacing w:before="0" w:after="283"/>
              <w:jc w:val="left"/>
              <w:rPr/>
            </w:pPr>
            <w:r>
              <w:rPr/>
              <w:t>Not Applicable</w:t>
            </w:r>
          </w:p>
        </w:tc>
      </w:tr>
      <w:tr>
        <w:trPr/>
        <w:tc>
          <w:tcPr>
            <w:tcW w:w="59" w:type="dxa"/>
            <w:tcBorders/>
          </w:tcPr>
          <w:p>
            <w:pPr>
              <w:pStyle w:val="TableContents"/>
              <w:bidi w:val="0"/>
              <w:spacing w:before="0" w:after="283"/>
              <w:jc w:val="left"/>
              <w:rPr/>
            </w:pPr>
            <w:r>
              <w:rPr/>
              <w:t> </w:t>
            </w:r>
          </w:p>
        </w:tc>
        <w:tc>
          <w:tcPr>
            <w:tcW w:w="1385" w:type="dxa"/>
            <w:tcBorders/>
          </w:tcPr>
          <w:p>
            <w:pPr>
              <w:pStyle w:val="TableContents"/>
              <w:bidi w:val="0"/>
              <w:spacing w:before="0" w:after="283"/>
              <w:jc w:val="right"/>
              <w:rPr/>
            </w:pPr>
            <w:r>
              <w:rPr/>
              <w:t>(d)   </w:t>
            </w:r>
          </w:p>
        </w:tc>
        <w:tc>
          <w:tcPr>
            <w:tcW w:w="60" w:type="dxa"/>
            <w:tcBorders/>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6726"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1711" w:type="dxa"/>
            <w:tcBorders/>
            <w:vAlign w:val="bottom"/>
          </w:tcPr>
          <w:p>
            <w:pPr>
              <w:pStyle w:val="TableContents"/>
              <w:bidi w:val="0"/>
              <w:spacing w:before="0" w:after="283"/>
              <w:jc w:val="left"/>
              <w:rPr/>
            </w:pPr>
            <w:r>
              <w:rPr/>
              <w:t>Not Applicable</w:t>
            </w:r>
          </w:p>
        </w:tc>
      </w:tr>
      <w:tr>
        <w:trPr/>
        <w:tc>
          <w:tcPr>
            <w:tcW w:w="59" w:type="dxa"/>
            <w:tcBorders/>
          </w:tcPr>
          <w:p>
            <w:pPr>
              <w:pStyle w:val="TableContents"/>
              <w:bidi w:val="0"/>
              <w:spacing w:before="0" w:after="283"/>
              <w:jc w:val="left"/>
              <w:rPr/>
            </w:pPr>
            <w:r>
              <w:rPr/>
              <w:t> </w:t>
            </w:r>
          </w:p>
        </w:tc>
        <w:tc>
          <w:tcPr>
            <w:tcW w:w="1385" w:type="dxa"/>
            <w:tcBorders/>
          </w:tcPr>
          <w:p>
            <w:pPr>
              <w:pStyle w:val="TableContents"/>
              <w:bidi w:val="0"/>
              <w:spacing w:before="0" w:after="283"/>
              <w:jc w:val="right"/>
              <w:rPr/>
            </w:pPr>
            <w:r>
              <w:rPr/>
              <w:t>(e)   </w:t>
            </w:r>
          </w:p>
        </w:tc>
        <w:tc>
          <w:tcPr>
            <w:tcW w:w="60" w:type="dxa"/>
            <w:tcBorders/>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6726"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1711" w:type="dxa"/>
            <w:tcBorders/>
            <w:vAlign w:val="bottom"/>
          </w:tcPr>
          <w:p>
            <w:pPr>
              <w:pStyle w:val="TableContents"/>
              <w:bidi w:val="0"/>
              <w:spacing w:before="0" w:after="283"/>
              <w:jc w:val="left"/>
              <w:rPr/>
            </w:pPr>
            <w:r>
              <w:rPr/>
              <w:t>1.02</w:t>
            </w:r>
          </w:p>
        </w:tc>
      </w:tr>
      <w:tr>
        <w:trPr/>
        <w:tc>
          <w:tcPr>
            <w:tcW w:w="59" w:type="dxa"/>
            <w:tcBorders/>
          </w:tcPr>
          <w:p>
            <w:pPr>
              <w:pStyle w:val="TableContents"/>
              <w:bidi w:val="0"/>
              <w:spacing w:before="0" w:after="283"/>
              <w:jc w:val="left"/>
              <w:rPr/>
            </w:pPr>
            <w:r>
              <w:rPr/>
              <w:t> </w:t>
            </w:r>
          </w:p>
        </w:tc>
        <w:tc>
          <w:tcPr>
            <w:tcW w:w="1385" w:type="dxa"/>
            <w:tcBorders/>
          </w:tcPr>
          <w:p>
            <w:pPr>
              <w:pStyle w:val="TableContents"/>
              <w:bidi w:val="0"/>
              <w:spacing w:before="0" w:after="283"/>
              <w:jc w:val="right"/>
              <w:rPr/>
            </w:pPr>
            <w:r>
              <w:rPr/>
              <w:t>§315(a)   </w:t>
            </w:r>
          </w:p>
        </w:tc>
        <w:tc>
          <w:tcPr>
            <w:tcW w:w="60" w:type="dxa"/>
            <w:tcBorders/>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6726"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1711" w:type="dxa"/>
            <w:tcBorders/>
            <w:vAlign w:val="bottom"/>
          </w:tcPr>
          <w:p>
            <w:pPr>
              <w:pStyle w:val="TableContents"/>
              <w:bidi w:val="0"/>
              <w:spacing w:before="0" w:after="283"/>
              <w:jc w:val="left"/>
              <w:rPr/>
            </w:pPr>
            <w:r>
              <w:rPr/>
              <w:t>6.01</w:t>
            </w:r>
          </w:p>
        </w:tc>
      </w:tr>
      <w:tr>
        <w:trPr/>
        <w:tc>
          <w:tcPr>
            <w:tcW w:w="59" w:type="dxa"/>
            <w:tcBorders/>
          </w:tcPr>
          <w:p>
            <w:pPr>
              <w:pStyle w:val="TableContents"/>
              <w:bidi w:val="0"/>
              <w:spacing w:before="0" w:after="283"/>
              <w:jc w:val="left"/>
              <w:rPr/>
            </w:pPr>
            <w:r>
              <w:rPr/>
              <w:t> </w:t>
            </w:r>
          </w:p>
        </w:tc>
        <w:tc>
          <w:tcPr>
            <w:tcW w:w="1385" w:type="dxa"/>
            <w:tcBorders/>
          </w:tcPr>
          <w:p>
            <w:pPr>
              <w:pStyle w:val="TableContents"/>
              <w:bidi w:val="0"/>
              <w:spacing w:before="0" w:after="283"/>
              <w:jc w:val="right"/>
              <w:rPr/>
            </w:pPr>
            <w:r>
              <w:rPr/>
              <w:t>(b)   </w:t>
            </w:r>
          </w:p>
        </w:tc>
        <w:tc>
          <w:tcPr>
            <w:tcW w:w="60" w:type="dxa"/>
            <w:tcBorders/>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6726"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1711" w:type="dxa"/>
            <w:tcBorders/>
            <w:vAlign w:val="bottom"/>
          </w:tcPr>
          <w:p>
            <w:pPr>
              <w:pStyle w:val="TableContents"/>
              <w:bidi w:val="0"/>
              <w:spacing w:before="0" w:after="283"/>
              <w:jc w:val="left"/>
              <w:rPr/>
            </w:pPr>
            <w:r>
              <w:rPr/>
              <w:t>6.02</w:t>
            </w:r>
          </w:p>
        </w:tc>
      </w:tr>
      <w:tr>
        <w:trPr/>
        <w:tc>
          <w:tcPr>
            <w:tcW w:w="59" w:type="dxa"/>
            <w:tcBorders/>
          </w:tcPr>
          <w:p>
            <w:pPr>
              <w:pStyle w:val="TableContents"/>
              <w:bidi w:val="0"/>
              <w:spacing w:before="0" w:after="283"/>
              <w:jc w:val="left"/>
              <w:rPr/>
            </w:pPr>
            <w:r>
              <w:rPr/>
              <w:t> </w:t>
            </w:r>
          </w:p>
        </w:tc>
        <w:tc>
          <w:tcPr>
            <w:tcW w:w="1385" w:type="dxa"/>
            <w:tcBorders/>
          </w:tcPr>
          <w:p>
            <w:pPr>
              <w:pStyle w:val="TableContents"/>
              <w:bidi w:val="0"/>
              <w:spacing w:before="0" w:after="283"/>
              <w:jc w:val="right"/>
              <w:rPr/>
            </w:pPr>
            <w:r>
              <w:rPr/>
              <w:t>(c)   </w:t>
            </w:r>
          </w:p>
        </w:tc>
        <w:tc>
          <w:tcPr>
            <w:tcW w:w="60" w:type="dxa"/>
            <w:tcBorders/>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6726"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1711" w:type="dxa"/>
            <w:tcBorders/>
            <w:vAlign w:val="bottom"/>
          </w:tcPr>
          <w:p>
            <w:pPr>
              <w:pStyle w:val="TableContents"/>
              <w:bidi w:val="0"/>
              <w:spacing w:before="0" w:after="283"/>
              <w:jc w:val="left"/>
              <w:rPr/>
            </w:pPr>
            <w:r>
              <w:rPr/>
              <w:t>6.01</w:t>
            </w:r>
          </w:p>
        </w:tc>
      </w:tr>
      <w:tr>
        <w:trPr/>
        <w:tc>
          <w:tcPr>
            <w:tcW w:w="59" w:type="dxa"/>
            <w:tcBorders/>
          </w:tcPr>
          <w:p>
            <w:pPr>
              <w:pStyle w:val="TableContents"/>
              <w:bidi w:val="0"/>
              <w:spacing w:before="0" w:after="283"/>
              <w:jc w:val="left"/>
              <w:rPr/>
            </w:pPr>
            <w:r>
              <w:rPr/>
              <w:t> </w:t>
            </w:r>
          </w:p>
        </w:tc>
        <w:tc>
          <w:tcPr>
            <w:tcW w:w="1385" w:type="dxa"/>
            <w:tcBorders/>
          </w:tcPr>
          <w:p>
            <w:pPr>
              <w:pStyle w:val="TableContents"/>
              <w:bidi w:val="0"/>
              <w:spacing w:before="0" w:after="283"/>
              <w:jc w:val="right"/>
              <w:rPr/>
            </w:pPr>
            <w:r>
              <w:rPr/>
              <w:t>(d)   </w:t>
            </w:r>
          </w:p>
        </w:tc>
        <w:tc>
          <w:tcPr>
            <w:tcW w:w="60" w:type="dxa"/>
            <w:tcBorders/>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6726"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1711" w:type="dxa"/>
            <w:tcBorders/>
            <w:vAlign w:val="bottom"/>
          </w:tcPr>
          <w:p>
            <w:pPr>
              <w:pStyle w:val="TableContents"/>
              <w:bidi w:val="0"/>
              <w:spacing w:before="0" w:after="283"/>
              <w:jc w:val="left"/>
              <w:rPr/>
            </w:pPr>
            <w:r>
              <w:rPr/>
              <w:t>6.01</w:t>
            </w:r>
          </w:p>
        </w:tc>
      </w:tr>
      <w:tr>
        <w:trPr/>
        <w:tc>
          <w:tcPr>
            <w:tcW w:w="59" w:type="dxa"/>
            <w:tcBorders/>
          </w:tcPr>
          <w:p>
            <w:pPr>
              <w:pStyle w:val="TableContents"/>
              <w:bidi w:val="0"/>
              <w:spacing w:before="0" w:after="283"/>
              <w:jc w:val="left"/>
              <w:rPr/>
            </w:pPr>
            <w:r>
              <w:rPr/>
              <w:t> </w:t>
            </w:r>
          </w:p>
        </w:tc>
        <w:tc>
          <w:tcPr>
            <w:tcW w:w="1385" w:type="dxa"/>
            <w:tcBorders/>
          </w:tcPr>
          <w:p>
            <w:pPr>
              <w:pStyle w:val="TableContents"/>
              <w:bidi w:val="0"/>
              <w:spacing w:before="0" w:after="283"/>
              <w:jc w:val="right"/>
              <w:rPr/>
            </w:pPr>
            <w:r>
              <w:rPr/>
              <w:t>(e)   </w:t>
            </w:r>
          </w:p>
        </w:tc>
        <w:tc>
          <w:tcPr>
            <w:tcW w:w="60" w:type="dxa"/>
            <w:tcBorders/>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6726"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1711" w:type="dxa"/>
            <w:tcBorders/>
            <w:vAlign w:val="bottom"/>
          </w:tcPr>
          <w:p>
            <w:pPr>
              <w:pStyle w:val="TableContents"/>
              <w:bidi w:val="0"/>
              <w:spacing w:before="0" w:after="283"/>
              <w:jc w:val="left"/>
              <w:rPr/>
            </w:pPr>
            <w:r>
              <w:rPr/>
              <w:t>5.14</w:t>
            </w:r>
          </w:p>
        </w:tc>
      </w:tr>
      <w:tr>
        <w:trPr/>
        <w:tc>
          <w:tcPr>
            <w:tcW w:w="59" w:type="dxa"/>
            <w:tcBorders/>
          </w:tcPr>
          <w:p>
            <w:pPr>
              <w:pStyle w:val="TableContents"/>
              <w:bidi w:val="0"/>
              <w:spacing w:before="0" w:after="283"/>
              <w:jc w:val="left"/>
              <w:rPr/>
            </w:pPr>
            <w:r>
              <w:rPr/>
              <w:t> </w:t>
            </w:r>
          </w:p>
        </w:tc>
        <w:tc>
          <w:tcPr>
            <w:tcW w:w="1385" w:type="dxa"/>
            <w:tcBorders/>
          </w:tcPr>
          <w:p>
            <w:pPr>
              <w:pStyle w:val="TableContents"/>
              <w:bidi w:val="0"/>
              <w:spacing w:before="0" w:after="283"/>
              <w:jc w:val="right"/>
              <w:rPr/>
            </w:pPr>
            <w:r>
              <w:rPr/>
              <w:t>§316(a)   </w:t>
            </w:r>
          </w:p>
        </w:tc>
        <w:tc>
          <w:tcPr>
            <w:tcW w:w="60" w:type="dxa"/>
            <w:tcBorders/>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6726"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1711" w:type="dxa"/>
            <w:tcBorders/>
            <w:vAlign w:val="bottom"/>
          </w:tcPr>
          <w:p>
            <w:pPr>
              <w:pStyle w:val="TableContents"/>
              <w:bidi w:val="0"/>
              <w:spacing w:before="0" w:after="283"/>
              <w:jc w:val="left"/>
              <w:rPr/>
            </w:pPr>
            <w:r>
              <w:rPr/>
              <w:t>1.01</w:t>
            </w:r>
          </w:p>
        </w:tc>
      </w:tr>
      <w:tr>
        <w:trPr/>
        <w:tc>
          <w:tcPr>
            <w:tcW w:w="59" w:type="dxa"/>
            <w:tcBorders/>
          </w:tcPr>
          <w:p>
            <w:pPr>
              <w:pStyle w:val="TableContents"/>
              <w:bidi w:val="0"/>
              <w:spacing w:before="0" w:after="283"/>
              <w:jc w:val="left"/>
              <w:rPr/>
            </w:pPr>
            <w:r>
              <w:rPr/>
              <w:t> </w:t>
            </w:r>
          </w:p>
        </w:tc>
        <w:tc>
          <w:tcPr>
            <w:tcW w:w="1385" w:type="dxa"/>
            <w:tcBorders/>
          </w:tcPr>
          <w:p>
            <w:pPr>
              <w:pStyle w:val="TableContents"/>
              <w:bidi w:val="0"/>
              <w:spacing w:before="0" w:after="283"/>
              <w:jc w:val="right"/>
              <w:rPr/>
            </w:pPr>
            <w:r>
              <w:rPr/>
              <w:t>(a)(1)(A)</w:t>
            </w:r>
          </w:p>
        </w:tc>
        <w:tc>
          <w:tcPr>
            <w:tcW w:w="60" w:type="dxa"/>
            <w:tcBorders/>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6726"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1711" w:type="dxa"/>
            <w:tcBorders/>
            <w:vAlign w:val="bottom"/>
          </w:tcPr>
          <w:p>
            <w:pPr>
              <w:pStyle w:val="TableContents"/>
              <w:bidi w:val="0"/>
              <w:spacing w:before="0" w:after="283"/>
              <w:jc w:val="left"/>
              <w:rPr/>
            </w:pPr>
            <w:r>
              <w:rPr/>
              <w:t>5.02</w:t>
            </w:r>
          </w:p>
        </w:tc>
      </w:tr>
      <w:tr>
        <w:trPr/>
        <w:tc>
          <w:tcPr>
            <w:tcW w:w="59" w:type="dxa"/>
            <w:tcBorders/>
          </w:tcPr>
          <w:p>
            <w:pPr>
              <w:pStyle w:val="TableContents"/>
              <w:bidi w:val="0"/>
              <w:spacing w:before="0" w:after="283"/>
              <w:jc w:val="left"/>
              <w:rPr>
                <w:sz w:val="4"/>
                <w:szCs w:val="4"/>
              </w:rPr>
            </w:pPr>
            <w:r>
              <w:rPr>
                <w:sz w:val="4"/>
                <w:szCs w:val="4"/>
              </w:rPr>
            </w:r>
          </w:p>
        </w:tc>
        <w:tc>
          <w:tcPr>
            <w:tcW w:w="1385"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6726"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1711" w:type="dxa"/>
            <w:tcBorders/>
            <w:vAlign w:val="bottom"/>
          </w:tcPr>
          <w:p>
            <w:pPr>
              <w:pStyle w:val="TableContents"/>
              <w:bidi w:val="0"/>
              <w:spacing w:before="0" w:after="283"/>
              <w:jc w:val="left"/>
              <w:rPr/>
            </w:pPr>
            <w:r>
              <w:rPr/>
              <w:t>5.12</w:t>
            </w:r>
          </w:p>
        </w:tc>
      </w:tr>
      <w:tr>
        <w:trPr/>
        <w:tc>
          <w:tcPr>
            <w:tcW w:w="59" w:type="dxa"/>
            <w:tcBorders/>
          </w:tcPr>
          <w:p>
            <w:pPr>
              <w:pStyle w:val="TableContents"/>
              <w:bidi w:val="0"/>
              <w:spacing w:before="0" w:after="283"/>
              <w:jc w:val="left"/>
              <w:rPr/>
            </w:pPr>
            <w:r>
              <w:rPr/>
              <w:t> </w:t>
            </w:r>
          </w:p>
        </w:tc>
        <w:tc>
          <w:tcPr>
            <w:tcW w:w="1385" w:type="dxa"/>
            <w:tcBorders/>
          </w:tcPr>
          <w:p>
            <w:pPr>
              <w:pStyle w:val="TableContents"/>
              <w:bidi w:val="0"/>
              <w:spacing w:before="0" w:after="283"/>
              <w:jc w:val="right"/>
              <w:rPr/>
            </w:pPr>
            <w:r>
              <w:rPr/>
              <w:t>(a)(1)(B)</w:t>
            </w:r>
          </w:p>
        </w:tc>
        <w:tc>
          <w:tcPr>
            <w:tcW w:w="60" w:type="dxa"/>
            <w:tcBorders/>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6726"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1711" w:type="dxa"/>
            <w:tcBorders/>
            <w:vAlign w:val="bottom"/>
          </w:tcPr>
          <w:p>
            <w:pPr>
              <w:pStyle w:val="TableContents"/>
              <w:bidi w:val="0"/>
              <w:spacing w:before="0" w:after="283"/>
              <w:jc w:val="left"/>
              <w:rPr/>
            </w:pPr>
            <w:r>
              <w:rPr/>
              <w:t>5.13</w:t>
            </w:r>
          </w:p>
        </w:tc>
      </w:tr>
      <w:tr>
        <w:trPr/>
        <w:tc>
          <w:tcPr>
            <w:tcW w:w="59" w:type="dxa"/>
            <w:tcBorders/>
          </w:tcPr>
          <w:p>
            <w:pPr>
              <w:pStyle w:val="TableContents"/>
              <w:bidi w:val="0"/>
              <w:spacing w:before="0" w:after="283"/>
              <w:jc w:val="left"/>
              <w:rPr/>
            </w:pPr>
            <w:r>
              <w:rPr/>
              <w:t> </w:t>
            </w:r>
          </w:p>
        </w:tc>
        <w:tc>
          <w:tcPr>
            <w:tcW w:w="1385" w:type="dxa"/>
            <w:tcBorders/>
          </w:tcPr>
          <w:p>
            <w:pPr>
              <w:pStyle w:val="TableContents"/>
              <w:bidi w:val="0"/>
              <w:spacing w:before="0" w:after="283"/>
              <w:jc w:val="right"/>
              <w:rPr/>
            </w:pPr>
            <w:r>
              <w:rPr/>
              <w:t>(a)(2)  </w:t>
            </w:r>
          </w:p>
        </w:tc>
        <w:tc>
          <w:tcPr>
            <w:tcW w:w="60" w:type="dxa"/>
            <w:tcBorders/>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6726"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1711" w:type="dxa"/>
            <w:tcBorders/>
            <w:vAlign w:val="bottom"/>
          </w:tcPr>
          <w:p>
            <w:pPr>
              <w:pStyle w:val="TableContents"/>
              <w:bidi w:val="0"/>
              <w:spacing w:before="0" w:after="283"/>
              <w:jc w:val="left"/>
              <w:rPr/>
            </w:pPr>
            <w:r>
              <w:rPr/>
              <w:t>Not Applicable</w:t>
            </w:r>
          </w:p>
        </w:tc>
      </w:tr>
      <w:tr>
        <w:trPr/>
        <w:tc>
          <w:tcPr>
            <w:tcW w:w="59" w:type="dxa"/>
            <w:tcBorders/>
          </w:tcPr>
          <w:p>
            <w:pPr>
              <w:pStyle w:val="TableContents"/>
              <w:bidi w:val="0"/>
              <w:spacing w:before="0" w:after="283"/>
              <w:jc w:val="left"/>
              <w:rPr/>
            </w:pPr>
            <w:r>
              <w:rPr/>
              <w:t> </w:t>
            </w:r>
          </w:p>
        </w:tc>
        <w:tc>
          <w:tcPr>
            <w:tcW w:w="1385" w:type="dxa"/>
            <w:tcBorders/>
          </w:tcPr>
          <w:p>
            <w:pPr>
              <w:pStyle w:val="TableContents"/>
              <w:bidi w:val="0"/>
              <w:spacing w:before="0" w:after="283"/>
              <w:jc w:val="right"/>
              <w:rPr/>
            </w:pPr>
            <w:r>
              <w:rPr/>
              <w:t>(b)   </w:t>
            </w:r>
          </w:p>
        </w:tc>
        <w:tc>
          <w:tcPr>
            <w:tcW w:w="60" w:type="dxa"/>
            <w:tcBorders/>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6726"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1711" w:type="dxa"/>
            <w:tcBorders/>
            <w:vAlign w:val="bottom"/>
          </w:tcPr>
          <w:p>
            <w:pPr>
              <w:pStyle w:val="TableContents"/>
              <w:bidi w:val="0"/>
              <w:spacing w:before="0" w:after="283"/>
              <w:jc w:val="left"/>
              <w:rPr/>
            </w:pPr>
            <w:r>
              <w:rPr/>
              <w:t>5.08</w:t>
            </w:r>
          </w:p>
        </w:tc>
      </w:tr>
      <w:tr>
        <w:trPr/>
        <w:tc>
          <w:tcPr>
            <w:tcW w:w="59" w:type="dxa"/>
            <w:tcBorders/>
          </w:tcPr>
          <w:p>
            <w:pPr>
              <w:pStyle w:val="TableContents"/>
              <w:bidi w:val="0"/>
              <w:spacing w:before="0" w:after="283"/>
              <w:jc w:val="left"/>
              <w:rPr/>
            </w:pPr>
            <w:r>
              <w:rPr/>
              <w:t> </w:t>
            </w:r>
          </w:p>
        </w:tc>
        <w:tc>
          <w:tcPr>
            <w:tcW w:w="1385" w:type="dxa"/>
            <w:tcBorders/>
          </w:tcPr>
          <w:p>
            <w:pPr>
              <w:pStyle w:val="TableContents"/>
              <w:bidi w:val="0"/>
              <w:spacing w:before="0" w:after="283"/>
              <w:jc w:val="right"/>
              <w:rPr/>
            </w:pPr>
            <w:r>
              <w:rPr/>
              <w:t>(c)   </w:t>
            </w:r>
          </w:p>
        </w:tc>
        <w:tc>
          <w:tcPr>
            <w:tcW w:w="60" w:type="dxa"/>
            <w:tcBorders/>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6726"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1711" w:type="dxa"/>
            <w:tcBorders/>
            <w:vAlign w:val="bottom"/>
          </w:tcPr>
          <w:p>
            <w:pPr>
              <w:pStyle w:val="TableContents"/>
              <w:bidi w:val="0"/>
              <w:spacing w:before="0" w:after="283"/>
              <w:jc w:val="left"/>
              <w:rPr/>
            </w:pPr>
            <w:r>
              <w:rPr/>
              <w:t>1.04</w:t>
            </w:r>
          </w:p>
        </w:tc>
      </w:tr>
      <w:tr>
        <w:trPr/>
        <w:tc>
          <w:tcPr>
            <w:tcW w:w="59" w:type="dxa"/>
            <w:tcBorders/>
          </w:tcPr>
          <w:p>
            <w:pPr>
              <w:pStyle w:val="TableContents"/>
              <w:bidi w:val="0"/>
              <w:spacing w:before="0" w:after="283"/>
              <w:jc w:val="left"/>
              <w:rPr/>
            </w:pPr>
            <w:r>
              <w:rPr/>
              <w:t> </w:t>
            </w:r>
          </w:p>
        </w:tc>
        <w:tc>
          <w:tcPr>
            <w:tcW w:w="1385" w:type="dxa"/>
            <w:tcBorders/>
          </w:tcPr>
          <w:p>
            <w:pPr>
              <w:pStyle w:val="TableContents"/>
              <w:bidi w:val="0"/>
              <w:spacing w:before="0" w:after="283"/>
              <w:jc w:val="right"/>
              <w:rPr/>
            </w:pPr>
            <w:r>
              <w:rPr/>
              <w:t>§317(a)(1)  </w:t>
            </w:r>
          </w:p>
        </w:tc>
        <w:tc>
          <w:tcPr>
            <w:tcW w:w="60" w:type="dxa"/>
            <w:tcBorders/>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6726"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1711" w:type="dxa"/>
            <w:tcBorders/>
            <w:vAlign w:val="bottom"/>
          </w:tcPr>
          <w:p>
            <w:pPr>
              <w:pStyle w:val="TableContents"/>
              <w:bidi w:val="0"/>
              <w:spacing w:before="0" w:after="283"/>
              <w:jc w:val="left"/>
              <w:rPr/>
            </w:pPr>
            <w:r>
              <w:rPr/>
              <w:t>5.03</w:t>
            </w:r>
          </w:p>
        </w:tc>
      </w:tr>
      <w:tr>
        <w:trPr/>
        <w:tc>
          <w:tcPr>
            <w:tcW w:w="59" w:type="dxa"/>
            <w:tcBorders/>
          </w:tcPr>
          <w:p>
            <w:pPr>
              <w:pStyle w:val="TableContents"/>
              <w:bidi w:val="0"/>
              <w:spacing w:before="0" w:after="283"/>
              <w:jc w:val="left"/>
              <w:rPr/>
            </w:pPr>
            <w:r>
              <w:rPr/>
              <w:t> </w:t>
            </w:r>
          </w:p>
        </w:tc>
        <w:tc>
          <w:tcPr>
            <w:tcW w:w="1385" w:type="dxa"/>
            <w:tcBorders/>
          </w:tcPr>
          <w:p>
            <w:pPr>
              <w:pStyle w:val="TableContents"/>
              <w:bidi w:val="0"/>
              <w:spacing w:before="0" w:after="283"/>
              <w:jc w:val="right"/>
              <w:rPr/>
            </w:pPr>
            <w:r>
              <w:rPr/>
              <w:t>(a)(2)  </w:t>
            </w:r>
          </w:p>
        </w:tc>
        <w:tc>
          <w:tcPr>
            <w:tcW w:w="60" w:type="dxa"/>
            <w:tcBorders/>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6726"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1711" w:type="dxa"/>
            <w:tcBorders/>
            <w:vAlign w:val="bottom"/>
          </w:tcPr>
          <w:p>
            <w:pPr>
              <w:pStyle w:val="TableContents"/>
              <w:bidi w:val="0"/>
              <w:spacing w:before="0" w:after="283"/>
              <w:jc w:val="left"/>
              <w:rPr/>
            </w:pPr>
            <w:r>
              <w:rPr/>
              <w:t>5.04</w:t>
            </w:r>
          </w:p>
        </w:tc>
      </w:tr>
      <w:tr>
        <w:trPr/>
        <w:tc>
          <w:tcPr>
            <w:tcW w:w="59" w:type="dxa"/>
            <w:tcBorders/>
          </w:tcPr>
          <w:p>
            <w:pPr>
              <w:pStyle w:val="TableContents"/>
              <w:bidi w:val="0"/>
              <w:spacing w:before="0" w:after="283"/>
              <w:jc w:val="left"/>
              <w:rPr/>
            </w:pPr>
            <w:r>
              <w:rPr/>
              <w:t> </w:t>
            </w:r>
          </w:p>
        </w:tc>
        <w:tc>
          <w:tcPr>
            <w:tcW w:w="1385" w:type="dxa"/>
            <w:tcBorders/>
          </w:tcPr>
          <w:p>
            <w:pPr>
              <w:pStyle w:val="TableContents"/>
              <w:bidi w:val="0"/>
              <w:spacing w:before="0" w:after="283"/>
              <w:jc w:val="right"/>
              <w:rPr/>
            </w:pPr>
            <w:r>
              <w:rPr/>
              <w:t>(b)   </w:t>
            </w:r>
          </w:p>
        </w:tc>
        <w:tc>
          <w:tcPr>
            <w:tcW w:w="60" w:type="dxa"/>
            <w:tcBorders/>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6726"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1711" w:type="dxa"/>
            <w:tcBorders/>
            <w:vAlign w:val="bottom"/>
          </w:tcPr>
          <w:p>
            <w:pPr>
              <w:pStyle w:val="TableContents"/>
              <w:bidi w:val="0"/>
              <w:spacing w:before="0" w:after="283"/>
              <w:jc w:val="left"/>
              <w:rPr/>
            </w:pPr>
            <w:r>
              <w:rPr/>
              <w:t>10.03</w:t>
            </w:r>
          </w:p>
        </w:tc>
      </w:tr>
      <w:tr>
        <w:trPr/>
        <w:tc>
          <w:tcPr>
            <w:tcW w:w="59" w:type="dxa"/>
            <w:tcBorders/>
          </w:tcPr>
          <w:p>
            <w:pPr>
              <w:pStyle w:val="TableContents"/>
              <w:bidi w:val="0"/>
              <w:spacing w:before="0" w:after="283"/>
              <w:jc w:val="left"/>
              <w:rPr/>
            </w:pPr>
            <w:r>
              <w:rPr/>
              <w:t> </w:t>
            </w:r>
          </w:p>
        </w:tc>
        <w:tc>
          <w:tcPr>
            <w:tcW w:w="1385" w:type="dxa"/>
            <w:tcBorders/>
          </w:tcPr>
          <w:p>
            <w:pPr>
              <w:pStyle w:val="TableContents"/>
              <w:bidi w:val="0"/>
              <w:spacing w:before="0" w:after="283"/>
              <w:jc w:val="right"/>
              <w:rPr/>
            </w:pPr>
            <w:r>
              <w:rPr/>
              <w:t>§318(a)   </w:t>
            </w:r>
          </w:p>
        </w:tc>
        <w:tc>
          <w:tcPr>
            <w:tcW w:w="60" w:type="dxa"/>
            <w:tcBorders/>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6726"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1711" w:type="dxa"/>
            <w:tcBorders/>
            <w:vAlign w:val="bottom"/>
          </w:tcPr>
          <w:p>
            <w:pPr>
              <w:pStyle w:val="TableContents"/>
              <w:bidi w:val="0"/>
              <w:spacing w:before="0" w:after="283"/>
              <w:jc w:val="left"/>
              <w:rPr/>
            </w:pPr>
            <w:r>
              <w:rPr/>
              <w:t>1.07</w:t>
            </w:r>
          </w:p>
        </w:tc>
      </w:tr>
    </w:tbl>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0" w:after="0"/>
        <w:jc w:val="left"/>
        <w:rPr>
          <w:rFonts w:ascii="Times New Roman" w:hAnsi="Times New Roman"/>
          <w:b/>
          <w:sz w:val="20"/>
        </w:rPr>
      </w:pPr>
      <w:r>
        <w:rPr>
          <w:rFonts w:ascii="Times New Roman" w:hAnsi="Times New Roman"/>
          <w:b/>
          <w:sz w:val="20"/>
        </w:rPr>
        <w:t xml:space="preserve">NOTE: This reconciliation and tie shall not, for any purpose, be deemed to be a part of the Indenture.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38"/>
        <w:gridCol w:w="291"/>
        <w:gridCol w:w="154"/>
        <w:gridCol w:w="361"/>
        <w:gridCol w:w="61"/>
      </w:tblGrid>
      <w:tr>
        <w:trPr/>
        <w:tc>
          <w:tcPr>
            <w:tcW w:w="9338" w:type="dxa"/>
            <w:tcBorders/>
            <w:vAlign w:val="center"/>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r>
      <w:tr>
        <w:trPr/>
        <w:tc>
          <w:tcPr>
            <w:tcW w:w="9338"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5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1" w:type="dxa"/>
            <w:tcBorders/>
            <w:vAlign w:val="bottom"/>
          </w:tcPr>
          <w:p>
            <w:pPr>
              <w:pStyle w:val="TableContents"/>
              <w:bidi w:val="0"/>
              <w:spacing w:before="0" w:after="283"/>
              <w:jc w:val="left"/>
              <w:rPr/>
            </w:pPr>
            <w:r>
              <w:rPr/>
              <w:t> </w:t>
            </w:r>
          </w:p>
        </w:tc>
      </w:tr>
      <w:tr>
        <w:trPr>
          <w:trHeight w:val="120" w:hRule="atLeast"/>
        </w:trPr>
        <w:tc>
          <w:tcPr>
            <w:tcW w:w="9338" w:type="dxa"/>
            <w:tcBorders/>
            <w:vAlign w:val="center"/>
          </w:tcPr>
          <w:p>
            <w:pPr>
              <w:pStyle w:val="TableContents"/>
              <w:bidi w:val="0"/>
              <w:spacing w:before="0" w:after="283"/>
              <w:jc w:val="left"/>
              <w:rPr>
                <w:sz w:val="4"/>
                <w:szCs w:val="4"/>
              </w:rPr>
            </w:pPr>
            <w:r>
              <w:rPr>
                <w:sz w:val="4"/>
                <w:szCs w:val="4"/>
              </w:rPr>
            </w:r>
          </w:p>
        </w:tc>
        <w:tc>
          <w:tcPr>
            <w:tcW w:w="867" w:type="dxa"/>
            <w:gridSpan w:val="4"/>
            <w:tcBorders/>
            <w:vAlign w:val="center"/>
          </w:tcPr>
          <w:p>
            <w:pPr>
              <w:pStyle w:val="TableContents"/>
              <w:bidi w:val="0"/>
              <w:spacing w:before="0" w:after="283"/>
              <w:jc w:val="left"/>
              <w:rPr>
                <w:sz w:val="4"/>
                <w:szCs w:val="4"/>
              </w:rPr>
            </w:pPr>
            <w:r>
              <w:rPr>
                <w:sz w:val="4"/>
                <w:szCs w:val="4"/>
              </w:rPr>
            </w:r>
          </w:p>
        </w:tc>
      </w:tr>
      <w:tr>
        <w:trPr/>
        <w:tc>
          <w:tcPr>
            <w:tcW w:w="9338" w:type="dxa"/>
            <w:tcBorders/>
          </w:tcPr>
          <w:p>
            <w:pPr>
              <w:pStyle w:val="TableContents"/>
              <w:bidi w:val="0"/>
              <w:spacing w:before="0" w:after="0"/>
              <w:jc w:val="left"/>
              <w:rPr>
                <w:rFonts w:ascii="Times New Roman" w:hAnsi="Times New Roman"/>
                <w:b/>
                <w:sz w:val="20"/>
              </w:rPr>
            </w:pPr>
            <w:r>
              <w:rPr>
                <w:rFonts w:ascii="Times New Roman" w:hAnsi="Times New Roman"/>
                <w:b/>
                <w:sz w:val="20"/>
              </w:rPr>
              <w:t>RECITALS</w:t>
            </w:r>
          </w:p>
        </w:tc>
        <w:tc>
          <w:tcPr>
            <w:tcW w:w="29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1</w:t>
            </w:r>
          </w:p>
        </w:tc>
        <w:tc>
          <w:tcPr>
            <w:tcW w:w="61" w:type="dxa"/>
            <w:tcBorders/>
            <w:vAlign w:val="bottom"/>
          </w:tcPr>
          <w:p>
            <w:pPr>
              <w:pStyle w:val="TableContents"/>
              <w:bidi w:val="0"/>
              <w:spacing w:before="0" w:after="283"/>
              <w:jc w:val="left"/>
              <w:rPr/>
            </w:pPr>
            <w:r>
              <w:rPr/>
              <w:t> </w:t>
            </w:r>
          </w:p>
        </w:tc>
      </w:tr>
      <w:tr>
        <w:trPr>
          <w:trHeight w:val="120" w:hRule="atLeast"/>
        </w:trPr>
        <w:tc>
          <w:tcPr>
            <w:tcW w:w="9338" w:type="dxa"/>
            <w:tcBorders/>
            <w:vAlign w:val="center"/>
          </w:tcPr>
          <w:p>
            <w:pPr>
              <w:pStyle w:val="TableContents"/>
              <w:bidi w:val="0"/>
              <w:spacing w:before="0" w:after="283"/>
              <w:jc w:val="left"/>
              <w:rPr>
                <w:sz w:val="4"/>
                <w:szCs w:val="4"/>
              </w:rPr>
            </w:pPr>
            <w:r>
              <w:rPr>
                <w:sz w:val="4"/>
                <w:szCs w:val="4"/>
              </w:rPr>
            </w:r>
          </w:p>
        </w:tc>
        <w:tc>
          <w:tcPr>
            <w:tcW w:w="867" w:type="dxa"/>
            <w:gridSpan w:val="4"/>
            <w:tcBorders/>
            <w:vAlign w:val="center"/>
          </w:tcPr>
          <w:p>
            <w:pPr>
              <w:pStyle w:val="TableContents"/>
              <w:bidi w:val="0"/>
              <w:spacing w:before="0" w:after="283"/>
              <w:jc w:val="left"/>
              <w:rPr>
                <w:sz w:val="4"/>
                <w:szCs w:val="4"/>
              </w:rPr>
            </w:pPr>
            <w:r>
              <w:rPr>
                <w:sz w:val="4"/>
                <w:szCs w:val="4"/>
              </w:rPr>
            </w:r>
          </w:p>
        </w:tc>
      </w:tr>
      <w:tr>
        <w:trPr/>
        <w:tc>
          <w:tcPr>
            <w:tcW w:w="9338" w:type="dxa"/>
            <w:tcBorders/>
          </w:tcPr>
          <w:p>
            <w:pPr>
              <w:pStyle w:val="TableContents"/>
              <w:bidi w:val="0"/>
              <w:spacing w:before="0" w:after="283"/>
              <w:jc w:val="center"/>
              <w:rPr>
                <w:b/>
              </w:rPr>
            </w:pPr>
            <w:r>
              <w:rPr>
                <w:b/>
              </w:rPr>
              <w:t>ARTICLE ONE</w:t>
            </w:r>
          </w:p>
        </w:tc>
        <w:tc>
          <w:tcPr>
            <w:tcW w:w="29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338" w:type="dxa"/>
            <w:tcBorders/>
            <w:vAlign w:val="center"/>
          </w:tcPr>
          <w:p>
            <w:pPr>
              <w:pStyle w:val="TableContents"/>
              <w:bidi w:val="0"/>
              <w:spacing w:before="0" w:after="283"/>
              <w:jc w:val="left"/>
              <w:rPr>
                <w:sz w:val="4"/>
                <w:szCs w:val="4"/>
              </w:rPr>
            </w:pPr>
            <w:r>
              <w:rPr>
                <w:sz w:val="4"/>
                <w:szCs w:val="4"/>
              </w:rPr>
            </w:r>
          </w:p>
        </w:tc>
        <w:tc>
          <w:tcPr>
            <w:tcW w:w="867" w:type="dxa"/>
            <w:gridSpan w:val="4"/>
            <w:tcBorders/>
            <w:vAlign w:val="center"/>
          </w:tcPr>
          <w:p>
            <w:pPr>
              <w:pStyle w:val="TableContents"/>
              <w:bidi w:val="0"/>
              <w:spacing w:before="0" w:after="283"/>
              <w:jc w:val="left"/>
              <w:rPr>
                <w:sz w:val="4"/>
                <w:szCs w:val="4"/>
              </w:rPr>
            </w:pPr>
            <w:r>
              <w:rPr>
                <w:sz w:val="4"/>
                <w:szCs w:val="4"/>
              </w:rPr>
            </w:r>
          </w:p>
        </w:tc>
      </w:tr>
      <w:tr>
        <w:trPr/>
        <w:tc>
          <w:tcPr>
            <w:tcW w:w="9338" w:type="dxa"/>
            <w:tcBorders/>
          </w:tcPr>
          <w:p>
            <w:pPr>
              <w:pStyle w:val="TableContents"/>
              <w:bidi w:val="0"/>
              <w:spacing w:before="0" w:after="283"/>
              <w:jc w:val="center"/>
              <w:rPr>
                <w:b/>
              </w:rPr>
            </w:pPr>
            <w:r>
              <w:rPr>
                <w:b/>
              </w:rPr>
              <w:t>DEFINITIONS AND OTHER PROVISIONS OF GENERAL APPLICATION</w:t>
            </w:r>
          </w:p>
        </w:tc>
        <w:tc>
          <w:tcPr>
            <w:tcW w:w="29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338" w:type="dxa"/>
            <w:tcBorders/>
            <w:vAlign w:val="center"/>
          </w:tcPr>
          <w:p>
            <w:pPr>
              <w:pStyle w:val="TableContents"/>
              <w:bidi w:val="0"/>
              <w:spacing w:before="0" w:after="283"/>
              <w:jc w:val="left"/>
              <w:rPr>
                <w:sz w:val="4"/>
                <w:szCs w:val="4"/>
              </w:rPr>
            </w:pPr>
            <w:r>
              <w:rPr>
                <w:sz w:val="4"/>
                <w:szCs w:val="4"/>
              </w:rPr>
            </w:r>
          </w:p>
        </w:tc>
        <w:tc>
          <w:tcPr>
            <w:tcW w:w="867" w:type="dxa"/>
            <w:gridSpan w:val="4"/>
            <w:tcBorders/>
            <w:vAlign w:val="center"/>
          </w:tcPr>
          <w:p>
            <w:pPr>
              <w:pStyle w:val="TableContents"/>
              <w:bidi w:val="0"/>
              <w:spacing w:before="0" w:after="283"/>
              <w:jc w:val="left"/>
              <w:rPr>
                <w:sz w:val="4"/>
                <w:szCs w:val="4"/>
              </w:rPr>
            </w:pPr>
            <w:r>
              <w:rPr>
                <w:sz w:val="4"/>
                <w:szCs w:val="4"/>
              </w:rPr>
            </w:r>
          </w:p>
        </w:tc>
      </w:tr>
      <w:tr>
        <w:trPr/>
        <w:tc>
          <w:tcPr>
            <w:tcW w:w="9338" w:type="dxa"/>
            <w:tcBorders/>
          </w:tcPr>
          <w:p>
            <w:pPr>
              <w:pStyle w:val="TableContents"/>
              <w:bidi w:val="0"/>
              <w:spacing w:before="0" w:after="0"/>
              <w:jc w:val="left"/>
              <w:rPr>
                <w:rFonts w:ascii="Times New Roman" w:hAnsi="Times New Roman"/>
                <w:sz w:val="20"/>
              </w:rPr>
            </w:pPr>
            <w:r>
              <w:rPr>
                <w:rFonts w:ascii="Times New Roman" w:hAnsi="Times New Roman"/>
                <w:sz w:val="20"/>
              </w:rPr>
              <w:t>SECTION 1.01. Definitions</w:t>
            </w:r>
          </w:p>
        </w:tc>
        <w:tc>
          <w:tcPr>
            <w:tcW w:w="29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1</w:t>
            </w:r>
          </w:p>
        </w:tc>
        <w:tc>
          <w:tcPr>
            <w:tcW w:w="61" w:type="dxa"/>
            <w:tcBorders/>
            <w:vAlign w:val="bottom"/>
          </w:tcPr>
          <w:p>
            <w:pPr>
              <w:pStyle w:val="TableContents"/>
              <w:bidi w:val="0"/>
              <w:spacing w:before="0" w:after="283"/>
              <w:jc w:val="left"/>
              <w:rPr/>
            </w:pPr>
            <w:r>
              <w:rPr/>
              <w:t> </w:t>
            </w:r>
          </w:p>
        </w:tc>
      </w:tr>
      <w:tr>
        <w:trPr/>
        <w:tc>
          <w:tcPr>
            <w:tcW w:w="9338" w:type="dxa"/>
            <w:tcBorders/>
          </w:tcPr>
          <w:p>
            <w:pPr>
              <w:pStyle w:val="TableContents"/>
              <w:bidi w:val="0"/>
              <w:spacing w:before="0" w:after="0"/>
              <w:jc w:val="left"/>
              <w:rPr>
                <w:rFonts w:ascii="Times New Roman" w:hAnsi="Times New Roman"/>
                <w:sz w:val="20"/>
              </w:rPr>
            </w:pPr>
            <w:r>
              <w:rPr>
                <w:rFonts w:ascii="Times New Roman" w:hAnsi="Times New Roman"/>
                <w:sz w:val="20"/>
              </w:rPr>
              <w:t>Act</w:t>
            </w:r>
          </w:p>
        </w:tc>
        <w:tc>
          <w:tcPr>
            <w:tcW w:w="29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2</w:t>
            </w:r>
          </w:p>
        </w:tc>
        <w:tc>
          <w:tcPr>
            <w:tcW w:w="61" w:type="dxa"/>
            <w:tcBorders/>
            <w:vAlign w:val="bottom"/>
          </w:tcPr>
          <w:p>
            <w:pPr>
              <w:pStyle w:val="TableContents"/>
              <w:bidi w:val="0"/>
              <w:spacing w:before="0" w:after="283"/>
              <w:jc w:val="left"/>
              <w:rPr/>
            </w:pPr>
            <w:r>
              <w:rPr/>
              <w:t> </w:t>
            </w:r>
          </w:p>
        </w:tc>
      </w:tr>
      <w:tr>
        <w:trPr/>
        <w:tc>
          <w:tcPr>
            <w:tcW w:w="9338" w:type="dxa"/>
            <w:tcBorders/>
          </w:tcPr>
          <w:p>
            <w:pPr>
              <w:pStyle w:val="TableContents"/>
              <w:bidi w:val="0"/>
              <w:spacing w:before="0" w:after="0"/>
              <w:jc w:val="left"/>
              <w:rPr>
                <w:rFonts w:ascii="Times New Roman" w:hAnsi="Times New Roman"/>
                <w:sz w:val="20"/>
              </w:rPr>
            </w:pPr>
            <w:r>
              <w:rPr>
                <w:rFonts w:ascii="Times New Roman" w:hAnsi="Times New Roman"/>
                <w:sz w:val="20"/>
              </w:rPr>
              <w:t>Additional Amounts</w:t>
            </w:r>
          </w:p>
        </w:tc>
        <w:tc>
          <w:tcPr>
            <w:tcW w:w="29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2</w:t>
            </w:r>
          </w:p>
        </w:tc>
        <w:tc>
          <w:tcPr>
            <w:tcW w:w="61" w:type="dxa"/>
            <w:tcBorders/>
            <w:vAlign w:val="bottom"/>
          </w:tcPr>
          <w:p>
            <w:pPr>
              <w:pStyle w:val="TableContents"/>
              <w:bidi w:val="0"/>
              <w:spacing w:before="0" w:after="283"/>
              <w:jc w:val="left"/>
              <w:rPr/>
            </w:pPr>
            <w:r>
              <w:rPr/>
              <w:t> </w:t>
            </w:r>
          </w:p>
        </w:tc>
      </w:tr>
      <w:tr>
        <w:trPr/>
        <w:tc>
          <w:tcPr>
            <w:tcW w:w="9338" w:type="dxa"/>
            <w:tcBorders/>
          </w:tcPr>
          <w:p>
            <w:pPr>
              <w:pStyle w:val="TableContents"/>
              <w:bidi w:val="0"/>
              <w:spacing w:before="0" w:after="0"/>
              <w:jc w:val="left"/>
              <w:rPr>
                <w:rFonts w:ascii="Times New Roman" w:hAnsi="Times New Roman"/>
                <w:sz w:val="20"/>
              </w:rPr>
            </w:pPr>
            <w:r>
              <w:rPr>
                <w:rFonts w:ascii="Times New Roman" w:hAnsi="Times New Roman"/>
                <w:sz w:val="20"/>
              </w:rPr>
              <w:t>Affiliate</w:t>
            </w:r>
          </w:p>
        </w:tc>
        <w:tc>
          <w:tcPr>
            <w:tcW w:w="29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2</w:t>
            </w:r>
          </w:p>
        </w:tc>
        <w:tc>
          <w:tcPr>
            <w:tcW w:w="61" w:type="dxa"/>
            <w:tcBorders/>
            <w:vAlign w:val="bottom"/>
          </w:tcPr>
          <w:p>
            <w:pPr>
              <w:pStyle w:val="TableContents"/>
              <w:bidi w:val="0"/>
              <w:spacing w:before="0" w:after="283"/>
              <w:jc w:val="left"/>
              <w:rPr/>
            </w:pPr>
            <w:r>
              <w:rPr/>
              <w:t> </w:t>
            </w:r>
          </w:p>
        </w:tc>
      </w:tr>
      <w:tr>
        <w:trPr/>
        <w:tc>
          <w:tcPr>
            <w:tcW w:w="9338" w:type="dxa"/>
            <w:tcBorders/>
          </w:tcPr>
          <w:p>
            <w:pPr>
              <w:pStyle w:val="TableContents"/>
              <w:bidi w:val="0"/>
              <w:spacing w:before="0" w:after="0"/>
              <w:jc w:val="left"/>
              <w:rPr>
                <w:rFonts w:ascii="Times New Roman" w:hAnsi="Times New Roman"/>
                <w:sz w:val="20"/>
              </w:rPr>
            </w:pPr>
            <w:r>
              <w:rPr>
                <w:rFonts w:ascii="Times New Roman" w:hAnsi="Times New Roman"/>
                <w:sz w:val="20"/>
              </w:rPr>
              <w:t>Applicable Tax Law</w:t>
            </w:r>
          </w:p>
        </w:tc>
        <w:tc>
          <w:tcPr>
            <w:tcW w:w="29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2</w:t>
            </w:r>
          </w:p>
        </w:tc>
        <w:tc>
          <w:tcPr>
            <w:tcW w:w="61" w:type="dxa"/>
            <w:tcBorders/>
            <w:vAlign w:val="bottom"/>
          </w:tcPr>
          <w:p>
            <w:pPr>
              <w:pStyle w:val="TableContents"/>
              <w:bidi w:val="0"/>
              <w:spacing w:before="0" w:after="283"/>
              <w:jc w:val="left"/>
              <w:rPr/>
            </w:pPr>
            <w:r>
              <w:rPr/>
              <w:t> </w:t>
            </w:r>
          </w:p>
        </w:tc>
      </w:tr>
      <w:tr>
        <w:trPr/>
        <w:tc>
          <w:tcPr>
            <w:tcW w:w="9338" w:type="dxa"/>
            <w:tcBorders/>
          </w:tcPr>
          <w:p>
            <w:pPr>
              <w:pStyle w:val="TableContents"/>
              <w:bidi w:val="0"/>
              <w:spacing w:before="0" w:after="0"/>
              <w:jc w:val="left"/>
              <w:rPr>
                <w:rFonts w:ascii="Times New Roman" w:hAnsi="Times New Roman"/>
                <w:sz w:val="20"/>
              </w:rPr>
            </w:pPr>
            <w:r>
              <w:rPr>
                <w:rFonts w:ascii="Times New Roman" w:hAnsi="Times New Roman"/>
                <w:sz w:val="20"/>
              </w:rPr>
              <w:t>Authenticating Agent</w:t>
            </w:r>
          </w:p>
        </w:tc>
        <w:tc>
          <w:tcPr>
            <w:tcW w:w="29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2</w:t>
            </w:r>
          </w:p>
        </w:tc>
        <w:tc>
          <w:tcPr>
            <w:tcW w:w="61" w:type="dxa"/>
            <w:tcBorders/>
            <w:vAlign w:val="bottom"/>
          </w:tcPr>
          <w:p>
            <w:pPr>
              <w:pStyle w:val="TableContents"/>
              <w:bidi w:val="0"/>
              <w:spacing w:before="0" w:after="283"/>
              <w:jc w:val="left"/>
              <w:rPr/>
            </w:pPr>
            <w:r>
              <w:rPr/>
              <w:t> </w:t>
            </w:r>
          </w:p>
        </w:tc>
      </w:tr>
      <w:tr>
        <w:trPr/>
        <w:tc>
          <w:tcPr>
            <w:tcW w:w="9338" w:type="dxa"/>
            <w:tcBorders/>
          </w:tcPr>
          <w:p>
            <w:pPr>
              <w:pStyle w:val="TableContents"/>
              <w:bidi w:val="0"/>
              <w:spacing w:before="0" w:after="0"/>
              <w:jc w:val="left"/>
              <w:rPr>
                <w:rFonts w:ascii="Times New Roman" w:hAnsi="Times New Roman"/>
                <w:sz w:val="20"/>
              </w:rPr>
            </w:pPr>
            <w:r>
              <w:rPr>
                <w:rFonts w:ascii="Times New Roman" w:hAnsi="Times New Roman"/>
                <w:sz w:val="20"/>
              </w:rPr>
              <w:t>Authorized Agent</w:t>
            </w:r>
          </w:p>
        </w:tc>
        <w:tc>
          <w:tcPr>
            <w:tcW w:w="29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2</w:t>
            </w:r>
          </w:p>
        </w:tc>
        <w:tc>
          <w:tcPr>
            <w:tcW w:w="61" w:type="dxa"/>
            <w:tcBorders/>
            <w:vAlign w:val="bottom"/>
          </w:tcPr>
          <w:p>
            <w:pPr>
              <w:pStyle w:val="TableContents"/>
              <w:bidi w:val="0"/>
              <w:spacing w:before="0" w:after="283"/>
              <w:jc w:val="left"/>
              <w:rPr/>
            </w:pPr>
            <w:r>
              <w:rPr/>
              <w:t> </w:t>
            </w:r>
          </w:p>
        </w:tc>
      </w:tr>
      <w:tr>
        <w:trPr/>
        <w:tc>
          <w:tcPr>
            <w:tcW w:w="9338" w:type="dxa"/>
            <w:tcBorders/>
          </w:tcPr>
          <w:p>
            <w:pPr>
              <w:pStyle w:val="TableContents"/>
              <w:bidi w:val="0"/>
              <w:spacing w:before="0" w:after="0"/>
              <w:jc w:val="left"/>
              <w:rPr>
                <w:rFonts w:ascii="Times New Roman" w:hAnsi="Times New Roman"/>
                <w:sz w:val="20"/>
              </w:rPr>
            </w:pPr>
            <w:r>
              <w:rPr>
                <w:rFonts w:ascii="Times New Roman" w:hAnsi="Times New Roman"/>
                <w:sz w:val="20"/>
              </w:rPr>
              <w:t>Authorized Person</w:t>
            </w:r>
          </w:p>
        </w:tc>
        <w:tc>
          <w:tcPr>
            <w:tcW w:w="29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2</w:t>
            </w:r>
          </w:p>
        </w:tc>
        <w:tc>
          <w:tcPr>
            <w:tcW w:w="61" w:type="dxa"/>
            <w:tcBorders/>
            <w:vAlign w:val="bottom"/>
          </w:tcPr>
          <w:p>
            <w:pPr>
              <w:pStyle w:val="TableContents"/>
              <w:bidi w:val="0"/>
              <w:spacing w:before="0" w:after="283"/>
              <w:jc w:val="left"/>
              <w:rPr/>
            </w:pPr>
            <w:r>
              <w:rPr/>
              <w:t> </w:t>
            </w:r>
          </w:p>
        </w:tc>
      </w:tr>
      <w:tr>
        <w:trPr/>
        <w:tc>
          <w:tcPr>
            <w:tcW w:w="9338" w:type="dxa"/>
            <w:tcBorders/>
          </w:tcPr>
          <w:p>
            <w:pPr>
              <w:pStyle w:val="TableContents"/>
              <w:bidi w:val="0"/>
              <w:spacing w:before="0" w:after="0"/>
              <w:jc w:val="left"/>
              <w:rPr>
                <w:rFonts w:ascii="Times New Roman" w:hAnsi="Times New Roman"/>
                <w:sz w:val="20"/>
              </w:rPr>
            </w:pPr>
            <w:r>
              <w:rPr>
                <w:rFonts w:ascii="Times New Roman" w:hAnsi="Times New Roman"/>
                <w:sz w:val="20"/>
              </w:rPr>
              <w:t>Board of Directors</w:t>
            </w:r>
          </w:p>
        </w:tc>
        <w:tc>
          <w:tcPr>
            <w:tcW w:w="29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2</w:t>
            </w:r>
          </w:p>
        </w:tc>
        <w:tc>
          <w:tcPr>
            <w:tcW w:w="61" w:type="dxa"/>
            <w:tcBorders/>
            <w:vAlign w:val="bottom"/>
          </w:tcPr>
          <w:p>
            <w:pPr>
              <w:pStyle w:val="TableContents"/>
              <w:bidi w:val="0"/>
              <w:spacing w:before="0" w:after="283"/>
              <w:jc w:val="left"/>
              <w:rPr/>
            </w:pPr>
            <w:r>
              <w:rPr/>
              <w:t> </w:t>
            </w:r>
          </w:p>
        </w:tc>
      </w:tr>
      <w:tr>
        <w:trPr/>
        <w:tc>
          <w:tcPr>
            <w:tcW w:w="9338" w:type="dxa"/>
            <w:tcBorders/>
          </w:tcPr>
          <w:p>
            <w:pPr>
              <w:pStyle w:val="TableContents"/>
              <w:bidi w:val="0"/>
              <w:spacing w:before="0" w:after="0"/>
              <w:jc w:val="left"/>
              <w:rPr>
                <w:rFonts w:ascii="Times New Roman" w:hAnsi="Times New Roman"/>
                <w:sz w:val="20"/>
              </w:rPr>
            </w:pPr>
            <w:r>
              <w:rPr>
                <w:rFonts w:ascii="Times New Roman" w:hAnsi="Times New Roman"/>
                <w:sz w:val="20"/>
              </w:rPr>
              <w:t>Board Resolution</w:t>
            </w:r>
          </w:p>
        </w:tc>
        <w:tc>
          <w:tcPr>
            <w:tcW w:w="29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2</w:t>
            </w:r>
          </w:p>
        </w:tc>
        <w:tc>
          <w:tcPr>
            <w:tcW w:w="61" w:type="dxa"/>
            <w:tcBorders/>
            <w:vAlign w:val="bottom"/>
          </w:tcPr>
          <w:p>
            <w:pPr>
              <w:pStyle w:val="TableContents"/>
              <w:bidi w:val="0"/>
              <w:spacing w:before="0" w:after="283"/>
              <w:jc w:val="left"/>
              <w:rPr/>
            </w:pPr>
            <w:r>
              <w:rPr/>
              <w:t> </w:t>
            </w:r>
          </w:p>
        </w:tc>
      </w:tr>
      <w:tr>
        <w:trPr/>
        <w:tc>
          <w:tcPr>
            <w:tcW w:w="9338" w:type="dxa"/>
            <w:tcBorders/>
          </w:tcPr>
          <w:p>
            <w:pPr>
              <w:pStyle w:val="TableContents"/>
              <w:bidi w:val="0"/>
              <w:spacing w:before="0" w:after="0"/>
              <w:jc w:val="left"/>
              <w:rPr>
                <w:rFonts w:ascii="Times New Roman" w:hAnsi="Times New Roman"/>
                <w:sz w:val="20"/>
              </w:rPr>
            </w:pPr>
            <w:r>
              <w:rPr>
                <w:rFonts w:ascii="Times New Roman" w:hAnsi="Times New Roman"/>
                <w:sz w:val="20"/>
              </w:rPr>
              <w:t>Business Day</w:t>
            </w:r>
          </w:p>
        </w:tc>
        <w:tc>
          <w:tcPr>
            <w:tcW w:w="29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2</w:t>
            </w:r>
          </w:p>
        </w:tc>
        <w:tc>
          <w:tcPr>
            <w:tcW w:w="61" w:type="dxa"/>
            <w:tcBorders/>
            <w:vAlign w:val="bottom"/>
          </w:tcPr>
          <w:p>
            <w:pPr>
              <w:pStyle w:val="TableContents"/>
              <w:bidi w:val="0"/>
              <w:spacing w:before="0" w:after="283"/>
              <w:jc w:val="left"/>
              <w:rPr/>
            </w:pPr>
            <w:r>
              <w:rPr/>
              <w:t> </w:t>
            </w:r>
          </w:p>
        </w:tc>
      </w:tr>
      <w:tr>
        <w:trPr/>
        <w:tc>
          <w:tcPr>
            <w:tcW w:w="9338" w:type="dxa"/>
            <w:tcBorders/>
          </w:tcPr>
          <w:p>
            <w:pPr>
              <w:pStyle w:val="TableContents"/>
              <w:bidi w:val="0"/>
              <w:spacing w:before="0" w:after="0"/>
              <w:jc w:val="left"/>
              <w:rPr>
                <w:rFonts w:ascii="Times New Roman" w:hAnsi="Times New Roman"/>
                <w:sz w:val="20"/>
              </w:rPr>
            </w:pPr>
            <w:r>
              <w:rPr>
                <w:rFonts w:ascii="Times New Roman" w:hAnsi="Times New Roman"/>
                <w:sz w:val="20"/>
              </w:rPr>
              <w:t>Change of Control</w:t>
            </w:r>
          </w:p>
        </w:tc>
        <w:tc>
          <w:tcPr>
            <w:tcW w:w="29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3</w:t>
            </w:r>
          </w:p>
        </w:tc>
        <w:tc>
          <w:tcPr>
            <w:tcW w:w="61" w:type="dxa"/>
            <w:tcBorders/>
            <w:vAlign w:val="bottom"/>
          </w:tcPr>
          <w:p>
            <w:pPr>
              <w:pStyle w:val="TableContents"/>
              <w:bidi w:val="0"/>
              <w:spacing w:before="0" w:after="283"/>
              <w:jc w:val="left"/>
              <w:rPr/>
            </w:pPr>
            <w:r>
              <w:rPr/>
              <w:t> </w:t>
            </w:r>
          </w:p>
        </w:tc>
      </w:tr>
      <w:tr>
        <w:trPr/>
        <w:tc>
          <w:tcPr>
            <w:tcW w:w="9338" w:type="dxa"/>
            <w:tcBorders/>
          </w:tcPr>
          <w:p>
            <w:pPr>
              <w:pStyle w:val="TableContents"/>
              <w:bidi w:val="0"/>
              <w:spacing w:before="0" w:after="0"/>
              <w:jc w:val="left"/>
              <w:rPr>
                <w:rFonts w:ascii="Times New Roman" w:hAnsi="Times New Roman"/>
                <w:sz w:val="20"/>
              </w:rPr>
            </w:pPr>
            <w:r>
              <w:rPr>
                <w:rFonts w:ascii="Times New Roman" w:hAnsi="Times New Roman"/>
                <w:sz w:val="20"/>
              </w:rPr>
              <w:t>Change of Control Event</w:t>
            </w:r>
          </w:p>
        </w:tc>
        <w:tc>
          <w:tcPr>
            <w:tcW w:w="29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3</w:t>
            </w:r>
          </w:p>
        </w:tc>
        <w:tc>
          <w:tcPr>
            <w:tcW w:w="61" w:type="dxa"/>
            <w:tcBorders/>
            <w:vAlign w:val="bottom"/>
          </w:tcPr>
          <w:p>
            <w:pPr>
              <w:pStyle w:val="TableContents"/>
              <w:bidi w:val="0"/>
              <w:spacing w:before="0" w:after="283"/>
              <w:jc w:val="left"/>
              <w:rPr/>
            </w:pPr>
            <w:r>
              <w:rPr/>
              <w:t> </w:t>
            </w:r>
          </w:p>
        </w:tc>
      </w:tr>
      <w:tr>
        <w:trPr/>
        <w:tc>
          <w:tcPr>
            <w:tcW w:w="9338" w:type="dxa"/>
            <w:tcBorders/>
          </w:tcPr>
          <w:p>
            <w:pPr>
              <w:pStyle w:val="TableContents"/>
              <w:bidi w:val="0"/>
              <w:spacing w:before="0" w:after="0"/>
              <w:jc w:val="left"/>
              <w:rPr>
                <w:rFonts w:ascii="Times New Roman" w:hAnsi="Times New Roman"/>
                <w:sz w:val="20"/>
              </w:rPr>
            </w:pPr>
            <w:r>
              <w:rPr>
                <w:rFonts w:ascii="Times New Roman" w:hAnsi="Times New Roman"/>
                <w:sz w:val="20"/>
              </w:rPr>
              <w:t>Change of Control Offer</w:t>
            </w:r>
          </w:p>
        </w:tc>
        <w:tc>
          <w:tcPr>
            <w:tcW w:w="29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3</w:t>
            </w:r>
          </w:p>
        </w:tc>
        <w:tc>
          <w:tcPr>
            <w:tcW w:w="61" w:type="dxa"/>
            <w:tcBorders/>
            <w:vAlign w:val="bottom"/>
          </w:tcPr>
          <w:p>
            <w:pPr>
              <w:pStyle w:val="TableContents"/>
              <w:bidi w:val="0"/>
              <w:spacing w:before="0" w:after="283"/>
              <w:jc w:val="left"/>
              <w:rPr/>
            </w:pPr>
            <w:r>
              <w:rPr/>
              <w:t> </w:t>
            </w:r>
          </w:p>
        </w:tc>
      </w:tr>
      <w:tr>
        <w:trPr/>
        <w:tc>
          <w:tcPr>
            <w:tcW w:w="9338" w:type="dxa"/>
            <w:tcBorders/>
          </w:tcPr>
          <w:p>
            <w:pPr>
              <w:pStyle w:val="TableContents"/>
              <w:bidi w:val="0"/>
              <w:spacing w:before="0" w:after="0"/>
              <w:jc w:val="left"/>
              <w:rPr>
                <w:rFonts w:ascii="Times New Roman" w:hAnsi="Times New Roman"/>
                <w:sz w:val="20"/>
              </w:rPr>
            </w:pPr>
            <w:r>
              <w:rPr>
                <w:rFonts w:ascii="Times New Roman" w:hAnsi="Times New Roman"/>
                <w:sz w:val="20"/>
              </w:rPr>
              <w:t>Change of Control Payment</w:t>
            </w:r>
          </w:p>
        </w:tc>
        <w:tc>
          <w:tcPr>
            <w:tcW w:w="29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3</w:t>
            </w:r>
          </w:p>
        </w:tc>
        <w:tc>
          <w:tcPr>
            <w:tcW w:w="61" w:type="dxa"/>
            <w:tcBorders/>
            <w:vAlign w:val="bottom"/>
          </w:tcPr>
          <w:p>
            <w:pPr>
              <w:pStyle w:val="TableContents"/>
              <w:bidi w:val="0"/>
              <w:spacing w:before="0" w:after="283"/>
              <w:jc w:val="left"/>
              <w:rPr/>
            </w:pPr>
            <w:r>
              <w:rPr/>
              <w:t> </w:t>
            </w:r>
          </w:p>
        </w:tc>
      </w:tr>
      <w:tr>
        <w:trPr/>
        <w:tc>
          <w:tcPr>
            <w:tcW w:w="9338" w:type="dxa"/>
            <w:tcBorders/>
          </w:tcPr>
          <w:p>
            <w:pPr>
              <w:pStyle w:val="TableContents"/>
              <w:bidi w:val="0"/>
              <w:spacing w:before="0" w:after="0"/>
              <w:jc w:val="left"/>
              <w:rPr>
                <w:rFonts w:ascii="Times New Roman" w:hAnsi="Times New Roman"/>
                <w:sz w:val="20"/>
              </w:rPr>
            </w:pPr>
            <w:r>
              <w:rPr>
                <w:rFonts w:ascii="Times New Roman" w:hAnsi="Times New Roman"/>
                <w:sz w:val="20"/>
              </w:rPr>
              <w:t>Change of Control Payment Date</w:t>
            </w:r>
          </w:p>
        </w:tc>
        <w:tc>
          <w:tcPr>
            <w:tcW w:w="29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3</w:t>
            </w:r>
          </w:p>
        </w:tc>
        <w:tc>
          <w:tcPr>
            <w:tcW w:w="61" w:type="dxa"/>
            <w:tcBorders/>
            <w:vAlign w:val="bottom"/>
          </w:tcPr>
          <w:p>
            <w:pPr>
              <w:pStyle w:val="TableContents"/>
              <w:bidi w:val="0"/>
              <w:spacing w:before="0" w:after="283"/>
              <w:jc w:val="left"/>
              <w:rPr/>
            </w:pPr>
            <w:r>
              <w:rPr/>
              <w:t> </w:t>
            </w:r>
          </w:p>
        </w:tc>
      </w:tr>
      <w:tr>
        <w:trPr/>
        <w:tc>
          <w:tcPr>
            <w:tcW w:w="9338" w:type="dxa"/>
            <w:tcBorders/>
          </w:tcPr>
          <w:p>
            <w:pPr>
              <w:pStyle w:val="TableContents"/>
              <w:bidi w:val="0"/>
              <w:spacing w:before="0" w:after="0"/>
              <w:jc w:val="left"/>
              <w:rPr>
                <w:rFonts w:ascii="Times New Roman" w:hAnsi="Times New Roman"/>
                <w:sz w:val="20"/>
              </w:rPr>
            </w:pPr>
            <w:r>
              <w:rPr>
                <w:rFonts w:ascii="Times New Roman" w:hAnsi="Times New Roman"/>
                <w:sz w:val="20"/>
              </w:rPr>
              <w:t>Code</w:t>
            </w:r>
          </w:p>
        </w:tc>
        <w:tc>
          <w:tcPr>
            <w:tcW w:w="29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3</w:t>
            </w:r>
          </w:p>
        </w:tc>
        <w:tc>
          <w:tcPr>
            <w:tcW w:w="61" w:type="dxa"/>
            <w:tcBorders/>
            <w:vAlign w:val="bottom"/>
          </w:tcPr>
          <w:p>
            <w:pPr>
              <w:pStyle w:val="TableContents"/>
              <w:bidi w:val="0"/>
              <w:spacing w:before="0" w:after="283"/>
              <w:jc w:val="left"/>
              <w:rPr/>
            </w:pPr>
            <w:r>
              <w:rPr/>
              <w:t> </w:t>
            </w:r>
          </w:p>
        </w:tc>
      </w:tr>
      <w:tr>
        <w:trPr/>
        <w:tc>
          <w:tcPr>
            <w:tcW w:w="9338" w:type="dxa"/>
            <w:tcBorders/>
          </w:tcPr>
          <w:p>
            <w:pPr>
              <w:pStyle w:val="TableContents"/>
              <w:bidi w:val="0"/>
              <w:spacing w:before="0" w:after="0"/>
              <w:jc w:val="left"/>
              <w:rPr>
                <w:rFonts w:ascii="Times New Roman" w:hAnsi="Times New Roman"/>
                <w:sz w:val="20"/>
              </w:rPr>
            </w:pPr>
            <w:r>
              <w:rPr>
                <w:rFonts w:ascii="Times New Roman" w:hAnsi="Times New Roman"/>
                <w:sz w:val="20"/>
              </w:rPr>
              <w:t>Commission</w:t>
            </w:r>
          </w:p>
        </w:tc>
        <w:tc>
          <w:tcPr>
            <w:tcW w:w="29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3</w:t>
            </w:r>
          </w:p>
        </w:tc>
        <w:tc>
          <w:tcPr>
            <w:tcW w:w="61" w:type="dxa"/>
            <w:tcBorders/>
            <w:vAlign w:val="bottom"/>
          </w:tcPr>
          <w:p>
            <w:pPr>
              <w:pStyle w:val="TableContents"/>
              <w:bidi w:val="0"/>
              <w:spacing w:before="0" w:after="283"/>
              <w:jc w:val="left"/>
              <w:rPr/>
            </w:pPr>
            <w:r>
              <w:rPr/>
              <w:t> </w:t>
            </w:r>
          </w:p>
        </w:tc>
      </w:tr>
      <w:tr>
        <w:trPr/>
        <w:tc>
          <w:tcPr>
            <w:tcW w:w="9338" w:type="dxa"/>
            <w:tcBorders/>
          </w:tcPr>
          <w:p>
            <w:pPr>
              <w:pStyle w:val="TableContents"/>
              <w:bidi w:val="0"/>
              <w:spacing w:before="0" w:after="0"/>
              <w:jc w:val="left"/>
              <w:rPr>
                <w:rFonts w:ascii="Times New Roman" w:hAnsi="Times New Roman"/>
                <w:sz w:val="20"/>
              </w:rPr>
            </w:pPr>
            <w:r>
              <w:rPr>
                <w:rFonts w:ascii="Times New Roman" w:hAnsi="Times New Roman"/>
                <w:sz w:val="20"/>
              </w:rPr>
              <w:t>Common Shares</w:t>
            </w:r>
          </w:p>
        </w:tc>
        <w:tc>
          <w:tcPr>
            <w:tcW w:w="29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3</w:t>
            </w:r>
          </w:p>
        </w:tc>
        <w:tc>
          <w:tcPr>
            <w:tcW w:w="61" w:type="dxa"/>
            <w:tcBorders/>
            <w:vAlign w:val="bottom"/>
          </w:tcPr>
          <w:p>
            <w:pPr>
              <w:pStyle w:val="TableContents"/>
              <w:bidi w:val="0"/>
              <w:spacing w:before="0" w:after="283"/>
              <w:jc w:val="left"/>
              <w:rPr/>
            </w:pPr>
            <w:r>
              <w:rPr/>
              <w:t> </w:t>
            </w:r>
          </w:p>
        </w:tc>
      </w:tr>
      <w:tr>
        <w:trPr/>
        <w:tc>
          <w:tcPr>
            <w:tcW w:w="9338" w:type="dxa"/>
            <w:tcBorders/>
          </w:tcPr>
          <w:p>
            <w:pPr>
              <w:pStyle w:val="TableContents"/>
              <w:bidi w:val="0"/>
              <w:spacing w:before="0" w:after="0"/>
              <w:jc w:val="left"/>
              <w:rPr>
                <w:rFonts w:ascii="Times New Roman" w:hAnsi="Times New Roman"/>
                <w:sz w:val="20"/>
              </w:rPr>
            </w:pPr>
            <w:r>
              <w:rPr>
                <w:rFonts w:ascii="Times New Roman" w:hAnsi="Times New Roman"/>
                <w:sz w:val="20"/>
              </w:rPr>
              <w:t>Company</w:t>
            </w:r>
          </w:p>
        </w:tc>
        <w:tc>
          <w:tcPr>
            <w:tcW w:w="29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3</w:t>
            </w:r>
          </w:p>
        </w:tc>
        <w:tc>
          <w:tcPr>
            <w:tcW w:w="61" w:type="dxa"/>
            <w:tcBorders/>
            <w:vAlign w:val="bottom"/>
          </w:tcPr>
          <w:p>
            <w:pPr>
              <w:pStyle w:val="TableContents"/>
              <w:bidi w:val="0"/>
              <w:spacing w:before="0" w:after="283"/>
              <w:jc w:val="left"/>
              <w:rPr/>
            </w:pPr>
            <w:r>
              <w:rPr/>
              <w:t> </w:t>
            </w:r>
          </w:p>
        </w:tc>
      </w:tr>
      <w:tr>
        <w:trPr/>
        <w:tc>
          <w:tcPr>
            <w:tcW w:w="9338" w:type="dxa"/>
            <w:tcBorders/>
          </w:tcPr>
          <w:p>
            <w:pPr>
              <w:pStyle w:val="TableContents"/>
              <w:bidi w:val="0"/>
              <w:spacing w:before="0" w:after="0"/>
              <w:jc w:val="left"/>
              <w:rPr>
                <w:rFonts w:ascii="Times New Roman" w:hAnsi="Times New Roman"/>
                <w:sz w:val="20"/>
              </w:rPr>
            </w:pPr>
            <w:r>
              <w:rPr>
                <w:rFonts w:ascii="Times New Roman" w:hAnsi="Times New Roman"/>
                <w:sz w:val="20"/>
              </w:rPr>
              <w:t>Company Request</w:t>
            </w:r>
          </w:p>
        </w:tc>
        <w:tc>
          <w:tcPr>
            <w:tcW w:w="29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3</w:t>
            </w:r>
          </w:p>
        </w:tc>
        <w:tc>
          <w:tcPr>
            <w:tcW w:w="61" w:type="dxa"/>
            <w:tcBorders/>
            <w:vAlign w:val="bottom"/>
          </w:tcPr>
          <w:p>
            <w:pPr>
              <w:pStyle w:val="TableContents"/>
              <w:bidi w:val="0"/>
              <w:spacing w:before="0" w:after="283"/>
              <w:jc w:val="left"/>
              <w:rPr/>
            </w:pPr>
            <w:r>
              <w:rPr/>
              <w:t> </w:t>
            </w:r>
          </w:p>
        </w:tc>
      </w:tr>
      <w:tr>
        <w:trPr/>
        <w:tc>
          <w:tcPr>
            <w:tcW w:w="9338" w:type="dxa"/>
            <w:tcBorders/>
          </w:tcPr>
          <w:p>
            <w:pPr>
              <w:pStyle w:val="TableContents"/>
              <w:bidi w:val="0"/>
              <w:spacing w:before="0" w:after="0"/>
              <w:jc w:val="left"/>
              <w:rPr>
                <w:rFonts w:ascii="Times New Roman" w:hAnsi="Times New Roman"/>
                <w:sz w:val="20"/>
              </w:rPr>
            </w:pPr>
            <w:r>
              <w:rPr>
                <w:rFonts w:ascii="Times New Roman" w:hAnsi="Times New Roman"/>
                <w:sz w:val="20"/>
              </w:rPr>
              <w:t>Company Order</w:t>
            </w:r>
          </w:p>
        </w:tc>
        <w:tc>
          <w:tcPr>
            <w:tcW w:w="29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3</w:t>
            </w:r>
          </w:p>
        </w:tc>
        <w:tc>
          <w:tcPr>
            <w:tcW w:w="61" w:type="dxa"/>
            <w:tcBorders/>
            <w:vAlign w:val="bottom"/>
          </w:tcPr>
          <w:p>
            <w:pPr>
              <w:pStyle w:val="TableContents"/>
              <w:bidi w:val="0"/>
              <w:spacing w:before="0" w:after="283"/>
              <w:jc w:val="left"/>
              <w:rPr/>
            </w:pPr>
            <w:r>
              <w:rPr/>
              <w:t> </w:t>
            </w:r>
          </w:p>
        </w:tc>
      </w:tr>
      <w:tr>
        <w:trPr/>
        <w:tc>
          <w:tcPr>
            <w:tcW w:w="9338" w:type="dxa"/>
            <w:tcBorders/>
          </w:tcPr>
          <w:p>
            <w:pPr>
              <w:pStyle w:val="TableContents"/>
              <w:bidi w:val="0"/>
              <w:spacing w:before="0" w:after="0"/>
              <w:jc w:val="left"/>
              <w:rPr>
                <w:rFonts w:ascii="Times New Roman" w:hAnsi="Times New Roman"/>
                <w:sz w:val="20"/>
              </w:rPr>
            </w:pPr>
            <w:r>
              <w:rPr>
                <w:rFonts w:ascii="Times New Roman" w:hAnsi="Times New Roman"/>
                <w:sz w:val="20"/>
              </w:rPr>
              <w:t>Corporate Trust Office</w:t>
            </w:r>
          </w:p>
        </w:tc>
        <w:tc>
          <w:tcPr>
            <w:tcW w:w="29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3</w:t>
            </w:r>
          </w:p>
        </w:tc>
        <w:tc>
          <w:tcPr>
            <w:tcW w:w="61" w:type="dxa"/>
            <w:tcBorders/>
            <w:vAlign w:val="bottom"/>
          </w:tcPr>
          <w:p>
            <w:pPr>
              <w:pStyle w:val="TableContents"/>
              <w:bidi w:val="0"/>
              <w:spacing w:before="0" w:after="283"/>
              <w:jc w:val="left"/>
              <w:rPr/>
            </w:pPr>
            <w:r>
              <w:rPr/>
              <w:t> </w:t>
            </w:r>
          </w:p>
        </w:tc>
      </w:tr>
      <w:tr>
        <w:trPr/>
        <w:tc>
          <w:tcPr>
            <w:tcW w:w="9338" w:type="dxa"/>
            <w:tcBorders/>
          </w:tcPr>
          <w:p>
            <w:pPr>
              <w:pStyle w:val="TableContents"/>
              <w:bidi w:val="0"/>
              <w:spacing w:before="0" w:after="0"/>
              <w:jc w:val="left"/>
              <w:rPr>
                <w:rFonts w:ascii="Times New Roman" w:hAnsi="Times New Roman"/>
                <w:sz w:val="20"/>
              </w:rPr>
            </w:pPr>
            <w:r>
              <w:rPr>
                <w:rFonts w:ascii="Times New Roman" w:hAnsi="Times New Roman"/>
                <w:sz w:val="20"/>
              </w:rPr>
              <w:t>Covenant Defeasance</w:t>
            </w:r>
          </w:p>
        </w:tc>
        <w:tc>
          <w:tcPr>
            <w:tcW w:w="29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3</w:t>
            </w:r>
          </w:p>
        </w:tc>
        <w:tc>
          <w:tcPr>
            <w:tcW w:w="61" w:type="dxa"/>
            <w:tcBorders/>
            <w:vAlign w:val="bottom"/>
          </w:tcPr>
          <w:p>
            <w:pPr>
              <w:pStyle w:val="TableContents"/>
              <w:bidi w:val="0"/>
              <w:spacing w:before="0" w:after="283"/>
              <w:jc w:val="left"/>
              <w:rPr/>
            </w:pPr>
            <w:r>
              <w:rPr/>
              <w:t> </w:t>
            </w:r>
          </w:p>
        </w:tc>
      </w:tr>
      <w:tr>
        <w:trPr/>
        <w:tc>
          <w:tcPr>
            <w:tcW w:w="9338" w:type="dxa"/>
            <w:tcBorders/>
          </w:tcPr>
          <w:p>
            <w:pPr>
              <w:pStyle w:val="TableContents"/>
              <w:bidi w:val="0"/>
              <w:spacing w:before="0" w:after="0"/>
              <w:jc w:val="left"/>
              <w:rPr>
                <w:rFonts w:ascii="Times New Roman" w:hAnsi="Times New Roman"/>
                <w:sz w:val="20"/>
              </w:rPr>
            </w:pPr>
            <w:r>
              <w:rPr>
                <w:rFonts w:ascii="Times New Roman" w:hAnsi="Times New Roman"/>
                <w:sz w:val="20"/>
              </w:rPr>
              <w:t>Defaulted Interest</w:t>
            </w:r>
          </w:p>
        </w:tc>
        <w:tc>
          <w:tcPr>
            <w:tcW w:w="29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3</w:t>
            </w:r>
          </w:p>
        </w:tc>
        <w:tc>
          <w:tcPr>
            <w:tcW w:w="61" w:type="dxa"/>
            <w:tcBorders/>
            <w:vAlign w:val="bottom"/>
          </w:tcPr>
          <w:p>
            <w:pPr>
              <w:pStyle w:val="TableContents"/>
              <w:bidi w:val="0"/>
              <w:spacing w:before="0" w:after="283"/>
              <w:jc w:val="left"/>
              <w:rPr/>
            </w:pPr>
            <w:r>
              <w:rPr/>
              <w:t> </w:t>
            </w:r>
          </w:p>
        </w:tc>
      </w:tr>
      <w:tr>
        <w:trPr/>
        <w:tc>
          <w:tcPr>
            <w:tcW w:w="9338" w:type="dxa"/>
            <w:tcBorders/>
          </w:tcPr>
          <w:p>
            <w:pPr>
              <w:pStyle w:val="TableContents"/>
              <w:bidi w:val="0"/>
              <w:spacing w:before="0" w:after="0"/>
              <w:jc w:val="left"/>
              <w:rPr>
                <w:rFonts w:ascii="Times New Roman" w:hAnsi="Times New Roman"/>
                <w:sz w:val="20"/>
              </w:rPr>
            </w:pPr>
            <w:r>
              <w:rPr>
                <w:rFonts w:ascii="Times New Roman" w:hAnsi="Times New Roman"/>
                <w:sz w:val="20"/>
              </w:rPr>
              <w:t>Defeased Covenant</w:t>
            </w:r>
          </w:p>
        </w:tc>
        <w:tc>
          <w:tcPr>
            <w:tcW w:w="29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4</w:t>
            </w:r>
          </w:p>
        </w:tc>
        <w:tc>
          <w:tcPr>
            <w:tcW w:w="61" w:type="dxa"/>
            <w:tcBorders/>
            <w:vAlign w:val="bottom"/>
          </w:tcPr>
          <w:p>
            <w:pPr>
              <w:pStyle w:val="TableContents"/>
              <w:bidi w:val="0"/>
              <w:spacing w:before="0" w:after="283"/>
              <w:jc w:val="left"/>
              <w:rPr/>
            </w:pPr>
            <w:r>
              <w:rPr/>
              <w:t> </w:t>
            </w:r>
          </w:p>
        </w:tc>
      </w:tr>
      <w:tr>
        <w:trPr/>
        <w:tc>
          <w:tcPr>
            <w:tcW w:w="9338" w:type="dxa"/>
            <w:tcBorders/>
          </w:tcPr>
          <w:p>
            <w:pPr>
              <w:pStyle w:val="TableContents"/>
              <w:bidi w:val="0"/>
              <w:spacing w:before="0" w:after="0"/>
              <w:jc w:val="left"/>
              <w:rPr>
                <w:rFonts w:ascii="Times New Roman" w:hAnsi="Times New Roman"/>
                <w:sz w:val="20"/>
              </w:rPr>
            </w:pPr>
            <w:r>
              <w:rPr>
                <w:rFonts w:ascii="Times New Roman" w:hAnsi="Times New Roman"/>
                <w:sz w:val="20"/>
              </w:rPr>
              <w:t>Depositary</w:t>
            </w:r>
          </w:p>
        </w:tc>
        <w:tc>
          <w:tcPr>
            <w:tcW w:w="29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4</w:t>
            </w:r>
          </w:p>
        </w:tc>
        <w:tc>
          <w:tcPr>
            <w:tcW w:w="61" w:type="dxa"/>
            <w:tcBorders/>
            <w:vAlign w:val="bottom"/>
          </w:tcPr>
          <w:p>
            <w:pPr>
              <w:pStyle w:val="TableContents"/>
              <w:bidi w:val="0"/>
              <w:spacing w:before="0" w:after="283"/>
              <w:jc w:val="left"/>
              <w:rPr/>
            </w:pPr>
            <w:r>
              <w:rPr/>
              <w:t> </w:t>
            </w:r>
          </w:p>
        </w:tc>
      </w:tr>
      <w:tr>
        <w:trPr/>
        <w:tc>
          <w:tcPr>
            <w:tcW w:w="9338" w:type="dxa"/>
            <w:tcBorders/>
          </w:tcPr>
          <w:p>
            <w:pPr>
              <w:pStyle w:val="TableContents"/>
              <w:bidi w:val="0"/>
              <w:spacing w:before="0" w:after="0"/>
              <w:jc w:val="left"/>
              <w:rPr>
                <w:rFonts w:ascii="Times New Roman" w:hAnsi="Times New Roman"/>
                <w:sz w:val="20"/>
              </w:rPr>
            </w:pPr>
            <w:r>
              <w:rPr>
                <w:rFonts w:ascii="Times New Roman" w:hAnsi="Times New Roman"/>
                <w:sz w:val="20"/>
              </w:rPr>
              <w:t>Electronic Means</w:t>
            </w:r>
          </w:p>
        </w:tc>
        <w:tc>
          <w:tcPr>
            <w:tcW w:w="29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4</w:t>
            </w:r>
          </w:p>
        </w:tc>
        <w:tc>
          <w:tcPr>
            <w:tcW w:w="61" w:type="dxa"/>
            <w:tcBorders/>
            <w:vAlign w:val="bottom"/>
          </w:tcPr>
          <w:p>
            <w:pPr>
              <w:pStyle w:val="TableContents"/>
              <w:bidi w:val="0"/>
              <w:spacing w:before="0" w:after="283"/>
              <w:jc w:val="left"/>
              <w:rPr/>
            </w:pPr>
            <w:r>
              <w:rPr/>
              <w:t> </w:t>
            </w:r>
          </w:p>
        </w:tc>
      </w:tr>
      <w:tr>
        <w:trPr/>
        <w:tc>
          <w:tcPr>
            <w:tcW w:w="9338" w:type="dxa"/>
            <w:tcBorders/>
          </w:tcPr>
          <w:p>
            <w:pPr>
              <w:pStyle w:val="TableContents"/>
              <w:bidi w:val="0"/>
              <w:spacing w:before="0" w:after="0"/>
              <w:jc w:val="left"/>
              <w:rPr>
                <w:rFonts w:ascii="Times New Roman" w:hAnsi="Times New Roman"/>
                <w:sz w:val="20"/>
              </w:rPr>
            </w:pPr>
            <w:r>
              <w:rPr>
                <w:rFonts w:ascii="Times New Roman" w:hAnsi="Times New Roman"/>
                <w:sz w:val="20"/>
              </w:rPr>
              <w:t>Etablissements Peugeot Frères</w:t>
            </w:r>
          </w:p>
        </w:tc>
        <w:tc>
          <w:tcPr>
            <w:tcW w:w="29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4</w:t>
            </w:r>
          </w:p>
        </w:tc>
        <w:tc>
          <w:tcPr>
            <w:tcW w:w="61" w:type="dxa"/>
            <w:tcBorders/>
            <w:vAlign w:val="bottom"/>
          </w:tcPr>
          <w:p>
            <w:pPr>
              <w:pStyle w:val="TableContents"/>
              <w:bidi w:val="0"/>
              <w:spacing w:before="0" w:after="283"/>
              <w:jc w:val="left"/>
              <w:rPr/>
            </w:pPr>
            <w:r>
              <w:rPr/>
              <w:t> </w:t>
            </w:r>
          </w:p>
        </w:tc>
      </w:tr>
      <w:tr>
        <w:trPr/>
        <w:tc>
          <w:tcPr>
            <w:tcW w:w="9338" w:type="dxa"/>
            <w:tcBorders/>
          </w:tcPr>
          <w:p>
            <w:pPr>
              <w:pStyle w:val="TableContents"/>
              <w:bidi w:val="0"/>
              <w:spacing w:before="0" w:after="0"/>
              <w:jc w:val="left"/>
              <w:rPr>
                <w:rFonts w:ascii="Times New Roman" w:hAnsi="Times New Roman"/>
                <w:sz w:val="20"/>
              </w:rPr>
            </w:pPr>
            <w:r>
              <w:rPr>
                <w:rFonts w:ascii="Times New Roman" w:hAnsi="Times New Roman"/>
                <w:sz w:val="20"/>
              </w:rPr>
              <w:t>Event of Default</w:t>
            </w:r>
          </w:p>
        </w:tc>
        <w:tc>
          <w:tcPr>
            <w:tcW w:w="29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4</w:t>
            </w:r>
          </w:p>
        </w:tc>
        <w:tc>
          <w:tcPr>
            <w:tcW w:w="61" w:type="dxa"/>
            <w:tcBorders/>
            <w:vAlign w:val="bottom"/>
          </w:tcPr>
          <w:p>
            <w:pPr>
              <w:pStyle w:val="TableContents"/>
              <w:bidi w:val="0"/>
              <w:spacing w:before="0" w:after="283"/>
              <w:jc w:val="left"/>
              <w:rPr/>
            </w:pPr>
            <w:r>
              <w:rPr/>
              <w:t> </w:t>
            </w:r>
          </w:p>
        </w:tc>
      </w:tr>
      <w:tr>
        <w:trPr/>
        <w:tc>
          <w:tcPr>
            <w:tcW w:w="9338" w:type="dxa"/>
            <w:tcBorders/>
          </w:tcPr>
          <w:p>
            <w:pPr>
              <w:pStyle w:val="TableContents"/>
              <w:bidi w:val="0"/>
              <w:spacing w:before="0" w:after="0"/>
              <w:jc w:val="left"/>
              <w:rPr>
                <w:rFonts w:ascii="Times New Roman" w:hAnsi="Times New Roman"/>
                <w:sz w:val="20"/>
              </w:rPr>
            </w:pPr>
            <w:r>
              <w:rPr>
                <w:rFonts w:ascii="Times New Roman" w:hAnsi="Times New Roman"/>
                <w:sz w:val="20"/>
              </w:rPr>
              <w:t>Exchange Act</w:t>
            </w:r>
          </w:p>
        </w:tc>
        <w:tc>
          <w:tcPr>
            <w:tcW w:w="29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4</w:t>
            </w:r>
          </w:p>
        </w:tc>
        <w:tc>
          <w:tcPr>
            <w:tcW w:w="61" w:type="dxa"/>
            <w:tcBorders/>
            <w:vAlign w:val="bottom"/>
          </w:tcPr>
          <w:p>
            <w:pPr>
              <w:pStyle w:val="TableContents"/>
              <w:bidi w:val="0"/>
              <w:spacing w:before="0" w:after="283"/>
              <w:jc w:val="left"/>
              <w:rPr/>
            </w:pPr>
            <w:r>
              <w:rPr/>
              <w:t> </w:t>
            </w:r>
          </w:p>
        </w:tc>
      </w:tr>
      <w:tr>
        <w:trPr/>
        <w:tc>
          <w:tcPr>
            <w:tcW w:w="9338" w:type="dxa"/>
            <w:tcBorders/>
          </w:tcPr>
          <w:p>
            <w:pPr>
              <w:pStyle w:val="TableContents"/>
              <w:bidi w:val="0"/>
              <w:spacing w:before="0" w:after="0"/>
              <w:jc w:val="left"/>
              <w:rPr>
                <w:rFonts w:ascii="Times New Roman" w:hAnsi="Times New Roman"/>
                <w:sz w:val="20"/>
              </w:rPr>
            </w:pPr>
            <w:r>
              <w:rPr>
                <w:rFonts w:ascii="Times New Roman" w:hAnsi="Times New Roman"/>
                <w:sz w:val="20"/>
              </w:rPr>
              <w:t>Expiration Date</w:t>
            </w:r>
          </w:p>
        </w:tc>
        <w:tc>
          <w:tcPr>
            <w:tcW w:w="29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4</w:t>
            </w:r>
          </w:p>
        </w:tc>
        <w:tc>
          <w:tcPr>
            <w:tcW w:w="61" w:type="dxa"/>
            <w:tcBorders/>
            <w:vAlign w:val="bottom"/>
          </w:tcPr>
          <w:p>
            <w:pPr>
              <w:pStyle w:val="TableContents"/>
              <w:bidi w:val="0"/>
              <w:spacing w:before="0" w:after="283"/>
              <w:jc w:val="left"/>
              <w:rPr/>
            </w:pPr>
            <w:r>
              <w:rPr/>
              <w:t> </w:t>
            </w:r>
          </w:p>
        </w:tc>
      </w:tr>
      <w:tr>
        <w:trPr/>
        <w:tc>
          <w:tcPr>
            <w:tcW w:w="9338" w:type="dxa"/>
            <w:tcBorders/>
          </w:tcPr>
          <w:p>
            <w:pPr>
              <w:pStyle w:val="TableContents"/>
              <w:bidi w:val="0"/>
              <w:spacing w:before="0" w:after="0"/>
              <w:jc w:val="left"/>
              <w:rPr>
                <w:rFonts w:ascii="Times New Roman" w:hAnsi="Times New Roman"/>
                <w:sz w:val="20"/>
              </w:rPr>
            </w:pPr>
            <w:r>
              <w:rPr>
                <w:rFonts w:ascii="Times New Roman" w:hAnsi="Times New Roman"/>
                <w:sz w:val="20"/>
              </w:rPr>
              <w:t>Financial Services Subsidiary</w:t>
            </w:r>
          </w:p>
        </w:tc>
        <w:tc>
          <w:tcPr>
            <w:tcW w:w="29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4</w:t>
            </w:r>
          </w:p>
        </w:tc>
        <w:tc>
          <w:tcPr>
            <w:tcW w:w="61" w:type="dxa"/>
            <w:tcBorders/>
            <w:vAlign w:val="bottom"/>
          </w:tcPr>
          <w:p>
            <w:pPr>
              <w:pStyle w:val="TableContents"/>
              <w:bidi w:val="0"/>
              <w:spacing w:before="0" w:after="283"/>
              <w:jc w:val="left"/>
              <w:rPr/>
            </w:pPr>
            <w:r>
              <w:rPr/>
              <w:t> </w:t>
            </w:r>
          </w:p>
        </w:tc>
      </w:tr>
      <w:tr>
        <w:trPr/>
        <w:tc>
          <w:tcPr>
            <w:tcW w:w="9338" w:type="dxa"/>
            <w:tcBorders/>
          </w:tcPr>
          <w:p>
            <w:pPr>
              <w:pStyle w:val="TableContents"/>
              <w:bidi w:val="0"/>
              <w:spacing w:before="0" w:after="0"/>
              <w:jc w:val="left"/>
              <w:rPr>
                <w:rFonts w:ascii="Times New Roman" w:hAnsi="Times New Roman"/>
                <w:sz w:val="20"/>
              </w:rPr>
            </w:pPr>
            <w:r>
              <w:rPr>
                <w:rFonts w:ascii="Times New Roman" w:hAnsi="Times New Roman"/>
                <w:sz w:val="20"/>
              </w:rPr>
              <w:t>Global Security</w:t>
            </w:r>
          </w:p>
        </w:tc>
        <w:tc>
          <w:tcPr>
            <w:tcW w:w="29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5</w:t>
            </w:r>
          </w:p>
        </w:tc>
        <w:tc>
          <w:tcPr>
            <w:tcW w:w="61" w:type="dxa"/>
            <w:tcBorders/>
            <w:vAlign w:val="bottom"/>
          </w:tcPr>
          <w:p>
            <w:pPr>
              <w:pStyle w:val="TableContents"/>
              <w:bidi w:val="0"/>
              <w:spacing w:before="0" w:after="283"/>
              <w:jc w:val="left"/>
              <w:rPr/>
            </w:pPr>
            <w:r>
              <w:rPr/>
              <w:t> </w:t>
            </w:r>
          </w:p>
        </w:tc>
      </w:tr>
      <w:tr>
        <w:trPr/>
        <w:tc>
          <w:tcPr>
            <w:tcW w:w="9338" w:type="dxa"/>
            <w:tcBorders/>
          </w:tcPr>
          <w:p>
            <w:pPr>
              <w:pStyle w:val="TableContents"/>
              <w:bidi w:val="0"/>
              <w:spacing w:before="0" w:after="0"/>
              <w:jc w:val="left"/>
              <w:rPr>
                <w:rFonts w:ascii="Times New Roman" w:hAnsi="Times New Roman"/>
                <w:sz w:val="20"/>
              </w:rPr>
            </w:pPr>
            <w:r>
              <w:rPr>
                <w:rFonts w:ascii="Times New Roman" w:hAnsi="Times New Roman"/>
                <w:sz w:val="20"/>
              </w:rPr>
              <w:t>Government Securities</w:t>
            </w:r>
          </w:p>
        </w:tc>
        <w:tc>
          <w:tcPr>
            <w:tcW w:w="29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5</w:t>
            </w:r>
          </w:p>
        </w:tc>
        <w:tc>
          <w:tcPr>
            <w:tcW w:w="61" w:type="dxa"/>
            <w:tcBorders/>
            <w:vAlign w:val="bottom"/>
          </w:tcPr>
          <w:p>
            <w:pPr>
              <w:pStyle w:val="TableContents"/>
              <w:bidi w:val="0"/>
              <w:spacing w:before="0" w:after="283"/>
              <w:jc w:val="left"/>
              <w:rPr/>
            </w:pPr>
            <w:r>
              <w:rPr/>
              <w:t> </w:t>
            </w:r>
          </w:p>
        </w:tc>
      </w:tr>
      <w:tr>
        <w:trPr/>
        <w:tc>
          <w:tcPr>
            <w:tcW w:w="9338" w:type="dxa"/>
            <w:tcBorders/>
          </w:tcPr>
          <w:p>
            <w:pPr>
              <w:pStyle w:val="TableContents"/>
              <w:bidi w:val="0"/>
              <w:spacing w:before="0" w:after="0"/>
              <w:jc w:val="left"/>
              <w:rPr>
                <w:rFonts w:ascii="Times New Roman" w:hAnsi="Times New Roman"/>
                <w:sz w:val="20"/>
              </w:rPr>
            </w:pPr>
            <w:r>
              <w:rPr>
                <w:rFonts w:ascii="Times New Roman" w:hAnsi="Times New Roman"/>
                <w:sz w:val="20"/>
              </w:rPr>
              <w:t>Guarantee</w:t>
            </w:r>
          </w:p>
        </w:tc>
        <w:tc>
          <w:tcPr>
            <w:tcW w:w="29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5</w:t>
            </w:r>
          </w:p>
        </w:tc>
        <w:tc>
          <w:tcPr>
            <w:tcW w:w="61" w:type="dxa"/>
            <w:tcBorders/>
            <w:vAlign w:val="bottom"/>
          </w:tcPr>
          <w:p>
            <w:pPr>
              <w:pStyle w:val="TableContents"/>
              <w:bidi w:val="0"/>
              <w:spacing w:before="0" w:after="283"/>
              <w:jc w:val="left"/>
              <w:rPr/>
            </w:pPr>
            <w:r>
              <w:rPr/>
              <w:t> </w:t>
            </w:r>
          </w:p>
        </w:tc>
      </w:tr>
      <w:tr>
        <w:trPr/>
        <w:tc>
          <w:tcPr>
            <w:tcW w:w="9338" w:type="dxa"/>
            <w:tcBorders/>
          </w:tcPr>
          <w:p>
            <w:pPr>
              <w:pStyle w:val="TableContents"/>
              <w:bidi w:val="0"/>
              <w:spacing w:before="0" w:after="0"/>
              <w:jc w:val="left"/>
              <w:rPr>
                <w:rFonts w:ascii="Times New Roman" w:hAnsi="Times New Roman"/>
                <w:sz w:val="20"/>
              </w:rPr>
            </w:pPr>
            <w:r>
              <w:rPr>
                <w:rFonts w:ascii="Times New Roman" w:hAnsi="Times New Roman"/>
                <w:sz w:val="20"/>
              </w:rPr>
              <w:t>Guarantor</w:t>
            </w:r>
          </w:p>
        </w:tc>
        <w:tc>
          <w:tcPr>
            <w:tcW w:w="29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5</w:t>
            </w:r>
          </w:p>
        </w:tc>
        <w:tc>
          <w:tcPr>
            <w:tcW w:w="61" w:type="dxa"/>
            <w:tcBorders/>
            <w:vAlign w:val="bottom"/>
          </w:tcPr>
          <w:p>
            <w:pPr>
              <w:pStyle w:val="TableContents"/>
              <w:bidi w:val="0"/>
              <w:spacing w:before="0" w:after="283"/>
              <w:jc w:val="left"/>
              <w:rPr/>
            </w:pPr>
            <w:r>
              <w:rPr/>
              <w:t> </w:t>
            </w:r>
          </w:p>
        </w:tc>
      </w:tr>
      <w:tr>
        <w:trPr/>
        <w:tc>
          <w:tcPr>
            <w:tcW w:w="9338" w:type="dxa"/>
            <w:tcBorders/>
          </w:tcPr>
          <w:p>
            <w:pPr>
              <w:pStyle w:val="TableContents"/>
              <w:bidi w:val="0"/>
              <w:spacing w:before="0" w:after="0"/>
              <w:jc w:val="left"/>
              <w:rPr>
                <w:rFonts w:ascii="Times New Roman" w:hAnsi="Times New Roman"/>
                <w:sz w:val="20"/>
              </w:rPr>
            </w:pPr>
            <w:r>
              <w:rPr>
                <w:rFonts w:ascii="Times New Roman" w:hAnsi="Times New Roman"/>
                <w:sz w:val="20"/>
              </w:rPr>
              <w:t>Holder</w:t>
            </w:r>
          </w:p>
        </w:tc>
        <w:tc>
          <w:tcPr>
            <w:tcW w:w="29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5</w:t>
            </w:r>
          </w:p>
        </w:tc>
        <w:tc>
          <w:tcPr>
            <w:tcW w:w="61"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9647"/>
        <w:gridCol w:w="171"/>
        <w:gridCol w:w="60"/>
        <w:gridCol w:w="265"/>
        <w:gridCol w:w="62"/>
      </w:tblGrid>
      <w:tr>
        <w:trPr/>
        <w:tc>
          <w:tcPr>
            <w:tcW w:w="9647" w:type="dxa"/>
            <w:tcBorders/>
            <w:vAlign w:val="center"/>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647" w:type="dxa"/>
            <w:tcBorders/>
          </w:tcPr>
          <w:p>
            <w:pPr>
              <w:pStyle w:val="TableContents"/>
              <w:bidi w:val="0"/>
              <w:spacing w:before="0" w:after="0"/>
              <w:jc w:val="left"/>
              <w:rPr>
                <w:rFonts w:ascii="Times New Roman" w:hAnsi="Times New Roman"/>
                <w:sz w:val="20"/>
              </w:rPr>
            </w:pPr>
            <w:r>
              <w:rPr>
                <w:rFonts w:ascii="Times New Roman" w:hAnsi="Times New Roman"/>
                <w:sz w:val="20"/>
              </w:rPr>
              <w:t>Indebtedness</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9647" w:type="dxa"/>
            <w:tcBorders/>
          </w:tcPr>
          <w:p>
            <w:pPr>
              <w:pStyle w:val="TableContents"/>
              <w:bidi w:val="0"/>
              <w:spacing w:before="0" w:after="0"/>
              <w:jc w:val="left"/>
              <w:rPr>
                <w:rFonts w:ascii="Times New Roman" w:hAnsi="Times New Roman"/>
                <w:sz w:val="20"/>
              </w:rPr>
            </w:pPr>
            <w:r>
              <w:rPr>
                <w:rFonts w:ascii="Times New Roman" w:hAnsi="Times New Roman"/>
                <w:sz w:val="20"/>
              </w:rPr>
              <w:t>Indenture</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9647" w:type="dxa"/>
            <w:tcBorders/>
          </w:tcPr>
          <w:p>
            <w:pPr>
              <w:pStyle w:val="TableContents"/>
              <w:bidi w:val="0"/>
              <w:spacing w:before="0" w:after="0"/>
              <w:jc w:val="left"/>
              <w:rPr>
                <w:rFonts w:ascii="Times New Roman" w:hAnsi="Times New Roman"/>
                <w:sz w:val="20"/>
              </w:rPr>
            </w:pPr>
            <w:r>
              <w:rPr>
                <w:rFonts w:ascii="Times New Roman" w:hAnsi="Times New Roman"/>
                <w:sz w:val="20"/>
              </w:rPr>
              <w:t>Instructions</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9647" w:type="dxa"/>
            <w:tcBorders/>
          </w:tcPr>
          <w:p>
            <w:pPr>
              <w:pStyle w:val="TableContents"/>
              <w:bidi w:val="0"/>
              <w:spacing w:before="0" w:after="0"/>
              <w:jc w:val="left"/>
              <w:rPr>
                <w:rFonts w:ascii="Times New Roman" w:hAnsi="Times New Roman"/>
                <w:sz w:val="20"/>
              </w:rPr>
            </w:pPr>
            <w:r>
              <w:rPr>
                <w:rFonts w:ascii="Times New Roman" w:hAnsi="Times New Roman"/>
                <w:sz w:val="20"/>
              </w:rPr>
              <w:t>Interest</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9647" w:type="dxa"/>
            <w:tcBorders/>
          </w:tcPr>
          <w:p>
            <w:pPr>
              <w:pStyle w:val="TableContents"/>
              <w:bidi w:val="0"/>
              <w:spacing w:before="0" w:after="0"/>
              <w:jc w:val="left"/>
              <w:rPr>
                <w:rFonts w:ascii="Times New Roman" w:hAnsi="Times New Roman"/>
                <w:sz w:val="20"/>
              </w:rPr>
            </w:pPr>
            <w:r>
              <w:rPr>
                <w:rFonts w:ascii="Times New Roman" w:hAnsi="Times New Roman"/>
                <w:sz w:val="20"/>
              </w:rPr>
              <w:t>Investment Grade</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9647" w:type="dxa"/>
            <w:tcBorders/>
          </w:tcPr>
          <w:p>
            <w:pPr>
              <w:pStyle w:val="TableContents"/>
              <w:bidi w:val="0"/>
              <w:spacing w:before="0" w:after="0"/>
              <w:jc w:val="left"/>
              <w:rPr>
                <w:rFonts w:ascii="Times New Roman" w:hAnsi="Times New Roman"/>
                <w:sz w:val="20"/>
              </w:rPr>
            </w:pPr>
            <w:r>
              <w:rPr>
                <w:rFonts w:ascii="Times New Roman" w:hAnsi="Times New Roman"/>
                <w:sz w:val="20"/>
              </w:rPr>
              <w:t>Interest Payment Date</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9647" w:type="dxa"/>
            <w:tcBorders/>
          </w:tcPr>
          <w:p>
            <w:pPr>
              <w:pStyle w:val="TableContents"/>
              <w:bidi w:val="0"/>
              <w:spacing w:before="0" w:after="0"/>
              <w:jc w:val="left"/>
              <w:rPr>
                <w:rFonts w:ascii="Times New Roman" w:hAnsi="Times New Roman"/>
                <w:sz w:val="20"/>
              </w:rPr>
            </w:pPr>
            <w:r>
              <w:rPr>
                <w:rFonts w:ascii="Times New Roman" w:hAnsi="Times New Roman"/>
                <w:sz w:val="20"/>
              </w:rPr>
              <w:t>Investment Company Act</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9647" w:type="dxa"/>
            <w:tcBorders/>
          </w:tcPr>
          <w:p>
            <w:pPr>
              <w:pStyle w:val="TableContents"/>
              <w:bidi w:val="0"/>
              <w:spacing w:before="0" w:after="0"/>
              <w:jc w:val="left"/>
              <w:rPr>
                <w:rFonts w:ascii="Times New Roman" w:hAnsi="Times New Roman"/>
                <w:sz w:val="20"/>
              </w:rPr>
            </w:pPr>
            <w:r>
              <w:rPr>
                <w:rFonts w:ascii="Times New Roman" w:hAnsi="Times New Roman"/>
                <w:sz w:val="20"/>
              </w:rPr>
              <w:t>Issue Date</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9647" w:type="dxa"/>
            <w:tcBorders/>
          </w:tcPr>
          <w:p>
            <w:pPr>
              <w:pStyle w:val="TableContents"/>
              <w:bidi w:val="0"/>
              <w:spacing w:before="0" w:after="0"/>
              <w:jc w:val="left"/>
              <w:rPr>
                <w:rFonts w:ascii="Times New Roman" w:hAnsi="Times New Roman"/>
                <w:sz w:val="20"/>
              </w:rPr>
            </w:pPr>
            <w:r>
              <w:rPr>
                <w:rFonts w:ascii="Times New Roman" w:hAnsi="Times New Roman"/>
                <w:sz w:val="20"/>
              </w:rPr>
              <w:t>Legal Defeasance</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9647" w:type="dxa"/>
            <w:tcBorders/>
          </w:tcPr>
          <w:p>
            <w:pPr>
              <w:pStyle w:val="TableContents"/>
              <w:bidi w:val="0"/>
              <w:spacing w:before="0" w:after="0"/>
              <w:jc w:val="left"/>
              <w:rPr>
                <w:rFonts w:ascii="Times New Roman" w:hAnsi="Times New Roman"/>
                <w:sz w:val="20"/>
              </w:rPr>
            </w:pPr>
            <w:r>
              <w:rPr>
                <w:rFonts w:ascii="Times New Roman" w:hAnsi="Times New Roman"/>
                <w:sz w:val="20"/>
              </w:rPr>
              <w:t>Lien</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9647" w:type="dxa"/>
            <w:tcBorders/>
          </w:tcPr>
          <w:p>
            <w:pPr>
              <w:pStyle w:val="TableContents"/>
              <w:bidi w:val="0"/>
              <w:spacing w:before="0" w:after="0"/>
              <w:jc w:val="left"/>
              <w:rPr>
                <w:rFonts w:ascii="Times New Roman" w:hAnsi="Times New Roman"/>
                <w:sz w:val="20"/>
              </w:rPr>
            </w:pPr>
            <w:r>
              <w:rPr>
                <w:rFonts w:ascii="Times New Roman" w:hAnsi="Times New Roman"/>
                <w:sz w:val="20"/>
              </w:rPr>
              <w:t>Loan Financing</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9647" w:type="dxa"/>
            <w:tcBorders/>
          </w:tcPr>
          <w:p>
            <w:pPr>
              <w:pStyle w:val="TableContents"/>
              <w:bidi w:val="0"/>
              <w:spacing w:before="0" w:after="0"/>
              <w:jc w:val="left"/>
              <w:rPr>
                <w:rFonts w:ascii="Times New Roman" w:hAnsi="Times New Roman"/>
                <w:sz w:val="20"/>
              </w:rPr>
            </w:pPr>
            <w:r>
              <w:rPr>
                <w:rFonts w:ascii="Times New Roman" w:hAnsi="Times New Roman"/>
                <w:sz w:val="20"/>
              </w:rPr>
              <w:t>Maturity</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9647" w:type="dxa"/>
            <w:tcBorders/>
          </w:tcPr>
          <w:p>
            <w:pPr>
              <w:pStyle w:val="TableContents"/>
              <w:bidi w:val="0"/>
              <w:spacing w:before="0" w:after="0"/>
              <w:jc w:val="left"/>
              <w:rPr>
                <w:rFonts w:ascii="Times New Roman" w:hAnsi="Times New Roman"/>
                <w:sz w:val="20"/>
              </w:rPr>
            </w:pPr>
            <w:r>
              <w:rPr>
                <w:rFonts w:ascii="Times New Roman" w:hAnsi="Times New Roman"/>
                <w:sz w:val="20"/>
              </w:rPr>
              <w:t>Material Subsidiary</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9647" w:type="dxa"/>
            <w:tcBorders/>
          </w:tcPr>
          <w:p>
            <w:pPr>
              <w:pStyle w:val="TableContents"/>
              <w:bidi w:val="0"/>
              <w:spacing w:before="0" w:after="0"/>
              <w:jc w:val="left"/>
              <w:rPr>
                <w:rFonts w:ascii="Times New Roman" w:hAnsi="Times New Roman"/>
                <w:sz w:val="20"/>
              </w:rPr>
            </w:pPr>
            <w:r>
              <w:rPr>
                <w:rFonts w:ascii="Times New Roman" w:hAnsi="Times New Roman"/>
                <w:sz w:val="20"/>
              </w:rPr>
              <w:t>Member of the Group</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647" w:type="dxa"/>
            <w:tcBorders/>
          </w:tcPr>
          <w:p>
            <w:pPr>
              <w:pStyle w:val="TableContents"/>
              <w:bidi w:val="0"/>
              <w:spacing w:before="0" w:after="0"/>
              <w:jc w:val="left"/>
              <w:rPr>
                <w:rFonts w:ascii="Times New Roman" w:hAnsi="Times New Roman"/>
                <w:sz w:val="20"/>
              </w:rPr>
            </w:pPr>
            <w:r>
              <w:rPr>
                <w:rFonts w:ascii="Times New Roman" w:hAnsi="Times New Roman"/>
                <w:sz w:val="20"/>
              </w:rPr>
              <w:t>Moody’s</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647" w:type="dxa"/>
            <w:tcBorders/>
          </w:tcPr>
          <w:p>
            <w:pPr>
              <w:pStyle w:val="TableContents"/>
              <w:bidi w:val="0"/>
              <w:spacing w:before="0" w:after="0"/>
              <w:jc w:val="left"/>
              <w:rPr>
                <w:rFonts w:ascii="Times New Roman" w:hAnsi="Times New Roman"/>
                <w:sz w:val="20"/>
              </w:rPr>
            </w:pPr>
            <w:r>
              <w:rPr>
                <w:rFonts w:ascii="Times New Roman" w:hAnsi="Times New Roman"/>
                <w:sz w:val="20"/>
              </w:rPr>
              <w:t>Non-recourse Securitization</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647" w:type="dxa"/>
            <w:tcBorders/>
          </w:tcPr>
          <w:p>
            <w:pPr>
              <w:pStyle w:val="TableContents"/>
              <w:bidi w:val="0"/>
              <w:spacing w:before="0" w:after="0"/>
              <w:jc w:val="left"/>
              <w:rPr>
                <w:rFonts w:ascii="Times New Roman" w:hAnsi="Times New Roman"/>
                <w:sz w:val="20"/>
              </w:rPr>
            </w:pPr>
            <w:r>
              <w:rPr>
                <w:rFonts w:ascii="Times New Roman" w:hAnsi="Times New Roman"/>
                <w:sz w:val="20"/>
              </w:rPr>
              <w:t>Non-recourse Securitization Debt</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647" w:type="dxa"/>
            <w:tcBorders/>
          </w:tcPr>
          <w:p>
            <w:pPr>
              <w:pStyle w:val="TableContents"/>
              <w:bidi w:val="0"/>
              <w:spacing w:before="0" w:after="0"/>
              <w:jc w:val="left"/>
              <w:rPr>
                <w:rFonts w:ascii="Times New Roman" w:hAnsi="Times New Roman"/>
                <w:sz w:val="20"/>
              </w:rPr>
            </w:pPr>
            <w:r>
              <w:rPr>
                <w:rFonts w:ascii="Times New Roman" w:hAnsi="Times New Roman"/>
                <w:sz w:val="20"/>
              </w:rPr>
              <w:t>OECD</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647" w:type="dxa"/>
            <w:tcBorders/>
          </w:tcPr>
          <w:p>
            <w:pPr>
              <w:pStyle w:val="TableContents"/>
              <w:bidi w:val="0"/>
              <w:spacing w:before="0" w:after="0"/>
              <w:jc w:val="left"/>
              <w:rPr>
                <w:rFonts w:ascii="Times New Roman" w:hAnsi="Times New Roman"/>
                <w:sz w:val="20"/>
              </w:rPr>
            </w:pPr>
            <w:r>
              <w:rPr>
                <w:rFonts w:ascii="Times New Roman" w:hAnsi="Times New Roman"/>
                <w:sz w:val="20"/>
              </w:rPr>
              <w:t>OECD Country</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647" w:type="dxa"/>
            <w:tcBorders/>
          </w:tcPr>
          <w:p>
            <w:pPr>
              <w:pStyle w:val="TableContents"/>
              <w:bidi w:val="0"/>
              <w:spacing w:before="0" w:after="0"/>
              <w:jc w:val="left"/>
              <w:rPr>
                <w:rFonts w:ascii="Times New Roman" w:hAnsi="Times New Roman"/>
                <w:sz w:val="20"/>
              </w:rPr>
            </w:pPr>
            <w:r>
              <w:rPr>
                <w:rFonts w:ascii="Times New Roman" w:hAnsi="Times New Roman"/>
                <w:sz w:val="20"/>
              </w:rPr>
              <w:t>Officer</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647" w:type="dxa"/>
            <w:tcBorders/>
          </w:tcPr>
          <w:p>
            <w:pPr>
              <w:pStyle w:val="TableContents"/>
              <w:bidi w:val="0"/>
              <w:spacing w:before="0" w:after="0"/>
              <w:jc w:val="left"/>
              <w:rPr>
                <w:rFonts w:ascii="Times New Roman" w:hAnsi="Times New Roman"/>
                <w:sz w:val="20"/>
              </w:rPr>
            </w:pPr>
            <w:r>
              <w:rPr>
                <w:rFonts w:ascii="Times New Roman" w:hAnsi="Times New Roman"/>
                <w:sz w:val="20"/>
              </w:rPr>
              <w:t>Officer’s Certificate</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647" w:type="dxa"/>
            <w:tcBorders/>
          </w:tcPr>
          <w:p>
            <w:pPr>
              <w:pStyle w:val="TableContents"/>
              <w:bidi w:val="0"/>
              <w:spacing w:before="0" w:after="0"/>
              <w:jc w:val="left"/>
              <w:rPr>
                <w:rFonts w:ascii="Times New Roman" w:hAnsi="Times New Roman"/>
                <w:sz w:val="20"/>
              </w:rPr>
            </w:pPr>
            <w:r>
              <w:rPr>
                <w:rFonts w:ascii="Times New Roman" w:hAnsi="Times New Roman"/>
                <w:sz w:val="20"/>
              </w:rPr>
              <w:t>Opinion of Counsel</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8</w:t>
            </w:r>
          </w:p>
        </w:tc>
        <w:tc>
          <w:tcPr>
            <w:tcW w:w="62" w:type="dxa"/>
            <w:tcBorders/>
            <w:vAlign w:val="bottom"/>
          </w:tcPr>
          <w:p>
            <w:pPr>
              <w:pStyle w:val="TableContents"/>
              <w:bidi w:val="0"/>
              <w:spacing w:before="0" w:after="283"/>
              <w:jc w:val="left"/>
              <w:rPr/>
            </w:pPr>
            <w:r>
              <w:rPr/>
              <w:t> </w:t>
            </w:r>
          </w:p>
        </w:tc>
      </w:tr>
      <w:tr>
        <w:trPr/>
        <w:tc>
          <w:tcPr>
            <w:tcW w:w="9647" w:type="dxa"/>
            <w:tcBorders/>
          </w:tcPr>
          <w:p>
            <w:pPr>
              <w:pStyle w:val="TableContents"/>
              <w:bidi w:val="0"/>
              <w:spacing w:before="0" w:after="0"/>
              <w:jc w:val="left"/>
              <w:rPr>
                <w:rFonts w:ascii="Times New Roman" w:hAnsi="Times New Roman"/>
                <w:sz w:val="20"/>
              </w:rPr>
            </w:pPr>
            <w:r>
              <w:rPr>
                <w:rFonts w:ascii="Times New Roman" w:hAnsi="Times New Roman"/>
                <w:sz w:val="20"/>
              </w:rPr>
              <w:t>Original Issue Discount Security</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8</w:t>
            </w:r>
          </w:p>
        </w:tc>
        <w:tc>
          <w:tcPr>
            <w:tcW w:w="62" w:type="dxa"/>
            <w:tcBorders/>
            <w:vAlign w:val="bottom"/>
          </w:tcPr>
          <w:p>
            <w:pPr>
              <w:pStyle w:val="TableContents"/>
              <w:bidi w:val="0"/>
              <w:spacing w:before="0" w:after="283"/>
              <w:jc w:val="left"/>
              <w:rPr/>
            </w:pPr>
            <w:r>
              <w:rPr/>
              <w:t> </w:t>
            </w:r>
          </w:p>
        </w:tc>
      </w:tr>
      <w:tr>
        <w:trPr/>
        <w:tc>
          <w:tcPr>
            <w:tcW w:w="9647" w:type="dxa"/>
            <w:tcBorders/>
          </w:tcPr>
          <w:p>
            <w:pPr>
              <w:pStyle w:val="TableContents"/>
              <w:bidi w:val="0"/>
              <w:spacing w:before="0" w:after="0"/>
              <w:jc w:val="left"/>
              <w:rPr>
                <w:rFonts w:ascii="Times New Roman" w:hAnsi="Times New Roman"/>
                <w:sz w:val="20"/>
              </w:rPr>
            </w:pPr>
            <w:r>
              <w:rPr>
                <w:rFonts w:ascii="Times New Roman" w:hAnsi="Times New Roman"/>
                <w:sz w:val="20"/>
              </w:rPr>
              <w:t>Outstanding</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8</w:t>
            </w:r>
          </w:p>
        </w:tc>
        <w:tc>
          <w:tcPr>
            <w:tcW w:w="62" w:type="dxa"/>
            <w:tcBorders/>
            <w:vAlign w:val="bottom"/>
          </w:tcPr>
          <w:p>
            <w:pPr>
              <w:pStyle w:val="TableContents"/>
              <w:bidi w:val="0"/>
              <w:spacing w:before="0" w:after="283"/>
              <w:jc w:val="left"/>
              <w:rPr/>
            </w:pPr>
            <w:r>
              <w:rPr/>
              <w:t> </w:t>
            </w:r>
          </w:p>
        </w:tc>
      </w:tr>
      <w:tr>
        <w:trPr/>
        <w:tc>
          <w:tcPr>
            <w:tcW w:w="9647" w:type="dxa"/>
            <w:tcBorders/>
          </w:tcPr>
          <w:p>
            <w:pPr>
              <w:pStyle w:val="TableContents"/>
              <w:bidi w:val="0"/>
              <w:spacing w:before="0" w:after="0"/>
              <w:jc w:val="left"/>
              <w:rPr>
                <w:rFonts w:ascii="Times New Roman" w:hAnsi="Times New Roman"/>
                <w:sz w:val="20"/>
              </w:rPr>
            </w:pPr>
            <w:r>
              <w:rPr>
                <w:rFonts w:ascii="Times New Roman" w:hAnsi="Times New Roman"/>
                <w:sz w:val="20"/>
              </w:rPr>
              <w:t>Par Call Date</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9</w:t>
            </w:r>
          </w:p>
        </w:tc>
        <w:tc>
          <w:tcPr>
            <w:tcW w:w="62" w:type="dxa"/>
            <w:tcBorders/>
            <w:vAlign w:val="bottom"/>
          </w:tcPr>
          <w:p>
            <w:pPr>
              <w:pStyle w:val="TableContents"/>
              <w:bidi w:val="0"/>
              <w:spacing w:before="0" w:after="283"/>
              <w:jc w:val="left"/>
              <w:rPr/>
            </w:pPr>
            <w:r>
              <w:rPr/>
              <w:t> </w:t>
            </w:r>
          </w:p>
        </w:tc>
      </w:tr>
      <w:tr>
        <w:trPr/>
        <w:tc>
          <w:tcPr>
            <w:tcW w:w="9647" w:type="dxa"/>
            <w:tcBorders/>
          </w:tcPr>
          <w:p>
            <w:pPr>
              <w:pStyle w:val="TableContents"/>
              <w:bidi w:val="0"/>
              <w:spacing w:before="0" w:after="0"/>
              <w:jc w:val="left"/>
              <w:rPr>
                <w:rFonts w:ascii="Times New Roman" w:hAnsi="Times New Roman"/>
                <w:sz w:val="20"/>
              </w:rPr>
            </w:pPr>
            <w:r>
              <w:rPr>
                <w:rFonts w:ascii="Times New Roman" w:hAnsi="Times New Roman"/>
                <w:sz w:val="20"/>
              </w:rPr>
              <w:t>Payor</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9</w:t>
            </w:r>
          </w:p>
        </w:tc>
        <w:tc>
          <w:tcPr>
            <w:tcW w:w="62" w:type="dxa"/>
            <w:tcBorders/>
            <w:vAlign w:val="bottom"/>
          </w:tcPr>
          <w:p>
            <w:pPr>
              <w:pStyle w:val="TableContents"/>
              <w:bidi w:val="0"/>
              <w:spacing w:before="0" w:after="283"/>
              <w:jc w:val="left"/>
              <w:rPr/>
            </w:pPr>
            <w:r>
              <w:rPr/>
              <w:t> </w:t>
            </w:r>
          </w:p>
        </w:tc>
      </w:tr>
      <w:tr>
        <w:trPr/>
        <w:tc>
          <w:tcPr>
            <w:tcW w:w="9647" w:type="dxa"/>
            <w:tcBorders/>
          </w:tcPr>
          <w:p>
            <w:pPr>
              <w:pStyle w:val="TableContents"/>
              <w:bidi w:val="0"/>
              <w:spacing w:before="0" w:after="0"/>
              <w:jc w:val="left"/>
              <w:rPr>
                <w:rFonts w:ascii="Times New Roman" w:hAnsi="Times New Roman"/>
                <w:sz w:val="20"/>
              </w:rPr>
            </w:pPr>
            <w:r>
              <w:rPr>
                <w:rFonts w:ascii="Times New Roman" w:hAnsi="Times New Roman"/>
                <w:sz w:val="20"/>
              </w:rPr>
              <w:t>Paying Agent</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9</w:t>
            </w:r>
          </w:p>
        </w:tc>
        <w:tc>
          <w:tcPr>
            <w:tcW w:w="62" w:type="dxa"/>
            <w:tcBorders/>
            <w:vAlign w:val="bottom"/>
          </w:tcPr>
          <w:p>
            <w:pPr>
              <w:pStyle w:val="TableContents"/>
              <w:bidi w:val="0"/>
              <w:spacing w:before="0" w:after="283"/>
              <w:jc w:val="left"/>
              <w:rPr/>
            </w:pPr>
            <w:r>
              <w:rPr/>
              <w:t> </w:t>
            </w:r>
          </w:p>
        </w:tc>
      </w:tr>
      <w:tr>
        <w:trPr/>
        <w:tc>
          <w:tcPr>
            <w:tcW w:w="9647" w:type="dxa"/>
            <w:tcBorders/>
          </w:tcPr>
          <w:p>
            <w:pPr>
              <w:pStyle w:val="TableContents"/>
              <w:bidi w:val="0"/>
              <w:spacing w:before="0" w:after="0"/>
              <w:jc w:val="left"/>
              <w:rPr>
                <w:rFonts w:ascii="Times New Roman" w:hAnsi="Times New Roman"/>
                <w:sz w:val="20"/>
              </w:rPr>
            </w:pPr>
            <w:r>
              <w:rPr>
                <w:rFonts w:ascii="Times New Roman" w:hAnsi="Times New Roman"/>
                <w:sz w:val="20"/>
              </w:rPr>
              <w:t>Permitted Liens</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9</w:t>
            </w:r>
          </w:p>
        </w:tc>
        <w:tc>
          <w:tcPr>
            <w:tcW w:w="62" w:type="dxa"/>
            <w:tcBorders/>
            <w:vAlign w:val="bottom"/>
          </w:tcPr>
          <w:p>
            <w:pPr>
              <w:pStyle w:val="TableContents"/>
              <w:bidi w:val="0"/>
              <w:spacing w:before="0" w:after="283"/>
              <w:jc w:val="left"/>
              <w:rPr/>
            </w:pPr>
            <w:r>
              <w:rPr/>
              <w:t> </w:t>
            </w:r>
          </w:p>
        </w:tc>
      </w:tr>
      <w:tr>
        <w:trPr/>
        <w:tc>
          <w:tcPr>
            <w:tcW w:w="9647" w:type="dxa"/>
            <w:tcBorders/>
          </w:tcPr>
          <w:p>
            <w:pPr>
              <w:pStyle w:val="TableContents"/>
              <w:bidi w:val="0"/>
              <w:spacing w:before="0" w:after="0"/>
              <w:jc w:val="left"/>
              <w:rPr>
                <w:rFonts w:ascii="Times New Roman" w:hAnsi="Times New Roman"/>
                <w:sz w:val="20"/>
              </w:rPr>
            </w:pPr>
            <w:r>
              <w:rPr>
                <w:rFonts w:ascii="Times New Roman" w:hAnsi="Times New Roman"/>
                <w:sz w:val="20"/>
              </w:rPr>
              <w:t>Person</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10</w:t>
            </w:r>
          </w:p>
        </w:tc>
        <w:tc>
          <w:tcPr>
            <w:tcW w:w="62" w:type="dxa"/>
            <w:tcBorders/>
            <w:vAlign w:val="bottom"/>
          </w:tcPr>
          <w:p>
            <w:pPr>
              <w:pStyle w:val="TableContents"/>
              <w:bidi w:val="0"/>
              <w:spacing w:before="0" w:after="283"/>
              <w:jc w:val="left"/>
              <w:rPr/>
            </w:pPr>
            <w:r>
              <w:rPr/>
              <w:t> </w:t>
            </w:r>
          </w:p>
        </w:tc>
      </w:tr>
      <w:tr>
        <w:trPr/>
        <w:tc>
          <w:tcPr>
            <w:tcW w:w="9647" w:type="dxa"/>
            <w:tcBorders/>
          </w:tcPr>
          <w:p>
            <w:pPr>
              <w:pStyle w:val="TableContents"/>
              <w:bidi w:val="0"/>
              <w:spacing w:before="0" w:after="0"/>
              <w:jc w:val="left"/>
              <w:rPr>
                <w:rFonts w:ascii="Times New Roman" w:hAnsi="Times New Roman"/>
                <w:sz w:val="20"/>
              </w:rPr>
            </w:pPr>
            <w:r>
              <w:rPr>
                <w:rFonts w:ascii="Times New Roman" w:hAnsi="Times New Roman"/>
                <w:sz w:val="20"/>
              </w:rPr>
              <w:t>Peugeot Invest</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10</w:t>
            </w:r>
          </w:p>
        </w:tc>
        <w:tc>
          <w:tcPr>
            <w:tcW w:w="62" w:type="dxa"/>
            <w:tcBorders/>
            <w:vAlign w:val="bottom"/>
          </w:tcPr>
          <w:p>
            <w:pPr>
              <w:pStyle w:val="TableContents"/>
              <w:bidi w:val="0"/>
              <w:spacing w:before="0" w:after="283"/>
              <w:jc w:val="left"/>
              <w:rPr/>
            </w:pPr>
            <w:r>
              <w:rPr/>
              <w:t> </w:t>
            </w:r>
          </w:p>
        </w:tc>
      </w:tr>
      <w:tr>
        <w:trPr/>
        <w:tc>
          <w:tcPr>
            <w:tcW w:w="9647" w:type="dxa"/>
            <w:tcBorders/>
          </w:tcPr>
          <w:p>
            <w:pPr>
              <w:pStyle w:val="TableContents"/>
              <w:bidi w:val="0"/>
              <w:spacing w:before="0" w:after="0"/>
              <w:jc w:val="left"/>
              <w:rPr>
                <w:rFonts w:ascii="Times New Roman" w:hAnsi="Times New Roman"/>
                <w:sz w:val="20"/>
              </w:rPr>
            </w:pPr>
            <w:r>
              <w:rPr>
                <w:rFonts w:ascii="Times New Roman" w:hAnsi="Times New Roman"/>
                <w:sz w:val="20"/>
              </w:rPr>
              <w:t>Place of Payment</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10</w:t>
            </w:r>
          </w:p>
        </w:tc>
        <w:tc>
          <w:tcPr>
            <w:tcW w:w="62" w:type="dxa"/>
            <w:tcBorders/>
            <w:vAlign w:val="bottom"/>
          </w:tcPr>
          <w:p>
            <w:pPr>
              <w:pStyle w:val="TableContents"/>
              <w:bidi w:val="0"/>
              <w:spacing w:before="0" w:after="283"/>
              <w:jc w:val="left"/>
              <w:rPr/>
            </w:pPr>
            <w:r>
              <w:rPr/>
              <w:t> </w:t>
            </w:r>
          </w:p>
        </w:tc>
      </w:tr>
      <w:tr>
        <w:trPr/>
        <w:tc>
          <w:tcPr>
            <w:tcW w:w="9647" w:type="dxa"/>
            <w:tcBorders/>
          </w:tcPr>
          <w:p>
            <w:pPr>
              <w:pStyle w:val="TableContents"/>
              <w:bidi w:val="0"/>
              <w:spacing w:before="0" w:after="0"/>
              <w:jc w:val="left"/>
              <w:rPr>
                <w:rFonts w:ascii="Times New Roman" w:hAnsi="Times New Roman"/>
                <w:sz w:val="20"/>
              </w:rPr>
            </w:pPr>
            <w:r>
              <w:rPr>
                <w:rFonts w:ascii="Times New Roman" w:hAnsi="Times New Roman"/>
                <w:sz w:val="20"/>
              </w:rPr>
              <w:t>Predecessor Security</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10</w:t>
            </w:r>
          </w:p>
        </w:tc>
        <w:tc>
          <w:tcPr>
            <w:tcW w:w="62" w:type="dxa"/>
            <w:tcBorders/>
            <w:vAlign w:val="bottom"/>
          </w:tcPr>
          <w:p>
            <w:pPr>
              <w:pStyle w:val="TableContents"/>
              <w:bidi w:val="0"/>
              <w:spacing w:before="0" w:after="283"/>
              <w:jc w:val="left"/>
              <w:rPr/>
            </w:pPr>
            <w:r>
              <w:rPr/>
              <w:t> </w:t>
            </w:r>
          </w:p>
        </w:tc>
      </w:tr>
      <w:tr>
        <w:trPr/>
        <w:tc>
          <w:tcPr>
            <w:tcW w:w="9647" w:type="dxa"/>
            <w:tcBorders/>
          </w:tcPr>
          <w:p>
            <w:pPr>
              <w:pStyle w:val="TableContents"/>
              <w:bidi w:val="0"/>
              <w:spacing w:before="0" w:after="0"/>
              <w:jc w:val="left"/>
              <w:rPr>
                <w:rFonts w:ascii="Times New Roman" w:hAnsi="Times New Roman"/>
                <w:sz w:val="20"/>
              </w:rPr>
            </w:pPr>
            <w:r>
              <w:rPr>
                <w:rFonts w:ascii="Times New Roman" w:hAnsi="Times New Roman"/>
                <w:sz w:val="20"/>
              </w:rPr>
              <w:t>Qualifying Guarantee</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c>
          <w:tcPr>
            <w:tcW w:w="9647" w:type="dxa"/>
            <w:tcBorders/>
          </w:tcPr>
          <w:p>
            <w:pPr>
              <w:pStyle w:val="TableContents"/>
              <w:bidi w:val="0"/>
              <w:spacing w:before="0" w:after="0"/>
              <w:jc w:val="left"/>
              <w:rPr>
                <w:rFonts w:ascii="Times New Roman" w:hAnsi="Times New Roman"/>
                <w:sz w:val="20"/>
              </w:rPr>
            </w:pPr>
            <w:r>
              <w:rPr>
                <w:rFonts w:ascii="Times New Roman" w:hAnsi="Times New Roman"/>
                <w:sz w:val="20"/>
              </w:rPr>
              <w:t>Quoted Indebtedness</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c>
          <w:tcPr>
            <w:tcW w:w="9647" w:type="dxa"/>
            <w:tcBorders/>
          </w:tcPr>
          <w:p>
            <w:pPr>
              <w:pStyle w:val="TableContents"/>
              <w:bidi w:val="0"/>
              <w:spacing w:before="0" w:after="0"/>
              <w:jc w:val="left"/>
              <w:rPr>
                <w:rFonts w:ascii="Times New Roman" w:hAnsi="Times New Roman"/>
                <w:sz w:val="20"/>
              </w:rPr>
            </w:pPr>
            <w:r>
              <w:rPr>
                <w:rFonts w:ascii="Times New Roman" w:hAnsi="Times New Roman"/>
                <w:sz w:val="20"/>
              </w:rPr>
              <w:t>Rating Agency</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c>
          <w:tcPr>
            <w:tcW w:w="9647" w:type="dxa"/>
            <w:tcBorders/>
          </w:tcPr>
          <w:p>
            <w:pPr>
              <w:pStyle w:val="TableContents"/>
              <w:bidi w:val="0"/>
              <w:spacing w:before="0" w:after="0"/>
              <w:jc w:val="left"/>
              <w:rPr>
                <w:rFonts w:ascii="Times New Roman" w:hAnsi="Times New Roman"/>
                <w:sz w:val="20"/>
              </w:rPr>
            </w:pPr>
            <w:r>
              <w:rPr>
                <w:rFonts w:ascii="Times New Roman" w:hAnsi="Times New Roman"/>
                <w:sz w:val="20"/>
              </w:rPr>
              <w:t>Rating Date</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c>
          <w:tcPr>
            <w:tcW w:w="9647" w:type="dxa"/>
            <w:tcBorders/>
          </w:tcPr>
          <w:p>
            <w:pPr>
              <w:pStyle w:val="TableContents"/>
              <w:bidi w:val="0"/>
              <w:spacing w:before="0" w:after="0"/>
              <w:jc w:val="left"/>
              <w:rPr>
                <w:rFonts w:ascii="Times New Roman" w:hAnsi="Times New Roman"/>
                <w:sz w:val="20"/>
              </w:rPr>
            </w:pPr>
            <w:r>
              <w:rPr>
                <w:rFonts w:ascii="Times New Roman" w:hAnsi="Times New Roman"/>
                <w:sz w:val="20"/>
              </w:rPr>
              <w:t>Rating Decline</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c>
          <w:tcPr>
            <w:tcW w:w="9647" w:type="dxa"/>
            <w:tcBorders/>
          </w:tcPr>
          <w:p>
            <w:pPr>
              <w:pStyle w:val="TableContents"/>
              <w:bidi w:val="0"/>
              <w:spacing w:before="0" w:after="0"/>
              <w:jc w:val="left"/>
              <w:rPr>
                <w:rFonts w:ascii="Times New Roman" w:hAnsi="Times New Roman"/>
                <w:sz w:val="20"/>
              </w:rPr>
            </w:pPr>
            <w:r>
              <w:rPr>
                <w:rFonts w:ascii="Times New Roman" w:hAnsi="Times New Roman"/>
                <w:sz w:val="20"/>
              </w:rPr>
              <w:t>Redemption Date</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12</w:t>
            </w:r>
          </w:p>
        </w:tc>
        <w:tc>
          <w:tcPr>
            <w:tcW w:w="62" w:type="dxa"/>
            <w:tcBorders/>
            <w:vAlign w:val="bottom"/>
          </w:tcPr>
          <w:p>
            <w:pPr>
              <w:pStyle w:val="TableContents"/>
              <w:bidi w:val="0"/>
              <w:spacing w:before="0" w:after="283"/>
              <w:jc w:val="left"/>
              <w:rPr/>
            </w:pPr>
            <w:r>
              <w:rPr/>
              <w:t> </w:t>
            </w:r>
          </w:p>
        </w:tc>
      </w:tr>
      <w:tr>
        <w:trPr/>
        <w:tc>
          <w:tcPr>
            <w:tcW w:w="9647" w:type="dxa"/>
            <w:tcBorders/>
          </w:tcPr>
          <w:p>
            <w:pPr>
              <w:pStyle w:val="TableContents"/>
              <w:bidi w:val="0"/>
              <w:spacing w:before="0" w:after="0"/>
              <w:jc w:val="left"/>
              <w:rPr>
                <w:rFonts w:ascii="Times New Roman" w:hAnsi="Times New Roman"/>
                <w:sz w:val="20"/>
              </w:rPr>
            </w:pPr>
            <w:r>
              <w:rPr>
                <w:rFonts w:ascii="Times New Roman" w:hAnsi="Times New Roman"/>
                <w:sz w:val="20"/>
              </w:rPr>
              <w:t>Redemption Price</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12</w:t>
            </w:r>
          </w:p>
        </w:tc>
        <w:tc>
          <w:tcPr>
            <w:tcW w:w="62" w:type="dxa"/>
            <w:tcBorders/>
            <w:vAlign w:val="bottom"/>
          </w:tcPr>
          <w:p>
            <w:pPr>
              <w:pStyle w:val="TableContents"/>
              <w:bidi w:val="0"/>
              <w:spacing w:before="0" w:after="283"/>
              <w:jc w:val="left"/>
              <w:rPr/>
            </w:pPr>
            <w:r>
              <w:rPr/>
              <w:t> </w:t>
            </w:r>
          </w:p>
        </w:tc>
      </w:tr>
      <w:tr>
        <w:trPr/>
        <w:tc>
          <w:tcPr>
            <w:tcW w:w="9647" w:type="dxa"/>
            <w:tcBorders/>
          </w:tcPr>
          <w:p>
            <w:pPr>
              <w:pStyle w:val="TableContents"/>
              <w:bidi w:val="0"/>
              <w:spacing w:before="0" w:after="0"/>
              <w:jc w:val="left"/>
              <w:rPr>
                <w:rFonts w:ascii="Times New Roman" w:hAnsi="Times New Roman"/>
                <w:sz w:val="20"/>
              </w:rPr>
            </w:pPr>
            <w:r>
              <w:rPr>
                <w:rFonts w:ascii="Times New Roman" w:hAnsi="Times New Roman"/>
                <w:sz w:val="20"/>
              </w:rPr>
              <w:t>Regular Record Date</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12</w:t>
            </w:r>
          </w:p>
        </w:tc>
        <w:tc>
          <w:tcPr>
            <w:tcW w:w="62" w:type="dxa"/>
            <w:tcBorders/>
            <w:vAlign w:val="bottom"/>
          </w:tcPr>
          <w:p>
            <w:pPr>
              <w:pStyle w:val="TableContents"/>
              <w:bidi w:val="0"/>
              <w:spacing w:before="0" w:after="283"/>
              <w:jc w:val="left"/>
              <w:rPr/>
            </w:pPr>
            <w:r>
              <w:rPr/>
              <w:t> </w:t>
            </w:r>
          </w:p>
        </w:tc>
      </w:tr>
      <w:tr>
        <w:trPr/>
        <w:tc>
          <w:tcPr>
            <w:tcW w:w="9647" w:type="dxa"/>
            <w:tcBorders/>
          </w:tcPr>
          <w:p>
            <w:pPr>
              <w:pStyle w:val="TableContents"/>
              <w:bidi w:val="0"/>
              <w:spacing w:before="0" w:after="0"/>
              <w:jc w:val="left"/>
              <w:rPr>
                <w:rFonts w:ascii="Times New Roman" w:hAnsi="Times New Roman"/>
                <w:sz w:val="20"/>
              </w:rPr>
            </w:pPr>
            <w:r>
              <w:rPr>
                <w:rFonts w:ascii="Times New Roman" w:hAnsi="Times New Roman"/>
                <w:sz w:val="20"/>
              </w:rPr>
              <w:t>Related Party</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12</w:t>
            </w:r>
          </w:p>
        </w:tc>
        <w:tc>
          <w:tcPr>
            <w:tcW w:w="62" w:type="dxa"/>
            <w:tcBorders/>
            <w:vAlign w:val="bottom"/>
          </w:tcPr>
          <w:p>
            <w:pPr>
              <w:pStyle w:val="TableContents"/>
              <w:bidi w:val="0"/>
              <w:spacing w:before="0" w:after="283"/>
              <w:jc w:val="left"/>
              <w:rPr/>
            </w:pPr>
            <w:r>
              <w:rPr/>
              <w:t> </w:t>
            </w:r>
          </w:p>
        </w:tc>
      </w:tr>
      <w:tr>
        <w:trPr/>
        <w:tc>
          <w:tcPr>
            <w:tcW w:w="9647" w:type="dxa"/>
            <w:tcBorders/>
          </w:tcPr>
          <w:p>
            <w:pPr>
              <w:pStyle w:val="TableContents"/>
              <w:bidi w:val="0"/>
              <w:spacing w:before="0" w:after="0"/>
              <w:jc w:val="left"/>
              <w:rPr>
                <w:rFonts w:ascii="Times New Roman" w:hAnsi="Times New Roman"/>
                <w:sz w:val="20"/>
              </w:rPr>
            </w:pPr>
            <w:r>
              <w:rPr>
                <w:rFonts w:ascii="Times New Roman" w:hAnsi="Times New Roman"/>
                <w:sz w:val="20"/>
              </w:rPr>
              <w:t>Relevant Jurisdiction</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12</w:t>
            </w:r>
          </w:p>
        </w:tc>
        <w:tc>
          <w:tcPr>
            <w:tcW w:w="62" w:type="dxa"/>
            <w:tcBorders/>
            <w:vAlign w:val="bottom"/>
          </w:tcPr>
          <w:p>
            <w:pPr>
              <w:pStyle w:val="TableContents"/>
              <w:bidi w:val="0"/>
              <w:spacing w:before="0" w:after="283"/>
              <w:jc w:val="left"/>
              <w:rPr/>
            </w:pPr>
            <w:r>
              <w:rPr/>
              <w:t> </w:t>
            </w:r>
          </w:p>
        </w:tc>
      </w:tr>
      <w:tr>
        <w:trPr/>
        <w:tc>
          <w:tcPr>
            <w:tcW w:w="9647" w:type="dxa"/>
            <w:tcBorders/>
          </w:tcPr>
          <w:p>
            <w:pPr>
              <w:pStyle w:val="TableContents"/>
              <w:bidi w:val="0"/>
              <w:spacing w:before="0" w:after="0"/>
              <w:jc w:val="left"/>
              <w:rPr>
                <w:rFonts w:ascii="Times New Roman" w:hAnsi="Times New Roman"/>
                <w:sz w:val="20"/>
              </w:rPr>
            </w:pPr>
            <w:r>
              <w:rPr>
                <w:rFonts w:ascii="Times New Roman" w:hAnsi="Times New Roman"/>
                <w:sz w:val="20"/>
              </w:rPr>
              <w:t>Responsible Officer</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12</w:t>
            </w:r>
          </w:p>
        </w:tc>
        <w:tc>
          <w:tcPr>
            <w:tcW w:w="62" w:type="dxa"/>
            <w:tcBorders/>
            <w:vAlign w:val="bottom"/>
          </w:tcPr>
          <w:p>
            <w:pPr>
              <w:pStyle w:val="TableContents"/>
              <w:bidi w:val="0"/>
              <w:spacing w:before="0" w:after="283"/>
              <w:jc w:val="left"/>
              <w:rPr/>
            </w:pPr>
            <w:r>
              <w:rPr/>
              <w:t> </w:t>
            </w:r>
          </w:p>
        </w:tc>
      </w:tr>
      <w:tr>
        <w:trPr/>
        <w:tc>
          <w:tcPr>
            <w:tcW w:w="9647" w:type="dxa"/>
            <w:tcBorders/>
          </w:tcPr>
          <w:p>
            <w:pPr>
              <w:pStyle w:val="TableContents"/>
              <w:bidi w:val="0"/>
              <w:spacing w:before="0" w:after="0"/>
              <w:jc w:val="left"/>
              <w:rPr>
                <w:rFonts w:ascii="Times New Roman" w:hAnsi="Times New Roman"/>
                <w:sz w:val="20"/>
              </w:rPr>
            </w:pPr>
            <w:r>
              <w:rPr>
                <w:rFonts w:ascii="Times New Roman" w:hAnsi="Times New Roman"/>
                <w:sz w:val="20"/>
              </w:rPr>
              <w:t>Securities</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13</w:t>
            </w:r>
          </w:p>
        </w:tc>
        <w:tc>
          <w:tcPr>
            <w:tcW w:w="62" w:type="dxa"/>
            <w:tcBorders/>
            <w:vAlign w:val="bottom"/>
          </w:tcPr>
          <w:p>
            <w:pPr>
              <w:pStyle w:val="TableContents"/>
              <w:bidi w:val="0"/>
              <w:spacing w:before="0" w:after="283"/>
              <w:jc w:val="left"/>
              <w:rPr/>
            </w:pPr>
            <w:r>
              <w:rPr/>
              <w:t> </w:t>
            </w:r>
          </w:p>
        </w:tc>
      </w:tr>
      <w:tr>
        <w:trPr/>
        <w:tc>
          <w:tcPr>
            <w:tcW w:w="9647" w:type="dxa"/>
            <w:tcBorders/>
          </w:tcPr>
          <w:p>
            <w:pPr>
              <w:pStyle w:val="TableContents"/>
              <w:bidi w:val="0"/>
              <w:spacing w:before="0" w:after="0"/>
              <w:jc w:val="left"/>
              <w:rPr>
                <w:rFonts w:ascii="Times New Roman" w:hAnsi="Times New Roman"/>
                <w:sz w:val="20"/>
              </w:rPr>
            </w:pPr>
            <w:r>
              <w:rPr>
                <w:rFonts w:ascii="Times New Roman" w:hAnsi="Times New Roman"/>
                <w:sz w:val="20"/>
              </w:rPr>
              <w:t>Securities Act</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13</w:t>
            </w:r>
          </w:p>
        </w:tc>
        <w:tc>
          <w:tcPr>
            <w:tcW w:w="62" w:type="dxa"/>
            <w:tcBorders/>
            <w:vAlign w:val="bottom"/>
          </w:tcPr>
          <w:p>
            <w:pPr>
              <w:pStyle w:val="TableContents"/>
              <w:bidi w:val="0"/>
              <w:spacing w:before="0" w:after="283"/>
              <w:jc w:val="left"/>
              <w:rPr/>
            </w:pPr>
            <w:r>
              <w:rPr/>
              <w:t> </w:t>
            </w:r>
          </w:p>
        </w:tc>
      </w:tr>
      <w:tr>
        <w:trPr/>
        <w:tc>
          <w:tcPr>
            <w:tcW w:w="9647" w:type="dxa"/>
            <w:tcBorders/>
          </w:tcPr>
          <w:p>
            <w:pPr>
              <w:pStyle w:val="TableContents"/>
              <w:bidi w:val="0"/>
              <w:spacing w:before="0" w:after="0"/>
              <w:jc w:val="left"/>
              <w:rPr>
                <w:rFonts w:ascii="Times New Roman" w:hAnsi="Times New Roman"/>
                <w:sz w:val="20"/>
              </w:rPr>
            </w:pPr>
            <w:r>
              <w:rPr>
                <w:rFonts w:ascii="Times New Roman" w:hAnsi="Times New Roman"/>
                <w:sz w:val="20"/>
              </w:rPr>
              <w:t>Security Register</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13</w:t>
            </w:r>
          </w:p>
        </w:tc>
        <w:tc>
          <w:tcPr>
            <w:tcW w:w="62" w:type="dxa"/>
            <w:tcBorders/>
            <w:vAlign w:val="bottom"/>
          </w:tcPr>
          <w:p>
            <w:pPr>
              <w:pStyle w:val="TableContents"/>
              <w:bidi w:val="0"/>
              <w:spacing w:before="0" w:after="283"/>
              <w:jc w:val="left"/>
              <w:rPr/>
            </w:pPr>
            <w:r>
              <w:rPr/>
              <w:t> </w:t>
            </w:r>
          </w:p>
        </w:tc>
      </w:tr>
      <w:tr>
        <w:trPr/>
        <w:tc>
          <w:tcPr>
            <w:tcW w:w="9647" w:type="dxa"/>
            <w:tcBorders/>
          </w:tcPr>
          <w:p>
            <w:pPr>
              <w:pStyle w:val="TableContents"/>
              <w:bidi w:val="0"/>
              <w:spacing w:before="0" w:after="0"/>
              <w:jc w:val="left"/>
              <w:rPr>
                <w:rFonts w:ascii="Times New Roman" w:hAnsi="Times New Roman"/>
                <w:sz w:val="20"/>
              </w:rPr>
            </w:pPr>
            <w:r>
              <w:rPr>
                <w:rFonts w:ascii="Times New Roman" w:hAnsi="Times New Roman"/>
                <w:sz w:val="20"/>
              </w:rPr>
              <w:t>Security Registrar</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13</w:t>
            </w:r>
          </w:p>
        </w:tc>
        <w:tc>
          <w:tcPr>
            <w:tcW w:w="62" w:type="dxa"/>
            <w:tcBorders/>
            <w:vAlign w:val="bottom"/>
          </w:tcPr>
          <w:p>
            <w:pPr>
              <w:pStyle w:val="TableContents"/>
              <w:bidi w:val="0"/>
              <w:spacing w:before="0" w:after="283"/>
              <w:jc w:val="left"/>
              <w:rPr/>
            </w:pPr>
            <w:r>
              <w:rPr/>
              <w:t> </w:t>
            </w:r>
          </w:p>
        </w:tc>
      </w:tr>
      <w:tr>
        <w:trPr/>
        <w:tc>
          <w:tcPr>
            <w:tcW w:w="9647" w:type="dxa"/>
            <w:tcBorders/>
          </w:tcPr>
          <w:p>
            <w:pPr>
              <w:pStyle w:val="TableContents"/>
              <w:bidi w:val="0"/>
              <w:spacing w:before="0" w:after="0"/>
              <w:jc w:val="left"/>
              <w:rPr>
                <w:rFonts w:ascii="Times New Roman" w:hAnsi="Times New Roman"/>
                <w:sz w:val="20"/>
              </w:rPr>
            </w:pPr>
            <w:r>
              <w:rPr>
                <w:rFonts w:ascii="Times New Roman" w:hAnsi="Times New Roman"/>
                <w:sz w:val="20"/>
              </w:rPr>
              <w:t>Securitizable Asset</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13</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452"/>
        <w:gridCol w:w="83"/>
        <w:gridCol w:w="8152"/>
        <w:gridCol w:w="136"/>
        <w:gridCol w:w="60"/>
        <w:gridCol w:w="260"/>
        <w:gridCol w:w="62"/>
      </w:tblGrid>
      <w:tr>
        <w:trPr/>
        <w:tc>
          <w:tcPr>
            <w:tcW w:w="1452" w:type="dxa"/>
            <w:tcBorders/>
            <w:vAlign w:val="center"/>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sz w:val="4"/>
                <w:szCs w:val="4"/>
              </w:rPr>
            </w:pPr>
            <w:r>
              <w:rPr>
                <w:sz w:val="4"/>
                <w:szCs w:val="4"/>
              </w:rPr>
            </w:r>
          </w:p>
        </w:tc>
        <w:tc>
          <w:tcPr>
            <w:tcW w:w="8152"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687"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Securitization Entity</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13</w:t>
            </w:r>
          </w:p>
        </w:tc>
        <w:tc>
          <w:tcPr>
            <w:tcW w:w="62" w:type="dxa"/>
            <w:tcBorders/>
            <w:vAlign w:val="bottom"/>
          </w:tcPr>
          <w:p>
            <w:pPr>
              <w:pStyle w:val="TableContents"/>
              <w:bidi w:val="0"/>
              <w:spacing w:before="0" w:after="283"/>
              <w:jc w:val="left"/>
              <w:rPr/>
            </w:pPr>
            <w:r>
              <w:rPr/>
              <w:t> </w:t>
            </w:r>
          </w:p>
        </w:tc>
      </w:tr>
      <w:tr>
        <w:trPr/>
        <w:tc>
          <w:tcPr>
            <w:tcW w:w="9687"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Special Record Date</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13</w:t>
            </w:r>
          </w:p>
        </w:tc>
        <w:tc>
          <w:tcPr>
            <w:tcW w:w="62" w:type="dxa"/>
            <w:tcBorders/>
            <w:vAlign w:val="bottom"/>
          </w:tcPr>
          <w:p>
            <w:pPr>
              <w:pStyle w:val="TableContents"/>
              <w:bidi w:val="0"/>
              <w:spacing w:before="0" w:after="283"/>
              <w:jc w:val="left"/>
              <w:rPr/>
            </w:pPr>
            <w:r>
              <w:rPr/>
              <w:t> </w:t>
            </w:r>
          </w:p>
        </w:tc>
      </w:tr>
      <w:tr>
        <w:trPr/>
        <w:tc>
          <w:tcPr>
            <w:tcW w:w="9687"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S&amp;P</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13</w:t>
            </w:r>
          </w:p>
        </w:tc>
        <w:tc>
          <w:tcPr>
            <w:tcW w:w="62" w:type="dxa"/>
            <w:tcBorders/>
            <w:vAlign w:val="bottom"/>
          </w:tcPr>
          <w:p>
            <w:pPr>
              <w:pStyle w:val="TableContents"/>
              <w:bidi w:val="0"/>
              <w:spacing w:before="0" w:after="283"/>
              <w:jc w:val="left"/>
              <w:rPr/>
            </w:pPr>
            <w:r>
              <w:rPr/>
              <w:t> </w:t>
            </w:r>
          </w:p>
        </w:tc>
      </w:tr>
      <w:tr>
        <w:trPr/>
        <w:tc>
          <w:tcPr>
            <w:tcW w:w="9687"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Standard Securitization Undertaking</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13</w:t>
            </w:r>
          </w:p>
        </w:tc>
        <w:tc>
          <w:tcPr>
            <w:tcW w:w="62" w:type="dxa"/>
            <w:tcBorders/>
            <w:vAlign w:val="bottom"/>
          </w:tcPr>
          <w:p>
            <w:pPr>
              <w:pStyle w:val="TableContents"/>
              <w:bidi w:val="0"/>
              <w:spacing w:before="0" w:after="283"/>
              <w:jc w:val="left"/>
              <w:rPr/>
            </w:pPr>
            <w:r>
              <w:rPr/>
              <w:t> </w:t>
            </w:r>
          </w:p>
        </w:tc>
      </w:tr>
      <w:tr>
        <w:trPr/>
        <w:tc>
          <w:tcPr>
            <w:tcW w:w="9687"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Stated Maturity</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13</w:t>
            </w:r>
          </w:p>
        </w:tc>
        <w:tc>
          <w:tcPr>
            <w:tcW w:w="62" w:type="dxa"/>
            <w:tcBorders/>
            <w:vAlign w:val="bottom"/>
          </w:tcPr>
          <w:p>
            <w:pPr>
              <w:pStyle w:val="TableContents"/>
              <w:bidi w:val="0"/>
              <w:spacing w:before="0" w:after="283"/>
              <w:jc w:val="left"/>
              <w:rPr/>
            </w:pPr>
            <w:r>
              <w:rPr/>
              <w:t> </w:t>
            </w:r>
          </w:p>
        </w:tc>
      </w:tr>
      <w:tr>
        <w:trPr/>
        <w:tc>
          <w:tcPr>
            <w:tcW w:w="9687"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Subsidiary</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13</w:t>
            </w:r>
          </w:p>
        </w:tc>
        <w:tc>
          <w:tcPr>
            <w:tcW w:w="62" w:type="dxa"/>
            <w:tcBorders/>
            <w:vAlign w:val="bottom"/>
          </w:tcPr>
          <w:p>
            <w:pPr>
              <w:pStyle w:val="TableContents"/>
              <w:bidi w:val="0"/>
              <w:spacing w:before="0" w:after="283"/>
              <w:jc w:val="left"/>
              <w:rPr/>
            </w:pPr>
            <w:r>
              <w:rPr/>
              <w:t> </w:t>
            </w:r>
          </w:p>
        </w:tc>
      </w:tr>
      <w:tr>
        <w:trPr/>
        <w:tc>
          <w:tcPr>
            <w:tcW w:w="9687"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Substitute</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13</w:t>
            </w:r>
          </w:p>
        </w:tc>
        <w:tc>
          <w:tcPr>
            <w:tcW w:w="62" w:type="dxa"/>
            <w:tcBorders/>
            <w:vAlign w:val="bottom"/>
          </w:tcPr>
          <w:p>
            <w:pPr>
              <w:pStyle w:val="TableContents"/>
              <w:bidi w:val="0"/>
              <w:spacing w:before="0" w:after="283"/>
              <w:jc w:val="left"/>
              <w:rPr/>
            </w:pPr>
            <w:r>
              <w:rPr/>
              <w:t> </w:t>
            </w:r>
          </w:p>
        </w:tc>
      </w:tr>
      <w:tr>
        <w:trPr/>
        <w:tc>
          <w:tcPr>
            <w:tcW w:w="9687"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Substitution by Guarantor Documents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13</w:t>
            </w:r>
          </w:p>
        </w:tc>
        <w:tc>
          <w:tcPr>
            <w:tcW w:w="62" w:type="dxa"/>
            <w:tcBorders/>
            <w:vAlign w:val="bottom"/>
          </w:tcPr>
          <w:p>
            <w:pPr>
              <w:pStyle w:val="TableContents"/>
              <w:bidi w:val="0"/>
              <w:spacing w:before="0" w:after="283"/>
              <w:jc w:val="left"/>
              <w:rPr/>
            </w:pPr>
            <w:r>
              <w:rPr/>
              <w:t> </w:t>
            </w:r>
          </w:p>
        </w:tc>
      </w:tr>
      <w:tr>
        <w:trPr/>
        <w:tc>
          <w:tcPr>
            <w:tcW w:w="9687"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Substitution by Treasury Subsidiary Documents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r>
        <w:trPr/>
        <w:tc>
          <w:tcPr>
            <w:tcW w:w="9687"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Taxes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r>
        <w:trPr/>
        <w:tc>
          <w:tcPr>
            <w:tcW w:w="9687"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Treasury Rate</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r>
        <w:trPr/>
        <w:tc>
          <w:tcPr>
            <w:tcW w:w="9687"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Treasury Subsidiary</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r>
        <w:trPr/>
        <w:tc>
          <w:tcPr>
            <w:tcW w:w="9687"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Trust Indenture Act</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r>
        <w:trPr/>
        <w:tc>
          <w:tcPr>
            <w:tcW w:w="9687"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Trustee</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r>
        <w:trPr/>
        <w:tc>
          <w:tcPr>
            <w:tcW w:w="9687"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Voting Stock</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r>
        <w:trPr/>
        <w:tc>
          <w:tcPr>
            <w:tcW w:w="1452" w:type="dxa"/>
            <w:tcBorders/>
          </w:tcPr>
          <w:p>
            <w:pPr>
              <w:pStyle w:val="TableContents"/>
              <w:bidi w:val="0"/>
              <w:spacing w:before="0" w:after="0"/>
              <w:jc w:val="left"/>
              <w:rPr>
                <w:rFonts w:ascii="Times New Roman" w:hAnsi="Times New Roman"/>
                <w:sz w:val="20"/>
              </w:rPr>
            </w:pPr>
            <w:r>
              <w:rPr>
                <w:rFonts w:ascii="Times New Roman" w:hAnsi="Times New Roman"/>
                <w:sz w:val="20"/>
              </w:rPr>
              <w:t>SECTION 1.02.</w:t>
            </w:r>
          </w:p>
        </w:tc>
        <w:tc>
          <w:tcPr>
            <w:tcW w:w="83" w:type="dxa"/>
            <w:tcBorders/>
            <w:vAlign w:val="bottom"/>
          </w:tcPr>
          <w:p>
            <w:pPr>
              <w:pStyle w:val="TableContents"/>
              <w:bidi w:val="0"/>
              <w:spacing w:before="0" w:after="283"/>
              <w:jc w:val="left"/>
              <w:rPr/>
            </w:pPr>
            <w:r>
              <w:rPr/>
              <w:t> </w:t>
            </w:r>
          </w:p>
        </w:tc>
        <w:tc>
          <w:tcPr>
            <w:tcW w:w="8152" w:type="dxa"/>
            <w:tcBorders/>
            <w:vAlign w:val="bottom"/>
          </w:tcPr>
          <w:p>
            <w:pPr>
              <w:pStyle w:val="TableContents"/>
              <w:bidi w:val="0"/>
              <w:spacing w:before="0" w:after="283"/>
              <w:jc w:val="left"/>
              <w:rPr/>
            </w:pPr>
            <w:r>
              <w:rPr/>
              <w:t>Compliance Certificates and Opinions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r>
        <w:trPr/>
        <w:tc>
          <w:tcPr>
            <w:tcW w:w="1452" w:type="dxa"/>
            <w:tcBorders/>
          </w:tcPr>
          <w:p>
            <w:pPr>
              <w:pStyle w:val="TableContents"/>
              <w:bidi w:val="0"/>
              <w:spacing w:before="0" w:after="0"/>
              <w:jc w:val="left"/>
              <w:rPr>
                <w:rFonts w:ascii="Times New Roman" w:hAnsi="Times New Roman"/>
                <w:sz w:val="20"/>
              </w:rPr>
            </w:pPr>
            <w:r>
              <w:rPr>
                <w:rFonts w:ascii="Times New Roman" w:hAnsi="Times New Roman"/>
                <w:sz w:val="20"/>
              </w:rPr>
              <w:t>SECTION 1.03.</w:t>
            </w:r>
          </w:p>
        </w:tc>
        <w:tc>
          <w:tcPr>
            <w:tcW w:w="83" w:type="dxa"/>
            <w:tcBorders/>
            <w:vAlign w:val="bottom"/>
          </w:tcPr>
          <w:p>
            <w:pPr>
              <w:pStyle w:val="TableContents"/>
              <w:bidi w:val="0"/>
              <w:spacing w:before="0" w:after="283"/>
              <w:jc w:val="left"/>
              <w:rPr/>
            </w:pPr>
            <w:r>
              <w:rPr/>
              <w:t> </w:t>
            </w:r>
          </w:p>
        </w:tc>
        <w:tc>
          <w:tcPr>
            <w:tcW w:w="8152" w:type="dxa"/>
            <w:tcBorders/>
            <w:vAlign w:val="bottom"/>
          </w:tcPr>
          <w:p>
            <w:pPr>
              <w:pStyle w:val="TableContents"/>
              <w:bidi w:val="0"/>
              <w:spacing w:before="0" w:after="283"/>
              <w:jc w:val="left"/>
              <w:rPr/>
            </w:pPr>
            <w:r>
              <w:rPr/>
              <w:t>Form of Documents Delivered to Trustee</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15</w:t>
            </w:r>
          </w:p>
        </w:tc>
        <w:tc>
          <w:tcPr>
            <w:tcW w:w="62" w:type="dxa"/>
            <w:tcBorders/>
            <w:vAlign w:val="bottom"/>
          </w:tcPr>
          <w:p>
            <w:pPr>
              <w:pStyle w:val="TableContents"/>
              <w:bidi w:val="0"/>
              <w:spacing w:before="0" w:after="283"/>
              <w:jc w:val="left"/>
              <w:rPr/>
            </w:pPr>
            <w:r>
              <w:rPr/>
              <w:t> </w:t>
            </w:r>
          </w:p>
        </w:tc>
      </w:tr>
      <w:tr>
        <w:trPr/>
        <w:tc>
          <w:tcPr>
            <w:tcW w:w="1452" w:type="dxa"/>
            <w:tcBorders/>
          </w:tcPr>
          <w:p>
            <w:pPr>
              <w:pStyle w:val="TableContents"/>
              <w:bidi w:val="0"/>
              <w:spacing w:before="0" w:after="0"/>
              <w:jc w:val="left"/>
              <w:rPr>
                <w:rFonts w:ascii="Times New Roman" w:hAnsi="Times New Roman"/>
                <w:sz w:val="20"/>
              </w:rPr>
            </w:pPr>
            <w:r>
              <w:rPr>
                <w:rFonts w:ascii="Times New Roman" w:hAnsi="Times New Roman"/>
                <w:sz w:val="20"/>
              </w:rPr>
              <w:t>SECTION 1.04.</w:t>
            </w:r>
          </w:p>
        </w:tc>
        <w:tc>
          <w:tcPr>
            <w:tcW w:w="83" w:type="dxa"/>
            <w:tcBorders/>
            <w:vAlign w:val="bottom"/>
          </w:tcPr>
          <w:p>
            <w:pPr>
              <w:pStyle w:val="TableContents"/>
              <w:bidi w:val="0"/>
              <w:spacing w:before="0" w:after="283"/>
              <w:jc w:val="left"/>
              <w:rPr/>
            </w:pPr>
            <w:r>
              <w:rPr/>
              <w:t> </w:t>
            </w:r>
          </w:p>
        </w:tc>
        <w:tc>
          <w:tcPr>
            <w:tcW w:w="8152" w:type="dxa"/>
            <w:tcBorders/>
            <w:vAlign w:val="bottom"/>
          </w:tcPr>
          <w:p>
            <w:pPr>
              <w:pStyle w:val="TableContents"/>
              <w:bidi w:val="0"/>
              <w:spacing w:before="0" w:after="283"/>
              <w:jc w:val="left"/>
              <w:rPr/>
            </w:pPr>
            <w:r>
              <w:rPr/>
              <w:t>Acts of Holders; Record Dates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15</w:t>
            </w:r>
          </w:p>
        </w:tc>
        <w:tc>
          <w:tcPr>
            <w:tcW w:w="62" w:type="dxa"/>
            <w:tcBorders/>
            <w:vAlign w:val="bottom"/>
          </w:tcPr>
          <w:p>
            <w:pPr>
              <w:pStyle w:val="TableContents"/>
              <w:bidi w:val="0"/>
              <w:spacing w:before="0" w:after="283"/>
              <w:jc w:val="left"/>
              <w:rPr/>
            </w:pPr>
            <w:r>
              <w:rPr/>
              <w:t> </w:t>
            </w:r>
          </w:p>
        </w:tc>
      </w:tr>
      <w:tr>
        <w:trPr/>
        <w:tc>
          <w:tcPr>
            <w:tcW w:w="1452" w:type="dxa"/>
            <w:tcBorders/>
          </w:tcPr>
          <w:p>
            <w:pPr>
              <w:pStyle w:val="TableContents"/>
              <w:bidi w:val="0"/>
              <w:spacing w:before="0" w:after="0"/>
              <w:jc w:val="left"/>
              <w:rPr>
                <w:rFonts w:ascii="Times New Roman" w:hAnsi="Times New Roman"/>
                <w:sz w:val="20"/>
              </w:rPr>
            </w:pPr>
            <w:r>
              <w:rPr>
                <w:rFonts w:ascii="Times New Roman" w:hAnsi="Times New Roman"/>
                <w:sz w:val="20"/>
              </w:rPr>
              <w:t>SECTION 1.05.</w:t>
            </w:r>
          </w:p>
        </w:tc>
        <w:tc>
          <w:tcPr>
            <w:tcW w:w="83" w:type="dxa"/>
            <w:tcBorders/>
            <w:vAlign w:val="bottom"/>
          </w:tcPr>
          <w:p>
            <w:pPr>
              <w:pStyle w:val="TableContents"/>
              <w:bidi w:val="0"/>
              <w:spacing w:before="0" w:after="283"/>
              <w:jc w:val="left"/>
              <w:rPr/>
            </w:pPr>
            <w:r>
              <w:rPr/>
              <w:t> </w:t>
            </w:r>
          </w:p>
        </w:tc>
        <w:tc>
          <w:tcPr>
            <w:tcW w:w="8152" w:type="dxa"/>
            <w:tcBorders/>
            <w:vAlign w:val="bottom"/>
          </w:tcPr>
          <w:p>
            <w:pPr>
              <w:pStyle w:val="TableContents"/>
              <w:bidi w:val="0"/>
              <w:spacing w:before="0" w:after="283"/>
              <w:jc w:val="left"/>
              <w:rPr/>
            </w:pPr>
            <w:r>
              <w:rPr/>
              <w:t>Notices, Etc., to Trustee, the Company and the Guarantor</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17</w:t>
            </w:r>
          </w:p>
        </w:tc>
        <w:tc>
          <w:tcPr>
            <w:tcW w:w="62" w:type="dxa"/>
            <w:tcBorders/>
            <w:vAlign w:val="bottom"/>
          </w:tcPr>
          <w:p>
            <w:pPr>
              <w:pStyle w:val="TableContents"/>
              <w:bidi w:val="0"/>
              <w:spacing w:before="0" w:after="283"/>
              <w:jc w:val="left"/>
              <w:rPr/>
            </w:pPr>
            <w:r>
              <w:rPr/>
              <w:t> </w:t>
            </w:r>
          </w:p>
        </w:tc>
      </w:tr>
      <w:tr>
        <w:trPr/>
        <w:tc>
          <w:tcPr>
            <w:tcW w:w="1452" w:type="dxa"/>
            <w:tcBorders/>
          </w:tcPr>
          <w:p>
            <w:pPr>
              <w:pStyle w:val="TableContents"/>
              <w:bidi w:val="0"/>
              <w:spacing w:before="0" w:after="0"/>
              <w:jc w:val="left"/>
              <w:rPr>
                <w:rFonts w:ascii="Times New Roman" w:hAnsi="Times New Roman"/>
                <w:sz w:val="20"/>
              </w:rPr>
            </w:pPr>
            <w:r>
              <w:rPr>
                <w:rFonts w:ascii="Times New Roman" w:hAnsi="Times New Roman"/>
                <w:sz w:val="20"/>
              </w:rPr>
              <w:t>SECTION 1.06.</w:t>
            </w:r>
          </w:p>
        </w:tc>
        <w:tc>
          <w:tcPr>
            <w:tcW w:w="83" w:type="dxa"/>
            <w:tcBorders/>
            <w:vAlign w:val="bottom"/>
          </w:tcPr>
          <w:p>
            <w:pPr>
              <w:pStyle w:val="TableContents"/>
              <w:bidi w:val="0"/>
              <w:spacing w:before="0" w:after="283"/>
              <w:jc w:val="left"/>
              <w:rPr/>
            </w:pPr>
            <w:r>
              <w:rPr/>
              <w:t> </w:t>
            </w:r>
          </w:p>
        </w:tc>
        <w:tc>
          <w:tcPr>
            <w:tcW w:w="8152" w:type="dxa"/>
            <w:tcBorders/>
            <w:vAlign w:val="bottom"/>
          </w:tcPr>
          <w:p>
            <w:pPr>
              <w:pStyle w:val="TableContents"/>
              <w:bidi w:val="0"/>
              <w:spacing w:before="0" w:after="283"/>
              <w:jc w:val="left"/>
              <w:rPr/>
            </w:pPr>
            <w:r>
              <w:rPr/>
              <w:t>Notice to Holders; Waiver</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18</w:t>
            </w:r>
          </w:p>
        </w:tc>
        <w:tc>
          <w:tcPr>
            <w:tcW w:w="62" w:type="dxa"/>
            <w:tcBorders/>
            <w:vAlign w:val="bottom"/>
          </w:tcPr>
          <w:p>
            <w:pPr>
              <w:pStyle w:val="TableContents"/>
              <w:bidi w:val="0"/>
              <w:spacing w:before="0" w:after="283"/>
              <w:jc w:val="left"/>
              <w:rPr/>
            </w:pPr>
            <w:r>
              <w:rPr/>
              <w:t> </w:t>
            </w:r>
          </w:p>
        </w:tc>
      </w:tr>
      <w:tr>
        <w:trPr/>
        <w:tc>
          <w:tcPr>
            <w:tcW w:w="1452" w:type="dxa"/>
            <w:tcBorders/>
          </w:tcPr>
          <w:p>
            <w:pPr>
              <w:pStyle w:val="TableContents"/>
              <w:bidi w:val="0"/>
              <w:spacing w:before="0" w:after="0"/>
              <w:jc w:val="left"/>
              <w:rPr>
                <w:rFonts w:ascii="Times New Roman" w:hAnsi="Times New Roman"/>
                <w:sz w:val="20"/>
              </w:rPr>
            </w:pPr>
            <w:r>
              <w:rPr>
                <w:rFonts w:ascii="Times New Roman" w:hAnsi="Times New Roman"/>
                <w:sz w:val="20"/>
              </w:rPr>
              <w:t>SECTION 1.07.</w:t>
            </w:r>
          </w:p>
        </w:tc>
        <w:tc>
          <w:tcPr>
            <w:tcW w:w="83" w:type="dxa"/>
            <w:tcBorders/>
            <w:vAlign w:val="bottom"/>
          </w:tcPr>
          <w:p>
            <w:pPr>
              <w:pStyle w:val="TableContents"/>
              <w:bidi w:val="0"/>
              <w:spacing w:before="0" w:after="283"/>
              <w:jc w:val="left"/>
              <w:rPr/>
            </w:pPr>
            <w:r>
              <w:rPr/>
              <w:t> </w:t>
            </w:r>
          </w:p>
        </w:tc>
        <w:tc>
          <w:tcPr>
            <w:tcW w:w="8152" w:type="dxa"/>
            <w:tcBorders/>
            <w:vAlign w:val="bottom"/>
          </w:tcPr>
          <w:p>
            <w:pPr>
              <w:pStyle w:val="TableContents"/>
              <w:bidi w:val="0"/>
              <w:spacing w:before="0" w:after="283"/>
              <w:jc w:val="left"/>
              <w:rPr/>
            </w:pPr>
            <w:r>
              <w:rPr/>
              <w:t>Conflict with Trust Indenture Act</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19</w:t>
            </w:r>
          </w:p>
        </w:tc>
        <w:tc>
          <w:tcPr>
            <w:tcW w:w="62" w:type="dxa"/>
            <w:tcBorders/>
            <w:vAlign w:val="bottom"/>
          </w:tcPr>
          <w:p>
            <w:pPr>
              <w:pStyle w:val="TableContents"/>
              <w:bidi w:val="0"/>
              <w:spacing w:before="0" w:after="283"/>
              <w:jc w:val="left"/>
              <w:rPr/>
            </w:pPr>
            <w:r>
              <w:rPr/>
              <w:t> </w:t>
            </w:r>
          </w:p>
        </w:tc>
      </w:tr>
      <w:tr>
        <w:trPr/>
        <w:tc>
          <w:tcPr>
            <w:tcW w:w="1452" w:type="dxa"/>
            <w:tcBorders/>
          </w:tcPr>
          <w:p>
            <w:pPr>
              <w:pStyle w:val="TableContents"/>
              <w:bidi w:val="0"/>
              <w:spacing w:before="0" w:after="0"/>
              <w:jc w:val="left"/>
              <w:rPr>
                <w:rFonts w:ascii="Times New Roman" w:hAnsi="Times New Roman"/>
                <w:sz w:val="20"/>
              </w:rPr>
            </w:pPr>
            <w:r>
              <w:rPr>
                <w:rFonts w:ascii="Times New Roman" w:hAnsi="Times New Roman"/>
                <w:sz w:val="20"/>
              </w:rPr>
              <w:t>SECTION 1.08.</w:t>
            </w:r>
          </w:p>
        </w:tc>
        <w:tc>
          <w:tcPr>
            <w:tcW w:w="83" w:type="dxa"/>
            <w:tcBorders/>
            <w:vAlign w:val="bottom"/>
          </w:tcPr>
          <w:p>
            <w:pPr>
              <w:pStyle w:val="TableContents"/>
              <w:bidi w:val="0"/>
              <w:spacing w:before="0" w:after="283"/>
              <w:jc w:val="left"/>
              <w:rPr/>
            </w:pPr>
            <w:r>
              <w:rPr/>
              <w:t> </w:t>
            </w:r>
          </w:p>
        </w:tc>
        <w:tc>
          <w:tcPr>
            <w:tcW w:w="8152" w:type="dxa"/>
            <w:tcBorders/>
            <w:vAlign w:val="bottom"/>
          </w:tcPr>
          <w:p>
            <w:pPr>
              <w:pStyle w:val="TableContents"/>
              <w:bidi w:val="0"/>
              <w:spacing w:before="0" w:after="283"/>
              <w:jc w:val="left"/>
              <w:rPr/>
            </w:pPr>
            <w:r>
              <w:rPr/>
              <w:t>Effect of Headings and Table of Contents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19</w:t>
            </w:r>
          </w:p>
        </w:tc>
        <w:tc>
          <w:tcPr>
            <w:tcW w:w="62" w:type="dxa"/>
            <w:tcBorders/>
            <w:vAlign w:val="bottom"/>
          </w:tcPr>
          <w:p>
            <w:pPr>
              <w:pStyle w:val="TableContents"/>
              <w:bidi w:val="0"/>
              <w:spacing w:before="0" w:after="283"/>
              <w:jc w:val="left"/>
              <w:rPr/>
            </w:pPr>
            <w:r>
              <w:rPr/>
              <w:t> </w:t>
            </w:r>
          </w:p>
        </w:tc>
      </w:tr>
      <w:tr>
        <w:trPr/>
        <w:tc>
          <w:tcPr>
            <w:tcW w:w="1452" w:type="dxa"/>
            <w:tcBorders/>
          </w:tcPr>
          <w:p>
            <w:pPr>
              <w:pStyle w:val="TableContents"/>
              <w:bidi w:val="0"/>
              <w:spacing w:before="0" w:after="0"/>
              <w:jc w:val="left"/>
              <w:rPr>
                <w:rFonts w:ascii="Times New Roman" w:hAnsi="Times New Roman"/>
                <w:sz w:val="20"/>
              </w:rPr>
            </w:pPr>
            <w:r>
              <w:rPr>
                <w:rFonts w:ascii="Times New Roman" w:hAnsi="Times New Roman"/>
                <w:sz w:val="20"/>
              </w:rPr>
              <w:t>SECTION 1.09.</w:t>
            </w:r>
          </w:p>
        </w:tc>
        <w:tc>
          <w:tcPr>
            <w:tcW w:w="83" w:type="dxa"/>
            <w:tcBorders/>
            <w:vAlign w:val="bottom"/>
          </w:tcPr>
          <w:p>
            <w:pPr>
              <w:pStyle w:val="TableContents"/>
              <w:bidi w:val="0"/>
              <w:spacing w:before="0" w:after="283"/>
              <w:jc w:val="left"/>
              <w:rPr/>
            </w:pPr>
            <w:r>
              <w:rPr/>
              <w:t> </w:t>
            </w:r>
          </w:p>
        </w:tc>
        <w:tc>
          <w:tcPr>
            <w:tcW w:w="8152" w:type="dxa"/>
            <w:tcBorders/>
            <w:vAlign w:val="bottom"/>
          </w:tcPr>
          <w:p>
            <w:pPr>
              <w:pStyle w:val="TableContents"/>
              <w:bidi w:val="0"/>
              <w:spacing w:before="0" w:after="283"/>
              <w:jc w:val="left"/>
              <w:rPr/>
            </w:pPr>
            <w:r>
              <w:rPr/>
              <w:t>Successors and Assigns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19</w:t>
            </w:r>
          </w:p>
        </w:tc>
        <w:tc>
          <w:tcPr>
            <w:tcW w:w="62" w:type="dxa"/>
            <w:tcBorders/>
            <w:vAlign w:val="bottom"/>
          </w:tcPr>
          <w:p>
            <w:pPr>
              <w:pStyle w:val="TableContents"/>
              <w:bidi w:val="0"/>
              <w:spacing w:before="0" w:after="283"/>
              <w:jc w:val="left"/>
              <w:rPr/>
            </w:pPr>
            <w:r>
              <w:rPr/>
              <w:t> </w:t>
            </w:r>
          </w:p>
        </w:tc>
      </w:tr>
      <w:tr>
        <w:trPr/>
        <w:tc>
          <w:tcPr>
            <w:tcW w:w="1452" w:type="dxa"/>
            <w:tcBorders/>
          </w:tcPr>
          <w:p>
            <w:pPr>
              <w:pStyle w:val="TableContents"/>
              <w:bidi w:val="0"/>
              <w:spacing w:before="0" w:after="0"/>
              <w:jc w:val="left"/>
              <w:rPr>
                <w:rFonts w:ascii="Times New Roman" w:hAnsi="Times New Roman"/>
                <w:sz w:val="20"/>
              </w:rPr>
            </w:pPr>
            <w:r>
              <w:rPr>
                <w:rFonts w:ascii="Times New Roman" w:hAnsi="Times New Roman"/>
                <w:sz w:val="20"/>
              </w:rPr>
              <w:t>SECTION 1.10.</w:t>
            </w:r>
          </w:p>
        </w:tc>
        <w:tc>
          <w:tcPr>
            <w:tcW w:w="83" w:type="dxa"/>
            <w:tcBorders/>
            <w:vAlign w:val="bottom"/>
          </w:tcPr>
          <w:p>
            <w:pPr>
              <w:pStyle w:val="TableContents"/>
              <w:bidi w:val="0"/>
              <w:spacing w:before="0" w:after="283"/>
              <w:jc w:val="left"/>
              <w:rPr/>
            </w:pPr>
            <w:r>
              <w:rPr/>
              <w:t> </w:t>
            </w:r>
          </w:p>
        </w:tc>
        <w:tc>
          <w:tcPr>
            <w:tcW w:w="8152" w:type="dxa"/>
            <w:tcBorders/>
            <w:vAlign w:val="bottom"/>
          </w:tcPr>
          <w:p>
            <w:pPr>
              <w:pStyle w:val="TableContents"/>
              <w:bidi w:val="0"/>
              <w:spacing w:before="0" w:after="283"/>
              <w:jc w:val="left"/>
              <w:rPr/>
            </w:pPr>
            <w:r>
              <w:rPr/>
              <w:t>Separability Clause</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19</w:t>
            </w:r>
          </w:p>
        </w:tc>
        <w:tc>
          <w:tcPr>
            <w:tcW w:w="62" w:type="dxa"/>
            <w:tcBorders/>
            <w:vAlign w:val="bottom"/>
          </w:tcPr>
          <w:p>
            <w:pPr>
              <w:pStyle w:val="TableContents"/>
              <w:bidi w:val="0"/>
              <w:spacing w:before="0" w:after="283"/>
              <w:jc w:val="left"/>
              <w:rPr/>
            </w:pPr>
            <w:r>
              <w:rPr/>
              <w:t> </w:t>
            </w:r>
          </w:p>
        </w:tc>
      </w:tr>
      <w:tr>
        <w:trPr/>
        <w:tc>
          <w:tcPr>
            <w:tcW w:w="1452" w:type="dxa"/>
            <w:tcBorders/>
          </w:tcPr>
          <w:p>
            <w:pPr>
              <w:pStyle w:val="TableContents"/>
              <w:bidi w:val="0"/>
              <w:spacing w:before="0" w:after="0"/>
              <w:jc w:val="left"/>
              <w:rPr>
                <w:rFonts w:ascii="Times New Roman" w:hAnsi="Times New Roman"/>
                <w:sz w:val="20"/>
              </w:rPr>
            </w:pPr>
            <w:r>
              <w:rPr>
                <w:rFonts w:ascii="Times New Roman" w:hAnsi="Times New Roman"/>
                <w:sz w:val="20"/>
              </w:rPr>
              <w:t>SECTION 1.11.</w:t>
            </w:r>
          </w:p>
        </w:tc>
        <w:tc>
          <w:tcPr>
            <w:tcW w:w="83" w:type="dxa"/>
            <w:tcBorders/>
            <w:vAlign w:val="bottom"/>
          </w:tcPr>
          <w:p>
            <w:pPr>
              <w:pStyle w:val="TableContents"/>
              <w:bidi w:val="0"/>
              <w:spacing w:before="0" w:after="283"/>
              <w:jc w:val="left"/>
              <w:rPr/>
            </w:pPr>
            <w:r>
              <w:rPr/>
              <w:t> </w:t>
            </w:r>
          </w:p>
        </w:tc>
        <w:tc>
          <w:tcPr>
            <w:tcW w:w="8152" w:type="dxa"/>
            <w:tcBorders/>
            <w:vAlign w:val="bottom"/>
          </w:tcPr>
          <w:p>
            <w:pPr>
              <w:pStyle w:val="TableContents"/>
              <w:bidi w:val="0"/>
              <w:spacing w:before="0" w:after="283"/>
              <w:jc w:val="left"/>
              <w:rPr/>
            </w:pPr>
            <w:r>
              <w:rPr/>
              <w:t>Benefits of Indenture</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19</w:t>
            </w:r>
          </w:p>
        </w:tc>
        <w:tc>
          <w:tcPr>
            <w:tcW w:w="62" w:type="dxa"/>
            <w:tcBorders/>
            <w:vAlign w:val="bottom"/>
          </w:tcPr>
          <w:p>
            <w:pPr>
              <w:pStyle w:val="TableContents"/>
              <w:bidi w:val="0"/>
              <w:spacing w:before="0" w:after="283"/>
              <w:jc w:val="left"/>
              <w:rPr/>
            </w:pPr>
            <w:r>
              <w:rPr/>
              <w:t> </w:t>
            </w:r>
          </w:p>
        </w:tc>
      </w:tr>
      <w:tr>
        <w:trPr/>
        <w:tc>
          <w:tcPr>
            <w:tcW w:w="1452" w:type="dxa"/>
            <w:tcBorders/>
          </w:tcPr>
          <w:p>
            <w:pPr>
              <w:pStyle w:val="TableContents"/>
              <w:bidi w:val="0"/>
              <w:spacing w:before="0" w:after="0"/>
              <w:jc w:val="left"/>
              <w:rPr>
                <w:rFonts w:ascii="Times New Roman" w:hAnsi="Times New Roman"/>
                <w:sz w:val="20"/>
              </w:rPr>
            </w:pPr>
            <w:r>
              <w:rPr>
                <w:rFonts w:ascii="Times New Roman" w:hAnsi="Times New Roman"/>
                <w:sz w:val="20"/>
              </w:rPr>
              <w:t>SECTION 1.12.</w:t>
            </w:r>
          </w:p>
        </w:tc>
        <w:tc>
          <w:tcPr>
            <w:tcW w:w="83" w:type="dxa"/>
            <w:tcBorders/>
            <w:vAlign w:val="bottom"/>
          </w:tcPr>
          <w:p>
            <w:pPr>
              <w:pStyle w:val="TableContents"/>
              <w:bidi w:val="0"/>
              <w:spacing w:before="0" w:after="283"/>
              <w:jc w:val="left"/>
              <w:rPr/>
            </w:pPr>
            <w:r>
              <w:rPr/>
              <w:t> </w:t>
            </w:r>
          </w:p>
        </w:tc>
        <w:tc>
          <w:tcPr>
            <w:tcW w:w="8152" w:type="dxa"/>
            <w:tcBorders/>
            <w:vAlign w:val="bottom"/>
          </w:tcPr>
          <w:p>
            <w:pPr>
              <w:pStyle w:val="TableContents"/>
              <w:bidi w:val="0"/>
              <w:spacing w:before="0" w:after="283"/>
              <w:jc w:val="left"/>
              <w:rPr/>
            </w:pPr>
            <w:r>
              <w:rPr/>
              <w:t>Governing Law; Waiver of Jury Trial</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20</w:t>
            </w:r>
          </w:p>
        </w:tc>
        <w:tc>
          <w:tcPr>
            <w:tcW w:w="62" w:type="dxa"/>
            <w:tcBorders/>
            <w:vAlign w:val="bottom"/>
          </w:tcPr>
          <w:p>
            <w:pPr>
              <w:pStyle w:val="TableContents"/>
              <w:bidi w:val="0"/>
              <w:spacing w:before="0" w:after="283"/>
              <w:jc w:val="left"/>
              <w:rPr/>
            </w:pPr>
            <w:r>
              <w:rPr/>
              <w:t> </w:t>
            </w:r>
          </w:p>
        </w:tc>
      </w:tr>
      <w:tr>
        <w:trPr/>
        <w:tc>
          <w:tcPr>
            <w:tcW w:w="1452" w:type="dxa"/>
            <w:tcBorders/>
          </w:tcPr>
          <w:p>
            <w:pPr>
              <w:pStyle w:val="TableContents"/>
              <w:bidi w:val="0"/>
              <w:spacing w:before="0" w:after="0"/>
              <w:jc w:val="left"/>
              <w:rPr>
                <w:rFonts w:ascii="Times New Roman" w:hAnsi="Times New Roman"/>
                <w:sz w:val="20"/>
              </w:rPr>
            </w:pPr>
            <w:r>
              <w:rPr>
                <w:rFonts w:ascii="Times New Roman" w:hAnsi="Times New Roman"/>
                <w:sz w:val="20"/>
              </w:rPr>
              <w:t>SECTION 1.13.</w:t>
            </w:r>
          </w:p>
        </w:tc>
        <w:tc>
          <w:tcPr>
            <w:tcW w:w="83" w:type="dxa"/>
            <w:tcBorders/>
            <w:vAlign w:val="bottom"/>
          </w:tcPr>
          <w:p>
            <w:pPr>
              <w:pStyle w:val="TableContents"/>
              <w:bidi w:val="0"/>
              <w:spacing w:before="0" w:after="283"/>
              <w:jc w:val="left"/>
              <w:rPr/>
            </w:pPr>
            <w:r>
              <w:rPr/>
              <w:t> </w:t>
            </w:r>
          </w:p>
        </w:tc>
        <w:tc>
          <w:tcPr>
            <w:tcW w:w="8152" w:type="dxa"/>
            <w:tcBorders/>
            <w:vAlign w:val="bottom"/>
          </w:tcPr>
          <w:p>
            <w:pPr>
              <w:pStyle w:val="TableContents"/>
              <w:bidi w:val="0"/>
              <w:spacing w:before="0" w:after="283"/>
              <w:jc w:val="left"/>
              <w:rPr/>
            </w:pPr>
            <w:r>
              <w:rPr/>
              <w:t>Legal Holidays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20</w:t>
            </w:r>
          </w:p>
        </w:tc>
        <w:tc>
          <w:tcPr>
            <w:tcW w:w="62" w:type="dxa"/>
            <w:tcBorders/>
            <w:vAlign w:val="bottom"/>
          </w:tcPr>
          <w:p>
            <w:pPr>
              <w:pStyle w:val="TableContents"/>
              <w:bidi w:val="0"/>
              <w:spacing w:before="0" w:after="283"/>
              <w:jc w:val="left"/>
              <w:rPr/>
            </w:pPr>
            <w:r>
              <w:rPr/>
              <w:t> </w:t>
            </w:r>
          </w:p>
        </w:tc>
      </w:tr>
      <w:tr>
        <w:trPr/>
        <w:tc>
          <w:tcPr>
            <w:tcW w:w="1452" w:type="dxa"/>
            <w:tcBorders/>
          </w:tcPr>
          <w:p>
            <w:pPr>
              <w:pStyle w:val="TableContents"/>
              <w:bidi w:val="0"/>
              <w:spacing w:before="0" w:after="0"/>
              <w:jc w:val="left"/>
              <w:rPr>
                <w:rFonts w:ascii="Times New Roman" w:hAnsi="Times New Roman"/>
                <w:sz w:val="20"/>
              </w:rPr>
            </w:pPr>
            <w:r>
              <w:rPr>
                <w:rFonts w:ascii="Times New Roman" w:hAnsi="Times New Roman"/>
                <w:sz w:val="20"/>
              </w:rPr>
              <w:t>SECTION 1.14.</w:t>
            </w:r>
          </w:p>
        </w:tc>
        <w:tc>
          <w:tcPr>
            <w:tcW w:w="83" w:type="dxa"/>
            <w:tcBorders/>
            <w:vAlign w:val="bottom"/>
          </w:tcPr>
          <w:p>
            <w:pPr>
              <w:pStyle w:val="TableContents"/>
              <w:bidi w:val="0"/>
              <w:spacing w:before="0" w:after="283"/>
              <w:jc w:val="left"/>
              <w:rPr/>
            </w:pPr>
            <w:r>
              <w:rPr/>
              <w:t> </w:t>
            </w:r>
          </w:p>
        </w:tc>
        <w:tc>
          <w:tcPr>
            <w:tcW w:w="8152" w:type="dxa"/>
            <w:tcBorders/>
            <w:vAlign w:val="bottom"/>
          </w:tcPr>
          <w:p>
            <w:pPr>
              <w:pStyle w:val="TableContents"/>
              <w:bidi w:val="0"/>
              <w:spacing w:before="0" w:after="283"/>
              <w:jc w:val="left"/>
              <w:rPr/>
            </w:pPr>
            <w:r>
              <w:rPr/>
              <w:t>Authorized Agent; Submission to Jurisdiction; Waiver of Immunity</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20</w:t>
            </w:r>
          </w:p>
        </w:tc>
        <w:tc>
          <w:tcPr>
            <w:tcW w:w="62"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3" w:type="dxa"/>
            <w:gridSpan w:val="6"/>
            <w:tcBorders/>
          </w:tcPr>
          <w:p>
            <w:pPr>
              <w:pStyle w:val="TableContents"/>
              <w:bidi w:val="0"/>
              <w:spacing w:before="0" w:after="283"/>
              <w:jc w:val="center"/>
              <w:rPr>
                <w:b/>
              </w:rPr>
            </w:pPr>
            <w:r>
              <w:rPr>
                <w:b/>
              </w:rPr>
              <w:t>ARTICLE TWO</w:t>
            </w:r>
          </w:p>
        </w:tc>
        <w:tc>
          <w:tcPr>
            <w:tcW w:w="62"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3" w:type="dxa"/>
            <w:gridSpan w:val="6"/>
            <w:tcBorders/>
          </w:tcPr>
          <w:p>
            <w:pPr>
              <w:pStyle w:val="TableContents"/>
              <w:bidi w:val="0"/>
              <w:spacing w:before="0" w:after="283"/>
              <w:jc w:val="center"/>
              <w:rPr>
                <w:b/>
              </w:rPr>
            </w:pPr>
            <w:r>
              <w:rPr>
                <w:b/>
              </w:rPr>
              <w:t>SECURITY FORMS</w:t>
            </w:r>
          </w:p>
        </w:tc>
        <w:tc>
          <w:tcPr>
            <w:tcW w:w="62" w:type="dxa"/>
            <w:tcBorders/>
          </w:tcPr>
          <w:p>
            <w:pPr>
              <w:pStyle w:val="TableContents"/>
              <w:bidi w:val="0"/>
              <w:spacing w:before="0" w:after="0"/>
              <w:jc w:val="left"/>
              <w:rPr/>
            </w:pPr>
            <w:r>
              <w:rPr/>
              <w:t> </w:t>
            </w:r>
          </w:p>
        </w:tc>
      </w:tr>
      <w:tr>
        <w:trPr>
          <w:trHeight w:val="120" w:hRule="atLeast"/>
        </w:trPr>
        <w:tc>
          <w:tcPr>
            <w:tcW w:w="1452" w:type="dxa"/>
            <w:tcBorders/>
            <w:vAlign w:val="center"/>
          </w:tcPr>
          <w:p>
            <w:pPr>
              <w:pStyle w:val="TableContents"/>
              <w:bidi w:val="0"/>
              <w:spacing w:before="0" w:after="283"/>
              <w:jc w:val="left"/>
              <w:rPr>
                <w:sz w:val="4"/>
                <w:szCs w:val="4"/>
              </w:rPr>
            </w:pPr>
            <w:r>
              <w:rPr>
                <w:sz w:val="4"/>
                <w:szCs w:val="4"/>
              </w:rPr>
            </w:r>
          </w:p>
        </w:tc>
        <w:tc>
          <w:tcPr>
            <w:tcW w:w="8235" w:type="dxa"/>
            <w:gridSpan w:val="2"/>
            <w:tcBorders/>
            <w:vAlign w:val="center"/>
          </w:tcPr>
          <w:p>
            <w:pPr>
              <w:pStyle w:val="TableContents"/>
              <w:bidi w:val="0"/>
              <w:spacing w:before="0" w:after="283"/>
              <w:jc w:val="left"/>
              <w:rPr>
                <w:sz w:val="4"/>
                <w:szCs w:val="4"/>
              </w:rPr>
            </w:pPr>
            <w:r>
              <w:rPr>
                <w:sz w:val="4"/>
                <w:szCs w:val="4"/>
              </w:rPr>
            </w:r>
          </w:p>
        </w:tc>
        <w:tc>
          <w:tcPr>
            <w:tcW w:w="518" w:type="dxa"/>
            <w:gridSpan w:val="4"/>
            <w:tcBorders/>
            <w:vAlign w:val="center"/>
          </w:tcPr>
          <w:p>
            <w:pPr>
              <w:pStyle w:val="TableContents"/>
              <w:bidi w:val="0"/>
              <w:spacing w:before="0" w:after="283"/>
              <w:jc w:val="left"/>
              <w:rPr>
                <w:sz w:val="4"/>
                <w:szCs w:val="4"/>
              </w:rPr>
            </w:pPr>
            <w:r>
              <w:rPr>
                <w:sz w:val="4"/>
                <w:szCs w:val="4"/>
              </w:rPr>
            </w:r>
          </w:p>
        </w:tc>
      </w:tr>
      <w:tr>
        <w:trPr/>
        <w:tc>
          <w:tcPr>
            <w:tcW w:w="1452" w:type="dxa"/>
            <w:tcBorders/>
          </w:tcPr>
          <w:p>
            <w:pPr>
              <w:pStyle w:val="TableContents"/>
              <w:bidi w:val="0"/>
              <w:spacing w:before="0" w:after="0"/>
              <w:jc w:val="left"/>
              <w:rPr>
                <w:rFonts w:ascii="Times New Roman" w:hAnsi="Times New Roman"/>
                <w:sz w:val="20"/>
              </w:rPr>
            </w:pPr>
            <w:r>
              <w:rPr>
                <w:rFonts w:ascii="Times New Roman" w:hAnsi="Times New Roman"/>
                <w:sz w:val="20"/>
              </w:rPr>
              <w:t>SECTION 2.01.</w:t>
            </w:r>
          </w:p>
        </w:tc>
        <w:tc>
          <w:tcPr>
            <w:tcW w:w="83" w:type="dxa"/>
            <w:tcBorders/>
            <w:vAlign w:val="bottom"/>
          </w:tcPr>
          <w:p>
            <w:pPr>
              <w:pStyle w:val="TableContents"/>
              <w:bidi w:val="0"/>
              <w:spacing w:before="0" w:after="283"/>
              <w:jc w:val="left"/>
              <w:rPr/>
            </w:pPr>
            <w:r>
              <w:rPr/>
              <w:t> </w:t>
            </w:r>
          </w:p>
        </w:tc>
        <w:tc>
          <w:tcPr>
            <w:tcW w:w="8152" w:type="dxa"/>
            <w:tcBorders/>
            <w:vAlign w:val="bottom"/>
          </w:tcPr>
          <w:p>
            <w:pPr>
              <w:pStyle w:val="TableContents"/>
              <w:bidi w:val="0"/>
              <w:spacing w:before="0" w:after="283"/>
              <w:jc w:val="left"/>
              <w:rPr/>
            </w:pPr>
            <w:r>
              <w:rPr/>
              <w:t>Forms Generally</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21</w:t>
            </w:r>
          </w:p>
        </w:tc>
        <w:tc>
          <w:tcPr>
            <w:tcW w:w="62" w:type="dxa"/>
            <w:tcBorders/>
            <w:vAlign w:val="bottom"/>
          </w:tcPr>
          <w:p>
            <w:pPr>
              <w:pStyle w:val="TableContents"/>
              <w:bidi w:val="0"/>
              <w:spacing w:before="0" w:after="283"/>
              <w:jc w:val="left"/>
              <w:rPr/>
            </w:pPr>
            <w:r>
              <w:rPr/>
              <w:t> </w:t>
            </w:r>
          </w:p>
        </w:tc>
      </w:tr>
      <w:tr>
        <w:trPr/>
        <w:tc>
          <w:tcPr>
            <w:tcW w:w="1452" w:type="dxa"/>
            <w:tcBorders/>
          </w:tcPr>
          <w:p>
            <w:pPr>
              <w:pStyle w:val="TableContents"/>
              <w:bidi w:val="0"/>
              <w:spacing w:before="0" w:after="0"/>
              <w:jc w:val="left"/>
              <w:rPr>
                <w:rFonts w:ascii="Times New Roman" w:hAnsi="Times New Roman"/>
                <w:sz w:val="20"/>
              </w:rPr>
            </w:pPr>
            <w:r>
              <w:rPr>
                <w:rFonts w:ascii="Times New Roman" w:hAnsi="Times New Roman"/>
                <w:sz w:val="20"/>
              </w:rPr>
              <w:t>SECTION 2.02.</w:t>
            </w:r>
          </w:p>
        </w:tc>
        <w:tc>
          <w:tcPr>
            <w:tcW w:w="83" w:type="dxa"/>
            <w:tcBorders/>
            <w:vAlign w:val="bottom"/>
          </w:tcPr>
          <w:p>
            <w:pPr>
              <w:pStyle w:val="TableContents"/>
              <w:bidi w:val="0"/>
              <w:spacing w:before="0" w:after="283"/>
              <w:jc w:val="left"/>
              <w:rPr/>
            </w:pPr>
            <w:r>
              <w:rPr/>
              <w:t> </w:t>
            </w:r>
          </w:p>
        </w:tc>
        <w:tc>
          <w:tcPr>
            <w:tcW w:w="8152" w:type="dxa"/>
            <w:tcBorders/>
            <w:vAlign w:val="bottom"/>
          </w:tcPr>
          <w:p>
            <w:pPr>
              <w:pStyle w:val="TableContents"/>
              <w:bidi w:val="0"/>
              <w:spacing w:before="0" w:after="283"/>
              <w:jc w:val="left"/>
              <w:rPr/>
            </w:pPr>
            <w:r>
              <w:rPr/>
              <w:t>Form of Face of Security</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22</w:t>
            </w:r>
          </w:p>
        </w:tc>
        <w:tc>
          <w:tcPr>
            <w:tcW w:w="62" w:type="dxa"/>
            <w:tcBorders/>
            <w:vAlign w:val="bottom"/>
          </w:tcPr>
          <w:p>
            <w:pPr>
              <w:pStyle w:val="TableContents"/>
              <w:bidi w:val="0"/>
              <w:spacing w:before="0" w:after="283"/>
              <w:jc w:val="left"/>
              <w:rPr/>
            </w:pPr>
            <w:r>
              <w:rPr/>
              <w:t> </w:t>
            </w:r>
          </w:p>
        </w:tc>
      </w:tr>
      <w:tr>
        <w:trPr/>
        <w:tc>
          <w:tcPr>
            <w:tcW w:w="1452" w:type="dxa"/>
            <w:tcBorders/>
          </w:tcPr>
          <w:p>
            <w:pPr>
              <w:pStyle w:val="TableContents"/>
              <w:bidi w:val="0"/>
              <w:spacing w:before="0" w:after="0"/>
              <w:jc w:val="left"/>
              <w:rPr>
                <w:rFonts w:ascii="Times New Roman" w:hAnsi="Times New Roman"/>
                <w:sz w:val="20"/>
              </w:rPr>
            </w:pPr>
            <w:r>
              <w:rPr>
                <w:rFonts w:ascii="Times New Roman" w:hAnsi="Times New Roman"/>
                <w:sz w:val="20"/>
              </w:rPr>
              <w:t>SECTION 2.03.</w:t>
            </w:r>
          </w:p>
        </w:tc>
        <w:tc>
          <w:tcPr>
            <w:tcW w:w="83" w:type="dxa"/>
            <w:tcBorders/>
            <w:vAlign w:val="bottom"/>
          </w:tcPr>
          <w:p>
            <w:pPr>
              <w:pStyle w:val="TableContents"/>
              <w:bidi w:val="0"/>
              <w:spacing w:before="0" w:after="283"/>
              <w:jc w:val="left"/>
              <w:rPr/>
            </w:pPr>
            <w:r>
              <w:rPr/>
              <w:t> </w:t>
            </w:r>
          </w:p>
        </w:tc>
        <w:tc>
          <w:tcPr>
            <w:tcW w:w="8152" w:type="dxa"/>
            <w:tcBorders/>
            <w:vAlign w:val="bottom"/>
          </w:tcPr>
          <w:p>
            <w:pPr>
              <w:pStyle w:val="TableContents"/>
              <w:bidi w:val="0"/>
              <w:spacing w:before="0" w:after="283"/>
              <w:jc w:val="left"/>
              <w:rPr/>
            </w:pPr>
            <w:r>
              <w:rPr/>
              <w:t>Form of Reverse of Security</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24</w:t>
            </w:r>
          </w:p>
        </w:tc>
        <w:tc>
          <w:tcPr>
            <w:tcW w:w="62" w:type="dxa"/>
            <w:tcBorders/>
            <w:vAlign w:val="bottom"/>
          </w:tcPr>
          <w:p>
            <w:pPr>
              <w:pStyle w:val="TableContents"/>
              <w:bidi w:val="0"/>
              <w:spacing w:before="0" w:after="283"/>
              <w:jc w:val="left"/>
              <w:rPr/>
            </w:pPr>
            <w:r>
              <w:rPr/>
              <w:t> </w:t>
            </w:r>
          </w:p>
        </w:tc>
      </w:tr>
      <w:tr>
        <w:trPr/>
        <w:tc>
          <w:tcPr>
            <w:tcW w:w="1452" w:type="dxa"/>
            <w:tcBorders/>
          </w:tcPr>
          <w:p>
            <w:pPr>
              <w:pStyle w:val="TableContents"/>
              <w:bidi w:val="0"/>
              <w:spacing w:before="0" w:after="0"/>
              <w:jc w:val="left"/>
              <w:rPr>
                <w:rFonts w:ascii="Times New Roman" w:hAnsi="Times New Roman"/>
                <w:sz w:val="20"/>
              </w:rPr>
            </w:pPr>
            <w:r>
              <w:rPr>
                <w:rFonts w:ascii="Times New Roman" w:hAnsi="Times New Roman"/>
                <w:sz w:val="20"/>
              </w:rPr>
              <w:t>SECTION 2.04.</w:t>
            </w:r>
          </w:p>
        </w:tc>
        <w:tc>
          <w:tcPr>
            <w:tcW w:w="83" w:type="dxa"/>
            <w:tcBorders/>
            <w:vAlign w:val="bottom"/>
          </w:tcPr>
          <w:p>
            <w:pPr>
              <w:pStyle w:val="TableContents"/>
              <w:bidi w:val="0"/>
              <w:spacing w:before="0" w:after="283"/>
              <w:jc w:val="left"/>
              <w:rPr/>
            </w:pPr>
            <w:r>
              <w:rPr/>
              <w:t> </w:t>
            </w:r>
          </w:p>
        </w:tc>
        <w:tc>
          <w:tcPr>
            <w:tcW w:w="8152" w:type="dxa"/>
            <w:tcBorders/>
            <w:vAlign w:val="bottom"/>
          </w:tcPr>
          <w:p>
            <w:pPr>
              <w:pStyle w:val="TableContents"/>
              <w:bidi w:val="0"/>
              <w:spacing w:before="0" w:after="283"/>
              <w:jc w:val="left"/>
              <w:rPr/>
            </w:pPr>
            <w:r>
              <w:rPr/>
              <w:t>Securities in Global Form</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31</w:t>
            </w:r>
          </w:p>
        </w:tc>
        <w:tc>
          <w:tcPr>
            <w:tcW w:w="62" w:type="dxa"/>
            <w:tcBorders/>
            <w:vAlign w:val="bottom"/>
          </w:tcPr>
          <w:p>
            <w:pPr>
              <w:pStyle w:val="TableContents"/>
              <w:bidi w:val="0"/>
              <w:spacing w:before="0" w:after="283"/>
              <w:jc w:val="left"/>
              <w:rPr/>
            </w:pPr>
            <w:r>
              <w:rPr/>
              <w:t> </w:t>
            </w:r>
          </w:p>
        </w:tc>
      </w:tr>
      <w:tr>
        <w:trPr/>
        <w:tc>
          <w:tcPr>
            <w:tcW w:w="1452" w:type="dxa"/>
            <w:tcBorders/>
          </w:tcPr>
          <w:p>
            <w:pPr>
              <w:pStyle w:val="TableContents"/>
              <w:bidi w:val="0"/>
              <w:spacing w:before="0" w:after="0"/>
              <w:jc w:val="left"/>
              <w:rPr>
                <w:rFonts w:ascii="Times New Roman" w:hAnsi="Times New Roman"/>
                <w:sz w:val="20"/>
              </w:rPr>
            </w:pPr>
            <w:r>
              <w:rPr>
                <w:rFonts w:ascii="Times New Roman" w:hAnsi="Times New Roman"/>
                <w:sz w:val="20"/>
              </w:rPr>
              <w:t>SECTION 2.05.</w:t>
            </w:r>
          </w:p>
        </w:tc>
        <w:tc>
          <w:tcPr>
            <w:tcW w:w="83" w:type="dxa"/>
            <w:tcBorders/>
            <w:vAlign w:val="bottom"/>
          </w:tcPr>
          <w:p>
            <w:pPr>
              <w:pStyle w:val="TableContents"/>
              <w:bidi w:val="0"/>
              <w:spacing w:before="0" w:after="283"/>
              <w:jc w:val="left"/>
              <w:rPr/>
            </w:pPr>
            <w:r>
              <w:rPr/>
              <w:t> </w:t>
            </w:r>
          </w:p>
        </w:tc>
        <w:tc>
          <w:tcPr>
            <w:tcW w:w="8152" w:type="dxa"/>
            <w:tcBorders/>
            <w:vAlign w:val="bottom"/>
          </w:tcPr>
          <w:p>
            <w:pPr>
              <w:pStyle w:val="TableContents"/>
              <w:bidi w:val="0"/>
              <w:spacing w:before="0" w:after="283"/>
              <w:jc w:val="left"/>
              <w:rPr/>
            </w:pPr>
            <w:r>
              <w:rPr/>
              <w:t>Form of Trustee’s Certificate of Authentication</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31</w:t>
            </w:r>
          </w:p>
        </w:tc>
        <w:tc>
          <w:tcPr>
            <w:tcW w:w="62" w:type="dxa"/>
            <w:tcBorders/>
            <w:vAlign w:val="bottom"/>
          </w:tcPr>
          <w:p>
            <w:pPr>
              <w:pStyle w:val="TableContents"/>
              <w:bidi w:val="0"/>
              <w:spacing w:before="0" w:after="283"/>
              <w:jc w:val="left"/>
              <w:rPr/>
            </w:pPr>
            <w:r>
              <w:rPr/>
              <w:t> </w:t>
            </w:r>
          </w:p>
        </w:tc>
      </w:tr>
      <w:tr>
        <w:trPr/>
        <w:tc>
          <w:tcPr>
            <w:tcW w:w="1452" w:type="dxa"/>
            <w:tcBorders/>
          </w:tcPr>
          <w:p>
            <w:pPr>
              <w:pStyle w:val="TableContents"/>
              <w:bidi w:val="0"/>
              <w:spacing w:before="0" w:after="0"/>
              <w:jc w:val="left"/>
              <w:rPr>
                <w:rFonts w:ascii="Times New Roman" w:hAnsi="Times New Roman"/>
                <w:sz w:val="20"/>
              </w:rPr>
            </w:pPr>
            <w:r>
              <w:rPr>
                <w:rFonts w:ascii="Times New Roman" w:hAnsi="Times New Roman"/>
                <w:sz w:val="20"/>
              </w:rPr>
              <w:t>SECTION 2.06.</w:t>
            </w:r>
          </w:p>
        </w:tc>
        <w:tc>
          <w:tcPr>
            <w:tcW w:w="83" w:type="dxa"/>
            <w:tcBorders/>
            <w:vAlign w:val="bottom"/>
          </w:tcPr>
          <w:p>
            <w:pPr>
              <w:pStyle w:val="TableContents"/>
              <w:bidi w:val="0"/>
              <w:spacing w:before="0" w:after="283"/>
              <w:jc w:val="left"/>
              <w:rPr/>
            </w:pPr>
            <w:r>
              <w:rPr/>
              <w:t> </w:t>
            </w:r>
          </w:p>
        </w:tc>
        <w:tc>
          <w:tcPr>
            <w:tcW w:w="8152" w:type="dxa"/>
            <w:tcBorders/>
            <w:vAlign w:val="bottom"/>
          </w:tcPr>
          <w:p>
            <w:pPr>
              <w:pStyle w:val="TableContents"/>
              <w:bidi w:val="0"/>
              <w:spacing w:before="0" w:after="283"/>
              <w:jc w:val="left"/>
              <w:rPr/>
            </w:pPr>
            <w:r>
              <w:rPr/>
              <w:t>Form of Guarantee</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32</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319"/>
        <w:gridCol w:w="68"/>
        <w:gridCol w:w="8309"/>
        <w:gridCol w:w="126"/>
        <w:gridCol w:w="60"/>
        <w:gridCol w:w="260"/>
        <w:gridCol w:w="63"/>
      </w:tblGrid>
      <w:tr>
        <w:trPr/>
        <w:tc>
          <w:tcPr>
            <w:tcW w:w="1319" w:type="dxa"/>
            <w:tcBorders/>
            <w:vAlign w:val="center"/>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c>
          <w:tcPr>
            <w:tcW w:w="8309"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b/>
              </w:rPr>
            </w:pPr>
            <w:r>
              <w:rPr>
                <w:b/>
              </w:rPr>
              <w:t>ARTICLE THREE</w:t>
            </w:r>
          </w:p>
        </w:tc>
        <w:tc>
          <w:tcPr>
            <w:tcW w:w="63"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b/>
              </w:rPr>
            </w:pPr>
            <w:r>
              <w:rPr>
                <w:b/>
              </w:rPr>
              <w:t>THE SECURITIES</w:t>
            </w:r>
          </w:p>
        </w:tc>
        <w:tc>
          <w:tcPr>
            <w:tcW w:w="63" w:type="dxa"/>
            <w:tcBorders/>
          </w:tcPr>
          <w:p>
            <w:pPr>
              <w:pStyle w:val="TableContents"/>
              <w:bidi w:val="0"/>
              <w:spacing w:before="0" w:after="0"/>
              <w:jc w:val="left"/>
              <w:rPr/>
            </w:pPr>
            <w:r>
              <w:rPr/>
              <w:t> </w:t>
            </w:r>
          </w:p>
        </w:tc>
      </w:tr>
      <w:tr>
        <w:trPr>
          <w:trHeight w:val="120" w:hRule="atLeast"/>
        </w:trPr>
        <w:tc>
          <w:tcPr>
            <w:tcW w:w="1319" w:type="dxa"/>
            <w:tcBorders/>
            <w:vAlign w:val="center"/>
          </w:tcPr>
          <w:p>
            <w:pPr>
              <w:pStyle w:val="TableContents"/>
              <w:bidi w:val="0"/>
              <w:spacing w:before="0" w:after="283"/>
              <w:jc w:val="left"/>
              <w:rPr>
                <w:sz w:val="4"/>
                <w:szCs w:val="4"/>
              </w:rPr>
            </w:pPr>
            <w:r>
              <w:rPr>
                <w:sz w:val="4"/>
                <w:szCs w:val="4"/>
              </w:rPr>
            </w:r>
          </w:p>
        </w:tc>
        <w:tc>
          <w:tcPr>
            <w:tcW w:w="8377" w:type="dxa"/>
            <w:gridSpan w:val="2"/>
            <w:tcBorders/>
            <w:vAlign w:val="center"/>
          </w:tcPr>
          <w:p>
            <w:pPr>
              <w:pStyle w:val="TableContents"/>
              <w:bidi w:val="0"/>
              <w:spacing w:before="0" w:after="283"/>
              <w:jc w:val="left"/>
              <w:rPr>
                <w:sz w:val="4"/>
                <w:szCs w:val="4"/>
              </w:rPr>
            </w:pPr>
            <w:r>
              <w:rPr>
                <w:sz w:val="4"/>
                <w:szCs w:val="4"/>
              </w:rPr>
            </w:r>
          </w:p>
        </w:tc>
        <w:tc>
          <w:tcPr>
            <w:tcW w:w="509" w:type="dxa"/>
            <w:gridSpan w:val="4"/>
            <w:tcBorders/>
            <w:vAlign w:val="center"/>
          </w:tcPr>
          <w:p>
            <w:pPr>
              <w:pStyle w:val="TableContents"/>
              <w:bidi w:val="0"/>
              <w:spacing w:before="0" w:after="283"/>
              <w:jc w:val="left"/>
              <w:rPr>
                <w:sz w:val="4"/>
                <w:szCs w:val="4"/>
              </w:rPr>
            </w:pPr>
            <w:r>
              <w:rPr>
                <w:sz w:val="4"/>
                <w:szCs w:val="4"/>
              </w:rPr>
            </w:r>
          </w:p>
        </w:tc>
      </w:tr>
      <w:tr>
        <w:trPr/>
        <w:tc>
          <w:tcPr>
            <w:tcW w:w="1319" w:type="dxa"/>
            <w:tcBorders/>
          </w:tcPr>
          <w:p>
            <w:pPr>
              <w:pStyle w:val="TableContents"/>
              <w:bidi w:val="0"/>
              <w:spacing w:before="0" w:after="0"/>
              <w:jc w:val="left"/>
              <w:rPr>
                <w:rFonts w:ascii="Times New Roman" w:hAnsi="Times New Roman"/>
                <w:sz w:val="20"/>
              </w:rPr>
            </w:pPr>
            <w:r>
              <w:rPr>
                <w:rFonts w:ascii="Times New Roman" w:hAnsi="Times New Roman"/>
                <w:sz w:val="20"/>
              </w:rPr>
              <w:t>SECTION 3.01.</w:t>
            </w:r>
          </w:p>
        </w:tc>
        <w:tc>
          <w:tcPr>
            <w:tcW w:w="68" w:type="dxa"/>
            <w:tcBorders/>
            <w:vAlign w:val="bottom"/>
          </w:tcPr>
          <w:p>
            <w:pPr>
              <w:pStyle w:val="TableContents"/>
              <w:bidi w:val="0"/>
              <w:spacing w:before="0" w:after="283"/>
              <w:jc w:val="left"/>
              <w:rPr/>
            </w:pPr>
            <w:r>
              <w:rPr/>
              <w:t> </w:t>
            </w:r>
          </w:p>
        </w:tc>
        <w:tc>
          <w:tcPr>
            <w:tcW w:w="8309" w:type="dxa"/>
            <w:tcBorders/>
            <w:vAlign w:val="bottom"/>
          </w:tcPr>
          <w:p>
            <w:pPr>
              <w:pStyle w:val="TableContents"/>
              <w:bidi w:val="0"/>
              <w:spacing w:before="0" w:after="283"/>
              <w:jc w:val="left"/>
              <w:rPr/>
            </w:pPr>
            <w:r>
              <w:rPr/>
              <w:t>Amount Unlimited; Issuable in Series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c>
          <w:tcPr>
            <w:tcW w:w="1319" w:type="dxa"/>
            <w:tcBorders/>
          </w:tcPr>
          <w:p>
            <w:pPr>
              <w:pStyle w:val="TableContents"/>
              <w:bidi w:val="0"/>
              <w:spacing w:before="0" w:after="0"/>
              <w:jc w:val="left"/>
              <w:rPr>
                <w:rFonts w:ascii="Times New Roman" w:hAnsi="Times New Roman"/>
                <w:sz w:val="20"/>
              </w:rPr>
            </w:pPr>
            <w:r>
              <w:rPr>
                <w:rFonts w:ascii="Times New Roman" w:hAnsi="Times New Roman"/>
                <w:sz w:val="20"/>
              </w:rPr>
              <w:t>SECTION 3.02.</w:t>
            </w:r>
          </w:p>
        </w:tc>
        <w:tc>
          <w:tcPr>
            <w:tcW w:w="68" w:type="dxa"/>
            <w:tcBorders/>
            <w:vAlign w:val="bottom"/>
          </w:tcPr>
          <w:p>
            <w:pPr>
              <w:pStyle w:val="TableContents"/>
              <w:bidi w:val="0"/>
              <w:spacing w:before="0" w:after="283"/>
              <w:jc w:val="left"/>
              <w:rPr/>
            </w:pPr>
            <w:r>
              <w:rPr/>
              <w:t> </w:t>
            </w:r>
          </w:p>
        </w:tc>
        <w:tc>
          <w:tcPr>
            <w:tcW w:w="8309" w:type="dxa"/>
            <w:tcBorders/>
            <w:vAlign w:val="bottom"/>
          </w:tcPr>
          <w:p>
            <w:pPr>
              <w:pStyle w:val="TableContents"/>
              <w:bidi w:val="0"/>
              <w:spacing w:before="0" w:after="283"/>
              <w:jc w:val="left"/>
              <w:rPr/>
            </w:pPr>
            <w:r>
              <w:rPr/>
              <w:t>Denominations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37</w:t>
            </w:r>
          </w:p>
        </w:tc>
        <w:tc>
          <w:tcPr>
            <w:tcW w:w="63" w:type="dxa"/>
            <w:tcBorders/>
            <w:vAlign w:val="bottom"/>
          </w:tcPr>
          <w:p>
            <w:pPr>
              <w:pStyle w:val="TableContents"/>
              <w:bidi w:val="0"/>
              <w:spacing w:before="0" w:after="283"/>
              <w:jc w:val="left"/>
              <w:rPr/>
            </w:pPr>
            <w:r>
              <w:rPr/>
              <w:t> </w:t>
            </w:r>
          </w:p>
        </w:tc>
      </w:tr>
      <w:tr>
        <w:trPr/>
        <w:tc>
          <w:tcPr>
            <w:tcW w:w="1319" w:type="dxa"/>
            <w:tcBorders/>
          </w:tcPr>
          <w:p>
            <w:pPr>
              <w:pStyle w:val="TableContents"/>
              <w:bidi w:val="0"/>
              <w:spacing w:before="0" w:after="0"/>
              <w:jc w:val="left"/>
              <w:rPr>
                <w:rFonts w:ascii="Times New Roman" w:hAnsi="Times New Roman"/>
                <w:sz w:val="20"/>
              </w:rPr>
            </w:pPr>
            <w:r>
              <w:rPr>
                <w:rFonts w:ascii="Times New Roman" w:hAnsi="Times New Roman"/>
                <w:sz w:val="20"/>
              </w:rPr>
              <w:t>SECTION 3.03.</w:t>
            </w:r>
          </w:p>
        </w:tc>
        <w:tc>
          <w:tcPr>
            <w:tcW w:w="68" w:type="dxa"/>
            <w:tcBorders/>
            <w:vAlign w:val="bottom"/>
          </w:tcPr>
          <w:p>
            <w:pPr>
              <w:pStyle w:val="TableContents"/>
              <w:bidi w:val="0"/>
              <w:spacing w:before="0" w:after="283"/>
              <w:jc w:val="left"/>
              <w:rPr/>
            </w:pPr>
            <w:r>
              <w:rPr/>
              <w:t> </w:t>
            </w:r>
          </w:p>
        </w:tc>
        <w:tc>
          <w:tcPr>
            <w:tcW w:w="8309" w:type="dxa"/>
            <w:tcBorders/>
            <w:vAlign w:val="bottom"/>
          </w:tcPr>
          <w:p>
            <w:pPr>
              <w:pStyle w:val="TableContents"/>
              <w:bidi w:val="0"/>
              <w:spacing w:before="0" w:after="283"/>
              <w:jc w:val="left"/>
              <w:rPr/>
            </w:pPr>
            <w:r>
              <w:rPr/>
              <w:t>Execution, Authentication, Delivery and Dating</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37</w:t>
            </w:r>
          </w:p>
        </w:tc>
        <w:tc>
          <w:tcPr>
            <w:tcW w:w="63" w:type="dxa"/>
            <w:tcBorders/>
            <w:vAlign w:val="bottom"/>
          </w:tcPr>
          <w:p>
            <w:pPr>
              <w:pStyle w:val="TableContents"/>
              <w:bidi w:val="0"/>
              <w:spacing w:before="0" w:after="283"/>
              <w:jc w:val="left"/>
              <w:rPr/>
            </w:pPr>
            <w:r>
              <w:rPr/>
              <w:t> </w:t>
            </w:r>
          </w:p>
        </w:tc>
      </w:tr>
      <w:tr>
        <w:trPr/>
        <w:tc>
          <w:tcPr>
            <w:tcW w:w="1319" w:type="dxa"/>
            <w:tcBorders/>
          </w:tcPr>
          <w:p>
            <w:pPr>
              <w:pStyle w:val="TableContents"/>
              <w:bidi w:val="0"/>
              <w:spacing w:before="0" w:after="0"/>
              <w:jc w:val="left"/>
              <w:rPr>
                <w:rFonts w:ascii="Times New Roman" w:hAnsi="Times New Roman"/>
                <w:sz w:val="20"/>
              </w:rPr>
            </w:pPr>
            <w:r>
              <w:rPr>
                <w:rFonts w:ascii="Times New Roman" w:hAnsi="Times New Roman"/>
                <w:sz w:val="20"/>
              </w:rPr>
              <w:t>SECTION 3.04.</w:t>
            </w:r>
          </w:p>
        </w:tc>
        <w:tc>
          <w:tcPr>
            <w:tcW w:w="68" w:type="dxa"/>
            <w:tcBorders/>
            <w:vAlign w:val="bottom"/>
          </w:tcPr>
          <w:p>
            <w:pPr>
              <w:pStyle w:val="TableContents"/>
              <w:bidi w:val="0"/>
              <w:spacing w:before="0" w:after="283"/>
              <w:jc w:val="left"/>
              <w:rPr/>
            </w:pPr>
            <w:r>
              <w:rPr/>
              <w:t> </w:t>
            </w:r>
          </w:p>
        </w:tc>
        <w:tc>
          <w:tcPr>
            <w:tcW w:w="8309" w:type="dxa"/>
            <w:tcBorders/>
            <w:vAlign w:val="bottom"/>
          </w:tcPr>
          <w:p>
            <w:pPr>
              <w:pStyle w:val="TableContents"/>
              <w:bidi w:val="0"/>
              <w:spacing w:before="0" w:after="283"/>
              <w:jc w:val="left"/>
              <w:rPr/>
            </w:pPr>
            <w:r>
              <w:rPr/>
              <w:t>Temporary Securities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39</w:t>
            </w:r>
          </w:p>
        </w:tc>
        <w:tc>
          <w:tcPr>
            <w:tcW w:w="63" w:type="dxa"/>
            <w:tcBorders/>
            <w:vAlign w:val="bottom"/>
          </w:tcPr>
          <w:p>
            <w:pPr>
              <w:pStyle w:val="TableContents"/>
              <w:bidi w:val="0"/>
              <w:spacing w:before="0" w:after="283"/>
              <w:jc w:val="left"/>
              <w:rPr/>
            </w:pPr>
            <w:r>
              <w:rPr/>
              <w:t> </w:t>
            </w:r>
          </w:p>
        </w:tc>
      </w:tr>
      <w:tr>
        <w:trPr/>
        <w:tc>
          <w:tcPr>
            <w:tcW w:w="1319" w:type="dxa"/>
            <w:tcBorders/>
          </w:tcPr>
          <w:p>
            <w:pPr>
              <w:pStyle w:val="TableContents"/>
              <w:bidi w:val="0"/>
              <w:spacing w:before="0" w:after="0"/>
              <w:jc w:val="left"/>
              <w:rPr>
                <w:rFonts w:ascii="Times New Roman" w:hAnsi="Times New Roman"/>
                <w:sz w:val="20"/>
              </w:rPr>
            </w:pPr>
            <w:r>
              <w:rPr>
                <w:rFonts w:ascii="Times New Roman" w:hAnsi="Times New Roman"/>
                <w:sz w:val="20"/>
              </w:rPr>
              <w:t>SECTION 3.05.</w:t>
            </w:r>
          </w:p>
        </w:tc>
        <w:tc>
          <w:tcPr>
            <w:tcW w:w="68" w:type="dxa"/>
            <w:tcBorders/>
            <w:vAlign w:val="bottom"/>
          </w:tcPr>
          <w:p>
            <w:pPr>
              <w:pStyle w:val="TableContents"/>
              <w:bidi w:val="0"/>
              <w:spacing w:before="0" w:after="283"/>
              <w:jc w:val="left"/>
              <w:rPr/>
            </w:pPr>
            <w:r>
              <w:rPr/>
              <w:t> </w:t>
            </w:r>
          </w:p>
        </w:tc>
        <w:tc>
          <w:tcPr>
            <w:tcW w:w="8309" w:type="dxa"/>
            <w:tcBorders/>
            <w:vAlign w:val="bottom"/>
          </w:tcPr>
          <w:p>
            <w:pPr>
              <w:pStyle w:val="TableContents"/>
              <w:bidi w:val="0"/>
              <w:spacing w:before="0" w:after="283"/>
              <w:jc w:val="left"/>
              <w:rPr/>
            </w:pPr>
            <w:r>
              <w:rPr/>
              <w:t>Registration, Registration of Transfer and Exchange</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39</w:t>
            </w:r>
          </w:p>
        </w:tc>
        <w:tc>
          <w:tcPr>
            <w:tcW w:w="63" w:type="dxa"/>
            <w:tcBorders/>
            <w:vAlign w:val="bottom"/>
          </w:tcPr>
          <w:p>
            <w:pPr>
              <w:pStyle w:val="TableContents"/>
              <w:bidi w:val="0"/>
              <w:spacing w:before="0" w:after="283"/>
              <w:jc w:val="left"/>
              <w:rPr/>
            </w:pPr>
            <w:r>
              <w:rPr/>
              <w:t> </w:t>
            </w:r>
          </w:p>
        </w:tc>
      </w:tr>
      <w:tr>
        <w:trPr/>
        <w:tc>
          <w:tcPr>
            <w:tcW w:w="1319" w:type="dxa"/>
            <w:tcBorders/>
          </w:tcPr>
          <w:p>
            <w:pPr>
              <w:pStyle w:val="TableContents"/>
              <w:bidi w:val="0"/>
              <w:spacing w:before="0" w:after="0"/>
              <w:jc w:val="left"/>
              <w:rPr>
                <w:rFonts w:ascii="Times New Roman" w:hAnsi="Times New Roman"/>
                <w:sz w:val="20"/>
              </w:rPr>
            </w:pPr>
            <w:r>
              <w:rPr>
                <w:rFonts w:ascii="Times New Roman" w:hAnsi="Times New Roman"/>
                <w:sz w:val="20"/>
              </w:rPr>
              <w:t>SECTION 3.06.</w:t>
            </w:r>
          </w:p>
        </w:tc>
        <w:tc>
          <w:tcPr>
            <w:tcW w:w="68" w:type="dxa"/>
            <w:tcBorders/>
            <w:vAlign w:val="bottom"/>
          </w:tcPr>
          <w:p>
            <w:pPr>
              <w:pStyle w:val="TableContents"/>
              <w:bidi w:val="0"/>
              <w:spacing w:before="0" w:after="283"/>
              <w:jc w:val="left"/>
              <w:rPr/>
            </w:pPr>
            <w:r>
              <w:rPr/>
              <w:t> </w:t>
            </w:r>
          </w:p>
        </w:tc>
        <w:tc>
          <w:tcPr>
            <w:tcW w:w="8309" w:type="dxa"/>
            <w:tcBorders/>
            <w:vAlign w:val="bottom"/>
          </w:tcPr>
          <w:p>
            <w:pPr>
              <w:pStyle w:val="TableContents"/>
              <w:bidi w:val="0"/>
              <w:spacing w:before="0" w:after="283"/>
              <w:jc w:val="left"/>
              <w:rPr/>
            </w:pPr>
            <w:r>
              <w:rPr/>
              <w:t>Mutilated, Destroyed, Lost and Stolen Securities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41</w:t>
            </w:r>
          </w:p>
        </w:tc>
        <w:tc>
          <w:tcPr>
            <w:tcW w:w="63" w:type="dxa"/>
            <w:tcBorders/>
            <w:vAlign w:val="bottom"/>
          </w:tcPr>
          <w:p>
            <w:pPr>
              <w:pStyle w:val="TableContents"/>
              <w:bidi w:val="0"/>
              <w:spacing w:before="0" w:after="283"/>
              <w:jc w:val="left"/>
              <w:rPr/>
            </w:pPr>
            <w:r>
              <w:rPr/>
              <w:t> </w:t>
            </w:r>
          </w:p>
        </w:tc>
      </w:tr>
      <w:tr>
        <w:trPr/>
        <w:tc>
          <w:tcPr>
            <w:tcW w:w="1319" w:type="dxa"/>
            <w:tcBorders/>
          </w:tcPr>
          <w:p>
            <w:pPr>
              <w:pStyle w:val="TableContents"/>
              <w:bidi w:val="0"/>
              <w:spacing w:before="0" w:after="0"/>
              <w:jc w:val="left"/>
              <w:rPr>
                <w:rFonts w:ascii="Times New Roman" w:hAnsi="Times New Roman"/>
                <w:sz w:val="20"/>
              </w:rPr>
            </w:pPr>
            <w:r>
              <w:rPr>
                <w:rFonts w:ascii="Times New Roman" w:hAnsi="Times New Roman"/>
                <w:sz w:val="20"/>
              </w:rPr>
              <w:t>SECTION 3.07.</w:t>
            </w:r>
          </w:p>
        </w:tc>
        <w:tc>
          <w:tcPr>
            <w:tcW w:w="68" w:type="dxa"/>
            <w:tcBorders/>
            <w:vAlign w:val="bottom"/>
          </w:tcPr>
          <w:p>
            <w:pPr>
              <w:pStyle w:val="TableContents"/>
              <w:bidi w:val="0"/>
              <w:spacing w:before="0" w:after="283"/>
              <w:jc w:val="left"/>
              <w:rPr/>
            </w:pPr>
            <w:r>
              <w:rPr/>
              <w:t> </w:t>
            </w:r>
          </w:p>
        </w:tc>
        <w:tc>
          <w:tcPr>
            <w:tcW w:w="8309" w:type="dxa"/>
            <w:tcBorders/>
            <w:vAlign w:val="bottom"/>
          </w:tcPr>
          <w:p>
            <w:pPr>
              <w:pStyle w:val="TableContents"/>
              <w:bidi w:val="0"/>
              <w:spacing w:before="0" w:after="283"/>
              <w:jc w:val="left"/>
              <w:rPr/>
            </w:pPr>
            <w:r>
              <w:rPr/>
              <w:t>Payment of Interest; Interest Rights Preserved</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42</w:t>
            </w:r>
          </w:p>
        </w:tc>
        <w:tc>
          <w:tcPr>
            <w:tcW w:w="63" w:type="dxa"/>
            <w:tcBorders/>
            <w:vAlign w:val="bottom"/>
          </w:tcPr>
          <w:p>
            <w:pPr>
              <w:pStyle w:val="TableContents"/>
              <w:bidi w:val="0"/>
              <w:spacing w:before="0" w:after="283"/>
              <w:jc w:val="left"/>
              <w:rPr/>
            </w:pPr>
            <w:r>
              <w:rPr/>
              <w:t> </w:t>
            </w:r>
          </w:p>
        </w:tc>
      </w:tr>
      <w:tr>
        <w:trPr/>
        <w:tc>
          <w:tcPr>
            <w:tcW w:w="1319" w:type="dxa"/>
            <w:tcBorders/>
          </w:tcPr>
          <w:p>
            <w:pPr>
              <w:pStyle w:val="TableContents"/>
              <w:bidi w:val="0"/>
              <w:spacing w:before="0" w:after="0"/>
              <w:jc w:val="left"/>
              <w:rPr>
                <w:rFonts w:ascii="Times New Roman" w:hAnsi="Times New Roman"/>
                <w:sz w:val="20"/>
              </w:rPr>
            </w:pPr>
            <w:r>
              <w:rPr>
                <w:rFonts w:ascii="Times New Roman" w:hAnsi="Times New Roman"/>
                <w:sz w:val="20"/>
              </w:rPr>
              <w:t>SECTION 3.08.</w:t>
            </w:r>
          </w:p>
        </w:tc>
        <w:tc>
          <w:tcPr>
            <w:tcW w:w="68" w:type="dxa"/>
            <w:tcBorders/>
            <w:vAlign w:val="bottom"/>
          </w:tcPr>
          <w:p>
            <w:pPr>
              <w:pStyle w:val="TableContents"/>
              <w:bidi w:val="0"/>
              <w:spacing w:before="0" w:after="283"/>
              <w:jc w:val="left"/>
              <w:rPr/>
            </w:pPr>
            <w:r>
              <w:rPr/>
              <w:t> </w:t>
            </w:r>
          </w:p>
        </w:tc>
        <w:tc>
          <w:tcPr>
            <w:tcW w:w="8309" w:type="dxa"/>
            <w:tcBorders/>
            <w:vAlign w:val="bottom"/>
          </w:tcPr>
          <w:p>
            <w:pPr>
              <w:pStyle w:val="TableContents"/>
              <w:bidi w:val="0"/>
              <w:spacing w:before="0" w:after="283"/>
              <w:jc w:val="left"/>
              <w:rPr/>
            </w:pPr>
            <w:r>
              <w:rPr/>
              <w:t>Persons Deemed Owners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43</w:t>
            </w:r>
          </w:p>
        </w:tc>
        <w:tc>
          <w:tcPr>
            <w:tcW w:w="63" w:type="dxa"/>
            <w:tcBorders/>
            <w:vAlign w:val="bottom"/>
          </w:tcPr>
          <w:p>
            <w:pPr>
              <w:pStyle w:val="TableContents"/>
              <w:bidi w:val="0"/>
              <w:spacing w:before="0" w:after="283"/>
              <w:jc w:val="left"/>
              <w:rPr/>
            </w:pPr>
            <w:r>
              <w:rPr/>
              <w:t> </w:t>
            </w:r>
          </w:p>
        </w:tc>
      </w:tr>
      <w:tr>
        <w:trPr/>
        <w:tc>
          <w:tcPr>
            <w:tcW w:w="1319" w:type="dxa"/>
            <w:tcBorders/>
          </w:tcPr>
          <w:p>
            <w:pPr>
              <w:pStyle w:val="TableContents"/>
              <w:bidi w:val="0"/>
              <w:spacing w:before="0" w:after="0"/>
              <w:jc w:val="left"/>
              <w:rPr>
                <w:rFonts w:ascii="Times New Roman" w:hAnsi="Times New Roman"/>
                <w:sz w:val="20"/>
              </w:rPr>
            </w:pPr>
            <w:r>
              <w:rPr>
                <w:rFonts w:ascii="Times New Roman" w:hAnsi="Times New Roman"/>
                <w:sz w:val="20"/>
              </w:rPr>
              <w:t>SECTION 3.09.</w:t>
            </w:r>
          </w:p>
        </w:tc>
        <w:tc>
          <w:tcPr>
            <w:tcW w:w="68" w:type="dxa"/>
            <w:tcBorders/>
            <w:vAlign w:val="bottom"/>
          </w:tcPr>
          <w:p>
            <w:pPr>
              <w:pStyle w:val="TableContents"/>
              <w:bidi w:val="0"/>
              <w:spacing w:before="0" w:after="283"/>
              <w:jc w:val="left"/>
              <w:rPr/>
            </w:pPr>
            <w:r>
              <w:rPr/>
              <w:t> </w:t>
            </w:r>
          </w:p>
        </w:tc>
        <w:tc>
          <w:tcPr>
            <w:tcW w:w="8309" w:type="dxa"/>
            <w:tcBorders/>
            <w:vAlign w:val="bottom"/>
          </w:tcPr>
          <w:p>
            <w:pPr>
              <w:pStyle w:val="TableContents"/>
              <w:bidi w:val="0"/>
              <w:spacing w:before="0" w:after="283"/>
              <w:jc w:val="left"/>
              <w:rPr/>
            </w:pPr>
            <w:r>
              <w:rPr/>
              <w:t>Cancellation</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r>
        <w:trPr/>
        <w:tc>
          <w:tcPr>
            <w:tcW w:w="1319" w:type="dxa"/>
            <w:tcBorders/>
          </w:tcPr>
          <w:p>
            <w:pPr>
              <w:pStyle w:val="TableContents"/>
              <w:bidi w:val="0"/>
              <w:spacing w:before="0" w:after="0"/>
              <w:jc w:val="left"/>
              <w:rPr>
                <w:rFonts w:ascii="Times New Roman" w:hAnsi="Times New Roman"/>
                <w:sz w:val="20"/>
              </w:rPr>
            </w:pPr>
            <w:r>
              <w:rPr>
                <w:rFonts w:ascii="Times New Roman" w:hAnsi="Times New Roman"/>
                <w:sz w:val="20"/>
              </w:rPr>
              <w:t>SECTION 3.10.</w:t>
            </w:r>
          </w:p>
        </w:tc>
        <w:tc>
          <w:tcPr>
            <w:tcW w:w="68" w:type="dxa"/>
            <w:tcBorders/>
            <w:vAlign w:val="bottom"/>
          </w:tcPr>
          <w:p>
            <w:pPr>
              <w:pStyle w:val="TableContents"/>
              <w:bidi w:val="0"/>
              <w:spacing w:before="0" w:after="283"/>
              <w:jc w:val="left"/>
              <w:rPr/>
            </w:pPr>
            <w:r>
              <w:rPr/>
              <w:t> </w:t>
            </w:r>
          </w:p>
        </w:tc>
        <w:tc>
          <w:tcPr>
            <w:tcW w:w="8309" w:type="dxa"/>
            <w:tcBorders/>
            <w:vAlign w:val="bottom"/>
          </w:tcPr>
          <w:p>
            <w:pPr>
              <w:pStyle w:val="TableContents"/>
              <w:bidi w:val="0"/>
              <w:spacing w:before="0" w:after="283"/>
              <w:jc w:val="left"/>
              <w:rPr/>
            </w:pPr>
            <w:r>
              <w:rPr/>
              <w:t>Computation of Interest</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r>
        <w:trPr/>
        <w:tc>
          <w:tcPr>
            <w:tcW w:w="1319" w:type="dxa"/>
            <w:tcBorders/>
          </w:tcPr>
          <w:p>
            <w:pPr>
              <w:pStyle w:val="TableContents"/>
              <w:bidi w:val="0"/>
              <w:spacing w:before="0" w:after="0"/>
              <w:jc w:val="left"/>
              <w:rPr>
                <w:rFonts w:ascii="Times New Roman" w:hAnsi="Times New Roman"/>
                <w:sz w:val="20"/>
              </w:rPr>
            </w:pPr>
            <w:r>
              <w:rPr>
                <w:rFonts w:ascii="Times New Roman" w:hAnsi="Times New Roman"/>
                <w:sz w:val="20"/>
              </w:rPr>
              <w:t>SECTION 3.11.</w:t>
            </w:r>
          </w:p>
        </w:tc>
        <w:tc>
          <w:tcPr>
            <w:tcW w:w="68" w:type="dxa"/>
            <w:tcBorders/>
            <w:vAlign w:val="bottom"/>
          </w:tcPr>
          <w:p>
            <w:pPr>
              <w:pStyle w:val="TableContents"/>
              <w:bidi w:val="0"/>
              <w:spacing w:before="0" w:after="283"/>
              <w:jc w:val="left"/>
              <w:rPr/>
            </w:pPr>
            <w:r>
              <w:rPr/>
              <w:t> </w:t>
            </w:r>
          </w:p>
        </w:tc>
        <w:tc>
          <w:tcPr>
            <w:tcW w:w="8309" w:type="dxa"/>
            <w:tcBorders/>
            <w:vAlign w:val="bottom"/>
          </w:tcPr>
          <w:p>
            <w:pPr>
              <w:pStyle w:val="TableContents"/>
              <w:bidi w:val="0"/>
              <w:spacing w:before="0" w:after="283"/>
              <w:jc w:val="left"/>
              <w:rPr/>
            </w:pPr>
            <w:r>
              <w:rPr/>
              <w:t>CUSIP Numbers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b/>
              </w:rPr>
            </w:pPr>
            <w:r>
              <w:rPr>
                <w:b/>
              </w:rPr>
              <w:t>ARTICLE FOUR</w:t>
            </w:r>
          </w:p>
        </w:tc>
        <w:tc>
          <w:tcPr>
            <w:tcW w:w="63"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b/>
              </w:rPr>
            </w:pPr>
            <w:r>
              <w:rPr>
                <w:b/>
              </w:rPr>
              <w:t>SATISFACTION AND DISCHARGE</w:t>
            </w:r>
          </w:p>
        </w:tc>
        <w:tc>
          <w:tcPr>
            <w:tcW w:w="63" w:type="dxa"/>
            <w:tcBorders/>
          </w:tcPr>
          <w:p>
            <w:pPr>
              <w:pStyle w:val="TableContents"/>
              <w:bidi w:val="0"/>
              <w:spacing w:before="0" w:after="0"/>
              <w:jc w:val="left"/>
              <w:rPr/>
            </w:pPr>
            <w:r>
              <w:rPr/>
              <w:t> </w:t>
            </w:r>
          </w:p>
        </w:tc>
      </w:tr>
      <w:tr>
        <w:trPr>
          <w:trHeight w:val="120" w:hRule="atLeast"/>
        </w:trPr>
        <w:tc>
          <w:tcPr>
            <w:tcW w:w="1319" w:type="dxa"/>
            <w:tcBorders/>
            <w:vAlign w:val="center"/>
          </w:tcPr>
          <w:p>
            <w:pPr>
              <w:pStyle w:val="TableContents"/>
              <w:bidi w:val="0"/>
              <w:spacing w:before="0" w:after="283"/>
              <w:jc w:val="left"/>
              <w:rPr>
                <w:sz w:val="4"/>
                <w:szCs w:val="4"/>
              </w:rPr>
            </w:pPr>
            <w:r>
              <w:rPr>
                <w:sz w:val="4"/>
                <w:szCs w:val="4"/>
              </w:rPr>
            </w:r>
          </w:p>
        </w:tc>
        <w:tc>
          <w:tcPr>
            <w:tcW w:w="8377" w:type="dxa"/>
            <w:gridSpan w:val="2"/>
            <w:tcBorders/>
            <w:vAlign w:val="center"/>
          </w:tcPr>
          <w:p>
            <w:pPr>
              <w:pStyle w:val="TableContents"/>
              <w:bidi w:val="0"/>
              <w:spacing w:before="0" w:after="283"/>
              <w:jc w:val="left"/>
              <w:rPr>
                <w:sz w:val="4"/>
                <w:szCs w:val="4"/>
              </w:rPr>
            </w:pPr>
            <w:r>
              <w:rPr>
                <w:sz w:val="4"/>
                <w:szCs w:val="4"/>
              </w:rPr>
            </w:r>
          </w:p>
        </w:tc>
        <w:tc>
          <w:tcPr>
            <w:tcW w:w="509" w:type="dxa"/>
            <w:gridSpan w:val="4"/>
            <w:tcBorders/>
            <w:vAlign w:val="center"/>
          </w:tcPr>
          <w:p>
            <w:pPr>
              <w:pStyle w:val="TableContents"/>
              <w:bidi w:val="0"/>
              <w:spacing w:before="0" w:after="283"/>
              <w:jc w:val="left"/>
              <w:rPr>
                <w:sz w:val="4"/>
                <w:szCs w:val="4"/>
              </w:rPr>
            </w:pPr>
            <w:r>
              <w:rPr>
                <w:sz w:val="4"/>
                <w:szCs w:val="4"/>
              </w:rPr>
            </w:r>
          </w:p>
        </w:tc>
      </w:tr>
      <w:tr>
        <w:trPr/>
        <w:tc>
          <w:tcPr>
            <w:tcW w:w="1319" w:type="dxa"/>
            <w:tcBorders/>
          </w:tcPr>
          <w:p>
            <w:pPr>
              <w:pStyle w:val="TableContents"/>
              <w:bidi w:val="0"/>
              <w:spacing w:before="0" w:after="0"/>
              <w:jc w:val="left"/>
              <w:rPr>
                <w:rFonts w:ascii="Times New Roman" w:hAnsi="Times New Roman"/>
                <w:sz w:val="20"/>
              </w:rPr>
            </w:pPr>
            <w:r>
              <w:rPr>
                <w:rFonts w:ascii="Times New Roman" w:hAnsi="Times New Roman"/>
                <w:sz w:val="20"/>
              </w:rPr>
              <w:t>SECTION 4.01.</w:t>
            </w:r>
          </w:p>
        </w:tc>
        <w:tc>
          <w:tcPr>
            <w:tcW w:w="68" w:type="dxa"/>
            <w:tcBorders/>
            <w:vAlign w:val="bottom"/>
          </w:tcPr>
          <w:p>
            <w:pPr>
              <w:pStyle w:val="TableContents"/>
              <w:bidi w:val="0"/>
              <w:spacing w:before="0" w:after="283"/>
              <w:jc w:val="left"/>
              <w:rPr/>
            </w:pPr>
            <w:r>
              <w:rPr/>
              <w:t> </w:t>
            </w:r>
          </w:p>
        </w:tc>
        <w:tc>
          <w:tcPr>
            <w:tcW w:w="8309" w:type="dxa"/>
            <w:tcBorders/>
            <w:vAlign w:val="bottom"/>
          </w:tcPr>
          <w:p>
            <w:pPr>
              <w:pStyle w:val="TableContents"/>
              <w:bidi w:val="0"/>
              <w:spacing w:before="0" w:after="283"/>
              <w:jc w:val="left"/>
              <w:rPr/>
            </w:pPr>
            <w:r>
              <w:rPr/>
              <w:t>Satisfaction and Discharge of Indenture</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r>
        <w:trPr/>
        <w:tc>
          <w:tcPr>
            <w:tcW w:w="1319" w:type="dxa"/>
            <w:tcBorders/>
          </w:tcPr>
          <w:p>
            <w:pPr>
              <w:pStyle w:val="TableContents"/>
              <w:bidi w:val="0"/>
              <w:spacing w:before="0" w:after="0"/>
              <w:jc w:val="left"/>
              <w:rPr>
                <w:rFonts w:ascii="Times New Roman" w:hAnsi="Times New Roman"/>
                <w:sz w:val="20"/>
              </w:rPr>
            </w:pPr>
            <w:r>
              <w:rPr>
                <w:rFonts w:ascii="Times New Roman" w:hAnsi="Times New Roman"/>
                <w:sz w:val="20"/>
              </w:rPr>
              <w:t>SECTION 4.02.</w:t>
            </w:r>
          </w:p>
        </w:tc>
        <w:tc>
          <w:tcPr>
            <w:tcW w:w="68" w:type="dxa"/>
            <w:tcBorders/>
            <w:vAlign w:val="bottom"/>
          </w:tcPr>
          <w:p>
            <w:pPr>
              <w:pStyle w:val="TableContents"/>
              <w:bidi w:val="0"/>
              <w:spacing w:before="0" w:after="283"/>
              <w:jc w:val="left"/>
              <w:rPr/>
            </w:pPr>
            <w:r>
              <w:rPr/>
              <w:t> </w:t>
            </w:r>
          </w:p>
        </w:tc>
        <w:tc>
          <w:tcPr>
            <w:tcW w:w="8309" w:type="dxa"/>
            <w:tcBorders/>
            <w:vAlign w:val="bottom"/>
          </w:tcPr>
          <w:p>
            <w:pPr>
              <w:pStyle w:val="TableContents"/>
              <w:bidi w:val="0"/>
              <w:spacing w:before="0" w:after="283"/>
              <w:jc w:val="left"/>
              <w:rPr/>
            </w:pPr>
            <w:r>
              <w:rPr/>
              <w:t>Application of Trust Money</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46</w:t>
            </w:r>
          </w:p>
        </w:tc>
        <w:tc>
          <w:tcPr>
            <w:tcW w:w="63"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b/>
              </w:rPr>
            </w:pPr>
            <w:r>
              <w:rPr>
                <w:b/>
              </w:rPr>
              <w:t>ARTICLE FIVE</w:t>
            </w:r>
          </w:p>
        </w:tc>
        <w:tc>
          <w:tcPr>
            <w:tcW w:w="63"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b/>
              </w:rPr>
            </w:pPr>
            <w:r>
              <w:rPr>
                <w:b/>
              </w:rPr>
              <w:t>REMEDIES</w:t>
            </w:r>
          </w:p>
        </w:tc>
        <w:tc>
          <w:tcPr>
            <w:tcW w:w="63" w:type="dxa"/>
            <w:tcBorders/>
          </w:tcPr>
          <w:p>
            <w:pPr>
              <w:pStyle w:val="TableContents"/>
              <w:bidi w:val="0"/>
              <w:spacing w:before="0" w:after="0"/>
              <w:jc w:val="left"/>
              <w:rPr/>
            </w:pPr>
            <w:r>
              <w:rPr/>
              <w:t> </w:t>
            </w:r>
          </w:p>
        </w:tc>
      </w:tr>
      <w:tr>
        <w:trPr>
          <w:trHeight w:val="120" w:hRule="atLeast"/>
        </w:trPr>
        <w:tc>
          <w:tcPr>
            <w:tcW w:w="1319" w:type="dxa"/>
            <w:tcBorders/>
            <w:vAlign w:val="center"/>
          </w:tcPr>
          <w:p>
            <w:pPr>
              <w:pStyle w:val="TableContents"/>
              <w:bidi w:val="0"/>
              <w:spacing w:before="0" w:after="283"/>
              <w:jc w:val="left"/>
              <w:rPr>
                <w:sz w:val="4"/>
                <w:szCs w:val="4"/>
              </w:rPr>
            </w:pPr>
            <w:r>
              <w:rPr>
                <w:sz w:val="4"/>
                <w:szCs w:val="4"/>
              </w:rPr>
            </w:r>
          </w:p>
        </w:tc>
        <w:tc>
          <w:tcPr>
            <w:tcW w:w="8377" w:type="dxa"/>
            <w:gridSpan w:val="2"/>
            <w:tcBorders/>
            <w:vAlign w:val="center"/>
          </w:tcPr>
          <w:p>
            <w:pPr>
              <w:pStyle w:val="TableContents"/>
              <w:bidi w:val="0"/>
              <w:spacing w:before="0" w:after="283"/>
              <w:jc w:val="left"/>
              <w:rPr>
                <w:sz w:val="4"/>
                <w:szCs w:val="4"/>
              </w:rPr>
            </w:pPr>
            <w:r>
              <w:rPr>
                <w:sz w:val="4"/>
                <w:szCs w:val="4"/>
              </w:rPr>
            </w:r>
          </w:p>
        </w:tc>
        <w:tc>
          <w:tcPr>
            <w:tcW w:w="509" w:type="dxa"/>
            <w:gridSpan w:val="4"/>
            <w:tcBorders/>
            <w:vAlign w:val="center"/>
          </w:tcPr>
          <w:p>
            <w:pPr>
              <w:pStyle w:val="TableContents"/>
              <w:bidi w:val="0"/>
              <w:spacing w:before="0" w:after="283"/>
              <w:jc w:val="left"/>
              <w:rPr>
                <w:sz w:val="4"/>
                <w:szCs w:val="4"/>
              </w:rPr>
            </w:pPr>
            <w:r>
              <w:rPr>
                <w:sz w:val="4"/>
                <w:szCs w:val="4"/>
              </w:rPr>
            </w:r>
          </w:p>
        </w:tc>
      </w:tr>
      <w:tr>
        <w:trPr/>
        <w:tc>
          <w:tcPr>
            <w:tcW w:w="1319" w:type="dxa"/>
            <w:tcBorders/>
          </w:tcPr>
          <w:p>
            <w:pPr>
              <w:pStyle w:val="TableContents"/>
              <w:bidi w:val="0"/>
              <w:spacing w:before="0" w:after="0"/>
              <w:jc w:val="left"/>
              <w:rPr>
                <w:rFonts w:ascii="Times New Roman" w:hAnsi="Times New Roman"/>
                <w:sz w:val="20"/>
              </w:rPr>
            </w:pPr>
            <w:r>
              <w:rPr>
                <w:rFonts w:ascii="Times New Roman" w:hAnsi="Times New Roman"/>
                <w:sz w:val="20"/>
              </w:rPr>
              <w:t>SECTION 5.01.</w:t>
            </w:r>
          </w:p>
        </w:tc>
        <w:tc>
          <w:tcPr>
            <w:tcW w:w="68" w:type="dxa"/>
            <w:tcBorders/>
            <w:vAlign w:val="bottom"/>
          </w:tcPr>
          <w:p>
            <w:pPr>
              <w:pStyle w:val="TableContents"/>
              <w:bidi w:val="0"/>
              <w:spacing w:before="0" w:after="283"/>
              <w:jc w:val="left"/>
              <w:rPr/>
            </w:pPr>
            <w:r>
              <w:rPr/>
              <w:t> </w:t>
            </w:r>
          </w:p>
        </w:tc>
        <w:tc>
          <w:tcPr>
            <w:tcW w:w="8309" w:type="dxa"/>
            <w:tcBorders/>
            <w:vAlign w:val="bottom"/>
          </w:tcPr>
          <w:p>
            <w:pPr>
              <w:pStyle w:val="TableContents"/>
              <w:bidi w:val="0"/>
              <w:spacing w:before="0" w:after="283"/>
              <w:jc w:val="left"/>
              <w:rPr/>
            </w:pPr>
            <w:r>
              <w:rPr/>
              <w:t>Events of Default</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46</w:t>
            </w:r>
          </w:p>
        </w:tc>
        <w:tc>
          <w:tcPr>
            <w:tcW w:w="63" w:type="dxa"/>
            <w:tcBorders/>
            <w:vAlign w:val="bottom"/>
          </w:tcPr>
          <w:p>
            <w:pPr>
              <w:pStyle w:val="TableContents"/>
              <w:bidi w:val="0"/>
              <w:spacing w:before="0" w:after="283"/>
              <w:jc w:val="left"/>
              <w:rPr/>
            </w:pPr>
            <w:r>
              <w:rPr/>
              <w:t> </w:t>
            </w:r>
          </w:p>
        </w:tc>
      </w:tr>
      <w:tr>
        <w:trPr/>
        <w:tc>
          <w:tcPr>
            <w:tcW w:w="1319" w:type="dxa"/>
            <w:tcBorders/>
          </w:tcPr>
          <w:p>
            <w:pPr>
              <w:pStyle w:val="TableContents"/>
              <w:bidi w:val="0"/>
              <w:spacing w:before="0" w:after="0"/>
              <w:jc w:val="left"/>
              <w:rPr>
                <w:rFonts w:ascii="Times New Roman" w:hAnsi="Times New Roman"/>
                <w:sz w:val="20"/>
              </w:rPr>
            </w:pPr>
            <w:r>
              <w:rPr>
                <w:rFonts w:ascii="Times New Roman" w:hAnsi="Times New Roman"/>
                <w:sz w:val="20"/>
              </w:rPr>
              <w:t>SECTION 5.02.</w:t>
            </w:r>
          </w:p>
        </w:tc>
        <w:tc>
          <w:tcPr>
            <w:tcW w:w="68" w:type="dxa"/>
            <w:tcBorders/>
            <w:vAlign w:val="bottom"/>
          </w:tcPr>
          <w:p>
            <w:pPr>
              <w:pStyle w:val="TableContents"/>
              <w:bidi w:val="0"/>
              <w:spacing w:before="0" w:after="283"/>
              <w:jc w:val="left"/>
              <w:rPr/>
            </w:pPr>
            <w:r>
              <w:rPr/>
              <w:t> </w:t>
            </w:r>
          </w:p>
        </w:tc>
        <w:tc>
          <w:tcPr>
            <w:tcW w:w="8309" w:type="dxa"/>
            <w:tcBorders/>
            <w:vAlign w:val="bottom"/>
          </w:tcPr>
          <w:p>
            <w:pPr>
              <w:pStyle w:val="TableContents"/>
              <w:bidi w:val="0"/>
              <w:spacing w:before="0" w:after="283"/>
              <w:jc w:val="left"/>
              <w:rPr/>
            </w:pPr>
            <w:r>
              <w:rPr/>
              <w:t>Acceleration of Maturity; Rescission and Annulment; Waiver of Existing Default</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48</w:t>
            </w:r>
          </w:p>
        </w:tc>
        <w:tc>
          <w:tcPr>
            <w:tcW w:w="63" w:type="dxa"/>
            <w:tcBorders/>
            <w:vAlign w:val="bottom"/>
          </w:tcPr>
          <w:p>
            <w:pPr>
              <w:pStyle w:val="TableContents"/>
              <w:bidi w:val="0"/>
              <w:spacing w:before="0" w:after="283"/>
              <w:jc w:val="left"/>
              <w:rPr/>
            </w:pPr>
            <w:r>
              <w:rPr/>
              <w:t> </w:t>
            </w:r>
          </w:p>
        </w:tc>
      </w:tr>
      <w:tr>
        <w:trPr/>
        <w:tc>
          <w:tcPr>
            <w:tcW w:w="1319" w:type="dxa"/>
            <w:tcBorders/>
          </w:tcPr>
          <w:p>
            <w:pPr>
              <w:pStyle w:val="TableContents"/>
              <w:bidi w:val="0"/>
              <w:spacing w:before="0" w:after="0"/>
              <w:jc w:val="left"/>
              <w:rPr>
                <w:rFonts w:ascii="Times New Roman" w:hAnsi="Times New Roman"/>
                <w:sz w:val="20"/>
              </w:rPr>
            </w:pPr>
            <w:r>
              <w:rPr>
                <w:rFonts w:ascii="Times New Roman" w:hAnsi="Times New Roman"/>
                <w:sz w:val="20"/>
              </w:rPr>
              <w:t>SECTION 5.03.</w:t>
            </w:r>
          </w:p>
        </w:tc>
        <w:tc>
          <w:tcPr>
            <w:tcW w:w="68" w:type="dxa"/>
            <w:tcBorders/>
            <w:vAlign w:val="bottom"/>
          </w:tcPr>
          <w:p>
            <w:pPr>
              <w:pStyle w:val="TableContents"/>
              <w:bidi w:val="0"/>
              <w:spacing w:before="0" w:after="283"/>
              <w:jc w:val="left"/>
              <w:rPr/>
            </w:pPr>
            <w:r>
              <w:rPr/>
              <w:t> </w:t>
            </w:r>
          </w:p>
        </w:tc>
        <w:tc>
          <w:tcPr>
            <w:tcW w:w="8309" w:type="dxa"/>
            <w:tcBorders/>
            <w:vAlign w:val="bottom"/>
          </w:tcPr>
          <w:p>
            <w:pPr>
              <w:pStyle w:val="TableContents"/>
              <w:bidi w:val="0"/>
              <w:spacing w:before="0" w:after="283"/>
              <w:jc w:val="left"/>
              <w:rPr/>
            </w:pPr>
            <w:r>
              <w:rPr/>
              <w:t>Collection of Indebtedness and Suits for Enforcement by Trustee</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48</w:t>
            </w:r>
          </w:p>
        </w:tc>
        <w:tc>
          <w:tcPr>
            <w:tcW w:w="63" w:type="dxa"/>
            <w:tcBorders/>
            <w:vAlign w:val="bottom"/>
          </w:tcPr>
          <w:p>
            <w:pPr>
              <w:pStyle w:val="TableContents"/>
              <w:bidi w:val="0"/>
              <w:spacing w:before="0" w:after="283"/>
              <w:jc w:val="left"/>
              <w:rPr/>
            </w:pPr>
            <w:r>
              <w:rPr/>
              <w:t> </w:t>
            </w:r>
          </w:p>
        </w:tc>
      </w:tr>
      <w:tr>
        <w:trPr/>
        <w:tc>
          <w:tcPr>
            <w:tcW w:w="1319" w:type="dxa"/>
            <w:tcBorders/>
          </w:tcPr>
          <w:p>
            <w:pPr>
              <w:pStyle w:val="TableContents"/>
              <w:bidi w:val="0"/>
              <w:spacing w:before="0" w:after="0"/>
              <w:jc w:val="left"/>
              <w:rPr>
                <w:rFonts w:ascii="Times New Roman" w:hAnsi="Times New Roman"/>
                <w:sz w:val="20"/>
              </w:rPr>
            </w:pPr>
            <w:r>
              <w:rPr>
                <w:rFonts w:ascii="Times New Roman" w:hAnsi="Times New Roman"/>
                <w:sz w:val="20"/>
              </w:rPr>
              <w:t>SECTION 5.04.</w:t>
            </w:r>
          </w:p>
        </w:tc>
        <w:tc>
          <w:tcPr>
            <w:tcW w:w="68" w:type="dxa"/>
            <w:tcBorders/>
            <w:vAlign w:val="bottom"/>
          </w:tcPr>
          <w:p>
            <w:pPr>
              <w:pStyle w:val="TableContents"/>
              <w:bidi w:val="0"/>
              <w:spacing w:before="0" w:after="283"/>
              <w:jc w:val="left"/>
              <w:rPr/>
            </w:pPr>
            <w:r>
              <w:rPr/>
              <w:t> </w:t>
            </w:r>
          </w:p>
        </w:tc>
        <w:tc>
          <w:tcPr>
            <w:tcW w:w="8309" w:type="dxa"/>
            <w:tcBorders/>
            <w:vAlign w:val="bottom"/>
          </w:tcPr>
          <w:p>
            <w:pPr>
              <w:pStyle w:val="TableContents"/>
              <w:bidi w:val="0"/>
              <w:spacing w:before="0" w:after="283"/>
              <w:jc w:val="left"/>
              <w:rPr/>
            </w:pPr>
            <w:r>
              <w:rPr/>
              <w:t>Trustee May File Proofs of Claim</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49</w:t>
            </w:r>
          </w:p>
        </w:tc>
        <w:tc>
          <w:tcPr>
            <w:tcW w:w="63" w:type="dxa"/>
            <w:tcBorders/>
            <w:vAlign w:val="bottom"/>
          </w:tcPr>
          <w:p>
            <w:pPr>
              <w:pStyle w:val="TableContents"/>
              <w:bidi w:val="0"/>
              <w:spacing w:before="0" w:after="283"/>
              <w:jc w:val="left"/>
              <w:rPr/>
            </w:pPr>
            <w:r>
              <w:rPr/>
              <w:t> </w:t>
            </w:r>
          </w:p>
        </w:tc>
      </w:tr>
      <w:tr>
        <w:trPr/>
        <w:tc>
          <w:tcPr>
            <w:tcW w:w="1319" w:type="dxa"/>
            <w:tcBorders/>
          </w:tcPr>
          <w:p>
            <w:pPr>
              <w:pStyle w:val="TableContents"/>
              <w:bidi w:val="0"/>
              <w:spacing w:before="0" w:after="0"/>
              <w:jc w:val="left"/>
              <w:rPr>
                <w:rFonts w:ascii="Times New Roman" w:hAnsi="Times New Roman"/>
                <w:sz w:val="20"/>
              </w:rPr>
            </w:pPr>
            <w:r>
              <w:rPr>
                <w:rFonts w:ascii="Times New Roman" w:hAnsi="Times New Roman"/>
                <w:sz w:val="20"/>
              </w:rPr>
              <w:t>SECTION 5.05.</w:t>
            </w:r>
          </w:p>
        </w:tc>
        <w:tc>
          <w:tcPr>
            <w:tcW w:w="68" w:type="dxa"/>
            <w:tcBorders/>
            <w:vAlign w:val="bottom"/>
          </w:tcPr>
          <w:p>
            <w:pPr>
              <w:pStyle w:val="TableContents"/>
              <w:bidi w:val="0"/>
              <w:spacing w:before="0" w:after="283"/>
              <w:jc w:val="left"/>
              <w:rPr/>
            </w:pPr>
            <w:r>
              <w:rPr/>
              <w:t> </w:t>
            </w:r>
          </w:p>
        </w:tc>
        <w:tc>
          <w:tcPr>
            <w:tcW w:w="8309" w:type="dxa"/>
            <w:tcBorders/>
            <w:vAlign w:val="bottom"/>
          </w:tcPr>
          <w:p>
            <w:pPr>
              <w:pStyle w:val="TableContents"/>
              <w:bidi w:val="0"/>
              <w:spacing w:before="0" w:after="283"/>
              <w:jc w:val="left"/>
              <w:rPr/>
            </w:pPr>
            <w:r>
              <w:rPr/>
              <w:t>Trustee May Enforce Claims Without Possession of Securities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50</w:t>
            </w:r>
          </w:p>
        </w:tc>
        <w:tc>
          <w:tcPr>
            <w:tcW w:w="63" w:type="dxa"/>
            <w:tcBorders/>
            <w:vAlign w:val="bottom"/>
          </w:tcPr>
          <w:p>
            <w:pPr>
              <w:pStyle w:val="TableContents"/>
              <w:bidi w:val="0"/>
              <w:spacing w:before="0" w:after="283"/>
              <w:jc w:val="left"/>
              <w:rPr/>
            </w:pPr>
            <w:r>
              <w:rPr/>
              <w:t> </w:t>
            </w:r>
          </w:p>
        </w:tc>
      </w:tr>
      <w:tr>
        <w:trPr/>
        <w:tc>
          <w:tcPr>
            <w:tcW w:w="1319" w:type="dxa"/>
            <w:tcBorders/>
          </w:tcPr>
          <w:p>
            <w:pPr>
              <w:pStyle w:val="TableContents"/>
              <w:bidi w:val="0"/>
              <w:spacing w:before="0" w:after="0"/>
              <w:jc w:val="left"/>
              <w:rPr>
                <w:rFonts w:ascii="Times New Roman" w:hAnsi="Times New Roman"/>
                <w:sz w:val="20"/>
              </w:rPr>
            </w:pPr>
            <w:r>
              <w:rPr>
                <w:rFonts w:ascii="Times New Roman" w:hAnsi="Times New Roman"/>
                <w:sz w:val="20"/>
              </w:rPr>
              <w:t>SECTION 5.06.</w:t>
            </w:r>
          </w:p>
        </w:tc>
        <w:tc>
          <w:tcPr>
            <w:tcW w:w="68" w:type="dxa"/>
            <w:tcBorders/>
            <w:vAlign w:val="bottom"/>
          </w:tcPr>
          <w:p>
            <w:pPr>
              <w:pStyle w:val="TableContents"/>
              <w:bidi w:val="0"/>
              <w:spacing w:before="0" w:after="283"/>
              <w:jc w:val="left"/>
              <w:rPr/>
            </w:pPr>
            <w:r>
              <w:rPr/>
              <w:t> </w:t>
            </w:r>
          </w:p>
        </w:tc>
        <w:tc>
          <w:tcPr>
            <w:tcW w:w="8309" w:type="dxa"/>
            <w:tcBorders/>
            <w:vAlign w:val="bottom"/>
          </w:tcPr>
          <w:p>
            <w:pPr>
              <w:pStyle w:val="TableContents"/>
              <w:bidi w:val="0"/>
              <w:spacing w:before="0" w:after="283"/>
              <w:jc w:val="left"/>
              <w:rPr/>
            </w:pPr>
            <w:r>
              <w:rPr/>
              <w:t>Application of Money Collected</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50</w:t>
            </w:r>
          </w:p>
        </w:tc>
        <w:tc>
          <w:tcPr>
            <w:tcW w:w="63" w:type="dxa"/>
            <w:tcBorders/>
            <w:vAlign w:val="bottom"/>
          </w:tcPr>
          <w:p>
            <w:pPr>
              <w:pStyle w:val="TableContents"/>
              <w:bidi w:val="0"/>
              <w:spacing w:before="0" w:after="283"/>
              <w:jc w:val="left"/>
              <w:rPr/>
            </w:pPr>
            <w:r>
              <w:rPr/>
              <w:t> </w:t>
            </w:r>
          </w:p>
        </w:tc>
      </w:tr>
      <w:tr>
        <w:trPr/>
        <w:tc>
          <w:tcPr>
            <w:tcW w:w="1319" w:type="dxa"/>
            <w:tcBorders/>
          </w:tcPr>
          <w:p>
            <w:pPr>
              <w:pStyle w:val="TableContents"/>
              <w:bidi w:val="0"/>
              <w:spacing w:before="0" w:after="0"/>
              <w:jc w:val="left"/>
              <w:rPr>
                <w:rFonts w:ascii="Times New Roman" w:hAnsi="Times New Roman"/>
                <w:sz w:val="20"/>
              </w:rPr>
            </w:pPr>
            <w:r>
              <w:rPr>
                <w:rFonts w:ascii="Times New Roman" w:hAnsi="Times New Roman"/>
                <w:sz w:val="20"/>
              </w:rPr>
              <w:t>SECTION 5.07.</w:t>
            </w:r>
          </w:p>
        </w:tc>
        <w:tc>
          <w:tcPr>
            <w:tcW w:w="68" w:type="dxa"/>
            <w:tcBorders/>
            <w:vAlign w:val="bottom"/>
          </w:tcPr>
          <w:p>
            <w:pPr>
              <w:pStyle w:val="TableContents"/>
              <w:bidi w:val="0"/>
              <w:spacing w:before="0" w:after="283"/>
              <w:jc w:val="left"/>
              <w:rPr/>
            </w:pPr>
            <w:r>
              <w:rPr/>
              <w:t> </w:t>
            </w:r>
          </w:p>
        </w:tc>
        <w:tc>
          <w:tcPr>
            <w:tcW w:w="8309" w:type="dxa"/>
            <w:tcBorders/>
            <w:vAlign w:val="bottom"/>
          </w:tcPr>
          <w:p>
            <w:pPr>
              <w:pStyle w:val="TableContents"/>
              <w:bidi w:val="0"/>
              <w:spacing w:before="0" w:after="283"/>
              <w:jc w:val="left"/>
              <w:rPr/>
            </w:pPr>
            <w:r>
              <w:rPr/>
              <w:t>Limitation on Suits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50</w:t>
            </w:r>
          </w:p>
        </w:tc>
        <w:tc>
          <w:tcPr>
            <w:tcW w:w="63" w:type="dxa"/>
            <w:tcBorders/>
            <w:vAlign w:val="bottom"/>
          </w:tcPr>
          <w:p>
            <w:pPr>
              <w:pStyle w:val="TableContents"/>
              <w:bidi w:val="0"/>
              <w:spacing w:before="0" w:after="283"/>
              <w:jc w:val="left"/>
              <w:rPr/>
            </w:pPr>
            <w:r>
              <w:rPr/>
              <w:t> </w:t>
            </w:r>
          </w:p>
        </w:tc>
      </w:tr>
      <w:tr>
        <w:trPr/>
        <w:tc>
          <w:tcPr>
            <w:tcW w:w="1319" w:type="dxa"/>
            <w:tcBorders/>
          </w:tcPr>
          <w:p>
            <w:pPr>
              <w:pStyle w:val="TableContents"/>
              <w:bidi w:val="0"/>
              <w:spacing w:before="0" w:after="0"/>
              <w:jc w:val="left"/>
              <w:rPr>
                <w:rFonts w:ascii="Times New Roman" w:hAnsi="Times New Roman"/>
                <w:sz w:val="20"/>
              </w:rPr>
            </w:pPr>
            <w:r>
              <w:rPr>
                <w:rFonts w:ascii="Times New Roman" w:hAnsi="Times New Roman"/>
                <w:sz w:val="20"/>
              </w:rPr>
              <w:t>SECTION 5.08.</w:t>
            </w:r>
          </w:p>
        </w:tc>
        <w:tc>
          <w:tcPr>
            <w:tcW w:w="68" w:type="dxa"/>
            <w:tcBorders/>
            <w:vAlign w:val="bottom"/>
          </w:tcPr>
          <w:p>
            <w:pPr>
              <w:pStyle w:val="TableContents"/>
              <w:bidi w:val="0"/>
              <w:spacing w:before="0" w:after="283"/>
              <w:jc w:val="left"/>
              <w:rPr/>
            </w:pPr>
            <w:r>
              <w:rPr/>
              <w:t> </w:t>
            </w:r>
          </w:p>
        </w:tc>
        <w:tc>
          <w:tcPr>
            <w:tcW w:w="8309" w:type="dxa"/>
            <w:tcBorders/>
            <w:vAlign w:val="bottom"/>
          </w:tcPr>
          <w:p>
            <w:pPr>
              <w:pStyle w:val="TableContents"/>
              <w:bidi w:val="0"/>
              <w:spacing w:before="0" w:after="283"/>
              <w:jc w:val="left"/>
              <w:rPr/>
            </w:pPr>
            <w:r>
              <w:rPr/>
              <w:t>Unconditional Right of Holders to Receive Principal, Premium and Interest</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51</w:t>
            </w:r>
          </w:p>
        </w:tc>
        <w:tc>
          <w:tcPr>
            <w:tcW w:w="63" w:type="dxa"/>
            <w:tcBorders/>
            <w:vAlign w:val="bottom"/>
          </w:tcPr>
          <w:p>
            <w:pPr>
              <w:pStyle w:val="TableContents"/>
              <w:bidi w:val="0"/>
              <w:spacing w:before="0" w:after="283"/>
              <w:jc w:val="left"/>
              <w:rPr/>
            </w:pPr>
            <w:r>
              <w:rPr/>
              <w:t> </w:t>
            </w:r>
          </w:p>
        </w:tc>
      </w:tr>
      <w:tr>
        <w:trPr/>
        <w:tc>
          <w:tcPr>
            <w:tcW w:w="1319" w:type="dxa"/>
            <w:tcBorders/>
          </w:tcPr>
          <w:p>
            <w:pPr>
              <w:pStyle w:val="TableContents"/>
              <w:bidi w:val="0"/>
              <w:spacing w:before="0" w:after="0"/>
              <w:jc w:val="left"/>
              <w:rPr>
                <w:rFonts w:ascii="Times New Roman" w:hAnsi="Times New Roman"/>
                <w:sz w:val="20"/>
              </w:rPr>
            </w:pPr>
            <w:r>
              <w:rPr>
                <w:rFonts w:ascii="Times New Roman" w:hAnsi="Times New Roman"/>
                <w:sz w:val="20"/>
              </w:rPr>
              <w:t>SECTION 5.09.</w:t>
            </w:r>
          </w:p>
        </w:tc>
        <w:tc>
          <w:tcPr>
            <w:tcW w:w="68" w:type="dxa"/>
            <w:tcBorders/>
            <w:vAlign w:val="bottom"/>
          </w:tcPr>
          <w:p>
            <w:pPr>
              <w:pStyle w:val="TableContents"/>
              <w:bidi w:val="0"/>
              <w:spacing w:before="0" w:after="283"/>
              <w:jc w:val="left"/>
              <w:rPr/>
            </w:pPr>
            <w:r>
              <w:rPr/>
              <w:t> </w:t>
            </w:r>
          </w:p>
        </w:tc>
        <w:tc>
          <w:tcPr>
            <w:tcW w:w="8309" w:type="dxa"/>
            <w:tcBorders/>
            <w:vAlign w:val="bottom"/>
          </w:tcPr>
          <w:p>
            <w:pPr>
              <w:pStyle w:val="TableContents"/>
              <w:bidi w:val="0"/>
              <w:spacing w:before="0" w:after="283"/>
              <w:jc w:val="left"/>
              <w:rPr/>
            </w:pPr>
            <w:r>
              <w:rPr/>
              <w:t>Restoration of Rights and Remedies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51</w:t>
            </w:r>
          </w:p>
        </w:tc>
        <w:tc>
          <w:tcPr>
            <w:tcW w:w="63" w:type="dxa"/>
            <w:tcBorders/>
            <w:vAlign w:val="bottom"/>
          </w:tcPr>
          <w:p>
            <w:pPr>
              <w:pStyle w:val="TableContents"/>
              <w:bidi w:val="0"/>
              <w:spacing w:before="0" w:after="283"/>
              <w:jc w:val="left"/>
              <w:rPr/>
            </w:pPr>
            <w:r>
              <w:rPr/>
              <w:t> </w:t>
            </w:r>
          </w:p>
        </w:tc>
      </w:tr>
      <w:tr>
        <w:trPr/>
        <w:tc>
          <w:tcPr>
            <w:tcW w:w="1319" w:type="dxa"/>
            <w:tcBorders/>
          </w:tcPr>
          <w:p>
            <w:pPr>
              <w:pStyle w:val="TableContents"/>
              <w:bidi w:val="0"/>
              <w:spacing w:before="0" w:after="0"/>
              <w:jc w:val="left"/>
              <w:rPr>
                <w:rFonts w:ascii="Times New Roman" w:hAnsi="Times New Roman"/>
                <w:sz w:val="20"/>
              </w:rPr>
            </w:pPr>
            <w:r>
              <w:rPr>
                <w:rFonts w:ascii="Times New Roman" w:hAnsi="Times New Roman"/>
                <w:sz w:val="20"/>
              </w:rPr>
              <w:t>SECTION 5.10.</w:t>
            </w:r>
          </w:p>
        </w:tc>
        <w:tc>
          <w:tcPr>
            <w:tcW w:w="68" w:type="dxa"/>
            <w:tcBorders/>
            <w:vAlign w:val="bottom"/>
          </w:tcPr>
          <w:p>
            <w:pPr>
              <w:pStyle w:val="TableContents"/>
              <w:bidi w:val="0"/>
              <w:spacing w:before="0" w:after="283"/>
              <w:jc w:val="left"/>
              <w:rPr/>
            </w:pPr>
            <w:r>
              <w:rPr/>
              <w:t> </w:t>
            </w:r>
          </w:p>
        </w:tc>
        <w:tc>
          <w:tcPr>
            <w:tcW w:w="8309" w:type="dxa"/>
            <w:tcBorders/>
            <w:vAlign w:val="bottom"/>
          </w:tcPr>
          <w:p>
            <w:pPr>
              <w:pStyle w:val="TableContents"/>
              <w:bidi w:val="0"/>
              <w:spacing w:before="0" w:after="283"/>
              <w:jc w:val="left"/>
              <w:rPr/>
            </w:pPr>
            <w:r>
              <w:rPr/>
              <w:t>Rights and Remedies Cumulative</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51</w:t>
            </w:r>
          </w:p>
        </w:tc>
        <w:tc>
          <w:tcPr>
            <w:tcW w:w="63" w:type="dxa"/>
            <w:tcBorders/>
            <w:vAlign w:val="bottom"/>
          </w:tcPr>
          <w:p>
            <w:pPr>
              <w:pStyle w:val="TableContents"/>
              <w:bidi w:val="0"/>
              <w:spacing w:before="0" w:after="283"/>
              <w:jc w:val="left"/>
              <w:rPr/>
            </w:pPr>
            <w:r>
              <w:rPr/>
              <w:t> </w:t>
            </w:r>
          </w:p>
        </w:tc>
      </w:tr>
      <w:tr>
        <w:trPr/>
        <w:tc>
          <w:tcPr>
            <w:tcW w:w="1319" w:type="dxa"/>
            <w:tcBorders/>
          </w:tcPr>
          <w:p>
            <w:pPr>
              <w:pStyle w:val="TableContents"/>
              <w:bidi w:val="0"/>
              <w:spacing w:before="0" w:after="0"/>
              <w:jc w:val="left"/>
              <w:rPr>
                <w:rFonts w:ascii="Times New Roman" w:hAnsi="Times New Roman"/>
                <w:sz w:val="20"/>
              </w:rPr>
            </w:pPr>
            <w:r>
              <w:rPr>
                <w:rFonts w:ascii="Times New Roman" w:hAnsi="Times New Roman"/>
                <w:sz w:val="20"/>
              </w:rPr>
              <w:t>SECTION 5.11.</w:t>
            </w:r>
          </w:p>
        </w:tc>
        <w:tc>
          <w:tcPr>
            <w:tcW w:w="68" w:type="dxa"/>
            <w:tcBorders/>
            <w:vAlign w:val="bottom"/>
          </w:tcPr>
          <w:p>
            <w:pPr>
              <w:pStyle w:val="TableContents"/>
              <w:bidi w:val="0"/>
              <w:spacing w:before="0" w:after="283"/>
              <w:jc w:val="left"/>
              <w:rPr/>
            </w:pPr>
            <w:r>
              <w:rPr/>
              <w:t> </w:t>
            </w:r>
          </w:p>
        </w:tc>
        <w:tc>
          <w:tcPr>
            <w:tcW w:w="8309" w:type="dxa"/>
            <w:tcBorders/>
            <w:vAlign w:val="bottom"/>
          </w:tcPr>
          <w:p>
            <w:pPr>
              <w:pStyle w:val="TableContents"/>
              <w:bidi w:val="0"/>
              <w:spacing w:before="0" w:after="283"/>
              <w:jc w:val="left"/>
              <w:rPr/>
            </w:pPr>
            <w:r>
              <w:rPr/>
              <w:t>Delay or Omission Not Waiver</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51</w:t>
            </w:r>
          </w:p>
        </w:tc>
        <w:tc>
          <w:tcPr>
            <w:tcW w:w="63" w:type="dxa"/>
            <w:tcBorders/>
            <w:vAlign w:val="bottom"/>
          </w:tcPr>
          <w:p>
            <w:pPr>
              <w:pStyle w:val="TableContents"/>
              <w:bidi w:val="0"/>
              <w:spacing w:before="0" w:after="283"/>
              <w:jc w:val="left"/>
              <w:rPr/>
            </w:pPr>
            <w:r>
              <w:rPr/>
              <w:t> </w:t>
            </w:r>
          </w:p>
        </w:tc>
      </w:tr>
      <w:tr>
        <w:trPr/>
        <w:tc>
          <w:tcPr>
            <w:tcW w:w="1319" w:type="dxa"/>
            <w:tcBorders/>
          </w:tcPr>
          <w:p>
            <w:pPr>
              <w:pStyle w:val="TableContents"/>
              <w:bidi w:val="0"/>
              <w:spacing w:before="0" w:after="0"/>
              <w:jc w:val="left"/>
              <w:rPr>
                <w:rFonts w:ascii="Times New Roman" w:hAnsi="Times New Roman"/>
                <w:sz w:val="20"/>
              </w:rPr>
            </w:pPr>
            <w:r>
              <w:rPr>
                <w:rFonts w:ascii="Times New Roman" w:hAnsi="Times New Roman"/>
                <w:sz w:val="20"/>
              </w:rPr>
              <w:t>SECTION 5.12.</w:t>
            </w:r>
          </w:p>
        </w:tc>
        <w:tc>
          <w:tcPr>
            <w:tcW w:w="68" w:type="dxa"/>
            <w:tcBorders/>
            <w:vAlign w:val="bottom"/>
          </w:tcPr>
          <w:p>
            <w:pPr>
              <w:pStyle w:val="TableContents"/>
              <w:bidi w:val="0"/>
              <w:spacing w:before="0" w:after="283"/>
              <w:jc w:val="left"/>
              <w:rPr/>
            </w:pPr>
            <w:r>
              <w:rPr/>
              <w:t> </w:t>
            </w:r>
          </w:p>
        </w:tc>
        <w:tc>
          <w:tcPr>
            <w:tcW w:w="8309" w:type="dxa"/>
            <w:tcBorders/>
            <w:vAlign w:val="bottom"/>
          </w:tcPr>
          <w:p>
            <w:pPr>
              <w:pStyle w:val="TableContents"/>
              <w:bidi w:val="0"/>
              <w:spacing w:before="0" w:after="283"/>
              <w:jc w:val="left"/>
              <w:rPr/>
            </w:pPr>
            <w:r>
              <w:rPr/>
              <w:t>Control by Holders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52</w:t>
            </w:r>
          </w:p>
        </w:tc>
        <w:tc>
          <w:tcPr>
            <w:tcW w:w="63" w:type="dxa"/>
            <w:tcBorders/>
            <w:vAlign w:val="bottom"/>
          </w:tcPr>
          <w:p>
            <w:pPr>
              <w:pStyle w:val="TableContents"/>
              <w:bidi w:val="0"/>
              <w:spacing w:before="0" w:after="283"/>
              <w:jc w:val="left"/>
              <w:rPr/>
            </w:pPr>
            <w:r>
              <w:rPr/>
              <w:t> </w:t>
            </w:r>
          </w:p>
        </w:tc>
      </w:tr>
      <w:tr>
        <w:trPr/>
        <w:tc>
          <w:tcPr>
            <w:tcW w:w="1319" w:type="dxa"/>
            <w:tcBorders/>
          </w:tcPr>
          <w:p>
            <w:pPr>
              <w:pStyle w:val="TableContents"/>
              <w:bidi w:val="0"/>
              <w:spacing w:before="0" w:after="0"/>
              <w:jc w:val="left"/>
              <w:rPr>
                <w:rFonts w:ascii="Times New Roman" w:hAnsi="Times New Roman"/>
                <w:sz w:val="20"/>
              </w:rPr>
            </w:pPr>
            <w:r>
              <w:rPr>
                <w:rFonts w:ascii="Times New Roman" w:hAnsi="Times New Roman"/>
                <w:sz w:val="20"/>
              </w:rPr>
              <w:t>SECTION 5.13.</w:t>
            </w:r>
          </w:p>
        </w:tc>
        <w:tc>
          <w:tcPr>
            <w:tcW w:w="68" w:type="dxa"/>
            <w:tcBorders/>
            <w:vAlign w:val="bottom"/>
          </w:tcPr>
          <w:p>
            <w:pPr>
              <w:pStyle w:val="TableContents"/>
              <w:bidi w:val="0"/>
              <w:spacing w:before="0" w:after="283"/>
              <w:jc w:val="left"/>
              <w:rPr/>
            </w:pPr>
            <w:r>
              <w:rPr/>
              <w:t> </w:t>
            </w:r>
          </w:p>
        </w:tc>
        <w:tc>
          <w:tcPr>
            <w:tcW w:w="8309" w:type="dxa"/>
            <w:tcBorders/>
            <w:vAlign w:val="bottom"/>
          </w:tcPr>
          <w:p>
            <w:pPr>
              <w:pStyle w:val="TableContents"/>
              <w:bidi w:val="0"/>
              <w:spacing w:before="0" w:after="283"/>
              <w:jc w:val="left"/>
              <w:rPr/>
            </w:pPr>
            <w:r>
              <w:rPr/>
              <w:t>Waiver of Past Defaults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52</w:t>
            </w:r>
          </w:p>
        </w:tc>
        <w:tc>
          <w:tcPr>
            <w:tcW w:w="63" w:type="dxa"/>
            <w:tcBorders/>
            <w:vAlign w:val="bottom"/>
          </w:tcPr>
          <w:p>
            <w:pPr>
              <w:pStyle w:val="TableContents"/>
              <w:bidi w:val="0"/>
              <w:spacing w:before="0" w:after="283"/>
              <w:jc w:val="left"/>
              <w:rPr/>
            </w:pPr>
            <w:r>
              <w:rPr/>
              <w:t> </w:t>
            </w:r>
          </w:p>
        </w:tc>
      </w:tr>
      <w:tr>
        <w:trPr/>
        <w:tc>
          <w:tcPr>
            <w:tcW w:w="1319" w:type="dxa"/>
            <w:tcBorders/>
          </w:tcPr>
          <w:p>
            <w:pPr>
              <w:pStyle w:val="TableContents"/>
              <w:bidi w:val="0"/>
              <w:spacing w:before="0" w:after="0"/>
              <w:jc w:val="left"/>
              <w:rPr>
                <w:rFonts w:ascii="Times New Roman" w:hAnsi="Times New Roman"/>
                <w:sz w:val="20"/>
              </w:rPr>
            </w:pPr>
            <w:r>
              <w:rPr>
                <w:rFonts w:ascii="Times New Roman" w:hAnsi="Times New Roman"/>
                <w:sz w:val="20"/>
              </w:rPr>
              <w:t>SECTION 5.14.</w:t>
            </w:r>
          </w:p>
        </w:tc>
        <w:tc>
          <w:tcPr>
            <w:tcW w:w="68" w:type="dxa"/>
            <w:tcBorders/>
            <w:vAlign w:val="bottom"/>
          </w:tcPr>
          <w:p>
            <w:pPr>
              <w:pStyle w:val="TableContents"/>
              <w:bidi w:val="0"/>
              <w:spacing w:before="0" w:after="283"/>
              <w:jc w:val="left"/>
              <w:rPr/>
            </w:pPr>
            <w:r>
              <w:rPr/>
              <w:t> </w:t>
            </w:r>
          </w:p>
        </w:tc>
        <w:tc>
          <w:tcPr>
            <w:tcW w:w="8309" w:type="dxa"/>
            <w:tcBorders/>
            <w:vAlign w:val="bottom"/>
          </w:tcPr>
          <w:p>
            <w:pPr>
              <w:pStyle w:val="TableContents"/>
              <w:bidi w:val="0"/>
              <w:spacing w:before="0" w:after="283"/>
              <w:jc w:val="left"/>
              <w:rPr/>
            </w:pPr>
            <w:r>
              <w:rPr/>
              <w:t>Undertaking for Costs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52</w:t>
            </w:r>
          </w:p>
        </w:tc>
        <w:tc>
          <w:tcPr>
            <w:tcW w:w="63" w:type="dxa"/>
            <w:tcBorders/>
            <w:vAlign w:val="bottom"/>
          </w:tcPr>
          <w:p>
            <w:pPr>
              <w:pStyle w:val="TableContents"/>
              <w:bidi w:val="0"/>
              <w:spacing w:before="0" w:after="283"/>
              <w:jc w:val="left"/>
              <w:rPr/>
            </w:pPr>
            <w:r>
              <w:rPr/>
              <w:t> </w:t>
            </w:r>
          </w:p>
        </w:tc>
      </w:tr>
      <w:tr>
        <w:trPr/>
        <w:tc>
          <w:tcPr>
            <w:tcW w:w="1319" w:type="dxa"/>
            <w:tcBorders/>
          </w:tcPr>
          <w:p>
            <w:pPr>
              <w:pStyle w:val="TableContents"/>
              <w:bidi w:val="0"/>
              <w:spacing w:before="0" w:after="0"/>
              <w:jc w:val="left"/>
              <w:rPr>
                <w:rFonts w:ascii="Times New Roman" w:hAnsi="Times New Roman"/>
                <w:sz w:val="20"/>
              </w:rPr>
            </w:pPr>
            <w:r>
              <w:rPr>
                <w:rFonts w:ascii="Times New Roman" w:hAnsi="Times New Roman"/>
                <w:sz w:val="20"/>
              </w:rPr>
              <w:t>SECTION 5.15.</w:t>
            </w:r>
          </w:p>
        </w:tc>
        <w:tc>
          <w:tcPr>
            <w:tcW w:w="68" w:type="dxa"/>
            <w:tcBorders/>
            <w:vAlign w:val="bottom"/>
          </w:tcPr>
          <w:p>
            <w:pPr>
              <w:pStyle w:val="TableContents"/>
              <w:bidi w:val="0"/>
              <w:spacing w:before="0" w:after="283"/>
              <w:jc w:val="left"/>
              <w:rPr/>
            </w:pPr>
            <w:r>
              <w:rPr/>
              <w:t> </w:t>
            </w:r>
          </w:p>
        </w:tc>
        <w:tc>
          <w:tcPr>
            <w:tcW w:w="8309" w:type="dxa"/>
            <w:tcBorders/>
            <w:vAlign w:val="bottom"/>
          </w:tcPr>
          <w:p>
            <w:pPr>
              <w:pStyle w:val="TableContents"/>
              <w:bidi w:val="0"/>
              <w:spacing w:before="0" w:after="283"/>
              <w:jc w:val="left"/>
              <w:rPr/>
            </w:pPr>
            <w:r>
              <w:rPr/>
              <w:t>Waiver of Usury, Stay or Extension Laws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53</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349"/>
        <w:gridCol w:w="72"/>
        <w:gridCol w:w="8273"/>
        <w:gridCol w:w="128"/>
        <w:gridCol w:w="60"/>
        <w:gridCol w:w="260"/>
        <w:gridCol w:w="63"/>
      </w:tblGrid>
      <w:tr>
        <w:trPr/>
        <w:tc>
          <w:tcPr>
            <w:tcW w:w="1349" w:type="dxa"/>
            <w:tcBorders/>
            <w:vAlign w:val="center"/>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c>
          <w:tcPr>
            <w:tcW w:w="8273"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b/>
              </w:rPr>
            </w:pPr>
            <w:r>
              <w:rPr>
                <w:b/>
              </w:rPr>
              <w:t>ARTICLE SIX</w:t>
            </w:r>
          </w:p>
        </w:tc>
        <w:tc>
          <w:tcPr>
            <w:tcW w:w="63"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b/>
              </w:rPr>
            </w:pPr>
            <w:r>
              <w:rPr>
                <w:b/>
              </w:rPr>
              <w:t>THE TRUSTEE</w:t>
            </w:r>
          </w:p>
        </w:tc>
        <w:tc>
          <w:tcPr>
            <w:tcW w:w="63" w:type="dxa"/>
            <w:tcBorders/>
          </w:tcPr>
          <w:p>
            <w:pPr>
              <w:pStyle w:val="TableContents"/>
              <w:bidi w:val="0"/>
              <w:spacing w:before="0" w:after="0"/>
              <w:jc w:val="left"/>
              <w:rPr/>
            </w:pPr>
            <w:r>
              <w:rPr/>
              <w:t> </w:t>
            </w:r>
          </w:p>
        </w:tc>
      </w:tr>
      <w:tr>
        <w:trPr>
          <w:trHeight w:val="120" w:hRule="atLeast"/>
        </w:trPr>
        <w:tc>
          <w:tcPr>
            <w:tcW w:w="1349" w:type="dxa"/>
            <w:tcBorders/>
            <w:vAlign w:val="center"/>
          </w:tcPr>
          <w:p>
            <w:pPr>
              <w:pStyle w:val="TableContents"/>
              <w:bidi w:val="0"/>
              <w:spacing w:before="0" w:after="283"/>
              <w:jc w:val="left"/>
              <w:rPr>
                <w:sz w:val="4"/>
                <w:szCs w:val="4"/>
              </w:rPr>
            </w:pPr>
            <w:r>
              <w:rPr>
                <w:sz w:val="4"/>
                <w:szCs w:val="4"/>
              </w:rPr>
            </w:r>
          </w:p>
        </w:tc>
        <w:tc>
          <w:tcPr>
            <w:tcW w:w="8345" w:type="dxa"/>
            <w:gridSpan w:val="2"/>
            <w:tcBorders/>
            <w:vAlign w:val="center"/>
          </w:tcPr>
          <w:p>
            <w:pPr>
              <w:pStyle w:val="TableContents"/>
              <w:bidi w:val="0"/>
              <w:spacing w:before="0" w:after="283"/>
              <w:jc w:val="left"/>
              <w:rPr>
                <w:sz w:val="4"/>
                <w:szCs w:val="4"/>
              </w:rPr>
            </w:pPr>
            <w:r>
              <w:rPr>
                <w:sz w:val="4"/>
                <w:szCs w:val="4"/>
              </w:rPr>
            </w:r>
          </w:p>
        </w:tc>
        <w:tc>
          <w:tcPr>
            <w:tcW w:w="511" w:type="dxa"/>
            <w:gridSpan w:val="4"/>
            <w:tcBorders/>
            <w:vAlign w:val="center"/>
          </w:tcPr>
          <w:p>
            <w:pPr>
              <w:pStyle w:val="TableContents"/>
              <w:bidi w:val="0"/>
              <w:spacing w:before="0" w:after="283"/>
              <w:jc w:val="left"/>
              <w:rPr>
                <w:sz w:val="4"/>
                <w:szCs w:val="4"/>
              </w:rPr>
            </w:pPr>
            <w:r>
              <w:rPr>
                <w:sz w:val="4"/>
                <w:szCs w:val="4"/>
              </w:rPr>
            </w:r>
          </w:p>
        </w:tc>
      </w:tr>
      <w:tr>
        <w:trPr/>
        <w:tc>
          <w:tcPr>
            <w:tcW w:w="1349" w:type="dxa"/>
            <w:tcBorders/>
          </w:tcPr>
          <w:p>
            <w:pPr>
              <w:pStyle w:val="TableContents"/>
              <w:bidi w:val="0"/>
              <w:spacing w:before="0" w:after="0"/>
              <w:jc w:val="left"/>
              <w:rPr>
                <w:rFonts w:ascii="Times New Roman" w:hAnsi="Times New Roman"/>
                <w:sz w:val="20"/>
              </w:rPr>
            </w:pPr>
            <w:r>
              <w:rPr>
                <w:rFonts w:ascii="Times New Roman" w:hAnsi="Times New Roman"/>
                <w:sz w:val="20"/>
              </w:rPr>
              <w:t>SECTION 6.01.</w:t>
            </w:r>
          </w:p>
        </w:tc>
        <w:tc>
          <w:tcPr>
            <w:tcW w:w="72" w:type="dxa"/>
            <w:tcBorders/>
            <w:vAlign w:val="bottom"/>
          </w:tcPr>
          <w:p>
            <w:pPr>
              <w:pStyle w:val="TableContents"/>
              <w:bidi w:val="0"/>
              <w:spacing w:before="0" w:after="283"/>
              <w:jc w:val="left"/>
              <w:rPr/>
            </w:pPr>
            <w:r>
              <w:rPr/>
              <w:t> </w:t>
            </w:r>
          </w:p>
        </w:tc>
        <w:tc>
          <w:tcPr>
            <w:tcW w:w="8273" w:type="dxa"/>
            <w:tcBorders/>
            <w:vAlign w:val="bottom"/>
          </w:tcPr>
          <w:p>
            <w:pPr>
              <w:pStyle w:val="TableContents"/>
              <w:bidi w:val="0"/>
              <w:spacing w:before="0" w:after="283"/>
              <w:jc w:val="left"/>
              <w:rPr/>
            </w:pPr>
            <w:r>
              <w:rPr/>
              <w:t>Certain Duties and Responsibilities</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53</w:t>
            </w:r>
          </w:p>
        </w:tc>
        <w:tc>
          <w:tcPr>
            <w:tcW w:w="63" w:type="dxa"/>
            <w:tcBorders/>
            <w:vAlign w:val="bottom"/>
          </w:tcPr>
          <w:p>
            <w:pPr>
              <w:pStyle w:val="TableContents"/>
              <w:bidi w:val="0"/>
              <w:spacing w:before="0" w:after="283"/>
              <w:jc w:val="left"/>
              <w:rPr/>
            </w:pPr>
            <w:r>
              <w:rPr/>
              <w:t> </w:t>
            </w:r>
          </w:p>
        </w:tc>
      </w:tr>
      <w:tr>
        <w:trPr/>
        <w:tc>
          <w:tcPr>
            <w:tcW w:w="1349" w:type="dxa"/>
            <w:tcBorders/>
          </w:tcPr>
          <w:p>
            <w:pPr>
              <w:pStyle w:val="TableContents"/>
              <w:bidi w:val="0"/>
              <w:spacing w:before="0" w:after="0"/>
              <w:jc w:val="left"/>
              <w:rPr>
                <w:rFonts w:ascii="Times New Roman" w:hAnsi="Times New Roman"/>
                <w:sz w:val="20"/>
              </w:rPr>
            </w:pPr>
            <w:r>
              <w:rPr>
                <w:rFonts w:ascii="Times New Roman" w:hAnsi="Times New Roman"/>
                <w:sz w:val="20"/>
              </w:rPr>
              <w:t>SECTION 6.02.</w:t>
            </w:r>
          </w:p>
        </w:tc>
        <w:tc>
          <w:tcPr>
            <w:tcW w:w="72" w:type="dxa"/>
            <w:tcBorders/>
            <w:vAlign w:val="bottom"/>
          </w:tcPr>
          <w:p>
            <w:pPr>
              <w:pStyle w:val="TableContents"/>
              <w:bidi w:val="0"/>
              <w:spacing w:before="0" w:after="283"/>
              <w:jc w:val="left"/>
              <w:rPr/>
            </w:pPr>
            <w:r>
              <w:rPr/>
              <w:t> </w:t>
            </w:r>
          </w:p>
        </w:tc>
        <w:tc>
          <w:tcPr>
            <w:tcW w:w="8273" w:type="dxa"/>
            <w:tcBorders/>
            <w:vAlign w:val="bottom"/>
          </w:tcPr>
          <w:p>
            <w:pPr>
              <w:pStyle w:val="TableContents"/>
              <w:bidi w:val="0"/>
              <w:spacing w:before="0" w:after="283"/>
              <w:jc w:val="left"/>
              <w:rPr/>
            </w:pPr>
            <w:r>
              <w:rPr/>
              <w:t>Notice of Defaults</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54</w:t>
            </w:r>
          </w:p>
        </w:tc>
        <w:tc>
          <w:tcPr>
            <w:tcW w:w="63" w:type="dxa"/>
            <w:tcBorders/>
            <w:vAlign w:val="bottom"/>
          </w:tcPr>
          <w:p>
            <w:pPr>
              <w:pStyle w:val="TableContents"/>
              <w:bidi w:val="0"/>
              <w:spacing w:before="0" w:after="283"/>
              <w:jc w:val="left"/>
              <w:rPr/>
            </w:pPr>
            <w:r>
              <w:rPr/>
              <w:t> </w:t>
            </w:r>
          </w:p>
        </w:tc>
      </w:tr>
      <w:tr>
        <w:trPr/>
        <w:tc>
          <w:tcPr>
            <w:tcW w:w="1349" w:type="dxa"/>
            <w:tcBorders/>
          </w:tcPr>
          <w:p>
            <w:pPr>
              <w:pStyle w:val="TableContents"/>
              <w:bidi w:val="0"/>
              <w:spacing w:before="0" w:after="0"/>
              <w:jc w:val="left"/>
              <w:rPr>
                <w:rFonts w:ascii="Times New Roman" w:hAnsi="Times New Roman"/>
                <w:sz w:val="20"/>
              </w:rPr>
            </w:pPr>
            <w:r>
              <w:rPr>
                <w:rFonts w:ascii="Times New Roman" w:hAnsi="Times New Roman"/>
                <w:sz w:val="20"/>
              </w:rPr>
              <w:t>SECTION 6.03.</w:t>
            </w:r>
          </w:p>
        </w:tc>
        <w:tc>
          <w:tcPr>
            <w:tcW w:w="72" w:type="dxa"/>
            <w:tcBorders/>
            <w:vAlign w:val="bottom"/>
          </w:tcPr>
          <w:p>
            <w:pPr>
              <w:pStyle w:val="TableContents"/>
              <w:bidi w:val="0"/>
              <w:spacing w:before="0" w:after="283"/>
              <w:jc w:val="left"/>
              <w:rPr/>
            </w:pPr>
            <w:r>
              <w:rPr/>
              <w:t> </w:t>
            </w:r>
          </w:p>
        </w:tc>
        <w:tc>
          <w:tcPr>
            <w:tcW w:w="8273" w:type="dxa"/>
            <w:tcBorders/>
            <w:vAlign w:val="bottom"/>
          </w:tcPr>
          <w:p>
            <w:pPr>
              <w:pStyle w:val="TableContents"/>
              <w:bidi w:val="0"/>
              <w:spacing w:before="0" w:after="283"/>
              <w:jc w:val="left"/>
              <w:rPr/>
            </w:pPr>
            <w:r>
              <w:rPr/>
              <w:t>Certain Rights of Trustee</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54</w:t>
            </w:r>
          </w:p>
        </w:tc>
        <w:tc>
          <w:tcPr>
            <w:tcW w:w="63" w:type="dxa"/>
            <w:tcBorders/>
            <w:vAlign w:val="bottom"/>
          </w:tcPr>
          <w:p>
            <w:pPr>
              <w:pStyle w:val="TableContents"/>
              <w:bidi w:val="0"/>
              <w:spacing w:before="0" w:after="283"/>
              <w:jc w:val="left"/>
              <w:rPr/>
            </w:pPr>
            <w:r>
              <w:rPr/>
              <w:t> </w:t>
            </w:r>
          </w:p>
        </w:tc>
      </w:tr>
      <w:tr>
        <w:trPr/>
        <w:tc>
          <w:tcPr>
            <w:tcW w:w="1349" w:type="dxa"/>
            <w:tcBorders/>
          </w:tcPr>
          <w:p>
            <w:pPr>
              <w:pStyle w:val="TableContents"/>
              <w:bidi w:val="0"/>
              <w:spacing w:before="0" w:after="0"/>
              <w:jc w:val="left"/>
              <w:rPr>
                <w:rFonts w:ascii="Times New Roman" w:hAnsi="Times New Roman"/>
                <w:sz w:val="20"/>
              </w:rPr>
            </w:pPr>
            <w:r>
              <w:rPr>
                <w:rFonts w:ascii="Times New Roman" w:hAnsi="Times New Roman"/>
                <w:sz w:val="20"/>
              </w:rPr>
              <w:t>SECTION 6.04.</w:t>
            </w:r>
          </w:p>
        </w:tc>
        <w:tc>
          <w:tcPr>
            <w:tcW w:w="72" w:type="dxa"/>
            <w:tcBorders/>
            <w:vAlign w:val="bottom"/>
          </w:tcPr>
          <w:p>
            <w:pPr>
              <w:pStyle w:val="TableContents"/>
              <w:bidi w:val="0"/>
              <w:spacing w:before="0" w:after="283"/>
              <w:jc w:val="left"/>
              <w:rPr/>
            </w:pPr>
            <w:r>
              <w:rPr/>
              <w:t> </w:t>
            </w:r>
          </w:p>
        </w:tc>
        <w:tc>
          <w:tcPr>
            <w:tcW w:w="8273" w:type="dxa"/>
            <w:tcBorders/>
            <w:vAlign w:val="bottom"/>
          </w:tcPr>
          <w:p>
            <w:pPr>
              <w:pStyle w:val="TableContents"/>
              <w:bidi w:val="0"/>
              <w:spacing w:before="0" w:after="283"/>
              <w:jc w:val="left"/>
              <w:rPr/>
            </w:pPr>
            <w:r>
              <w:rPr/>
              <w:t>Not Responsible for Recitals or Issuance of Securities</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56</w:t>
            </w:r>
          </w:p>
        </w:tc>
        <w:tc>
          <w:tcPr>
            <w:tcW w:w="63" w:type="dxa"/>
            <w:tcBorders/>
            <w:vAlign w:val="bottom"/>
          </w:tcPr>
          <w:p>
            <w:pPr>
              <w:pStyle w:val="TableContents"/>
              <w:bidi w:val="0"/>
              <w:spacing w:before="0" w:after="283"/>
              <w:jc w:val="left"/>
              <w:rPr/>
            </w:pPr>
            <w:r>
              <w:rPr/>
              <w:t> </w:t>
            </w:r>
          </w:p>
        </w:tc>
      </w:tr>
      <w:tr>
        <w:trPr/>
        <w:tc>
          <w:tcPr>
            <w:tcW w:w="1349" w:type="dxa"/>
            <w:tcBorders/>
          </w:tcPr>
          <w:p>
            <w:pPr>
              <w:pStyle w:val="TableContents"/>
              <w:bidi w:val="0"/>
              <w:spacing w:before="0" w:after="0"/>
              <w:jc w:val="left"/>
              <w:rPr>
                <w:rFonts w:ascii="Times New Roman" w:hAnsi="Times New Roman"/>
                <w:sz w:val="20"/>
              </w:rPr>
            </w:pPr>
            <w:r>
              <w:rPr>
                <w:rFonts w:ascii="Times New Roman" w:hAnsi="Times New Roman"/>
                <w:sz w:val="20"/>
              </w:rPr>
              <w:t>SECTION 6.05.</w:t>
            </w:r>
          </w:p>
        </w:tc>
        <w:tc>
          <w:tcPr>
            <w:tcW w:w="72" w:type="dxa"/>
            <w:tcBorders/>
            <w:vAlign w:val="bottom"/>
          </w:tcPr>
          <w:p>
            <w:pPr>
              <w:pStyle w:val="TableContents"/>
              <w:bidi w:val="0"/>
              <w:spacing w:before="0" w:after="283"/>
              <w:jc w:val="left"/>
              <w:rPr/>
            </w:pPr>
            <w:r>
              <w:rPr/>
              <w:t> </w:t>
            </w:r>
          </w:p>
        </w:tc>
        <w:tc>
          <w:tcPr>
            <w:tcW w:w="8273" w:type="dxa"/>
            <w:tcBorders/>
            <w:vAlign w:val="bottom"/>
          </w:tcPr>
          <w:p>
            <w:pPr>
              <w:pStyle w:val="TableContents"/>
              <w:bidi w:val="0"/>
              <w:spacing w:before="0" w:after="283"/>
              <w:jc w:val="left"/>
              <w:rPr/>
            </w:pPr>
            <w:r>
              <w:rPr/>
              <w:t>May Hold Securities</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56</w:t>
            </w:r>
          </w:p>
        </w:tc>
        <w:tc>
          <w:tcPr>
            <w:tcW w:w="63" w:type="dxa"/>
            <w:tcBorders/>
            <w:vAlign w:val="bottom"/>
          </w:tcPr>
          <w:p>
            <w:pPr>
              <w:pStyle w:val="TableContents"/>
              <w:bidi w:val="0"/>
              <w:spacing w:before="0" w:after="283"/>
              <w:jc w:val="left"/>
              <w:rPr/>
            </w:pPr>
            <w:r>
              <w:rPr/>
              <w:t> </w:t>
            </w:r>
          </w:p>
        </w:tc>
      </w:tr>
      <w:tr>
        <w:trPr/>
        <w:tc>
          <w:tcPr>
            <w:tcW w:w="1349" w:type="dxa"/>
            <w:tcBorders/>
          </w:tcPr>
          <w:p>
            <w:pPr>
              <w:pStyle w:val="TableContents"/>
              <w:bidi w:val="0"/>
              <w:spacing w:before="0" w:after="0"/>
              <w:jc w:val="left"/>
              <w:rPr>
                <w:rFonts w:ascii="Times New Roman" w:hAnsi="Times New Roman"/>
                <w:sz w:val="20"/>
              </w:rPr>
            </w:pPr>
            <w:r>
              <w:rPr>
                <w:rFonts w:ascii="Times New Roman" w:hAnsi="Times New Roman"/>
                <w:sz w:val="20"/>
              </w:rPr>
              <w:t>SECTION 6.06.</w:t>
            </w:r>
          </w:p>
        </w:tc>
        <w:tc>
          <w:tcPr>
            <w:tcW w:w="72" w:type="dxa"/>
            <w:tcBorders/>
            <w:vAlign w:val="bottom"/>
          </w:tcPr>
          <w:p>
            <w:pPr>
              <w:pStyle w:val="TableContents"/>
              <w:bidi w:val="0"/>
              <w:spacing w:before="0" w:after="283"/>
              <w:jc w:val="left"/>
              <w:rPr/>
            </w:pPr>
            <w:r>
              <w:rPr/>
              <w:t> </w:t>
            </w:r>
          </w:p>
        </w:tc>
        <w:tc>
          <w:tcPr>
            <w:tcW w:w="8273" w:type="dxa"/>
            <w:tcBorders/>
            <w:vAlign w:val="bottom"/>
          </w:tcPr>
          <w:p>
            <w:pPr>
              <w:pStyle w:val="TableContents"/>
              <w:bidi w:val="0"/>
              <w:spacing w:before="0" w:after="283"/>
              <w:jc w:val="left"/>
              <w:rPr/>
            </w:pPr>
            <w:r>
              <w:rPr/>
              <w:t>Money Held in Trust</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56</w:t>
            </w:r>
          </w:p>
        </w:tc>
        <w:tc>
          <w:tcPr>
            <w:tcW w:w="63" w:type="dxa"/>
            <w:tcBorders/>
            <w:vAlign w:val="bottom"/>
          </w:tcPr>
          <w:p>
            <w:pPr>
              <w:pStyle w:val="TableContents"/>
              <w:bidi w:val="0"/>
              <w:spacing w:before="0" w:after="283"/>
              <w:jc w:val="left"/>
              <w:rPr/>
            </w:pPr>
            <w:r>
              <w:rPr/>
              <w:t> </w:t>
            </w:r>
          </w:p>
        </w:tc>
      </w:tr>
      <w:tr>
        <w:trPr/>
        <w:tc>
          <w:tcPr>
            <w:tcW w:w="1349" w:type="dxa"/>
            <w:tcBorders/>
          </w:tcPr>
          <w:p>
            <w:pPr>
              <w:pStyle w:val="TableContents"/>
              <w:bidi w:val="0"/>
              <w:spacing w:before="0" w:after="0"/>
              <w:jc w:val="left"/>
              <w:rPr>
                <w:rFonts w:ascii="Times New Roman" w:hAnsi="Times New Roman"/>
                <w:sz w:val="20"/>
              </w:rPr>
            </w:pPr>
            <w:r>
              <w:rPr>
                <w:rFonts w:ascii="Times New Roman" w:hAnsi="Times New Roman"/>
                <w:sz w:val="20"/>
              </w:rPr>
              <w:t>SECTION 6.07.</w:t>
            </w:r>
          </w:p>
        </w:tc>
        <w:tc>
          <w:tcPr>
            <w:tcW w:w="72" w:type="dxa"/>
            <w:tcBorders/>
            <w:vAlign w:val="bottom"/>
          </w:tcPr>
          <w:p>
            <w:pPr>
              <w:pStyle w:val="TableContents"/>
              <w:bidi w:val="0"/>
              <w:spacing w:before="0" w:after="283"/>
              <w:jc w:val="left"/>
              <w:rPr/>
            </w:pPr>
            <w:r>
              <w:rPr/>
              <w:t> </w:t>
            </w:r>
          </w:p>
        </w:tc>
        <w:tc>
          <w:tcPr>
            <w:tcW w:w="8273" w:type="dxa"/>
            <w:tcBorders/>
            <w:vAlign w:val="bottom"/>
          </w:tcPr>
          <w:p>
            <w:pPr>
              <w:pStyle w:val="TableContents"/>
              <w:bidi w:val="0"/>
              <w:spacing w:before="0" w:after="283"/>
              <w:jc w:val="left"/>
              <w:rPr/>
            </w:pPr>
            <w:r>
              <w:rPr/>
              <w:t>Compensation and Reimbursement</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56</w:t>
            </w:r>
          </w:p>
        </w:tc>
        <w:tc>
          <w:tcPr>
            <w:tcW w:w="63" w:type="dxa"/>
            <w:tcBorders/>
            <w:vAlign w:val="bottom"/>
          </w:tcPr>
          <w:p>
            <w:pPr>
              <w:pStyle w:val="TableContents"/>
              <w:bidi w:val="0"/>
              <w:spacing w:before="0" w:after="283"/>
              <w:jc w:val="left"/>
              <w:rPr/>
            </w:pPr>
            <w:r>
              <w:rPr/>
              <w:t> </w:t>
            </w:r>
          </w:p>
        </w:tc>
      </w:tr>
      <w:tr>
        <w:trPr/>
        <w:tc>
          <w:tcPr>
            <w:tcW w:w="1349" w:type="dxa"/>
            <w:tcBorders/>
          </w:tcPr>
          <w:p>
            <w:pPr>
              <w:pStyle w:val="TableContents"/>
              <w:bidi w:val="0"/>
              <w:spacing w:before="0" w:after="0"/>
              <w:jc w:val="left"/>
              <w:rPr>
                <w:rFonts w:ascii="Times New Roman" w:hAnsi="Times New Roman"/>
                <w:sz w:val="20"/>
              </w:rPr>
            </w:pPr>
            <w:r>
              <w:rPr>
                <w:rFonts w:ascii="Times New Roman" w:hAnsi="Times New Roman"/>
                <w:sz w:val="20"/>
              </w:rPr>
              <w:t>SECTION 6.08.</w:t>
            </w:r>
          </w:p>
        </w:tc>
        <w:tc>
          <w:tcPr>
            <w:tcW w:w="72" w:type="dxa"/>
            <w:tcBorders/>
            <w:vAlign w:val="bottom"/>
          </w:tcPr>
          <w:p>
            <w:pPr>
              <w:pStyle w:val="TableContents"/>
              <w:bidi w:val="0"/>
              <w:spacing w:before="0" w:after="283"/>
              <w:jc w:val="left"/>
              <w:rPr/>
            </w:pPr>
            <w:r>
              <w:rPr/>
              <w:t> </w:t>
            </w:r>
          </w:p>
        </w:tc>
        <w:tc>
          <w:tcPr>
            <w:tcW w:w="8273" w:type="dxa"/>
            <w:tcBorders/>
            <w:vAlign w:val="bottom"/>
          </w:tcPr>
          <w:p>
            <w:pPr>
              <w:pStyle w:val="TableContents"/>
              <w:bidi w:val="0"/>
              <w:spacing w:before="0" w:after="283"/>
              <w:jc w:val="left"/>
              <w:rPr/>
            </w:pPr>
            <w:r>
              <w:rPr/>
              <w:t>Disqualification; Conflicting Interests</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57</w:t>
            </w:r>
          </w:p>
        </w:tc>
        <w:tc>
          <w:tcPr>
            <w:tcW w:w="63" w:type="dxa"/>
            <w:tcBorders/>
            <w:vAlign w:val="bottom"/>
          </w:tcPr>
          <w:p>
            <w:pPr>
              <w:pStyle w:val="TableContents"/>
              <w:bidi w:val="0"/>
              <w:spacing w:before="0" w:after="283"/>
              <w:jc w:val="left"/>
              <w:rPr/>
            </w:pPr>
            <w:r>
              <w:rPr/>
              <w:t> </w:t>
            </w:r>
          </w:p>
        </w:tc>
      </w:tr>
      <w:tr>
        <w:trPr/>
        <w:tc>
          <w:tcPr>
            <w:tcW w:w="1349" w:type="dxa"/>
            <w:tcBorders/>
          </w:tcPr>
          <w:p>
            <w:pPr>
              <w:pStyle w:val="TableContents"/>
              <w:bidi w:val="0"/>
              <w:spacing w:before="0" w:after="0"/>
              <w:jc w:val="left"/>
              <w:rPr>
                <w:rFonts w:ascii="Times New Roman" w:hAnsi="Times New Roman"/>
                <w:sz w:val="20"/>
              </w:rPr>
            </w:pPr>
            <w:r>
              <w:rPr>
                <w:rFonts w:ascii="Times New Roman" w:hAnsi="Times New Roman"/>
                <w:sz w:val="20"/>
              </w:rPr>
              <w:t>SECTION 6.09.</w:t>
            </w:r>
          </w:p>
        </w:tc>
        <w:tc>
          <w:tcPr>
            <w:tcW w:w="72" w:type="dxa"/>
            <w:tcBorders/>
            <w:vAlign w:val="bottom"/>
          </w:tcPr>
          <w:p>
            <w:pPr>
              <w:pStyle w:val="TableContents"/>
              <w:bidi w:val="0"/>
              <w:spacing w:before="0" w:after="283"/>
              <w:jc w:val="left"/>
              <w:rPr/>
            </w:pPr>
            <w:r>
              <w:rPr/>
              <w:t> </w:t>
            </w:r>
          </w:p>
        </w:tc>
        <w:tc>
          <w:tcPr>
            <w:tcW w:w="8273" w:type="dxa"/>
            <w:tcBorders/>
            <w:vAlign w:val="bottom"/>
          </w:tcPr>
          <w:p>
            <w:pPr>
              <w:pStyle w:val="TableContents"/>
              <w:bidi w:val="0"/>
              <w:spacing w:before="0" w:after="283"/>
              <w:jc w:val="left"/>
              <w:rPr/>
            </w:pPr>
            <w:r>
              <w:rPr/>
              <w:t>Corporate Trustee Required; Eligibility</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57</w:t>
            </w:r>
          </w:p>
        </w:tc>
        <w:tc>
          <w:tcPr>
            <w:tcW w:w="63" w:type="dxa"/>
            <w:tcBorders/>
            <w:vAlign w:val="bottom"/>
          </w:tcPr>
          <w:p>
            <w:pPr>
              <w:pStyle w:val="TableContents"/>
              <w:bidi w:val="0"/>
              <w:spacing w:before="0" w:after="283"/>
              <w:jc w:val="left"/>
              <w:rPr/>
            </w:pPr>
            <w:r>
              <w:rPr/>
              <w:t> </w:t>
            </w:r>
          </w:p>
        </w:tc>
      </w:tr>
      <w:tr>
        <w:trPr/>
        <w:tc>
          <w:tcPr>
            <w:tcW w:w="1349" w:type="dxa"/>
            <w:tcBorders/>
          </w:tcPr>
          <w:p>
            <w:pPr>
              <w:pStyle w:val="TableContents"/>
              <w:bidi w:val="0"/>
              <w:spacing w:before="0" w:after="0"/>
              <w:jc w:val="left"/>
              <w:rPr>
                <w:rFonts w:ascii="Times New Roman" w:hAnsi="Times New Roman"/>
                <w:sz w:val="20"/>
              </w:rPr>
            </w:pPr>
            <w:r>
              <w:rPr>
                <w:rFonts w:ascii="Times New Roman" w:hAnsi="Times New Roman"/>
                <w:sz w:val="20"/>
              </w:rPr>
              <w:t>SECTION 6.10.</w:t>
            </w:r>
          </w:p>
        </w:tc>
        <w:tc>
          <w:tcPr>
            <w:tcW w:w="72" w:type="dxa"/>
            <w:tcBorders/>
            <w:vAlign w:val="bottom"/>
          </w:tcPr>
          <w:p>
            <w:pPr>
              <w:pStyle w:val="TableContents"/>
              <w:bidi w:val="0"/>
              <w:spacing w:before="0" w:after="283"/>
              <w:jc w:val="left"/>
              <w:rPr/>
            </w:pPr>
            <w:r>
              <w:rPr/>
              <w:t> </w:t>
            </w:r>
          </w:p>
        </w:tc>
        <w:tc>
          <w:tcPr>
            <w:tcW w:w="8273" w:type="dxa"/>
            <w:tcBorders/>
            <w:vAlign w:val="bottom"/>
          </w:tcPr>
          <w:p>
            <w:pPr>
              <w:pStyle w:val="TableContents"/>
              <w:bidi w:val="0"/>
              <w:spacing w:before="0" w:after="283"/>
              <w:jc w:val="left"/>
              <w:rPr/>
            </w:pPr>
            <w:r>
              <w:rPr/>
              <w:t>Resignation and Removal; Appointment of Successor</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57</w:t>
            </w:r>
          </w:p>
        </w:tc>
        <w:tc>
          <w:tcPr>
            <w:tcW w:w="63" w:type="dxa"/>
            <w:tcBorders/>
            <w:vAlign w:val="bottom"/>
          </w:tcPr>
          <w:p>
            <w:pPr>
              <w:pStyle w:val="TableContents"/>
              <w:bidi w:val="0"/>
              <w:spacing w:before="0" w:after="283"/>
              <w:jc w:val="left"/>
              <w:rPr/>
            </w:pPr>
            <w:r>
              <w:rPr/>
              <w:t> </w:t>
            </w:r>
          </w:p>
        </w:tc>
      </w:tr>
      <w:tr>
        <w:trPr/>
        <w:tc>
          <w:tcPr>
            <w:tcW w:w="1349" w:type="dxa"/>
            <w:tcBorders/>
          </w:tcPr>
          <w:p>
            <w:pPr>
              <w:pStyle w:val="TableContents"/>
              <w:bidi w:val="0"/>
              <w:spacing w:before="0" w:after="0"/>
              <w:jc w:val="left"/>
              <w:rPr>
                <w:rFonts w:ascii="Times New Roman" w:hAnsi="Times New Roman"/>
                <w:sz w:val="20"/>
              </w:rPr>
            </w:pPr>
            <w:r>
              <w:rPr>
                <w:rFonts w:ascii="Times New Roman" w:hAnsi="Times New Roman"/>
                <w:sz w:val="20"/>
              </w:rPr>
              <w:t>SECTION 6.11.</w:t>
            </w:r>
          </w:p>
        </w:tc>
        <w:tc>
          <w:tcPr>
            <w:tcW w:w="72" w:type="dxa"/>
            <w:tcBorders/>
            <w:vAlign w:val="bottom"/>
          </w:tcPr>
          <w:p>
            <w:pPr>
              <w:pStyle w:val="TableContents"/>
              <w:bidi w:val="0"/>
              <w:spacing w:before="0" w:after="283"/>
              <w:jc w:val="left"/>
              <w:rPr/>
            </w:pPr>
            <w:r>
              <w:rPr/>
              <w:t> </w:t>
            </w:r>
          </w:p>
        </w:tc>
        <w:tc>
          <w:tcPr>
            <w:tcW w:w="8273" w:type="dxa"/>
            <w:tcBorders/>
            <w:vAlign w:val="bottom"/>
          </w:tcPr>
          <w:p>
            <w:pPr>
              <w:pStyle w:val="TableContents"/>
              <w:bidi w:val="0"/>
              <w:spacing w:before="0" w:after="283"/>
              <w:jc w:val="left"/>
              <w:rPr/>
            </w:pPr>
            <w:r>
              <w:rPr/>
              <w:t>Acceptance of Appointment by Successor</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59</w:t>
            </w:r>
          </w:p>
        </w:tc>
        <w:tc>
          <w:tcPr>
            <w:tcW w:w="63" w:type="dxa"/>
            <w:tcBorders/>
            <w:vAlign w:val="bottom"/>
          </w:tcPr>
          <w:p>
            <w:pPr>
              <w:pStyle w:val="TableContents"/>
              <w:bidi w:val="0"/>
              <w:spacing w:before="0" w:after="283"/>
              <w:jc w:val="left"/>
              <w:rPr/>
            </w:pPr>
            <w:r>
              <w:rPr/>
              <w:t> </w:t>
            </w:r>
          </w:p>
        </w:tc>
      </w:tr>
      <w:tr>
        <w:trPr/>
        <w:tc>
          <w:tcPr>
            <w:tcW w:w="1349" w:type="dxa"/>
            <w:tcBorders/>
          </w:tcPr>
          <w:p>
            <w:pPr>
              <w:pStyle w:val="TableContents"/>
              <w:bidi w:val="0"/>
              <w:spacing w:before="0" w:after="0"/>
              <w:jc w:val="left"/>
              <w:rPr>
                <w:rFonts w:ascii="Times New Roman" w:hAnsi="Times New Roman"/>
                <w:sz w:val="20"/>
              </w:rPr>
            </w:pPr>
            <w:r>
              <w:rPr>
                <w:rFonts w:ascii="Times New Roman" w:hAnsi="Times New Roman"/>
                <w:sz w:val="20"/>
              </w:rPr>
              <w:t>SECTION 6.12.</w:t>
            </w:r>
          </w:p>
        </w:tc>
        <w:tc>
          <w:tcPr>
            <w:tcW w:w="72" w:type="dxa"/>
            <w:tcBorders/>
            <w:vAlign w:val="bottom"/>
          </w:tcPr>
          <w:p>
            <w:pPr>
              <w:pStyle w:val="TableContents"/>
              <w:bidi w:val="0"/>
              <w:spacing w:before="0" w:after="283"/>
              <w:jc w:val="left"/>
              <w:rPr/>
            </w:pPr>
            <w:r>
              <w:rPr/>
              <w:t> </w:t>
            </w:r>
          </w:p>
        </w:tc>
        <w:tc>
          <w:tcPr>
            <w:tcW w:w="8273" w:type="dxa"/>
            <w:tcBorders/>
            <w:vAlign w:val="bottom"/>
          </w:tcPr>
          <w:p>
            <w:pPr>
              <w:pStyle w:val="TableContents"/>
              <w:bidi w:val="0"/>
              <w:spacing w:before="0" w:after="283"/>
              <w:jc w:val="left"/>
              <w:rPr/>
            </w:pPr>
            <w:r>
              <w:rPr/>
              <w:t>Merger, Conversion, Consolidation or Succession to Business</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60</w:t>
            </w:r>
          </w:p>
        </w:tc>
        <w:tc>
          <w:tcPr>
            <w:tcW w:w="63" w:type="dxa"/>
            <w:tcBorders/>
            <w:vAlign w:val="bottom"/>
          </w:tcPr>
          <w:p>
            <w:pPr>
              <w:pStyle w:val="TableContents"/>
              <w:bidi w:val="0"/>
              <w:spacing w:before="0" w:after="283"/>
              <w:jc w:val="left"/>
              <w:rPr/>
            </w:pPr>
            <w:r>
              <w:rPr/>
              <w:t> </w:t>
            </w:r>
          </w:p>
        </w:tc>
      </w:tr>
      <w:tr>
        <w:trPr/>
        <w:tc>
          <w:tcPr>
            <w:tcW w:w="1349" w:type="dxa"/>
            <w:tcBorders/>
          </w:tcPr>
          <w:p>
            <w:pPr>
              <w:pStyle w:val="TableContents"/>
              <w:bidi w:val="0"/>
              <w:spacing w:before="0" w:after="0"/>
              <w:jc w:val="left"/>
              <w:rPr>
                <w:rFonts w:ascii="Times New Roman" w:hAnsi="Times New Roman"/>
                <w:sz w:val="20"/>
              </w:rPr>
            </w:pPr>
            <w:r>
              <w:rPr>
                <w:rFonts w:ascii="Times New Roman" w:hAnsi="Times New Roman"/>
                <w:sz w:val="20"/>
              </w:rPr>
              <w:t>SECTION 6.13.</w:t>
            </w:r>
          </w:p>
        </w:tc>
        <w:tc>
          <w:tcPr>
            <w:tcW w:w="72" w:type="dxa"/>
            <w:tcBorders/>
            <w:vAlign w:val="bottom"/>
          </w:tcPr>
          <w:p>
            <w:pPr>
              <w:pStyle w:val="TableContents"/>
              <w:bidi w:val="0"/>
              <w:spacing w:before="0" w:after="283"/>
              <w:jc w:val="left"/>
              <w:rPr/>
            </w:pPr>
            <w:r>
              <w:rPr/>
              <w:t> </w:t>
            </w:r>
          </w:p>
        </w:tc>
        <w:tc>
          <w:tcPr>
            <w:tcW w:w="8273" w:type="dxa"/>
            <w:tcBorders/>
            <w:vAlign w:val="bottom"/>
          </w:tcPr>
          <w:p>
            <w:pPr>
              <w:pStyle w:val="TableContents"/>
              <w:bidi w:val="0"/>
              <w:spacing w:before="0" w:after="283"/>
              <w:jc w:val="left"/>
              <w:rPr/>
            </w:pPr>
            <w:r>
              <w:rPr/>
              <w:t>Preferential Collection of Claims Against Company or the Guarantor</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60</w:t>
            </w:r>
          </w:p>
        </w:tc>
        <w:tc>
          <w:tcPr>
            <w:tcW w:w="63" w:type="dxa"/>
            <w:tcBorders/>
            <w:vAlign w:val="bottom"/>
          </w:tcPr>
          <w:p>
            <w:pPr>
              <w:pStyle w:val="TableContents"/>
              <w:bidi w:val="0"/>
              <w:spacing w:before="0" w:after="283"/>
              <w:jc w:val="left"/>
              <w:rPr/>
            </w:pPr>
            <w:r>
              <w:rPr/>
              <w:t> </w:t>
            </w:r>
          </w:p>
        </w:tc>
      </w:tr>
      <w:tr>
        <w:trPr/>
        <w:tc>
          <w:tcPr>
            <w:tcW w:w="1349" w:type="dxa"/>
            <w:tcBorders/>
          </w:tcPr>
          <w:p>
            <w:pPr>
              <w:pStyle w:val="TableContents"/>
              <w:bidi w:val="0"/>
              <w:spacing w:before="0" w:after="0"/>
              <w:jc w:val="left"/>
              <w:rPr>
                <w:rFonts w:ascii="Times New Roman" w:hAnsi="Times New Roman"/>
                <w:sz w:val="20"/>
              </w:rPr>
            </w:pPr>
            <w:r>
              <w:rPr>
                <w:rFonts w:ascii="Times New Roman" w:hAnsi="Times New Roman"/>
                <w:sz w:val="20"/>
              </w:rPr>
              <w:t>SECTION 6.14.</w:t>
            </w:r>
          </w:p>
        </w:tc>
        <w:tc>
          <w:tcPr>
            <w:tcW w:w="72" w:type="dxa"/>
            <w:tcBorders/>
            <w:vAlign w:val="bottom"/>
          </w:tcPr>
          <w:p>
            <w:pPr>
              <w:pStyle w:val="TableContents"/>
              <w:bidi w:val="0"/>
              <w:spacing w:before="0" w:after="283"/>
              <w:jc w:val="left"/>
              <w:rPr/>
            </w:pPr>
            <w:r>
              <w:rPr/>
              <w:t> </w:t>
            </w:r>
          </w:p>
        </w:tc>
        <w:tc>
          <w:tcPr>
            <w:tcW w:w="8273" w:type="dxa"/>
            <w:tcBorders/>
            <w:vAlign w:val="bottom"/>
          </w:tcPr>
          <w:p>
            <w:pPr>
              <w:pStyle w:val="TableContents"/>
              <w:bidi w:val="0"/>
              <w:spacing w:before="0" w:after="283"/>
              <w:jc w:val="left"/>
              <w:rPr/>
            </w:pPr>
            <w:r>
              <w:rPr/>
              <w:t>Appointment of Authenticating Agent</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60</w:t>
            </w:r>
          </w:p>
        </w:tc>
        <w:tc>
          <w:tcPr>
            <w:tcW w:w="63"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b/>
              </w:rPr>
            </w:pPr>
            <w:r>
              <w:rPr>
                <w:b/>
              </w:rPr>
              <w:t>ARTICLE SEVEN HOLDERS’ LISTS AND REPORTS BY TRUSTEE AND COMPANY</w:t>
            </w:r>
          </w:p>
        </w:tc>
        <w:tc>
          <w:tcPr>
            <w:tcW w:w="63" w:type="dxa"/>
            <w:tcBorders/>
          </w:tcPr>
          <w:p>
            <w:pPr>
              <w:pStyle w:val="TableContents"/>
              <w:bidi w:val="0"/>
              <w:spacing w:before="0" w:after="0"/>
              <w:jc w:val="left"/>
              <w:rPr/>
            </w:pPr>
            <w:r>
              <w:rPr/>
              <w:t> </w:t>
            </w:r>
          </w:p>
        </w:tc>
      </w:tr>
      <w:tr>
        <w:trPr>
          <w:trHeight w:val="120" w:hRule="atLeast"/>
        </w:trPr>
        <w:tc>
          <w:tcPr>
            <w:tcW w:w="1349" w:type="dxa"/>
            <w:tcBorders/>
            <w:vAlign w:val="center"/>
          </w:tcPr>
          <w:p>
            <w:pPr>
              <w:pStyle w:val="TableContents"/>
              <w:bidi w:val="0"/>
              <w:spacing w:before="0" w:after="283"/>
              <w:jc w:val="left"/>
              <w:rPr>
                <w:sz w:val="4"/>
                <w:szCs w:val="4"/>
              </w:rPr>
            </w:pPr>
            <w:r>
              <w:rPr>
                <w:sz w:val="4"/>
                <w:szCs w:val="4"/>
              </w:rPr>
            </w:r>
          </w:p>
        </w:tc>
        <w:tc>
          <w:tcPr>
            <w:tcW w:w="8345" w:type="dxa"/>
            <w:gridSpan w:val="2"/>
            <w:tcBorders/>
            <w:vAlign w:val="center"/>
          </w:tcPr>
          <w:p>
            <w:pPr>
              <w:pStyle w:val="TableContents"/>
              <w:bidi w:val="0"/>
              <w:spacing w:before="0" w:after="283"/>
              <w:jc w:val="left"/>
              <w:rPr>
                <w:sz w:val="4"/>
                <w:szCs w:val="4"/>
              </w:rPr>
            </w:pPr>
            <w:r>
              <w:rPr>
                <w:sz w:val="4"/>
                <w:szCs w:val="4"/>
              </w:rPr>
            </w:r>
          </w:p>
        </w:tc>
        <w:tc>
          <w:tcPr>
            <w:tcW w:w="511" w:type="dxa"/>
            <w:gridSpan w:val="4"/>
            <w:tcBorders/>
            <w:vAlign w:val="center"/>
          </w:tcPr>
          <w:p>
            <w:pPr>
              <w:pStyle w:val="TableContents"/>
              <w:bidi w:val="0"/>
              <w:spacing w:before="0" w:after="283"/>
              <w:jc w:val="left"/>
              <w:rPr>
                <w:sz w:val="4"/>
                <w:szCs w:val="4"/>
              </w:rPr>
            </w:pPr>
            <w:r>
              <w:rPr>
                <w:sz w:val="4"/>
                <w:szCs w:val="4"/>
              </w:rPr>
            </w:r>
          </w:p>
        </w:tc>
      </w:tr>
      <w:tr>
        <w:trPr/>
        <w:tc>
          <w:tcPr>
            <w:tcW w:w="1349" w:type="dxa"/>
            <w:tcBorders/>
          </w:tcPr>
          <w:p>
            <w:pPr>
              <w:pStyle w:val="TableContents"/>
              <w:bidi w:val="0"/>
              <w:spacing w:before="0" w:after="0"/>
              <w:jc w:val="left"/>
              <w:rPr>
                <w:rFonts w:ascii="Times New Roman" w:hAnsi="Times New Roman"/>
                <w:sz w:val="20"/>
              </w:rPr>
            </w:pPr>
            <w:r>
              <w:rPr>
                <w:rFonts w:ascii="Times New Roman" w:hAnsi="Times New Roman"/>
                <w:sz w:val="20"/>
              </w:rPr>
              <w:t>SECTION 7.01.</w:t>
            </w:r>
          </w:p>
        </w:tc>
        <w:tc>
          <w:tcPr>
            <w:tcW w:w="72" w:type="dxa"/>
            <w:tcBorders/>
            <w:vAlign w:val="bottom"/>
          </w:tcPr>
          <w:p>
            <w:pPr>
              <w:pStyle w:val="TableContents"/>
              <w:bidi w:val="0"/>
              <w:spacing w:before="0" w:after="283"/>
              <w:jc w:val="left"/>
              <w:rPr/>
            </w:pPr>
            <w:r>
              <w:rPr/>
              <w:t> </w:t>
            </w:r>
          </w:p>
        </w:tc>
        <w:tc>
          <w:tcPr>
            <w:tcW w:w="8273" w:type="dxa"/>
            <w:tcBorders/>
            <w:vAlign w:val="bottom"/>
          </w:tcPr>
          <w:p>
            <w:pPr>
              <w:pStyle w:val="TableContents"/>
              <w:bidi w:val="0"/>
              <w:spacing w:before="0" w:after="283"/>
              <w:jc w:val="left"/>
              <w:rPr/>
            </w:pPr>
            <w:r>
              <w:rPr/>
              <w:t>Company and Guarantor to Furnish Trustee Names and Addresses of Holders</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62</w:t>
            </w:r>
          </w:p>
        </w:tc>
        <w:tc>
          <w:tcPr>
            <w:tcW w:w="63" w:type="dxa"/>
            <w:tcBorders/>
            <w:vAlign w:val="bottom"/>
          </w:tcPr>
          <w:p>
            <w:pPr>
              <w:pStyle w:val="TableContents"/>
              <w:bidi w:val="0"/>
              <w:spacing w:before="0" w:after="283"/>
              <w:jc w:val="left"/>
              <w:rPr/>
            </w:pPr>
            <w:r>
              <w:rPr/>
              <w:t> </w:t>
            </w:r>
          </w:p>
        </w:tc>
      </w:tr>
      <w:tr>
        <w:trPr/>
        <w:tc>
          <w:tcPr>
            <w:tcW w:w="1349" w:type="dxa"/>
            <w:tcBorders/>
          </w:tcPr>
          <w:p>
            <w:pPr>
              <w:pStyle w:val="TableContents"/>
              <w:bidi w:val="0"/>
              <w:spacing w:before="0" w:after="0"/>
              <w:jc w:val="left"/>
              <w:rPr>
                <w:rFonts w:ascii="Times New Roman" w:hAnsi="Times New Roman"/>
                <w:sz w:val="20"/>
              </w:rPr>
            </w:pPr>
            <w:r>
              <w:rPr>
                <w:rFonts w:ascii="Times New Roman" w:hAnsi="Times New Roman"/>
                <w:sz w:val="20"/>
              </w:rPr>
              <w:t>SECTION 7.02.</w:t>
            </w:r>
          </w:p>
        </w:tc>
        <w:tc>
          <w:tcPr>
            <w:tcW w:w="72" w:type="dxa"/>
            <w:tcBorders/>
            <w:vAlign w:val="bottom"/>
          </w:tcPr>
          <w:p>
            <w:pPr>
              <w:pStyle w:val="TableContents"/>
              <w:bidi w:val="0"/>
              <w:spacing w:before="0" w:after="283"/>
              <w:jc w:val="left"/>
              <w:rPr/>
            </w:pPr>
            <w:r>
              <w:rPr/>
              <w:t> </w:t>
            </w:r>
          </w:p>
        </w:tc>
        <w:tc>
          <w:tcPr>
            <w:tcW w:w="8273" w:type="dxa"/>
            <w:tcBorders/>
            <w:vAlign w:val="bottom"/>
          </w:tcPr>
          <w:p>
            <w:pPr>
              <w:pStyle w:val="TableContents"/>
              <w:bidi w:val="0"/>
              <w:spacing w:before="0" w:after="283"/>
              <w:jc w:val="left"/>
              <w:rPr/>
            </w:pPr>
            <w:r>
              <w:rPr/>
              <w:t>Preservation of Information; Communications to Holders</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62</w:t>
            </w:r>
          </w:p>
        </w:tc>
        <w:tc>
          <w:tcPr>
            <w:tcW w:w="63" w:type="dxa"/>
            <w:tcBorders/>
            <w:vAlign w:val="bottom"/>
          </w:tcPr>
          <w:p>
            <w:pPr>
              <w:pStyle w:val="TableContents"/>
              <w:bidi w:val="0"/>
              <w:spacing w:before="0" w:after="283"/>
              <w:jc w:val="left"/>
              <w:rPr/>
            </w:pPr>
            <w:r>
              <w:rPr/>
              <w:t> </w:t>
            </w:r>
          </w:p>
        </w:tc>
      </w:tr>
      <w:tr>
        <w:trPr/>
        <w:tc>
          <w:tcPr>
            <w:tcW w:w="1349" w:type="dxa"/>
            <w:tcBorders/>
          </w:tcPr>
          <w:p>
            <w:pPr>
              <w:pStyle w:val="TableContents"/>
              <w:bidi w:val="0"/>
              <w:spacing w:before="0" w:after="0"/>
              <w:jc w:val="left"/>
              <w:rPr>
                <w:rFonts w:ascii="Times New Roman" w:hAnsi="Times New Roman"/>
                <w:sz w:val="20"/>
              </w:rPr>
            </w:pPr>
            <w:r>
              <w:rPr>
                <w:rFonts w:ascii="Times New Roman" w:hAnsi="Times New Roman"/>
                <w:sz w:val="20"/>
              </w:rPr>
              <w:t>SECTION 7.03.</w:t>
            </w:r>
          </w:p>
        </w:tc>
        <w:tc>
          <w:tcPr>
            <w:tcW w:w="72" w:type="dxa"/>
            <w:tcBorders/>
            <w:vAlign w:val="bottom"/>
          </w:tcPr>
          <w:p>
            <w:pPr>
              <w:pStyle w:val="TableContents"/>
              <w:bidi w:val="0"/>
              <w:spacing w:before="0" w:after="283"/>
              <w:jc w:val="left"/>
              <w:rPr/>
            </w:pPr>
            <w:r>
              <w:rPr/>
              <w:t> </w:t>
            </w:r>
          </w:p>
        </w:tc>
        <w:tc>
          <w:tcPr>
            <w:tcW w:w="8273" w:type="dxa"/>
            <w:tcBorders/>
            <w:vAlign w:val="bottom"/>
          </w:tcPr>
          <w:p>
            <w:pPr>
              <w:pStyle w:val="TableContents"/>
              <w:bidi w:val="0"/>
              <w:spacing w:before="0" w:after="283"/>
              <w:jc w:val="left"/>
              <w:rPr/>
            </w:pPr>
            <w:r>
              <w:rPr/>
              <w:t>Reports by Trustee</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63</w:t>
            </w:r>
          </w:p>
        </w:tc>
        <w:tc>
          <w:tcPr>
            <w:tcW w:w="63" w:type="dxa"/>
            <w:tcBorders/>
            <w:vAlign w:val="bottom"/>
          </w:tcPr>
          <w:p>
            <w:pPr>
              <w:pStyle w:val="TableContents"/>
              <w:bidi w:val="0"/>
              <w:spacing w:before="0" w:after="283"/>
              <w:jc w:val="left"/>
              <w:rPr/>
            </w:pPr>
            <w:r>
              <w:rPr/>
              <w:t> </w:t>
            </w:r>
          </w:p>
        </w:tc>
      </w:tr>
      <w:tr>
        <w:trPr/>
        <w:tc>
          <w:tcPr>
            <w:tcW w:w="1349" w:type="dxa"/>
            <w:tcBorders/>
          </w:tcPr>
          <w:p>
            <w:pPr>
              <w:pStyle w:val="TableContents"/>
              <w:bidi w:val="0"/>
              <w:spacing w:before="0" w:after="0"/>
              <w:jc w:val="left"/>
              <w:rPr>
                <w:rFonts w:ascii="Times New Roman" w:hAnsi="Times New Roman"/>
                <w:sz w:val="20"/>
              </w:rPr>
            </w:pPr>
            <w:r>
              <w:rPr>
                <w:rFonts w:ascii="Times New Roman" w:hAnsi="Times New Roman"/>
                <w:sz w:val="20"/>
              </w:rPr>
              <w:t>SECTION 7.04.</w:t>
            </w:r>
          </w:p>
        </w:tc>
        <w:tc>
          <w:tcPr>
            <w:tcW w:w="72" w:type="dxa"/>
            <w:tcBorders/>
            <w:vAlign w:val="bottom"/>
          </w:tcPr>
          <w:p>
            <w:pPr>
              <w:pStyle w:val="TableContents"/>
              <w:bidi w:val="0"/>
              <w:spacing w:before="0" w:after="283"/>
              <w:jc w:val="left"/>
              <w:rPr/>
            </w:pPr>
            <w:r>
              <w:rPr/>
              <w:t> </w:t>
            </w:r>
          </w:p>
        </w:tc>
        <w:tc>
          <w:tcPr>
            <w:tcW w:w="8273" w:type="dxa"/>
            <w:tcBorders/>
            <w:vAlign w:val="bottom"/>
          </w:tcPr>
          <w:p>
            <w:pPr>
              <w:pStyle w:val="TableContents"/>
              <w:bidi w:val="0"/>
              <w:spacing w:before="0" w:after="283"/>
              <w:jc w:val="left"/>
              <w:rPr/>
            </w:pPr>
            <w:r>
              <w:rPr/>
              <w:t>Reports by the Guarantor</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63</w:t>
            </w:r>
          </w:p>
        </w:tc>
        <w:tc>
          <w:tcPr>
            <w:tcW w:w="63"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b/>
              </w:rPr>
            </w:pPr>
            <w:r>
              <w:rPr>
                <w:b/>
              </w:rPr>
              <w:t>ARTICLE EIGHT</w:t>
            </w:r>
          </w:p>
        </w:tc>
        <w:tc>
          <w:tcPr>
            <w:tcW w:w="63"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b/>
              </w:rPr>
            </w:pPr>
            <w:r>
              <w:rPr>
                <w:b/>
              </w:rPr>
              <w:t>CONSOLIDATION, MERGER AND SALE OF ASSETS; SUBSTITUTION</w:t>
            </w:r>
          </w:p>
        </w:tc>
        <w:tc>
          <w:tcPr>
            <w:tcW w:w="63" w:type="dxa"/>
            <w:tcBorders/>
          </w:tcPr>
          <w:p>
            <w:pPr>
              <w:pStyle w:val="TableContents"/>
              <w:bidi w:val="0"/>
              <w:spacing w:before="0" w:after="0"/>
              <w:jc w:val="left"/>
              <w:rPr/>
            </w:pPr>
            <w:r>
              <w:rPr/>
              <w:t> </w:t>
            </w:r>
          </w:p>
        </w:tc>
      </w:tr>
      <w:tr>
        <w:trPr>
          <w:trHeight w:val="120" w:hRule="atLeast"/>
        </w:trPr>
        <w:tc>
          <w:tcPr>
            <w:tcW w:w="1349" w:type="dxa"/>
            <w:tcBorders/>
            <w:vAlign w:val="center"/>
          </w:tcPr>
          <w:p>
            <w:pPr>
              <w:pStyle w:val="TableContents"/>
              <w:bidi w:val="0"/>
              <w:spacing w:before="0" w:after="283"/>
              <w:jc w:val="left"/>
              <w:rPr>
                <w:sz w:val="4"/>
                <w:szCs w:val="4"/>
              </w:rPr>
            </w:pPr>
            <w:r>
              <w:rPr>
                <w:sz w:val="4"/>
                <w:szCs w:val="4"/>
              </w:rPr>
            </w:r>
          </w:p>
        </w:tc>
        <w:tc>
          <w:tcPr>
            <w:tcW w:w="8345" w:type="dxa"/>
            <w:gridSpan w:val="2"/>
            <w:tcBorders/>
            <w:vAlign w:val="center"/>
          </w:tcPr>
          <w:p>
            <w:pPr>
              <w:pStyle w:val="TableContents"/>
              <w:bidi w:val="0"/>
              <w:spacing w:before="0" w:after="283"/>
              <w:jc w:val="left"/>
              <w:rPr>
                <w:sz w:val="4"/>
                <w:szCs w:val="4"/>
              </w:rPr>
            </w:pPr>
            <w:r>
              <w:rPr>
                <w:sz w:val="4"/>
                <w:szCs w:val="4"/>
              </w:rPr>
            </w:r>
          </w:p>
        </w:tc>
        <w:tc>
          <w:tcPr>
            <w:tcW w:w="511" w:type="dxa"/>
            <w:gridSpan w:val="4"/>
            <w:tcBorders/>
            <w:vAlign w:val="center"/>
          </w:tcPr>
          <w:p>
            <w:pPr>
              <w:pStyle w:val="TableContents"/>
              <w:bidi w:val="0"/>
              <w:spacing w:before="0" w:after="283"/>
              <w:jc w:val="left"/>
              <w:rPr>
                <w:sz w:val="4"/>
                <w:szCs w:val="4"/>
              </w:rPr>
            </w:pPr>
            <w:r>
              <w:rPr>
                <w:sz w:val="4"/>
                <w:szCs w:val="4"/>
              </w:rPr>
            </w:r>
          </w:p>
        </w:tc>
      </w:tr>
      <w:tr>
        <w:trPr/>
        <w:tc>
          <w:tcPr>
            <w:tcW w:w="1349" w:type="dxa"/>
            <w:tcBorders/>
          </w:tcPr>
          <w:p>
            <w:pPr>
              <w:pStyle w:val="TableContents"/>
              <w:bidi w:val="0"/>
              <w:spacing w:before="0" w:after="0"/>
              <w:jc w:val="left"/>
              <w:rPr>
                <w:rFonts w:ascii="Times New Roman" w:hAnsi="Times New Roman"/>
                <w:sz w:val="20"/>
              </w:rPr>
            </w:pPr>
            <w:r>
              <w:rPr>
                <w:rFonts w:ascii="Times New Roman" w:hAnsi="Times New Roman"/>
                <w:sz w:val="20"/>
              </w:rPr>
              <w:t>SECTION 8.01.</w:t>
            </w:r>
          </w:p>
        </w:tc>
        <w:tc>
          <w:tcPr>
            <w:tcW w:w="72" w:type="dxa"/>
            <w:tcBorders/>
            <w:vAlign w:val="bottom"/>
          </w:tcPr>
          <w:p>
            <w:pPr>
              <w:pStyle w:val="TableContents"/>
              <w:bidi w:val="0"/>
              <w:spacing w:before="0" w:after="283"/>
              <w:jc w:val="left"/>
              <w:rPr/>
            </w:pPr>
            <w:r>
              <w:rPr/>
              <w:t> </w:t>
            </w:r>
          </w:p>
        </w:tc>
        <w:tc>
          <w:tcPr>
            <w:tcW w:w="8273" w:type="dxa"/>
            <w:tcBorders/>
            <w:vAlign w:val="bottom"/>
          </w:tcPr>
          <w:p>
            <w:pPr>
              <w:pStyle w:val="TableContents"/>
              <w:bidi w:val="0"/>
              <w:spacing w:before="0" w:after="283"/>
              <w:jc w:val="left"/>
              <w:rPr/>
            </w:pPr>
            <w:r>
              <w:rPr/>
              <w:t>Company and Guarantor May Consolidate, Etc., Only on Certain Terms</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64</w:t>
            </w:r>
          </w:p>
        </w:tc>
        <w:tc>
          <w:tcPr>
            <w:tcW w:w="63" w:type="dxa"/>
            <w:tcBorders/>
            <w:vAlign w:val="bottom"/>
          </w:tcPr>
          <w:p>
            <w:pPr>
              <w:pStyle w:val="TableContents"/>
              <w:bidi w:val="0"/>
              <w:spacing w:before="0" w:after="283"/>
              <w:jc w:val="left"/>
              <w:rPr/>
            </w:pPr>
            <w:r>
              <w:rPr/>
              <w:t> </w:t>
            </w:r>
          </w:p>
        </w:tc>
      </w:tr>
      <w:tr>
        <w:trPr/>
        <w:tc>
          <w:tcPr>
            <w:tcW w:w="1349" w:type="dxa"/>
            <w:tcBorders/>
          </w:tcPr>
          <w:p>
            <w:pPr>
              <w:pStyle w:val="TableContents"/>
              <w:bidi w:val="0"/>
              <w:spacing w:before="0" w:after="0"/>
              <w:jc w:val="left"/>
              <w:rPr>
                <w:rFonts w:ascii="Times New Roman" w:hAnsi="Times New Roman"/>
                <w:sz w:val="20"/>
              </w:rPr>
            </w:pPr>
            <w:r>
              <w:rPr>
                <w:rFonts w:ascii="Times New Roman" w:hAnsi="Times New Roman"/>
                <w:sz w:val="20"/>
              </w:rPr>
              <w:t>SECTION 8.02.</w:t>
            </w:r>
          </w:p>
        </w:tc>
        <w:tc>
          <w:tcPr>
            <w:tcW w:w="72" w:type="dxa"/>
            <w:tcBorders/>
            <w:vAlign w:val="bottom"/>
          </w:tcPr>
          <w:p>
            <w:pPr>
              <w:pStyle w:val="TableContents"/>
              <w:bidi w:val="0"/>
              <w:spacing w:before="0" w:after="283"/>
              <w:jc w:val="left"/>
              <w:rPr/>
            </w:pPr>
            <w:r>
              <w:rPr/>
              <w:t> </w:t>
            </w:r>
          </w:p>
        </w:tc>
        <w:tc>
          <w:tcPr>
            <w:tcW w:w="8273" w:type="dxa"/>
            <w:tcBorders/>
            <w:vAlign w:val="bottom"/>
          </w:tcPr>
          <w:p>
            <w:pPr>
              <w:pStyle w:val="TableContents"/>
              <w:bidi w:val="0"/>
              <w:spacing w:before="0" w:after="283"/>
              <w:jc w:val="left"/>
              <w:rPr/>
            </w:pPr>
            <w:r>
              <w:rPr/>
              <w:t>Successor Substituted</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64</w:t>
            </w:r>
          </w:p>
        </w:tc>
        <w:tc>
          <w:tcPr>
            <w:tcW w:w="63" w:type="dxa"/>
            <w:tcBorders/>
            <w:vAlign w:val="bottom"/>
          </w:tcPr>
          <w:p>
            <w:pPr>
              <w:pStyle w:val="TableContents"/>
              <w:bidi w:val="0"/>
              <w:spacing w:before="0" w:after="283"/>
              <w:jc w:val="left"/>
              <w:rPr/>
            </w:pPr>
            <w:r>
              <w:rPr/>
              <w:t> </w:t>
            </w:r>
          </w:p>
        </w:tc>
      </w:tr>
      <w:tr>
        <w:trPr/>
        <w:tc>
          <w:tcPr>
            <w:tcW w:w="1349" w:type="dxa"/>
            <w:tcBorders/>
          </w:tcPr>
          <w:p>
            <w:pPr>
              <w:pStyle w:val="TableContents"/>
              <w:bidi w:val="0"/>
              <w:spacing w:before="0" w:after="0"/>
              <w:jc w:val="left"/>
              <w:rPr>
                <w:rFonts w:ascii="Times New Roman" w:hAnsi="Times New Roman"/>
                <w:sz w:val="20"/>
              </w:rPr>
            </w:pPr>
            <w:r>
              <w:rPr>
                <w:rFonts w:ascii="Times New Roman" w:hAnsi="Times New Roman"/>
                <w:sz w:val="20"/>
              </w:rPr>
              <w:t>SECTION 8.03.</w:t>
            </w:r>
          </w:p>
        </w:tc>
        <w:tc>
          <w:tcPr>
            <w:tcW w:w="72" w:type="dxa"/>
            <w:tcBorders/>
            <w:vAlign w:val="bottom"/>
          </w:tcPr>
          <w:p>
            <w:pPr>
              <w:pStyle w:val="TableContents"/>
              <w:bidi w:val="0"/>
              <w:spacing w:before="0" w:after="283"/>
              <w:jc w:val="left"/>
              <w:rPr/>
            </w:pPr>
            <w:r>
              <w:rPr/>
              <w:t> </w:t>
            </w:r>
          </w:p>
        </w:tc>
        <w:tc>
          <w:tcPr>
            <w:tcW w:w="8273" w:type="dxa"/>
            <w:tcBorders/>
            <w:vAlign w:val="bottom"/>
          </w:tcPr>
          <w:p>
            <w:pPr>
              <w:pStyle w:val="TableContents"/>
              <w:bidi w:val="0"/>
              <w:spacing w:before="0" w:after="283"/>
              <w:jc w:val="left"/>
              <w:rPr/>
            </w:pPr>
            <w:r>
              <w:rPr/>
              <w:t>Substitution by Guarantor</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65</w:t>
            </w:r>
          </w:p>
        </w:tc>
        <w:tc>
          <w:tcPr>
            <w:tcW w:w="63" w:type="dxa"/>
            <w:tcBorders/>
            <w:vAlign w:val="bottom"/>
          </w:tcPr>
          <w:p>
            <w:pPr>
              <w:pStyle w:val="TableContents"/>
              <w:bidi w:val="0"/>
              <w:spacing w:before="0" w:after="283"/>
              <w:jc w:val="left"/>
              <w:rPr/>
            </w:pPr>
            <w:r>
              <w:rPr/>
              <w:t> </w:t>
            </w:r>
          </w:p>
        </w:tc>
      </w:tr>
      <w:tr>
        <w:trPr/>
        <w:tc>
          <w:tcPr>
            <w:tcW w:w="1349" w:type="dxa"/>
            <w:tcBorders/>
          </w:tcPr>
          <w:p>
            <w:pPr>
              <w:pStyle w:val="TableContents"/>
              <w:bidi w:val="0"/>
              <w:spacing w:before="0" w:after="0"/>
              <w:jc w:val="left"/>
              <w:rPr>
                <w:rFonts w:ascii="Times New Roman" w:hAnsi="Times New Roman"/>
                <w:sz w:val="20"/>
              </w:rPr>
            </w:pPr>
            <w:r>
              <w:rPr>
                <w:rFonts w:ascii="Times New Roman" w:hAnsi="Times New Roman"/>
                <w:sz w:val="20"/>
              </w:rPr>
              <w:t>SECTION 8.04.</w:t>
            </w:r>
          </w:p>
        </w:tc>
        <w:tc>
          <w:tcPr>
            <w:tcW w:w="72" w:type="dxa"/>
            <w:tcBorders/>
            <w:vAlign w:val="bottom"/>
          </w:tcPr>
          <w:p>
            <w:pPr>
              <w:pStyle w:val="TableContents"/>
              <w:bidi w:val="0"/>
              <w:spacing w:before="0" w:after="283"/>
              <w:jc w:val="left"/>
              <w:rPr/>
            </w:pPr>
            <w:r>
              <w:rPr/>
              <w:t> </w:t>
            </w:r>
          </w:p>
        </w:tc>
        <w:tc>
          <w:tcPr>
            <w:tcW w:w="8273" w:type="dxa"/>
            <w:tcBorders/>
            <w:vAlign w:val="bottom"/>
          </w:tcPr>
          <w:p>
            <w:pPr>
              <w:pStyle w:val="TableContents"/>
              <w:bidi w:val="0"/>
              <w:spacing w:before="0" w:after="283"/>
              <w:jc w:val="left"/>
              <w:rPr/>
            </w:pPr>
            <w:r>
              <w:rPr/>
              <w:t>Substitution by Treasury Subsidiary</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66</w:t>
            </w:r>
          </w:p>
        </w:tc>
        <w:tc>
          <w:tcPr>
            <w:tcW w:w="63" w:type="dxa"/>
            <w:tcBorders/>
            <w:vAlign w:val="bottom"/>
          </w:tcPr>
          <w:p>
            <w:pPr>
              <w:pStyle w:val="TableContents"/>
              <w:bidi w:val="0"/>
              <w:spacing w:before="0" w:after="283"/>
              <w:jc w:val="left"/>
              <w:rPr/>
            </w:pPr>
            <w:r>
              <w:rPr/>
              <w:t> </w:t>
            </w:r>
          </w:p>
        </w:tc>
      </w:tr>
      <w:tr>
        <w:trPr/>
        <w:tc>
          <w:tcPr>
            <w:tcW w:w="1349" w:type="dxa"/>
            <w:tcBorders/>
          </w:tcPr>
          <w:p>
            <w:pPr>
              <w:pStyle w:val="TableContents"/>
              <w:bidi w:val="0"/>
              <w:spacing w:before="0" w:after="0"/>
              <w:jc w:val="left"/>
              <w:rPr>
                <w:rFonts w:ascii="Times New Roman" w:hAnsi="Times New Roman"/>
                <w:sz w:val="20"/>
              </w:rPr>
            </w:pPr>
            <w:r>
              <w:rPr>
                <w:rFonts w:ascii="Times New Roman" w:hAnsi="Times New Roman"/>
                <w:sz w:val="20"/>
              </w:rPr>
              <w:t>SECTION 8.05.</w:t>
            </w:r>
          </w:p>
        </w:tc>
        <w:tc>
          <w:tcPr>
            <w:tcW w:w="72" w:type="dxa"/>
            <w:tcBorders/>
            <w:vAlign w:val="bottom"/>
          </w:tcPr>
          <w:p>
            <w:pPr>
              <w:pStyle w:val="TableContents"/>
              <w:bidi w:val="0"/>
              <w:spacing w:before="0" w:after="283"/>
              <w:jc w:val="left"/>
              <w:rPr/>
            </w:pPr>
            <w:r>
              <w:rPr/>
              <w:t> </w:t>
            </w:r>
          </w:p>
        </w:tc>
        <w:tc>
          <w:tcPr>
            <w:tcW w:w="8273" w:type="dxa"/>
            <w:tcBorders/>
            <w:vAlign w:val="bottom"/>
          </w:tcPr>
          <w:p>
            <w:pPr>
              <w:pStyle w:val="TableContents"/>
              <w:bidi w:val="0"/>
              <w:spacing w:before="0" w:after="283"/>
              <w:jc w:val="left"/>
              <w:rPr/>
            </w:pPr>
            <w:r>
              <w:rPr/>
              <w:t>Holders’ Consent Regarding Substitution</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67</w:t>
            </w:r>
          </w:p>
        </w:tc>
        <w:tc>
          <w:tcPr>
            <w:tcW w:w="63"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b/>
              </w:rPr>
            </w:pPr>
            <w:r>
              <w:rPr>
                <w:b/>
              </w:rPr>
              <w:t>ARTICLE NINE</w:t>
            </w:r>
          </w:p>
        </w:tc>
        <w:tc>
          <w:tcPr>
            <w:tcW w:w="63"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b/>
              </w:rPr>
            </w:pPr>
            <w:r>
              <w:rPr>
                <w:b/>
              </w:rPr>
              <w:t>SUPPLEMENTAL INDENTURES</w:t>
            </w:r>
          </w:p>
        </w:tc>
        <w:tc>
          <w:tcPr>
            <w:tcW w:w="63" w:type="dxa"/>
            <w:tcBorders/>
          </w:tcPr>
          <w:p>
            <w:pPr>
              <w:pStyle w:val="TableContents"/>
              <w:bidi w:val="0"/>
              <w:spacing w:before="0" w:after="0"/>
              <w:jc w:val="left"/>
              <w:rPr/>
            </w:pPr>
            <w:r>
              <w:rPr/>
              <w:t> </w:t>
            </w:r>
          </w:p>
        </w:tc>
      </w:tr>
      <w:tr>
        <w:trPr>
          <w:trHeight w:val="120" w:hRule="atLeast"/>
        </w:trPr>
        <w:tc>
          <w:tcPr>
            <w:tcW w:w="1349" w:type="dxa"/>
            <w:tcBorders/>
            <w:vAlign w:val="center"/>
          </w:tcPr>
          <w:p>
            <w:pPr>
              <w:pStyle w:val="TableContents"/>
              <w:bidi w:val="0"/>
              <w:spacing w:before="0" w:after="283"/>
              <w:jc w:val="left"/>
              <w:rPr>
                <w:sz w:val="4"/>
                <w:szCs w:val="4"/>
              </w:rPr>
            </w:pPr>
            <w:r>
              <w:rPr>
                <w:sz w:val="4"/>
                <w:szCs w:val="4"/>
              </w:rPr>
            </w:r>
          </w:p>
        </w:tc>
        <w:tc>
          <w:tcPr>
            <w:tcW w:w="8345" w:type="dxa"/>
            <w:gridSpan w:val="2"/>
            <w:tcBorders/>
            <w:vAlign w:val="center"/>
          </w:tcPr>
          <w:p>
            <w:pPr>
              <w:pStyle w:val="TableContents"/>
              <w:bidi w:val="0"/>
              <w:spacing w:before="0" w:after="283"/>
              <w:jc w:val="left"/>
              <w:rPr>
                <w:sz w:val="4"/>
                <w:szCs w:val="4"/>
              </w:rPr>
            </w:pPr>
            <w:r>
              <w:rPr>
                <w:sz w:val="4"/>
                <w:szCs w:val="4"/>
              </w:rPr>
            </w:r>
          </w:p>
        </w:tc>
        <w:tc>
          <w:tcPr>
            <w:tcW w:w="511" w:type="dxa"/>
            <w:gridSpan w:val="4"/>
            <w:tcBorders/>
            <w:vAlign w:val="center"/>
          </w:tcPr>
          <w:p>
            <w:pPr>
              <w:pStyle w:val="TableContents"/>
              <w:bidi w:val="0"/>
              <w:spacing w:before="0" w:after="283"/>
              <w:jc w:val="left"/>
              <w:rPr>
                <w:sz w:val="4"/>
                <w:szCs w:val="4"/>
              </w:rPr>
            </w:pPr>
            <w:r>
              <w:rPr>
                <w:sz w:val="4"/>
                <w:szCs w:val="4"/>
              </w:rPr>
            </w:r>
          </w:p>
        </w:tc>
      </w:tr>
      <w:tr>
        <w:trPr/>
        <w:tc>
          <w:tcPr>
            <w:tcW w:w="1349" w:type="dxa"/>
            <w:tcBorders/>
          </w:tcPr>
          <w:p>
            <w:pPr>
              <w:pStyle w:val="TableContents"/>
              <w:bidi w:val="0"/>
              <w:spacing w:before="0" w:after="0"/>
              <w:jc w:val="left"/>
              <w:rPr>
                <w:rFonts w:ascii="Times New Roman" w:hAnsi="Times New Roman"/>
                <w:sz w:val="20"/>
              </w:rPr>
            </w:pPr>
            <w:r>
              <w:rPr>
                <w:rFonts w:ascii="Times New Roman" w:hAnsi="Times New Roman"/>
                <w:sz w:val="20"/>
              </w:rPr>
              <w:t>SECTION 9.01.</w:t>
            </w:r>
          </w:p>
        </w:tc>
        <w:tc>
          <w:tcPr>
            <w:tcW w:w="72" w:type="dxa"/>
            <w:tcBorders/>
            <w:vAlign w:val="bottom"/>
          </w:tcPr>
          <w:p>
            <w:pPr>
              <w:pStyle w:val="TableContents"/>
              <w:bidi w:val="0"/>
              <w:spacing w:before="0" w:after="283"/>
              <w:jc w:val="left"/>
              <w:rPr/>
            </w:pPr>
            <w:r>
              <w:rPr/>
              <w:t> </w:t>
            </w:r>
          </w:p>
        </w:tc>
        <w:tc>
          <w:tcPr>
            <w:tcW w:w="8273" w:type="dxa"/>
            <w:tcBorders/>
            <w:vAlign w:val="bottom"/>
          </w:tcPr>
          <w:p>
            <w:pPr>
              <w:pStyle w:val="TableContents"/>
              <w:bidi w:val="0"/>
              <w:spacing w:before="0" w:after="283"/>
              <w:jc w:val="left"/>
              <w:rPr/>
            </w:pPr>
            <w:r>
              <w:rPr/>
              <w:t>Supplemental Indentures Without Consent of Holders</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68</w:t>
            </w:r>
          </w:p>
        </w:tc>
        <w:tc>
          <w:tcPr>
            <w:tcW w:w="63" w:type="dxa"/>
            <w:tcBorders/>
            <w:vAlign w:val="bottom"/>
          </w:tcPr>
          <w:p>
            <w:pPr>
              <w:pStyle w:val="TableContents"/>
              <w:bidi w:val="0"/>
              <w:spacing w:before="0" w:after="283"/>
              <w:jc w:val="left"/>
              <w:rPr/>
            </w:pPr>
            <w:r>
              <w:rPr/>
              <w:t> </w:t>
            </w:r>
          </w:p>
        </w:tc>
      </w:tr>
      <w:tr>
        <w:trPr/>
        <w:tc>
          <w:tcPr>
            <w:tcW w:w="1349" w:type="dxa"/>
            <w:tcBorders/>
          </w:tcPr>
          <w:p>
            <w:pPr>
              <w:pStyle w:val="TableContents"/>
              <w:bidi w:val="0"/>
              <w:spacing w:before="0" w:after="0"/>
              <w:jc w:val="left"/>
              <w:rPr>
                <w:rFonts w:ascii="Times New Roman" w:hAnsi="Times New Roman"/>
                <w:sz w:val="20"/>
              </w:rPr>
            </w:pPr>
            <w:r>
              <w:rPr>
                <w:rFonts w:ascii="Times New Roman" w:hAnsi="Times New Roman"/>
                <w:sz w:val="20"/>
              </w:rPr>
              <w:t>SECTION 9.02.</w:t>
            </w:r>
          </w:p>
        </w:tc>
        <w:tc>
          <w:tcPr>
            <w:tcW w:w="72" w:type="dxa"/>
            <w:tcBorders/>
            <w:vAlign w:val="bottom"/>
          </w:tcPr>
          <w:p>
            <w:pPr>
              <w:pStyle w:val="TableContents"/>
              <w:bidi w:val="0"/>
              <w:spacing w:before="0" w:after="283"/>
              <w:jc w:val="left"/>
              <w:rPr/>
            </w:pPr>
            <w:r>
              <w:rPr/>
              <w:t> </w:t>
            </w:r>
          </w:p>
        </w:tc>
        <w:tc>
          <w:tcPr>
            <w:tcW w:w="8273" w:type="dxa"/>
            <w:tcBorders/>
            <w:vAlign w:val="bottom"/>
          </w:tcPr>
          <w:p>
            <w:pPr>
              <w:pStyle w:val="TableContents"/>
              <w:bidi w:val="0"/>
              <w:spacing w:before="0" w:after="283"/>
              <w:jc w:val="left"/>
              <w:rPr/>
            </w:pPr>
            <w:r>
              <w:rPr/>
              <w:t>Supplemental Indentures With Consent of Holders</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69</w:t>
            </w:r>
          </w:p>
        </w:tc>
        <w:tc>
          <w:tcPr>
            <w:tcW w:w="63" w:type="dxa"/>
            <w:tcBorders/>
            <w:vAlign w:val="bottom"/>
          </w:tcPr>
          <w:p>
            <w:pPr>
              <w:pStyle w:val="TableContents"/>
              <w:bidi w:val="0"/>
              <w:spacing w:before="0" w:after="283"/>
              <w:jc w:val="left"/>
              <w:rPr/>
            </w:pPr>
            <w:r>
              <w:rPr/>
              <w:t> </w:t>
            </w:r>
          </w:p>
        </w:tc>
      </w:tr>
      <w:tr>
        <w:trPr/>
        <w:tc>
          <w:tcPr>
            <w:tcW w:w="1349" w:type="dxa"/>
            <w:tcBorders/>
          </w:tcPr>
          <w:p>
            <w:pPr>
              <w:pStyle w:val="TableContents"/>
              <w:bidi w:val="0"/>
              <w:spacing w:before="0" w:after="0"/>
              <w:jc w:val="left"/>
              <w:rPr>
                <w:rFonts w:ascii="Times New Roman" w:hAnsi="Times New Roman"/>
                <w:sz w:val="20"/>
              </w:rPr>
            </w:pPr>
            <w:r>
              <w:rPr>
                <w:rFonts w:ascii="Times New Roman" w:hAnsi="Times New Roman"/>
                <w:sz w:val="20"/>
              </w:rPr>
              <w:t>SECTION 9.03.</w:t>
            </w:r>
          </w:p>
        </w:tc>
        <w:tc>
          <w:tcPr>
            <w:tcW w:w="72" w:type="dxa"/>
            <w:tcBorders/>
            <w:vAlign w:val="bottom"/>
          </w:tcPr>
          <w:p>
            <w:pPr>
              <w:pStyle w:val="TableContents"/>
              <w:bidi w:val="0"/>
              <w:spacing w:before="0" w:after="283"/>
              <w:jc w:val="left"/>
              <w:rPr/>
            </w:pPr>
            <w:r>
              <w:rPr/>
              <w:t> </w:t>
            </w:r>
          </w:p>
        </w:tc>
        <w:tc>
          <w:tcPr>
            <w:tcW w:w="8273" w:type="dxa"/>
            <w:tcBorders/>
            <w:vAlign w:val="bottom"/>
          </w:tcPr>
          <w:p>
            <w:pPr>
              <w:pStyle w:val="TableContents"/>
              <w:bidi w:val="0"/>
              <w:spacing w:before="0" w:after="283"/>
              <w:jc w:val="left"/>
              <w:rPr/>
            </w:pPr>
            <w:r>
              <w:rPr/>
              <w:t>Execution of Supplemental Indentures</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71</w:t>
            </w:r>
          </w:p>
        </w:tc>
        <w:tc>
          <w:tcPr>
            <w:tcW w:w="63" w:type="dxa"/>
            <w:tcBorders/>
            <w:vAlign w:val="bottom"/>
          </w:tcPr>
          <w:p>
            <w:pPr>
              <w:pStyle w:val="TableContents"/>
              <w:bidi w:val="0"/>
              <w:spacing w:before="0" w:after="283"/>
              <w:jc w:val="left"/>
              <w:rPr/>
            </w:pPr>
            <w:r>
              <w:rPr/>
              <w:t> </w:t>
            </w:r>
          </w:p>
        </w:tc>
      </w:tr>
      <w:tr>
        <w:trPr/>
        <w:tc>
          <w:tcPr>
            <w:tcW w:w="1349" w:type="dxa"/>
            <w:tcBorders/>
          </w:tcPr>
          <w:p>
            <w:pPr>
              <w:pStyle w:val="TableContents"/>
              <w:bidi w:val="0"/>
              <w:spacing w:before="0" w:after="0"/>
              <w:jc w:val="left"/>
              <w:rPr>
                <w:rFonts w:ascii="Times New Roman" w:hAnsi="Times New Roman"/>
                <w:sz w:val="20"/>
              </w:rPr>
            </w:pPr>
            <w:r>
              <w:rPr>
                <w:rFonts w:ascii="Times New Roman" w:hAnsi="Times New Roman"/>
                <w:sz w:val="20"/>
              </w:rPr>
              <w:t>SECTION 9.04.</w:t>
            </w:r>
          </w:p>
        </w:tc>
        <w:tc>
          <w:tcPr>
            <w:tcW w:w="72" w:type="dxa"/>
            <w:tcBorders/>
            <w:vAlign w:val="bottom"/>
          </w:tcPr>
          <w:p>
            <w:pPr>
              <w:pStyle w:val="TableContents"/>
              <w:bidi w:val="0"/>
              <w:spacing w:before="0" w:after="283"/>
              <w:jc w:val="left"/>
              <w:rPr/>
            </w:pPr>
            <w:r>
              <w:rPr/>
              <w:t> </w:t>
            </w:r>
          </w:p>
        </w:tc>
        <w:tc>
          <w:tcPr>
            <w:tcW w:w="8273" w:type="dxa"/>
            <w:tcBorders/>
            <w:vAlign w:val="bottom"/>
          </w:tcPr>
          <w:p>
            <w:pPr>
              <w:pStyle w:val="TableContents"/>
              <w:bidi w:val="0"/>
              <w:spacing w:before="0" w:after="283"/>
              <w:jc w:val="left"/>
              <w:rPr/>
            </w:pPr>
            <w:r>
              <w:rPr/>
              <w:t>Effect of Supplemental Indentures</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71</w:t>
            </w:r>
          </w:p>
        </w:tc>
        <w:tc>
          <w:tcPr>
            <w:tcW w:w="63" w:type="dxa"/>
            <w:tcBorders/>
            <w:vAlign w:val="bottom"/>
          </w:tcPr>
          <w:p>
            <w:pPr>
              <w:pStyle w:val="TableContents"/>
              <w:bidi w:val="0"/>
              <w:spacing w:before="0" w:after="283"/>
              <w:jc w:val="left"/>
              <w:rPr/>
            </w:pPr>
            <w:r>
              <w:rPr/>
              <w:t> </w:t>
            </w:r>
          </w:p>
        </w:tc>
      </w:tr>
      <w:tr>
        <w:trPr/>
        <w:tc>
          <w:tcPr>
            <w:tcW w:w="1349" w:type="dxa"/>
            <w:tcBorders/>
          </w:tcPr>
          <w:p>
            <w:pPr>
              <w:pStyle w:val="TableContents"/>
              <w:bidi w:val="0"/>
              <w:spacing w:before="0" w:after="0"/>
              <w:jc w:val="left"/>
              <w:rPr>
                <w:rFonts w:ascii="Times New Roman" w:hAnsi="Times New Roman"/>
                <w:sz w:val="20"/>
              </w:rPr>
            </w:pPr>
            <w:r>
              <w:rPr>
                <w:rFonts w:ascii="Times New Roman" w:hAnsi="Times New Roman"/>
                <w:sz w:val="20"/>
              </w:rPr>
              <w:t>SECTION 9.05.</w:t>
            </w:r>
          </w:p>
        </w:tc>
        <w:tc>
          <w:tcPr>
            <w:tcW w:w="72" w:type="dxa"/>
            <w:tcBorders/>
            <w:vAlign w:val="bottom"/>
          </w:tcPr>
          <w:p>
            <w:pPr>
              <w:pStyle w:val="TableContents"/>
              <w:bidi w:val="0"/>
              <w:spacing w:before="0" w:after="283"/>
              <w:jc w:val="left"/>
              <w:rPr/>
            </w:pPr>
            <w:r>
              <w:rPr/>
              <w:t> </w:t>
            </w:r>
          </w:p>
        </w:tc>
        <w:tc>
          <w:tcPr>
            <w:tcW w:w="8273" w:type="dxa"/>
            <w:tcBorders/>
            <w:vAlign w:val="bottom"/>
          </w:tcPr>
          <w:p>
            <w:pPr>
              <w:pStyle w:val="TableContents"/>
              <w:bidi w:val="0"/>
              <w:spacing w:before="0" w:after="283"/>
              <w:jc w:val="left"/>
              <w:rPr/>
            </w:pPr>
            <w:r>
              <w:rPr/>
              <w:t>Conformity with Trust Indenture Act</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71</w:t>
            </w:r>
          </w:p>
        </w:tc>
        <w:tc>
          <w:tcPr>
            <w:tcW w:w="63" w:type="dxa"/>
            <w:tcBorders/>
            <w:vAlign w:val="bottom"/>
          </w:tcPr>
          <w:p>
            <w:pPr>
              <w:pStyle w:val="TableContents"/>
              <w:bidi w:val="0"/>
              <w:spacing w:before="0" w:after="283"/>
              <w:jc w:val="left"/>
              <w:rPr/>
            </w:pPr>
            <w:r>
              <w:rPr/>
              <w:t> </w:t>
            </w:r>
          </w:p>
        </w:tc>
      </w:tr>
      <w:tr>
        <w:trPr/>
        <w:tc>
          <w:tcPr>
            <w:tcW w:w="1349" w:type="dxa"/>
            <w:tcBorders/>
          </w:tcPr>
          <w:p>
            <w:pPr>
              <w:pStyle w:val="TableContents"/>
              <w:bidi w:val="0"/>
              <w:spacing w:before="0" w:after="0"/>
              <w:jc w:val="left"/>
              <w:rPr>
                <w:rFonts w:ascii="Times New Roman" w:hAnsi="Times New Roman"/>
                <w:sz w:val="20"/>
              </w:rPr>
            </w:pPr>
            <w:r>
              <w:rPr>
                <w:rFonts w:ascii="Times New Roman" w:hAnsi="Times New Roman"/>
                <w:sz w:val="20"/>
              </w:rPr>
              <w:t>SECTION 9.06.</w:t>
            </w:r>
          </w:p>
        </w:tc>
        <w:tc>
          <w:tcPr>
            <w:tcW w:w="72" w:type="dxa"/>
            <w:tcBorders/>
            <w:vAlign w:val="bottom"/>
          </w:tcPr>
          <w:p>
            <w:pPr>
              <w:pStyle w:val="TableContents"/>
              <w:bidi w:val="0"/>
              <w:spacing w:before="0" w:after="283"/>
              <w:jc w:val="left"/>
              <w:rPr/>
            </w:pPr>
            <w:r>
              <w:rPr/>
              <w:t> </w:t>
            </w:r>
          </w:p>
        </w:tc>
        <w:tc>
          <w:tcPr>
            <w:tcW w:w="8273" w:type="dxa"/>
            <w:tcBorders/>
            <w:vAlign w:val="bottom"/>
          </w:tcPr>
          <w:p>
            <w:pPr>
              <w:pStyle w:val="TableContents"/>
              <w:bidi w:val="0"/>
              <w:spacing w:before="0" w:after="283"/>
              <w:jc w:val="left"/>
              <w:rPr/>
            </w:pPr>
            <w:r>
              <w:rPr/>
              <w:t>Reference in Securities to Supplemental Indentures</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71</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415"/>
        <w:gridCol w:w="67"/>
        <w:gridCol w:w="8216"/>
        <w:gridCol w:w="125"/>
        <w:gridCol w:w="60"/>
        <w:gridCol w:w="260"/>
        <w:gridCol w:w="62"/>
      </w:tblGrid>
      <w:tr>
        <w:trPr/>
        <w:tc>
          <w:tcPr>
            <w:tcW w:w="1415" w:type="dxa"/>
            <w:tcBorders/>
            <w:vAlign w:val="center"/>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c>
          <w:tcPr>
            <w:tcW w:w="8216"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3" w:type="dxa"/>
            <w:gridSpan w:val="6"/>
            <w:tcBorders/>
          </w:tcPr>
          <w:p>
            <w:pPr>
              <w:pStyle w:val="TableContents"/>
              <w:bidi w:val="0"/>
              <w:spacing w:before="0" w:after="283"/>
              <w:jc w:val="center"/>
              <w:rPr>
                <w:b/>
              </w:rPr>
            </w:pPr>
            <w:r>
              <w:rPr>
                <w:b/>
              </w:rPr>
              <w:t>ARTICLE TEN</w:t>
            </w:r>
          </w:p>
        </w:tc>
        <w:tc>
          <w:tcPr>
            <w:tcW w:w="62"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3" w:type="dxa"/>
            <w:gridSpan w:val="6"/>
            <w:tcBorders/>
          </w:tcPr>
          <w:p>
            <w:pPr>
              <w:pStyle w:val="TableContents"/>
              <w:bidi w:val="0"/>
              <w:spacing w:before="0" w:after="283"/>
              <w:jc w:val="center"/>
              <w:rPr>
                <w:b/>
              </w:rPr>
            </w:pPr>
            <w:r>
              <w:rPr>
                <w:b/>
              </w:rPr>
              <w:t>COVENANTS</w:t>
            </w:r>
          </w:p>
        </w:tc>
        <w:tc>
          <w:tcPr>
            <w:tcW w:w="62" w:type="dxa"/>
            <w:tcBorders/>
          </w:tcPr>
          <w:p>
            <w:pPr>
              <w:pStyle w:val="TableContents"/>
              <w:bidi w:val="0"/>
              <w:spacing w:before="0" w:after="0"/>
              <w:jc w:val="left"/>
              <w:rPr/>
            </w:pPr>
            <w:r>
              <w:rPr/>
              <w:t> </w:t>
            </w:r>
          </w:p>
        </w:tc>
      </w:tr>
      <w:tr>
        <w:trPr>
          <w:trHeight w:val="120" w:hRule="atLeast"/>
        </w:trPr>
        <w:tc>
          <w:tcPr>
            <w:tcW w:w="1415" w:type="dxa"/>
            <w:tcBorders/>
            <w:vAlign w:val="center"/>
          </w:tcPr>
          <w:p>
            <w:pPr>
              <w:pStyle w:val="TableContents"/>
              <w:bidi w:val="0"/>
              <w:spacing w:before="0" w:after="283"/>
              <w:jc w:val="left"/>
              <w:rPr>
                <w:sz w:val="4"/>
                <w:szCs w:val="4"/>
              </w:rPr>
            </w:pPr>
            <w:r>
              <w:rPr>
                <w:sz w:val="4"/>
                <w:szCs w:val="4"/>
              </w:rPr>
            </w:r>
          </w:p>
        </w:tc>
        <w:tc>
          <w:tcPr>
            <w:tcW w:w="8283" w:type="dxa"/>
            <w:gridSpan w:val="2"/>
            <w:tcBorders/>
            <w:vAlign w:val="center"/>
          </w:tcPr>
          <w:p>
            <w:pPr>
              <w:pStyle w:val="TableContents"/>
              <w:bidi w:val="0"/>
              <w:spacing w:before="0" w:after="283"/>
              <w:jc w:val="left"/>
              <w:rPr>
                <w:sz w:val="4"/>
                <w:szCs w:val="4"/>
              </w:rPr>
            </w:pPr>
            <w:r>
              <w:rPr>
                <w:sz w:val="4"/>
                <w:szCs w:val="4"/>
              </w:rPr>
            </w:r>
          </w:p>
        </w:tc>
        <w:tc>
          <w:tcPr>
            <w:tcW w:w="507" w:type="dxa"/>
            <w:gridSpan w:val="4"/>
            <w:tcBorders/>
            <w:vAlign w:val="center"/>
          </w:tcPr>
          <w:p>
            <w:pPr>
              <w:pStyle w:val="TableContents"/>
              <w:bidi w:val="0"/>
              <w:spacing w:before="0" w:after="283"/>
              <w:jc w:val="left"/>
              <w:rPr>
                <w:sz w:val="4"/>
                <w:szCs w:val="4"/>
              </w:rPr>
            </w:pPr>
            <w:r>
              <w:rPr>
                <w:sz w:val="4"/>
                <w:szCs w:val="4"/>
              </w:rPr>
            </w:r>
          </w:p>
        </w:tc>
      </w:tr>
      <w:tr>
        <w:trPr/>
        <w:tc>
          <w:tcPr>
            <w:tcW w:w="1415" w:type="dxa"/>
            <w:tcBorders/>
          </w:tcPr>
          <w:p>
            <w:pPr>
              <w:pStyle w:val="TableContents"/>
              <w:bidi w:val="0"/>
              <w:spacing w:before="0" w:after="0"/>
              <w:jc w:val="left"/>
              <w:rPr>
                <w:rFonts w:ascii="Times New Roman" w:hAnsi="Times New Roman"/>
                <w:sz w:val="20"/>
              </w:rPr>
            </w:pPr>
            <w:r>
              <w:rPr>
                <w:rFonts w:ascii="Times New Roman" w:hAnsi="Times New Roman"/>
                <w:sz w:val="20"/>
              </w:rPr>
              <w:t>SECTION 10.01.</w:t>
            </w:r>
          </w:p>
        </w:tc>
        <w:tc>
          <w:tcPr>
            <w:tcW w:w="67" w:type="dxa"/>
            <w:tcBorders/>
            <w:vAlign w:val="bottom"/>
          </w:tcPr>
          <w:p>
            <w:pPr>
              <w:pStyle w:val="TableContents"/>
              <w:bidi w:val="0"/>
              <w:spacing w:before="0" w:after="283"/>
              <w:jc w:val="left"/>
              <w:rPr/>
            </w:pPr>
            <w:r>
              <w:rPr/>
              <w:t> </w:t>
            </w:r>
          </w:p>
        </w:tc>
        <w:tc>
          <w:tcPr>
            <w:tcW w:w="8216" w:type="dxa"/>
            <w:tcBorders/>
            <w:vAlign w:val="bottom"/>
          </w:tcPr>
          <w:p>
            <w:pPr>
              <w:pStyle w:val="TableContents"/>
              <w:bidi w:val="0"/>
              <w:spacing w:before="0" w:after="283"/>
              <w:jc w:val="left"/>
              <w:rPr/>
            </w:pPr>
            <w:r>
              <w:rPr/>
              <w:t>Payment of Principal, Premium and Interest</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71</w:t>
            </w:r>
          </w:p>
        </w:tc>
        <w:tc>
          <w:tcPr>
            <w:tcW w:w="62" w:type="dxa"/>
            <w:tcBorders/>
            <w:vAlign w:val="bottom"/>
          </w:tcPr>
          <w:p>
            <w:pPr>
              <w:pStyle w:val="TableContents"/>
              <w:bidi w:val="0"/>
              <w:spacing w:before="0" w:after="283"/>
              <w:jc w:val="left"/>
              <w:rPr/>
            </w:pPr>
            <w:r>
              <w:rPr/>
              <w:t> </w:t>
            </w:r>
          </w:p>
        </w:tc>
      </w:tr>
      <w:tr>
        <w:trPr/>
        <w:tc>
          <w:tcPr>
            <w:tcW w:w="1415" w:type="dxa"/>
            <w:tcBorders/>
          </w:tcPr>
          <w:p>
            <w:pPr>
              <w:pStyle w:val="TableContents"/>
              <w:bidi w:val="0"/>
              <w:spacing w:before="0" w:after="0"/>
              <w:jc w:val="left"/>
              <w:rPr>
                <w:rFonts w:ascii="Times New Roman" w:hAnsi="Times New Roman"/>
                <w:sz w:val="20"/>
              </w:rPr>
            </w:pPr>
            <w:r>
              <w:rPr>
                <w:rFonts w:ascii="Times New Roman" w:hAnsi="Times New Roman"/>
                <w:sz w:val="20"/>
              </w:rPr>
              <w:t>SECTION 10.02.</w:t>
            </w:r>
          </w:p>
        </w:tc>
        <w:tc>
          <w:tcPr>
            <w:tcW w:w="67" w:type="dxa"/>
            <w:tcBorders/>
            <w:vAlign w:val="bottom"/>
          </w:tcPr>
          <w:p>
            <w:pPr>
              <w:pStyle w:val="TableContents"/>
              <w:bidi w:val="0"/>
              <w:spacing w:before="0" w:after="283"/>
              <w:jc w:val="left"/>
              <w:rPr/>
            </w:pPr>
            <w:r>
              <w:rPr/>
              <w:t> </w:t>
            </w:r>
          </w:p>
        </w:tc>
        <w:tc>
          <w:tcPr>
            <w:tcW w:w="8216" w:type="dxa"/>
            <w:tcBorders/>
            <w:vAlign w:val="bottom"/>
          </w:tcPr>
          <w:p>
            <w:pPr>
              <w:pStyle w:val="TableContents"/>
              <w:bidi w:val="0"/>
              <w:spacing w:before="0" w:after="283"/>
              <w:jc w:val="left"/>
              <w:rPr/>
            </w:pPr>
            <w:r>
              <w:rPr/>
              <w:t>Maintenance of Office or Agency by Company</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72</w:t>
            </w:r>
          </w:p>
        </w:tc>
        <w:tc>
          <w:tcPr>
            <w:tcW w:w="62" w:type="dxa"/>
            <w:tcBorders/>
            <w:vAlign w:val="bottom"/>
          </w:tcPr>
          <w:p>
            <w:pPr>
              <w:pStyle w:val="TableContents"/>
              <w:bidi w:val="0"/>
              <w:spacing w:before="0" w:after="283"/>
              <w:jc w:val="left"/>
              <w:rPr/>
            </w:pPr>
            <w:r>
              <w:rPr/>
              <w:t> </w:t>
            </w:r>
          </w:p>
        </w:tc>
      </w:tr>
      <w:tr>
        <w:trPr/>
        <w:tc>
          <w:tcPr>
            <w:tcW w:w="1415" w:type="dxa"/>
            <w:tcBorders/>
          </w:tcPr>
          <w:p>
            <w:pPr>
              <w:pStyle w:val="TableContents"/>
              <w:bidi w:val="0"/>
              <w:spacing w:before="0" w:after="0"/>
              <w:jc w:val="left"/>
              <w:rPr>
                <w:rFonts w:ascii="Times New Roman" w:hAnsi="Times New Roman"/>
                <w:sz w:val="20"/>
              </w:rPr>
            </w:pPr>
            <w:r>
              <w:rPr>
                <w:rFonts w:ascii="Times New Roman" w:hAnsi="Times New Roman"/>
                <w:sz w:val="20"/>
              </w:rPr>
              <w:t>SECTION 10.03.</w:t>
            </w:r>
          </w:p>
        </w:tc>
        <w:tc>
          <w:tcPr>
            <w:tcW w:w="67" w:type="dxa"/>
            <w:tcBorders/>
            <w:vAlign w:val="bottom"/>
          </w:tcPr>
          <w:p>
            <w:pPr>
              <w:pStyle w:val="TableContents"/>
              <w:bidi w:val="0"/>
              <w:spacing w:before="0" w:after="283"/>
              <w:jc w:val="left"/>
              <w:rPr/>
            </w:pPr>
            <w:r>
              <w:rPr/>
              <w:t> </w:t>
            </w:r>
          </w:p>
        </w:tc>
        <w:tc>
          <w:tcPr>
            <w:tcW w:w="8216" w:type="dxa"/>
            <w:tcBorders/>
            <w:vAlign w:val="bottom"/>
          </w:tcPr>
          <w:p>
            <w:pPr>
              <w:pStyle w:val="TableContents"/>
              <w:bidi w:val="0"/>
              <w:spacing w:before="0" w:after="283"/>
              <w:jc w:val="left"/>
              <w:rPr/>
            </w:pPr>
            <w:r>
              <w:rPr/>
              <w:t>Money for Securities Payments to Be Held in Trust</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72</w:t>
            </w:r>
          </w:p>
        </w:tc>
        <w:tc>
          <w:tcPr>
            <w:tcW w:w="62" w:type="dxa"/>
            <w:tcBorders/>
            <w:vAlign w:val="bottom"/>
          </w:tcPr>
          <w:p>
            <w:pPr>
              <w:pStyle w:val="TableContents"/>
              <w:bidi w:val="0"/>
              <w:spacing w:before="0" w:after="283"/>
              <w:jc w:val="left"/>
              <w:rPr/>
            </w:pPr>
            <w:r>
              <w:rPr/>
              <w:t> </w:t>
            </w:r>
          </w:p>
        </w:tc>
      </w:tr>
      <w:tr>
        <w:trPr/>
        <w:tc>
          <w:tcPr>
            <w:tcW w:w="1415" w:type="dxa"/>
            <w:tcBorders/>
          </w:tcPr>
          <w:p>
            <w:pPr>
              <w:pStyle w:val="TableContents"/>
              <w:bidi w:val="0"/>
              <w:spacing w:before="0" w:after="0"/>
              <w:jc w:val="left"/>
              <w:rPr>
                <w:rFonts w:ascii="Times New Roman" w:hAnsi="Times New Roman"/>
                <w:sz w:val="20"/>
              </w:rPr>
            </w:pPr>
            <w:r>
              <w:rPr>
                <w:rFonts w:ascii="Times New Roman" w:hAnsi="Times New Roman"/>
                <w:sz w:val="20"/>
              </w:rPr>
              <w:t>SECTION 10.04.</w:t>
            </w:r>
          </w:p>
        </w:tc>
        <w:tc>
          <w:tcPr>
            <w:tcW w:w="67" w:type="dxa"/>
            <w:tcBorders/>
            <w:vAlign w:val="bottom"/>
          </w:tcPr>
          <w:p>
            <w:pPr>
              <w:pStyle w:val="TableContents"/>
              <w:bidi w:val="0"/>
              <w:spacing w:before="0" w:after="283"/>
              <w:jc w:val="left"/>
              <w:rPr/>
            </w:pPr>
            <w:r>
              <w:rPr/>
              <w:t> </w:t>
            </w:r>
          </w:p>
        </w:tc>
        <w:tc>
          <w:tcPr>
            <w:tcW w:w="8216" w:type="dxa"/>
            <w:tcBorders/>
            <w:vAlign w:val="bottom"/>
          </w:tcPr>
          <w:p>
            <w:pPr>
              <w:pStyle w:val="TableContents"/>
              <w:bidi w:val="0"/>
              <w:spacing w:before="0" w:after="283"/>
              <w:jc w:val="left"/>
              <w:rPr/>
            </w:pPr>
            <w:r>
              <w:rPr/>
              <w:t>Statement by Officers as to Default</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73</w:t>
            </w:r>
          </w:p>
        </w:tc>
        <w:tc>
          <w:tcPr>
            <w:tcW w:w="62" w:type="dxa"/>
            <w:tcBorders/>
            <w:vAlign w:val="bottom"/>
          </w:tcPr>
          <w:p>
            <w:pPr>
              <w:pStyle w:val="TableContents"/>
              <w:bidi w:val="0"/>
              <w:spacing w:before="0" w:after="283"/>
              <w:jc w:val="left"/>
              <w:rPr/>
            </w:pPr>
            <w:r>
              <w:rPr/>
              <w:t> </w:t>
            </w:r>
          </w:p>
        </w:tc>
      </w:tr>
      <w:tr>
        <w:trPr/>
        <w:tc>
          <w:tcPr>
            <w:tcW w:w="1415" w:type="dxa"/>
            <w:tcBorders/>
          </w:tcPr>
          <w:p>
            <w:pPr>
              <w:pStyle w:val="TableContents"/>
              <w:bidi w:val="0"/>
              <w:spacing w:before="0" w:after="0"/>
              <w:jc w:val="left"/>
              <w:rPr>
                <w:rFonts w:ascii="Times New Roman" w:hAnsi="Times New Roman"/>
                <w:sz w:val="20"/>
              </w:rPr>
            </w:pPr>
            <w:r>
              <w:rPr>
                <w:rFonts w:ascii="Times New Roman" w:hAnsi="Times New Roman"/>
                <w:sz w:val="20"/>
              </w:rPr>
              <w:t>SECTION 10.05.</w:t>
            </w:r>
          </w:p>
        </w:tc>
        <w:tc>
          <w:tcPr>
            <w:tcW w:w="67" w:type="dxa"/>
            <w:tcBorders/>
            <w:vAlign w:val="bottom"/>
          </w:tcPr>
          <w:p>
            <w:pPr>
              <w:pStyle w:val="TableContents"/>
              <w:bidi w:val="0"/>
              <w:spacing w:before="0" w:after="283"/>
              <w:jc w:val="left"/>
              <w:rPr/>
            </w:pPr>
            <w:r>
              <w:rPr/>
              <w:t> </w:t>
            </w:r>
          </w:p>
        </w:tc>
        <w:tc>
          <w:tcPr>
            <w:tcW w:w="8216" w:type="dxa"/>
            <w:tcBorders/>
            <w:vAlign w:val="bottom"/>
          </w:tcPr>
          <w:p>
            <w:pPr>
              <w:pStyle w:val="TableContents"/>
              <w:bidi w:val="0"/>
              <w:spacing w:before="0" w:after="283"/>
              <w:jc w:val="left"/>
              <w:rPr/>
            </w:pPr>
            <w:r>
              <w:rPr/>
              <w:t>Existence</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74</w:t>
            </w:r>
          </w:p>
        </w:tc>
        <w:tc>
          <w:tcPr>
            <w:tcW w:w="62" w:type="dxa"/>
            <w:tcBorders/>
            <w:vAlign w:val="bottom"/>
          </w:tcPr>
          <w:p>
            <w:pPr>
              <w:pStyle w:val="TableContents"/>
              <w:bidi w:val="0"/>
              <w:spacing w:before="0" w:after="283"/>
              <w:jc w:val="left"/>
              <w:rPr/>
            </w:pPr>
            <w:r>
              <w:rPr/>
              <w:t> </w:t>
            </w:r>
          </w:p>
        </w:tc>
      </w:tr>
      <w:tr>
        <w:trPr/>
        <w:tc>
          <w:tcPr>
            <w:tcW w:w="1415" w:type="dxa"/>
            <w:tcBorders/>
          </w:tcPr>
          <w:p>
            <w:pPr>
              <w:pStyle w:val="TableContents"/>
              <w:bidi w:val="0"/>
              <w:spacing w:before="0" w:after="0"/>
              <w:jc w:val="left"/>
              <w:rPr>
                <w:rFonts w:ascii="Times New Roman" w:hAnsi="Times New Roman"/>
                <w:sz w:val="20"/>
              </w:rPr>
            </w:pPr>
            <w:r>
              <w:rPr>
                <w:rFonts w:ascii="Times New Roman" w:hAnsi="Times New Roman"/>
                <w:sz w:val="20"/>
              </w:rPr>
              <w:t>SECTION 10.06.</w:t>
            </w:r>
          </w:p>
        </w:tc>
        <w:tc>
          <w:tcPr>
            <w:tcW w:w="67" w:type="dxa"/>
            <w:tcBorders/>
            <w:vAlign w:val="bottom"/>
          </w:tcPr>
          <w:p>
            <w:pPr>
              <w:pStyle w:val="TableContents"/>
              <w:bidi w:val="0"/>
              <w:spacing w:before="0" w:after="283"/>
              <w:jc w:val="left"/>
              <w:rPr/>
            </w:pPr>
            <w:r>
              <w:rPr/>
              <w:t> </w:t>
            </w:r>
          </w:p>
        </w:tc>
        <w:tc>
          <w:tcPr>
            <w:tcW w:w="8216" w:type="dxa"/>
            <w:tcBorders/>
            <w:vAlign w:val="bottom"/>
          </w:tcPr>
          <w:p>
            <w:pPr>
              <w:pStyle w:val="TableContents"/>
              <w:bidi w:val="0"/>
              <w:spacing w:before="0" w:after="283"/>
              <w:jc w:val="left"/>
              <w:rPr/>
            </w:pPr>
            <w:r>
              <w:rPr/>
              <w:t>Payment of Taxes and Other Claims</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74</w:t>
            </w:r>
          </w:p>
        </w:tc>
        <w:tc>
          <w:tcPr>
            <w:tcW w:w="62" w:type="dxa"/>
            <w:tcBorders/>
            <w:vAlign w:val="bottom"/>
          </w:tcPr>
          <w:p>
            <w:pPr>
              <w:pStyle w:val="TableContents"/>
              <w:bidi w:val="0"/>
              <w:spacing w:before="0" w:after="283"/>
              <w:jc w:val="left"/>
              <w:rPr/>
            </w:pPr>
            <w:r>
              <w:rPr/>
              <w:t> </w:t>
            </w:r>
          </w:p>
        </w:tc>
      </w:tr>
      <w:tr>
        <w:trPr/>
        <w:tc>
          <w:tcPr>
            <w:tcW w:w="1415" w:type="dxa"/>
            <w:tcBorders/>
          </w:tcPr>
          <w:p>
            <w:pPr>
              <w:pStyle w:val="TableContents"/>
              <w:bidi w:val="0"/>
              <w:spacing w:before="0" w:after="0"/>
              <w:jc w:val="left"/>
              <w:rPr>
                <w:rFonts w:ascii="Times New Roman" w:hAnsi="Times New Roman"/>
                <w:sz w:val="20"/>
              </w:rPr>
            </w:pPr>
            <w:r>
              <w:rPr>
                <w:rFonts w:ascii="Times New Roman" w:hAnsi="Times New Roman"/>
                <w:sz w:val="20"/>
              </w:rPr>
              <w:t>SECTION 10.07.</w:t>
            </w:r>
          </w:p>
        </w:tc>
        <w:tc>
          <w:tcPr>
            <w:tcW w:w="67" w:type="dxa"/>
            <w:tcBorders/>
            <w:vAlign w:val="bottom"/>
          </w:tcPr>
          <w:p>
            <w:pPr>
              <w:pStyle w:val="TableContents"/>
              <w:bidi w:val="0"/>
              <w:spacing w:before="0" w:after="283"/>
              <w:jc w:val="left"/>
              <w:rPr/>
            </w:pPr>
            <w:r>
              <w:rPr/>
              <w:t> </w:t>
            </w:r>
          </w:p>
        </w:tc>
        <w:tc>
          <w:tcPr>
            <w:tcW w:w="8216" w:type="dxa"/>
            <w:tcBorders/>
            <w:vAlign w:val="bottom"/>
          </w:tcPr>
          <w:p>
            <w:pPr>
              <w:pStyle w:val="TableContents"/>
              <w:bidi w:val="0"/>
              <w:spacing w:before="0" w:after="283"/>
              <w:jc w:val="left"/>
              <w:rPr/>
            </w:pPr>
            <w:r>
              <w:rPr/>
              <w:t>Waiver of Certain Covenants</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74</w:t>
            </w:r>
          </w:p>
        </w:tc>
        <w:tc>
          <w:tcPr>
            <w:tcW w:w="62" w:type="dxa"/>
            <w:tcBorders/>
            <w:vAlign w:val="bottom"/>
          </w:tcPr>
          <w:p>
            <w:pPr>
              <w:pStyle w:val="TableContents"/>
              <w:bidi w:val="0"/>
              <w:spacing w:before="0" w:after="283"/>
              <w:jc w:val="left"/>
              <w:rPr/>
            </w:pPr>
            <w:r>
              <w:rPr/>
              <w:t> </w:t>
            </w:r>
          </w:p>
        </w:tc>
      </w:tr>
      <w:tr>
        <w:trPr/>
        <w:tc>
          <w:tcPr>
            <w:tcW w:w="1415" w:type="dxa"/>
            <w:tcBorders/>
          </w:tcPr>
          <w:p>
            <w:pPr>
              <w:pStyle w:val="TableContents"/>
              <w:bidi w:val="0"/>
              <w:spacing w:before="0" w:after="0"/>
              <w:jc w:val="left"/>
              <w:rPr>
                <w:rFonts w:ascii="Times New Roman" w:hAnsi="Times New Roman"/>
                <w:sz w:val="20"/>
              </w:rPr>
            </w:pPr>
            <w:r>
              <w:rPr>
                <w:rFonts w:ascii="Times New Roman" w:hAnsi="Times New Roman"/>
                <w:sz w:val="20"/>
              </w:rPr>
              <w:t>SECTION 10.08.</w:t>
            </w:r>
          </w:p>
        </w:tc>
        <w:tc>
          <w:tcPr>
            <w:tcW w:w="67" w:type="dxa"/>
            <w:tcBorders/>
            <w:vAlign w:val="bottom"/>
          </w:tcPr>
          <w:p>
            <w:pPr>
              <w:pStyle w:val="TableContents"/>
              <w:bidi w:val="0"/>
              <w:spacing w:before="0" w:after="283"/>
              <w:jc w:val="left"/>
              <w:rPr/>
            </w:pPr>
            <w:r>
              <w:rPr/>
              <w:t> </w:t>
            </w:r>
          </w:p>
        </w:tc>
        <w:tc>
          <w:tcPr>
            <w:tcW w:w="8216" w:type="dxa"/>
            <w:tcBorders/>
            <w:vAlign w:val="bottom"/>
          </w:tcPr>
          <w:p>
            <w:pPr>
              <w:pStyle w:val="TableContents"/>
              <w:bidi w:val="0"/>
              <w:spacing w:before="0" w:after="283"/>
              <w:jc w:val="left"/>
              <w:rPr/>
            </w:pPr>
            <w:r>
              <w:rPr/>
              <w:t>Additional Amounts</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74</w:t>
            </w:r>
          </w:p>
        </w:tc>
        <w:tc>
          <w:tcPr>
            <w:tcW w:w="62" w:type="dxa"/>
            <w:tcBorders/>
            <w:vAlign w:val="bottom"/>
          </w:tcPr>
          <w:p>
            <w:pPr>
              <w:pStyle w:val="TableContents"/>
              <w:bidi w:val="0"/>
              <w:spacing w:before="0" w:after="283"/>
              <w:jc w:val="left"/>
              <w:rPr/>
            </w:pPr>
            <w:r>
              <w:rPr/>
              <w:t> </w:t>
            </w:r>
          </w:p>
        </w:tc>
      </w:tr>
      <w:tr>
        <w:trPr/>
        <w:tc>
          <w:tcPr>
            <w:tcW w:w="1415" w:type="dxa"/>
            <w:tcBorders/>
          </w:tcPr>
          <w:p>
            <w:pPr>
              <w:pStyle w:val="TableContents"/>
              <w:bidi w:val="0"/>
              <w:spacing w:before="0" w:after="0"/>
              <w:jc w:val="left"/>
              <w:rPr>
                <w:rFonts w:ascii="Times New Roman" w:hAnsi="Times New Roman"/>
                <w:sz w:val="20"/>
              </w:rPr>
            </w:pPr>
            <w:r>
              <w:rPr>
                <w:rFonts w:ascii="Times New Roman" w:hAnsi="Times New Roman"/>
                <w:sz w:val="20"/>
              </w:rPr>
              <w:t>SECTION 10.09.</w:t>
            </w:r>
          </w:p>
        </w:tc>
        <w:tc>
          <w:tcPr>
            <w:tcW w:w="67" w:type="dxa"/>
            <w:tcBorders/>
            <w:vAlign w:val="bottom"/>
          </w:tcPr>
          <w:p>
            <w:pPr>
              <w:pStyle w:val="TableContents"/>
              <w:bidi w:val="0"/>
              <w:spacing w:before="0" w:after="283"/>
              <w:jc w:val="left"/>
              <w:rPr/>
            </w:pPr>
            <w:r>
              <w:rPr/>
              <w:t> </w:t>
            </w:r>
          </w:p>
        </w:tc>
        <w:tc>
          <w:tcPr>
            <w:tcW w:w="8216" w:type="dxa"/>
            <w:tcBorders/>
            <w:vAlign w:val="bottom"/>
          </w:tcPr>
          <w:p>
            <w:pPr>
              <w:pStyle w:val="TableContents"/>
              <w:bidi w:val="0"/>
              <w:spacing w:before="0" w:after="283"/>
              <w:jc w:val="left"/>
              <w:rPr/>
            </w:pPr>
            <w:r>
              <w:rPr/>
              <w:t>Negative Pledge</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75</w:t>
            </w:r>
          </w:p>
        </w:tc>
        <w:tc>
          <w:tcPr>
            <w:tcW w:w="62" w:type="dxa"/>
            <w:tcBorders/>
            <w:vAlign w:val="bottom"/>
          </w:tcPr>
          <w:p>
            <w:pPr>
              <w:pStyle w:val="TableContents"/>
              <w:bidi w:val="0"/>
              <w:spacing w:before="0" w:after="283"/>
              <w:jc w:val="left"/>
              <w:rPr/>
            </w:pPr>
            <w:r>
              <w:rPr/>
              <w:t> </w:t>
            </w:r>
          </w:p>
        </w:tc>
      </w:tr>
      <w:tr>
        <w:trPr/>
        <w:tc>
          <w:tcPr>
            <w:tcW w:w="1415" w:type="dxa"/>
            <w:tcBorders/>
          </w:tcPr>
          <w:p>
            <w:pPr>
              <w:pStyle w:val="TableContents"/>
              <w:bidi w:val="0"/>
              <w:spacing w:before="0" w:after="0"/>
              <w:jc w:val="left"/>
              <w:rPr>
                <w:rFonts w:ascii="Times New Roman" w:hAnsi="Times New Roman"/>
                <w:sz w:val="20"/>
              </w:rPr>
            </w:pPr>
            <w:r>
              <w:rPr>
                <w:rFonts w:ascii="Times New Roman" w:hAnsi="Times New Roman"/>
                <w:sz w:val="20"/>
              </w:rPr>
              <w:t>SECTION 10.10.</w:t>
            </w:r>
          </w:p>
        </w:tc>
        <w:tc>
          <w:tcPr>
            <w:tcW w:w="67" w:type="dxa"/>
            <w:tcBorders/>
            <w:vAlign w:val="bottom"/>
          </w:tcPr>
          <w:p>
            <w:pPr>
              <w:pStyle w:val="TableContents"/>
              <w:bidi w:val="0"/>
              <w:spacing w:before="0" w:after="283"/>
              <w:jc w:val="left"/>
              <w:rPr/>
            </w:pPr>
            <w:r>
              <w:rPr/>
              <w:t> </w:t>
            </w:r>
          </w:p>
        </w:tc>
        <w:tc>
          <w:tcPr>
            <w:tcW w:w="8216" w:type="dxa"/>
            <w:tcBorders/>
            <w:vAlign w:val="bottom"/>
          </w:tcPr>
          <w:p>
            <w:pPr>
              <w:pStyle w:val="TableContents"/>
              <w:bidi w:val="0"/>
              <w:spacing w:before="0" w:after="283"/>
              <w:jc w:val="left"/>
              <w:rPr/>
            </w:pPr>
            <w:r>
              <w:rPr/>
              <w:t>Repurchase at the Option of Holders</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76</w:t>
            </w:r>
          </w:p>
        </w:tc>
        <w:tc>
          <w:tcPr>
            <w:tcW w:w="62"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3" w:type="dxa"/>
            <w:gridSpan w:val="6"/>
            <w:tcBorders/>
          </w:tcPr>
          <w:p>
            <w:pPr>
              <w:pStyle w:val="TableContents"/>
              <w:bidi w:val="0"/>
              <w:spacing w:before="0" w:after="283"/>
              <w:jc w:val="center"/>
              <w:rPr>
                <w:b/>
              </w:rPr>
            </w:pPr>
            <w:r>
              <w:rPr>
                <w:b/>
              </w:rPr>
              <w:t>ARTICLE ELEVEN</w:t>
            </w:r>
          </w:p>
        </w:tc>
        <w:tc>
          <w:tcPr>
            <w:tcW w:w="62"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3" w:type="dxa"/>
            <w:gridSpan w:val="6"/>
            <w:tcBorders/>
          </w:tcPr>
          <w:p>
            <w:pPr>
              <w:pStyle w:val="TableContents"/>
              <w:bidi w:val="0"/>
              <w:spacing w:before="0" w:after="283"/>
              <w:jc w:val="center"/>
              <w:rPr>
                <w:b/>
              </w:rPr>
            </w:pPr>
            <w:r>
              <w:rPr>
                <w:b/>
              </w:rPr>
              <w:t>REDEMPTION OF SECURITIES</w:t>
            </w:r>
          </w:p>
        </w:tc>
        <w:tc>
          <w:tcPr>
            <w:tcW w:w="62" w:type="dxa"/>
            <w:tcBorders/>
          </w:tcPr>
          <w:p>
            <w:pPr>
              <w:pStyle w:val="TableContents"/>
              <w:bidi w:val="0"/>
              <w:spacing w:before="0" w:after="0"/>
              <w:jc w:val="left"/>
              <w:rPr/>
            </w:pPr>
            <w:r>
              <w:rPr/>
              <w:t> </w:t>
            </w:r>
          </w:p>
        </w:tc>
      </w:tr>
      <w:tr>
        <w:trPr>
          <w:trHeight w:val="120" w:hRule="atLeast"/>
        </w:trPr>
        <w:tc>
          <w:tcPr>
            <w:tcW w:w="1415" w:type="dxa"/>
            <w:tcBorders/>
            <w:vAlign w:val="center"/>
          </w:tcPr>
          <w:p>
            <w:pPr>
              <w:pStyle w:val="TableContents"/>
              <w:bidi w:val="0"/>
              <w:spacing w:before="0" w:after="283"/>
              <w:jc w:val="left"/>
              <w:rPr>
                <w:sz w:val="4"/>
                <w:szCs w:val="4"/>
              </w:rPr>
            </w:pPr>
            <w:r>
              <w:rPr>
                <w:sz w:val="4"/>
                <w:szCs w:val="4"/>
              </w:rPr>
            </w:r>
          </w:p>
        </w:tc>
        <w:tc>
          <w:tcPr>
            <w:tcW w:w="8283" w:type="dxa"/>
            <w:gridSpan w:val="2"/>
            <w:tcBorders/>
            <w:vAlign w:val="center"/>
          </w:tcPr>
          <w:p>
            <w:pPr>
              <w:pStyle w:val="TableContents"/>
              <w:bidi w:val="0"/>
              <w:spacing w:before="0" w:after="283"/>
              <w:jc w:val="left"/>
              <w:rPr>
                <w:sz w:val="4"/>
                <w:szCs w:val="4"/>
              </w:rPr>
            </w:pPr>
            <w:r>
              <w:rPr>
                <w:sz w:val="4"/>
                <w:szCs w:val="4"/>
              </w:rPr>
            </w:r>
          </w:p>
        </w:tc>
        <w:tc>
          <w:tcPr>
            <w:tcW w:w="507" w:type="dxa"/>
            <w:gridSpan w:val="4"/>
            <w:tcBorders/>
            <w:vAlign w:val="center"/>
          </w:tcPr>
          <w:p>
            <w:pPr>
              <w:pStyle w:val="TableContents"/>
              <w:bidi w:val="0"/>
              <w:spacing w:before="0" w:after="283"/>
              <w:jc w:val="left"/>
              <w:rPr>
                <w:sz w:val="4"/>
                <w:szCs w:val="4"/>
              </w:rPr>
            </w:pPr>
            <w:r>
              <w:rPr>
                <w:sz w:val="4"/>
                <w:szCs w:val="4"/>
              </w:rPr>
            </w:r>
          </w:p>
        </w:tc>
      </w:tr>
      <w:tr>
        <w:trPr/>
        <w:tc>
          <w:tcPr>
            <w:tcW w:w="1415" w:type="dxa"/>
            <w:tcBorders/>
          </w:tcPr>
          <w:p>
            <w:pPr>
              <w:pStyle w:val="TableContents"/>
              <w:bidi w:val="0"/>
              <w:spacing w:before="0" w:after="0"/>
              <w:jc w:val="left"/>
              <w:rPr>
                <w:rFonts w:ascii="Times New Roman" w:hAnsi="Times New Roman"/>
                <w:sz w:val="20"/>
              </w:rPr>
            </w:pPr>
            <w:r>
              <w:rPr>
                <w:rFonts w:ascii="Times New Roman" w:hAnsi="Times New Roman"/>
                <w:sz w:val="20"/>
              </w:rPr>
              <w:t>SECTION 11.01.</w:t>
            </w:r>
          </w:p>
        </w:tc>
        <w:tc>
          <w:tcPr>
            <w:tcW w:w="67" w:type="dxa"/>
            <w:tcBorders/>
            <w:vAlign w:val="bottom"/>
          </w:tcPr>
          <w:p>
            <w:pPr>
              <w:pStyle w:val="TableContents"/>
              <w:bidi w:val="0"/>
              <w:spacing w:before="0" w:after="283"/>
              <w:jc w:val="left"/>
              <w:rPr/>
            </w:pPr>
            <w:r>
              <w:rPr/>
              <w:t> </w:t>
            </w:r>
          </w:p>
        </w:tc>
        <w:tc>
          <w:tcPr>
            <w:tcW w:w="8216" w:type="dxa"/>
            <w:tcBorders/>
            <w:vAlign w:val="bottom"/>
          </w:tcPr>
          <w:p>
            <w:pPr>
              <w:pStyle w:val="TableContents"/>
              <w:bidi w:val="0"/>
              <w:spacing w:before="0" w:after="283"/>
              <w:jc w:val="left"/>
              <w:rPr/>
            </w:pPr>
            <w:r>
              <w:rPr/>
              <w:t>Applicability of Article</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77</w:t>
            </w:r>
          </w:p>
        </w:tc>
        <w:tc>
          <w:tcPr>
            <w:tcW w:w="62" w:type="dxa"/>
            <w:tcBorders/>
            <w:vAlign w:val="bottom"/>
          </w:tcPr>
          <w:p>
            <w:pPr>
              <w:pStyle w:val="TableContents"/>
              <w:bidi w:val="0"/>
              <w:spacing w:before="0" w:after="283"/>
              <w:jc w:val="left"/>
              <w:rPr/>
            </w:pPr>
            <w:r>
              <w:rPr/>
              <w:t> </w:t>
            </w:r>
          </w:p>
        </w:tc>
      </w:tr>
      <w:tr>
        <w:trPr/>
        <w:tc>
          <w:tcPr>
            <w:tcW w:w="1415" w:type="dxa"/>
            <w:tcBorders/>
          </w:tcPr>
          <w:p>
            <w:pPr>
              <w:pStyle w:val="TableContents"/>
              <w:bidi w:val="0"/>
              <w:spacing w:before="0" w:after="0"/>
              <w:jc w:val="left"/>
              <w:rPr>
                <w:rFonts w:ascii="Times New Roman" w:hAnsi="Times New Roman"/>
                <w:sz w:val="20"/>
              </w:rPr>
            </w:pPr>
            <w:r>
              <w:rPr>
                <w:rFonts w:ascii="Times New Roman" w:hAnsi="Times New Roman"/>
                <w:sz w:val="20"/>
              </w:rPr>
              <w:t>SECTION 11.02.</w:t>
            </w:r>
          </w:p>
        </w:tc>
        <w:tc>
          <w:tcPr>
            <w:tcW w:w="67" w:type="dxa"/>
            <w:tcBorders/>
            <w:vAlign w:val="bottom"/>
          </w:tcPr>
          <w:p>
            <w:pPr>
              <w:pStyle w:val="TableContents"/>
              <w:bidi w:val="0"/>
              <w:spacing w:before="0" w:after="283"/>
              <w:jc w:val="left"/>
              <w:rPr/>
            </w:pPr>
            <w:r>
              <w:rPr/>
              <w:t> </w:t>
            </w:r>
          </w:p>
        </w:tc>
        <w:tc>
          <w:tcPr>
            <w:tcW w:w="8216" w:type="dxa"/>
            <w:tcBorders/>
            <w:vAlign w:val="bottom"/>
          </w:tcPr>
          <w:p>
            <w:pPr>
              <w:pStyle w:val="TableContents"/>
              <w:bidi w:val="0"/>
              <w:spacing w:before="0" w:after="283"/>
              <w:jc w:val="left"/>
              <w:rPr/>
            </w:pPr>
            <w:r>
              <w:rPr/>
              <w:t>Election to Redeem; Notice to Trustee</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78</w:t>
            </w:r>
          </w:p>
        </w:tc>
        <w:tc>
          <w:tcPr>
            <w:tcW w:w="62" w:type="dxa"/>
            <w:tcBorders/>
            <w:vAlign w:val="bottom"/>
          </w:tcPr>
          <w:p>
            <w:pPr>
              <w:pStyle w:val="TableContents"/>
              <w:bidi w:val="0"/>
              <w:spacing w:before="0" w:after="283"/>
              <w:jc w:val="left"/>
              <w:rPr/>
            </w:pPr>
            <w:r>
              <w:rPr/>
              <w:t> </w:t>
            </w:r>
          </w:p>
        </w:tc>
      </w:tr>
      <w:tr>
        <w:trPr/>
        <w:tc>
          <w:tcPr>
            <w:tcW w:w="1415" w:type="dxa"/>
            <w:tcBorders/>
          </w:tcPr>
          <w:p>
            <w:pPr>
              <w:pStyle w:val="TableContents"/>
              <w:bidi w:val="0"/>
              <w:spacing w:before="0" w:after="0"/>
              <w:jc w:val="left"/>
              <w:rPr>
                <w:rFonts w:ascii="Times New Roman" w:hAnsi="Times New Roman"/>
                <w:sz w:val="20"/>
              </w:rPr>
            </w:pPr>
            <w:r>
              <w:rPr>
                <w:rFonts w:ascii="Times New Roman" w:hAnsi="Times New Roman"/>
                <w:sz w:val="20"/>
              </w:rPr>
              <w:t>SECTION 11.03.</w:t>
            </w:r>
          </w:p>
        </w:tc>
        <w:tc>
          <w:tcPr>
            <w:tcW w:w="67" w:type="dxa"/>
            <w:tcBorders/>
            <w:vAlign w:val="bottom"/>
          </w:tcPr>
          <w:p>
            <w:pPr>
              <w:pStyle w:val="TableContents"/>
              <w:bidi w:val="0"/>
              <w:spacing w:before="0" w:after="283"/>
              <w:jc w:val="left"/>
              <w:rPr/>
            </w:pPr>
            <w:r>
              <w:rPr/>
              <w:t> </w:t>
            </w:r>
          </w:p>
        </w:tc>
        <w:tc>
          <w:tcPr>
            <w:tcW w:w="8216" w:type="dxa"/>
            <w:tcBorders/>
            <w:vAlign w:val="bottom"/>
          </w:tcPr>
          <w:p>
            <w:pPr>
              <w:pStyle w:val="TableContents"/>
              <w:bidi w:val="0"/>
              <w:spacing w:before="0" w:after="283"/>
              <w:jc w:val="left"/>
              <w:rPr/>
            </w:pPr>
            <w:r>
              <w:rPr/>
              <w:t>Selection by Trustee of Securities to Be Redeemed</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78</w:t>
            </w:r>
          </w:p>
        </w:tc>
        <w:tc>
          <w:tcPr>
            <w:tcW w:w="62" w:type="dxa"/>
            <w:tcBorders/>
            <w:vAlign w:val="bottom"/>
          </w:tcPr>
          <w:p>
            <w:pPr>
              <w:pStyle w:val="TableContents"/>
              <w:bidi w:val="0"/>
              <w:spacing w:before="0" w:after="283"/>
              <w:jc w:val="left"/>
              <w:rPr/>
            </w:pPr>
            <w:r>
              <w:rPr/>
              <w:t> </w:t>
            </w:r>
          </w:p>
        </w:tc>
      </w:tr>
      <w:tr>
        <w:trPr/>
        <w:tc>
          <w:tcPr>
            <w:tcW w:w="1415" w:type="dxa"/>
            <w:tcBorders/>
          </w:tcPr>
          <w:p>
            <w:pPr>
              <w:pStyle w:val="TableContents"/>
              <w:bidi w:val="0"/>
              <w:spacing w:before="0" w:after="0"/>
              <w:jc w:val="left"/>
              <w:rPr>
                <w:rFonts w:ascii="Times New Roman" w:hAnsi="Times New Roman"/>
                <w:sz w:val="20"/>
              </w:rPr>
            </w:pPr>
            <w:r>
              <w:rPr>
                <w:rFonts w:ascii="Times New Roman" w:hAnsi="Times New Roman"/>
                <w:sz w:val="20"/>
              </w:rPr>
              <w:t>SECTION 11.04.</w:t>
            </w:r>
          </w:p>
        </w:tc>
        <w:tc>
          <w:tcPr>
            <w:tcW w:w="67" w:type="dxa"/>
            <w:tcBorders/>
            <w:vAlign w:val="bottom"/>
          </w:tcPr>
          <w:p>
            <w:pPr>
              <w:pStyle w:val="TableContents"/>
              <w:bidi w:val="0"/>
              <w:spacing w:before="0" w:after="283"/>
              <w:jc w:val="left"/>
              <w:rPr/>
            </w:pPr>
            <w:r>
              <w:rPr/>
              <w:t> </w:t>
            </w:r>
          </w:p>
        </w:tc>
        <w:tc>
          <w:tcPr>
            <w:tcW w:w="8216" w:type="dxa"/>
            <w:tcBorders/>
            <w:vAlign w:val="bottom"/>
          </w:tcPr>
          <w:p>
            <w:pPr>
              <w:pStyle w:val="TableContents"/>
              <w:bidi w:val="0"/>
              <w:spacing w:before="0" w:after="283"/>
              <w:jc w:val="left"/>
              <w:rPr/>
            </w:pPr>
            <w:r>
              <w:rPr/>
              <w:t>Notice of Redemption</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79</w:t>
            </w:r>
          </w:p>
        </w:tc>
        <w:tc>
          <w:tcPr>
            <w:tcW w:w="62" w:type="dxa"/>
            <w:tcBorders/>
            <w:vAlign w:val="bottom"/>
          </w:tcPr>
          <w:p>
            <w:pPr>
              <w:pStyle w:val="TableContents"/>
              <w:bidi w:val="0"/>
              <w:spacing w:before="0" w:after="283"/>
              <w:jc w:val="left"/>
              <w:rPr/>
            </w:pPr>
            <w:r>
              <w:rPr/>
              <w:t> </w:t>
            </w:r>
          </w:p>
        </w:tc>
      </w:tr>
      <w:tr>
        <w:trPr/>
        <w:tc>
          <w:tcPr>
            <w:tcW w:w="1415" w:type="dxa"/>
            <w:tcBorders/>
          </w:tcPr>
          <w:p>
            <w:pPr>
              <w:pStyle w:val="TableContents"/>
              <w:bidi w:val="0"/>
              <w:spacing w:before="0" w:after="0"/>
              <w:jc w:val="left"/>
              <w:rPr>
                <w:rFonts w:ascii="Times New Roman" w:hAnsi="Times New Roman"/>
                <w:sz w:val="20"/>
              </w:rPr>
            </w:pPr>
            <w:r>
              <w:rPr>
                <w:rFonts w:ascii="Times New Roman" w:hAnsi="Times New Roman"/>
                <w:sz w:val="20"/>
              </w:rPr>
              <w:t>SECTION 11.05.</w:t>
            </w:r>
          </w:p>
        </w:tc>
        <w:tc>
          <w:tcPr>
            <w:tcW w:w="67" w:type="dxa"/>
            <w:tcBorders/>
            <w:vAlign w:val="bottom"/>
          </w:tcPr>
          <w:p>
            <w:pPr>
              <w:pStyle w:val="TableContents"/>
              <w:bidi w:val="0"/>
              <w:spacing w:before="0" w:after="283"/>
              <w:jc w:val="left"/>
              <w:rPr/>
            </w:pPr>
            <w:r>
              <w:rPr/>
              <w:t> </w:t>
            </w:r>
          </w:p>
        </w:tc>
        <w:tc>
          <w:tcPr>
            <w:tcW w:w="8216" w:type="dxa"/>
            <w:tcBorders/>
            <w:vAlign w:val="bottom"/>
          </w:tcPr>
          <w:p>
            <w:pPr>
              <w:pStyle w:val="TableContents"/>
              <w:bidi w:val="0"/>
              <w:spacing w:before="0" w:after="283"/>
              <w:jc w:val="left"/>
              <w:rPr/>
            </w:pPr>
            <w:r>
              <w:rPr/>
              <w:t>Deposit of Redemption Price</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80</w:t>
            </w:r>
          </w:p>
        </w:tc>
        <w:tc>
          <w:tcPr>
            <w:tcW w:w="62" w:type="dxa"/>
            <w:tcBorders/>
            <w:vAlign w:val="bottom"/>
          </w:tcPr>
          <w:p>
            <w:pPr>
              <w:pStyle w:val="TableContents"/>
              <w:bidi w:val="0"/>
              <w:spacing w:before="0" w:after="283"/>
              <w:jc w:val="left"/>
              <w:rPr/>
            </w:pPr>
            <w:r>
              <w:rPr/>
              <w:t> </w:t>
            </w:r>
          </w:p>
        </w:tc>
      </w:tr>
      <w:tr>
        <w:trPr/>
        <w:tc>
          <w:tcPr>
            <w:tcW w:w="1415" w:type="dxa"/>
            <w:tcBorders/>
          </w:tcPr>
          <w:p>
            <w:pPr>
              <w:pStyle w:val="TableContents"/>
              <w:bidi w:val="0"/>
              <w:spacing w:before="0" w:after="0"/>
              <w:jc w:val="left"/>
              <w:rPr>
                <w:rFonts w:ascii="Times New Roman" w:hAnsi="Times New Roman"/>
                <w:sz w:val="20"/>
              </w:rPr>
            </w:pPr>
            <w:r>
              <w:rPr>
                <w:rFonts w:ascii="Times New Roman" w:hAnsi="Times New Roman"/>
                <w:sz w:val="20"/>
              </w:rPr>
              <w:t>SECTION 11.06.</w:t>
            </w:r>
          </w:p>
        </w:tc>
        <w:tc>
          <w:tcPr>
            <w:tcW w:w="67" w:type="dxa"/>
            <w:tcBorders/>
            <w:vAlign w:val="bottom"/>
          </w:tcPr>
          <w:p>
            <w:pPr>
              <w:pStyle w:val="TableContents"/>
              <w:bidi w:val="0"/>
              <w:spacing w:before="0" w:after="283"/>
              <w:jc w:val="left"/>
              <w:rPr/>
            </w:pPr>
            <w:r>
              <w:rPr/>
              <w:t> </w:t>
            </w:r>
          </w:p>
        </w:tc>
        <w:tc>
          <w:tcPr>
            <w:tcW w:w="8216" w:type="dxa"/>
            <w:tcBorders/>
            <w:vAlign w:val="bottom"/>
          </w:tcPr>
          <w:p>
            <w:pPr>
              <w:pStyle w:val="TableContents"/>
              <w:bidi w:val="0"/>
              <w:spacing w:before="0" w:after="283"/>
              <w:jc w:val="left"/>
              <w:rPr/>
            </w:pPr>
            <w:r>
              <w:rPr/>
              <w:t>Securities Payable on Redemption Date</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80</w:t>
            </w:r>
          </w:p>
        </w:tc>
        <w:tc>
          <w:tcPr>
            <w:tcW w:w="62" w:type="dxa"/>
            <w:tcBorders/>
            <w:vAlign w:val="bottom"/>
          </w:tcPr>
          <w:p>
            <w:pPr>
              <w:pStyle w:val="TableContents"/>
              <w:bidi w:val="0"/>
              <w:spacing w:before="0" w:after="283"/>
              <w:jc w:val="left"/>
              <w:rPr/>
            </w:pPr>
            <w:r>
              <w:rPr/>
              <w:t> </w:t>
            </w:r>
          </w:p>
        </w:tc>
      </w:tr>
      <w:tr>
        <w:trPr/>
        <w:tc>
          <w:tcPr>
            <w:tcW w:w="1415" w:type="dxa"/>
            <w:tcBorders/>
          </w:tcPr>
          <w:p>
            <w:pPr>
              <w:pStyle w:val="TableContents"/>
              <w:bidi w:val="0"/>
              <w:spacing w:before="0" w:after="0"/>
              <w:jc w:val="left"/>
              <w:rPr>
                <w:rFonts w:ascii="Times New Roman" w:hAnsi="Times New Roman"/>
                <w:sz w:val="20"/>
              </w:rPr>
            </w:pPr>
            <w:r>
              <w:rPr>
                <w:rFonts w:ascii="Times New Roman" w:hAnsi="Times New Roman"/>
                <w:sz w:val="20"/>
              </w:rPr>
              <w:t>SECTION 11.07.</w:t>
            </w:r>
          </w:p>
        </w:tc>
        <w:tc>
          <w:tcPr>
            <w:tcW w:w="67" w:type="dxa"/>
            <w:tcBorders/>
            <w:vAlign w:val="bottom"/>
          </w:tcPr>
          <w:p>
            <w:pPr>
              <w:pStyle w:val="TableContents"/>
              <w:bidi w:val="0"/>
              <w:spacing w:before="0" w:after="283"/>
              <w:jc w:val="left"/>
              <w:rPr/>
            </w:pPr>
            <w:r>
              <w:rPr/>
              <w:t> </w:t>
            </w:r>
          </w:p>
        </w:tc>
        <w:tc>
          <w:tcPr>
            <w:tcW w:w="8216" w:type="dxa"/>
            <w:tcBorders/>
            <w:vAlign w:val="bottom"/>
          </w:tcPr>
          <w:p>
            <w:pPr>
              <w:pStyle w:val="TableContents"/>
              <w:bidi w:val="0"/>
              <w:spacing w:before="0" w:after="283"/>
              <w:jc w:val="left"/>
              <w:rPr/>
            </w:pPr>
            <w:r>
              <w:rPr/>
              <w:t>Securities Redeemed in Part</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80</w:t>
            </w:r>
          </w:p>
        </w:tc>
        <w:tc>
          <w:tcPr>
            <w:tcW w:w="62" w:type="dxa"/>
            <w:tcBorders/>
            <w:vAlign w:val="bottom"/>
          </w:tcPr>
          <w:p>
            <w:pPr>
              <w:pStyle w:val="TableContents"/>
              <w:bidi w:val="0"/>
              <w:spacing w:before="0" w:after="283"/>
              <w:jc w:val="left"/>
              <w:rPr/>
            </w:pPr>
            <w:r>
              <w:rPr/>
              <w:t> </w:t>
            </w:r>
          </w:p>
        </w:tc>
      </w:tr>
      <w:tr>
        <w:trPr/>
        <w:tc>
          <w:tcPr>
            <w:tcW w:w="1415" w:type="dxa"/>
            <w:tcBorders/>
          </w:tcPr>
          <w:p>
            <w:pPr>
              <w:pStyle w:val="TableContents"/>
              <w:bidi w:val="0"/>
              <w:spacing w:before="0" w:after="0"/>
              <w:jc w:val="left"/>
              <w:rPr>
                <w:rFonts w:ascii="Times New Roman" w:hAnsi="Times New Roman"/>
                <w:sz w:val="20"/>
              </w:rPr>
            </w:pPr>
            <w:r>
              <w:rPr>
                <w:rFonts w:ascii="Times New Roman" w:hAnsi="Times New Roman"/>
                <w:sz w:val="20"/>
              </w:rPr>
              <w:t>SECTION 11.08.</w:t>
            </w:r>
          </w:p>
        </w:tc>
        <w:tc>
          <w:tcPr>
            <w:tcW w:w="67" w:type="dxa"/>
            <w:tcBorders/>
            <w:vAlign w:val="bottom"/>
          </w:tcPr>
          <w:p>
            <w:pPr>
              <w:pStyle w:val="TableContents"/>
              <w:bidi w:val="0"/>
              <w:spacing w:before="0" w:after="283"/>
              <w:jc w:val="left"/>
              <w:rPr/>
            </w:pPr>
            <w:r>
              <w:rPr/>
              <w:t> </w:t>
            </w:r>
          </w:p>
        </w:tc>
        <w:tc>
          <w:tcPr>
            <w:tcW w:w="8216" w:type="dxa"/>
            <w:tcBorders/>
            <w:vAlign w:val="bottom"/>
          </w:tcPr>
          <w:p>
            <w:pPr>
              <w:pStyle w:val="TableContents"/>
              <w:bidi w:val="0"/>
              <w:spacing w:before="0" w:after="283"/>
              <w:jc w:val="left"/>
              <w:rPr/>
            </w:pPr>
            <w:r>
              <w:rPr/>
              <w:t>Securities No Longer Outstanding After Notice to Trustee and Deposit of Money</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80</w:t>
            </w:r>
          </w:p>
        </w:tc>
        <w:tc>
          <w:tcPr>
            <w:tcW w:w="62" w:type="dxa"/>
            <w:tcBorders/>
            <w:vAlign w:val="bottom"/>
          </w:tcPr>
          <w:p>
            <w:pPr>
              <w:pStyle w:val="TableContents"/>
              <w:bidi w:val="0"/>
              <w:spacing w:before="0" w:after="283"/>
              <w:jc w:val="left"/>
              <w:rPr/>
            </w:pPr>
            <w:r>
              <w:rPr/>
              <w:t> </w:t>
            </w:r>
          </w:p>
        </w:tc>
      </w:tr>
      <w:tr>
        <w:trPr/>
        <w:tc>
          <w:tcPr>
            <w:tcW w:w="1415" w:type="dxa"/>
            <w:tcBorders/>
          </w:tcPr>
          <w:p>
            <w:pPr>
              <w:pStyle w:val="TableContents"/>
              <w:bidi w:val="0"/>
              <w:spacing w:before="0" w:after="0"/>
              <w:jc w:val="left"/>
              <w:rPr>
                <w:rFonts w:ascii="Times New Roman" w:hAnsi="Times New Roman"/>
                <w:sz w:val="20"/>
              </w:rPr>
            </w:pPr>
            <w:r>
              <w:rPr>
                <w:rFonts w:ascii="Times New Roman" w:hAnsi="Times New Roman"/>
                <w:sz w:val="20"/>
              </w:rPr>
              <w:t>SECTION 11.09.</w:t>
            </w:r>
          </w:p>
        </w:tc>
        <w:tc>
          <w:tcPr>
            <w:tcW w:w="67" w:type="dxa"/>
            <w:tcBorders/>
            <w:vAlign w:val="bottom"/>
          </w:tcPr>
          <w:p>
            <w:pPr>
              <w:pStyle w:val="TableContents"/>
              <w:bidi w:val="0"/>
              <w:spacing w:before="0" w:after="283"/>
              <w:jc w:val="left"/>
              <w:rPr/>
            </w:pPr>
            <w:r>
              <w:rPr/>
              <w:t> </w:t>
            </w:r>
          </w:p>
        </w:tc>
        <w:tc>
          <w:tcPr>
            <w:tcW w:w="8216" w:type="dxa"/>
            <w:tcBorders/>
            <w:vAlign w:val="bottom"/>
          </w:tcPr>
          <w:p>
            <w:pPr>
              <w:pStyle w:val="TableContents"/>
              <w:bidi w:val="0"/>
              <w:spacing w:before="0" w:after="283"/>
              <w:jc w:val="left"/>
              <w:rPr/>
            </w:pPr>
            <w:r>
              <w:rPr/>
              <w:t>Other Purchases</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81</w:t>
            </w:r>
          </w:p>
        </w:tc>
        <w:tc>
          <w:tcPr>
            <w:tcW w:w="62"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3" w:type="dxa"/>
            <w:gridSpan w:val="6"/>
            <w:tcBorders/>
          </w:tcPr>
          <w:p>
            <w:pPr>
              <w:pStyle w:val="TableContents"/>
              <w:bidi w:val="0"/>
              <w:spacing w:before="0" w:after="283"/>
              <w:jc w:val="center"/>
              <w:rPr>
                <w:b/>
              </w:rPr>
            </w:pPr>
            <w:r>
              <w:rPr>
                <w:b/>
              </w:rPr>
              <w:t>ARTICLE TWELVE</w:t>
            </w:r>
          </w:p>
        </w:tc>
        <w:tc>
          <w:tcPr>
            <w:tcW w:w="62"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3" w:type="dxa"/>
            <w:gridSpan w:val="6"/>
            <w:tcBorders/>
          </w:tcPr>
          <w:p>
            <w:pPr>
              <w:pStyle w:val="TableContents"/>
              <w:bidi w:val="0"/>
              <w:spacing w:before="0" w:after="283"/>
              <w:jc w:val="center"/>
              <w:rPr>
                <w:b/>
              </w:rPr>
            </w:pPr>
            <w:r>
              <w:rPr>
                <w:b/>
              </w:rPr>
              <w:t>GUARANTEES</w:t>
            </w:r>
          </w:p>
        </w:tc>
        <w:tc>
          <w:tcPr>
            <w:tcW w:w="62" w:type="dxa"/>
            <w:tcBorders/>
          </w:tcPr>
          <w:p>
            <w:pPr>
              <w:pStyle w:val="TableContents"/>
              <w:bidi w:val="0"/>
              <w:spacing w:before="0" w:after="0"/>
              <w:jc w:val="left"/>
              <w:rPr/>
            </w:pPr>
            <w:r>
              <w:rPr/>
              <w:t> </w:t>
            </w:r>
          </w:p>
        </w:tc>
      </w:tr>
      <w:tr>
        <w:trPr>
          <w:trHeight w:val="120" w:hRule="atLeast"/>
        </w:trPr>
        <w:tc>
          <w:tcPr>
            <w:tcW w:w="1415" w:type="dxa"/>
            <w:tcBorders/>
            <w:vAlign w:val="center"/>
          </w:tcPr>
          <w:p>
            <w:pPr>
              <w:pStyle w:val="TableContents"/>
              <w:bidi w:val="0"/>
              <w:spacing w:before="0" w:after="283"/>
              <w:jc w:val="left"/>
              <w:rPr>
                <w:sz w:val="4"/>
                <w:szCs w:val="4"/>
              </w:rPr>
            </w:pPr>
            <w:r>
              <w:rPr>
                <w:sz w:val="4"/>
                <w:szCs w:val="4"/>
              </w:rPr>
            </w:r>
          </w:p>
        </w:tc>
        <w:tc>
          <w:tcPr>
            <w:tcW w:w="8283" w:type="dxa"/>
            <w:gridSpan w:val="2"/>
            <w:tcBorders/>
            <w:vAlign w:val="center"/>
          </w:tcPr>
          <w:p>
            <w:pPr>
              <w:pStyle w:val="TableContents"/>
              <w:bidi w:val="0"/>
              <w:spacing w:before="0" w:after="283"/>
              <w:jc w:val="left"/>
              <w:rPr>
                <w:sz w:val="4"/>
                <w:szCs w:val="4"/>
              </w:rPr>
            </w:pPr>
            <w:r>
              <w:rPr>
                <w:sz w:val="4"/>
                <w:szCs w:val="4"/>
              </w:rPr>
            </w:r>
          </w:p>
        </w:tc>
        <w:tc>
          <w:tcPr>
            <w:tcW w:w="507" w:type="dxa"/>
            <w:gridSpan w:val="4"/>
            <w:tcBorders/>
            <w:vAlign w:val="center"/>
          </w:tcPr>
          <w:p>
            <w:pPr>
              <w:pStyle w:val="TableContents"/>
              <w:bidi w:val="0"/>
              <w:spacing w:before="0" w:after="283"/>
              <w:jc w:val="left"/>
              <w:rPr>
                <w:sz w:val="4"/>
                <w:szCs w:val="4"/>
              </w:rPr>
            </w:pPr>
            <w:r>
              <w:rPr>
                <w:sz w:val="4"/>
                <w:szCs w:val="4"/>
              </w:rPr>
            </w:r>
          </w:p>
        </w:tc>
      </w:tr>
      <w:tr>
        <w:trPr/>
        <w:tc>
          <w:tcPr>
            <w:tcW w:w="1415" w:type="dxa"/>
            <w:tcBorders/>
          </w:tcPr>
          <w:p>
            <w:pPr>
              <w:pStyle w:val="TableContents"/>
              <w:bidi w:val="0"/>
              <w:spacing w:before="0" w:after="0"/>
              <w:jc w:val="left"/>
              <w:rPr>
                <w:rFonts w:ascii="Times New Roman" w:hAnsi="Times New Roman"/>
                <w:sz w:val="20"/>
              </w:rPr>
            </w:pPr>
            <w:r>
              <w:rPr>
                <w:rFonts w:ascii="Times New Roman" w:hAnsi="Times New Roman"/>
                <w:sz w:val="20"/>
              </w:rPr>
              <w:t>SECTION 12.01.</w:t>
            </w:r>
          </w:p>
        </w:tc>
        <w:tc>
          <w:tcPr>
            <w:tcW w:w="67" w:type="dxa"/>
            <w:tcBorders/>
            <w:vAlign w:val="bottom"/>
          </w:tcPr>
          <w:p>
            <w:pPr>
              <w:pStyle w:val="TableContents"/>
              <w:bidi w:val="0"/>
              <w:spacing w:before="0" w:after="283"/>
              <w:jc w:val="left"/>
              <w:rPr/>
            </w:pPr>
            <w:r>
              <w:rPr/>
              <w:t> </w:t>
            </w:r>
          </w:p>
        </w:tc>
        <w:tc>
          <w:tcPr>
            <w:tcW w:w="8216" w:type="dxa"/>
            <w:tcBorders/>
            <w:vAlign w:val="bottom"/>
          </w:tcPr>
          <w:p>
            <w:pPr>
              <w:pStyle w:val="TableContents"/>
              <w:bidi w:val="0"/>
              <w:spacing w:before="0" w:after="283"/>
              <w:jc w:val="left"/>
              <w:rPr/>
            </w:pPr>
            <w:r>
              <w:rPr/>
              <w:t>Guarantee</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81</w:t>
            </w:r>
          </w:p>
        </w:tc>
        <w:tc>
          <w:tcPr>
            <w:tcW w:w="62" w:type="dxa"/>
            <w:tcBorders/>
            <w:vAlign w:val="bottom"/>
          </w:tcPr>
          <w:p>
            <w:pPr>
              <w:pStyle w:val="TableContents"/>
              <w:bidi w:val="0"/>
              <w:spacing w:before="0" w:after="283"/>
              <w:jc w:val="left"/>
              <w:rPr/>
            </w:pPr>
            <w:r>
              <w:rPr/>
              <w:t> </w:t>
            </w:r>
          </w:p>
        </w:tc>
      </w:tr>
      <w:tr>
        <w:trPr/>
        <w:tc>
          <w:tcPr>
            <w:tcW w:w="1415" w:type="dxa"/>
            <w:tcBorders/>
          </w:tcPr>
          <w:p>
            <w:pPr>
              <w:pStyle w:val="TableContents"/>
              <w:bidi w:val="0"/>
              <w:spacing w:before="0" w:after="0"/>
              <w:jc w:val="left"/>
              <w:rPr>
                <w:rFonts w:ascii="Times New Roman" w:hAnsi="Times New Roman"/>
                <w:sz w:val="20"/>
              </w:rPr>
            </w:pPr>
            <w:r>
              <w:rPr>
                <w:rFonts w:ascii="Times New Roman" w:hAnsi="Times New Roman"/>
                <w:sz w:val="20"/>
              </w:rPr>
              <w:t>SECTION 12.02.</w:t>
            </w:r>
          </w:p>
        </w:tc>
        <w:tc>
          <w:tcPr>
            <w:tcW w:w="67" w:type="dxa"/>
            <w:tcBorders/>
            <w:vAlign w:val="bottom"/>
          </w:tcPr>
          <w:p>
            <w:pPr>
              <w:pStyle w:val="TableContents"/>
              <w:bidi w:val="0"/>
              <w:spacing w:before="0" w:after="283"/>
              <w:jc w:val="left"/>
              <w:rPr/>
            </w:pPr>
            <w:r>
              <w:rPr/>
              <w:t> </w:t>
            </w:r>
          </w:p>
        </w:tc>
        <w:tc>
          <w:tcPr>
            <w:tcW w:w="8216" w:type="dxa"/>
            <w:tcBorders/>
            <w:vAlign w:val="bottom"/>
          </w:tcPr>
          <w:p>
            <w:pPr>
              <w:pStyle w:val="TableContents"/>
              <w:bidi w:val="0"/>
              <w:spacing w:before="0" w:after="283"/>
              <w:jc w:val="left"/>
              <w:rPr/>
            </w:pPr>
            <w:r>
              <w:rPr/>
              <w:t>Execution and Delivery of Guarantee</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82</w:t>
            </w:r>
          </w:p>
        </w:tc>
        <w:tc>
          <w:tcPr>
            <w:tcW w:w="62"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3" w:type="dxa"/>
            <w:gridSpan w:val="6"/>
            <w:tcBorders/>
          </w:tcPr>
          <w:p>
            <w:pPr>
              <w:pStyle w:val="TableContents"/>
              <w:bidi w:val="0"/>
              <w:spacing w:before="0" w:after="283"/>
              <w:jc w:val="center"/>
              <w:rPr>
                <w:b/>
              </w:rPr>
            </w:pPr>
            <w:r>
              <w:rPr>
                <w:b/>
              </w:rPr>
              <w:t>ARTICLE THIRTEEN</w:t>
            </w:r>
          </w:p>
        </w:tc>
        <w:tc>
          <w:tcPr>
            <w:tcW w:w="62"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3" w:type="dxa"/>
            <w:gridSpan w:val="6"/>
            <w:tcBorders/>
          </w:tcPr>
          <w:p>
            <w:pPr>
              <w:pStyle w:val="TableContents"/>
              <w:bidi w:val="0"/>
              <w:spacing w:before="0" w:after="283"/>
              <w:jc w:val="center"/>
              <w:rPr>
                <w:b/>
              </w:rPr>
            </w:pPr>
            <w:r>
              <w:rPr>
                <w:b/>
              </w:rPr>
              <w:t>SINKING FUNDS</w:t>
            </w:r>
          </w:p>
        </w:tc>
        <w:tc>
          <w:tcPr>
            <w:tcW w:w="62" w:type="dxa"/>
            <w:tcBorders/>
          </w:tcPr>
          <w:p>
            <w:pPr>
              <w:pStyle w:val="TableContents"/>
              <w:bidi w:val="0"/>
              <w:spacing w:before="0" w:after="0"/>
              <w:jc w:val="left"/>
              <w:rPr/>
            </w:pPr>
            <w:r>
              <w:rPr/>
              <w:t> </w:t>
            </w:r>
          </w:p>
        </w:tc>
      </w:tr>
      <w:tr>
        <w:trPr>
          <w:trHeight w:val="120" w:hRule="atLeast"/>
        </w:trPr>
        <w:tc>
          <w:tcPr>
            <w:tcW w:w="1415" w:type="dxa"/>
            <w:tcBorders/>
            <w:vAlign w:val="center"/>
          </w:tcPr>
          <w:p>
            <w:pPr>
              <w:pStyle w:val="TableContents"/>
              <w:bidi w:val="0"/>
              <w:spacing w:before="0" w:after="283"/>
              <w:jc w:val="left"/>
              <w:rPr>
                <w:sz w:val="4"/>
                <w:szCs w:val="4"/>
              </w:rPr>
            </w:pPr>
            <w:r>
              <w:rPr>
                <w:sz w:val="4"/>
                <w:szCs w:val="4"/>
              </w:rPr>
            </w:r>
          </w:p>
        </w:tc>
        <w:tc>
          <w:tcPr>
            <w:tcW w:w="8283" w:type="dxa"/>
            <w:gridSpan w:val="2"/>
            <w:tcBorders/>
            <w:vAlign w:val="center"/>
          </w:tcPr>
          <w:p>
            <w:pPr>
              <w:pStyle w:val="TableContents"/>
              <w:bidi w:val="0"/>
              <w:spacing w:before="0" w:after="283"/>
              <w:jc w:val="left"/>
              <w:rPr>
                <w:sz w:val="4"/>
                <w:szCs w:val="4"/>
              </w:rPr>
            </w:pPr>
            <w:r>
              <w:rPr>
                <w:sz w:val="4"/>
                <w:szCs w:val="4"/>
              </w:rPr>
            </w:r>
          </w:p>
        </w:tc>
        <w:tc>
          <w:tcPr>
            <w:tcW w:w="507" w:type="dxa"/>
            <w:gridSpan w:val="4"/>
            <w:tcBorders/>
            <w:vAlign w:val="center"/>
          </w:tcPr>
          <w:p>
            <w:pPr>
              <w:pStyle w:val="TableContents"/>
              <w:bidi w:val="0"/>
              <w:spacing w:before="0" w:after="283"/>
              <w:jc w:val="left"/>
              <w:rPr>
                <w:sz w:val="4"/>
                <w:szCs w:val="4"/>
              </w:rPr>
            </w:pPr>
            <w:r>
              <w:rPr>
                <w:sz w:val="4"/>
                <w:szCs w:val="4"/>
              </w:rPr>
            </w:r>
          </w:p>
        </w:tc>
      </w:tr>
      <w:tr>
        <w:trPr/>
        <w:tc>
          <w:tcPr>
            <w:tcW w:w="1415" w:type="dxa"/>
            <w:tcBorders/>
          </w:tcPr>
          <w:p>
            <w:pPr>
              <w:pStyle w:val="TableContents"/>
              <w:bidi w:val="0"/>
              <w:spacing w:before="0" w:after="0"/>
              <w:jc w:val="left"/>
              <w:rPr>
                <w:rFonts w:ascii="Times New Roman" w:hAnsi="Times New Roman"/>
                <w:sz w:val="20"/>
              </w:rPr>
            </w:pPr>
            <w:r>
              <w:rPr>
                <w:rFonts w:ascii="Times New Roman" w:hAnsi="Times New Roman"/>
                <w:sz w:val="20"/>
              </w:rPr>
              <w:t>SECTION 13.01.</w:t>
            </w:r>
          </w:p>
        </w:tc>
        <w:tc>
          <w:tcPr>
            <w:tcW w:w="67" w:type="dxa"/>
            <w:tcBorders/>
            <w:vAlign w:val="bottom"/>
          </w:tcPr>
          <w:p>
            <w:pPr>
              <w:pStyle w:val="TableContents"/>
              <w:bidi w:val="0"/>
              <w:spacing w:before="0" w:after="283"/>
              <w:jc w:val="left"/>
              <w:rPr/>
            </w:pPr>
            <w:r>
              <w:rPr/>
              <w:t> </w:t>
            </w:r>
          </w:p>
        </w:tc>
        <w:tc>
          <w:tcPr>
            <w:tcW w:w="8216" w:type="dxa"/>
            <w:tcBorders/>
            <w:vAlign w:val="bottom"/>
          </w:tcPr>
          <w:p>
            <w:pPr>
              <w:pStyle w:val="TableContents"/>
              <w:bidi w:val="0"/>
              <w:spacing w:before="0" w:after="283"/>
              <w:jc w:val="left"/>
              <w:rPr/>
            </w:pPr>
            <w:r>
              <w:rPr/>
              <w:t>Applicability of Article</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83</w:t>
            </w:r>
          </w:p>
        </w:tc>
        <w:tc>
          <w:tcPr>
            <w:tcW w:w="62" w:type="dxa"/>
            <w:tcBorders/>
            <w:vAlign w:val="bottom"/>
          </w:tcPr>
          <w:p>
            <w:pPr>
              <w:pStyle w:val="TableContents"/>
              <w:bidi w:val="0"/>
              <w:spacing w:before="0" w:after="283"/>
              <w:jc w:val="left"/>
              <w:rPr/>
            </w:pPr>
            <w:r>
              <w:rPr/>
              <w:t> </w:t>
            </w:r>
          </w:p>
        </w:tc>
      </w:tr>
      <w:tr>
        <w:trPr/>
        <w:tc>
          <w:tcPr>
            <w:tcW w:w="1415" w:type="dxa"/>
            <w:tcBorders/>
          </w:tcPr>
          <w:p>
            <w:pPr>
              <w:pStyle w:val="TableContents"/>
              <w:bidi w:val="0"/>
              <w:spacing w:before="0" w:after="0"/>
              <w:jc w:val="left"/>
              <w:rPr>
                <w:rFonts w:ascii="Times New Roman" w:hAnsi="Times New Roman"/>
                <w:sz w:val="20"/>
              </w:rPr>
            </w:pPr>
            <w:r>
              <w:rPr>
                <w:rFonts w:ascii="Times New Roman" w:hAnsi="Times New Roman"/>
                <w:sz w:val="20"/>
              </w:rPr>
              <w:t>SECTION 13.02.</w:t>
            </w:r>
          </w:p>
        </w:tc>
        <w:tc>
          <w:tcPr>
            <w:tcW w:w="67" w:type="dxa"/>
            <w:tcBorders/>
            <w:vAlign w:val="bottom"/>
          </w:tcPr>
          <w:p>
            <w:pPr>
              <w:pStyle w:val="TableContents"/>
              <w:bidi w:val="0"/>
              <w:spacing w:before="0" w:after="283"/>
              <w:jc w:val="left"/>
              <w:rPr/>
            </w:pPr>
            <w:r>
              <w:rPr/>
              <w:t> </w:t>
            </w:r>
          </w:p>
        </w:tc>
        <w:tc>
          <w:tcPr>
            <w:tcW w:w="8216" w:type="dxa"/>
            <w:tcBorders/>
            <w:vAlign w:val="bottom"/>
          </w:tcPr>
          <w:p>
            <w:pPr>
              <w:pStyle w:val="TableContents"/>
              <w:bidi w:val="0"/>
              <w:spacing w:before="0" w:after="283"/>
              <w:jc w:val="left"/>
              <w:rPr/>
            </w:pPr>
            <w:r>
              <w:rPr/>
              <w:t>Satisfaction of Sinking Fund Payments with Securities</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83</w:t>
            </w:r>
          </w:p>
        </w:tc>
        <w:tc>
          <w:tcPr>
            <w:tcW w:w="62" w:type="dxa"/>
            <w:tcBorders/>
            <w:vAlign w:val="bottom"/>
          </w:tcPr>
          <w:p>
            <w:pPr>
              <w:pStyle w:val="TableContents"/>
              <w:bidi w:val="0"/>
              <w:spacing w:before="0" w:after="283"/>
              <w:jc w:val="left"/>
              <w:rPr/>
            </w:pPr>
            <w:r>
              <w:rPr/>
              <w:t> </w:t>
            </w:r>
          </w:p>
        </w:tc>
      </w:tr>
      <w:tr>
        <w:trPr/>
        <w:tc>
          <w:tcPr>
            <w:tcW w:w="1415" w:type="dxa"/>
            <w:tcBorders/>
          </w:tcPr>
          <w:p>
            <w:pPr>
              <w:pStyle w:val="TableContents"/>
              <w:bidi w:val="0"/>
              <w:spacing w:before="0" w:after="0"/>
              <w:jc w:val="left"/>
              <w:rPr>
                <w:rFonts w:ascii="Times New Roman" w:hAnsi="Times New Roman"/>
                <w:sz w:val="20"/>
              </w:rPr>
            </w:pPr>
            <w:r>
              <w:rPr>
                <w:rFonts w:ascii="Times New Roman" w:hAnsi="Times New Roman"/>
                <w:sz w:val="20"/>
              </w:rPr>
              <w:t>SECTION 13.03.</w:t>
            </w:r>
          </w:p>
        </w:tc>
        <w:tc>
          <w:tcPr>
            <w:tcW w:w="67" w:type="dxa"/>
            <w:tcBorders/>
            <w:vAlign w:val="bottom"/>
          </w:tcPr>
          <w:p>
            <w:pPr>
              <w:pStyle w:val="TableContents"/>
              <w:bidi w:val="0"/>
              <w:spacing w:before="0" w:after="283"/>
              <w:jc w:val="left"/>
              <w:rPr/>
            </w:pPr>
            <w:r>
              <w:rPr/>
              <w:t> </w:t>
            </w:r>
          </w:p>
        </w:tc>
        <w:tc>
          <w:tcPr>
            <w:tcW w:w="8216" w:type="dxa"/>
            <w:tcBorders/>
            <w:vAlign w:val="bottom"/>
          </w:tcPr>
          <w:p>
            <w:pPr>
              <w:pStyle w:val="TableContents"/>
              <w:bidi w:val="0"/>
              <w:spacing w:before="0" w:after="283"/>
              <w:jc w:val="left"/>
              <w:rPr/>
            </w:pPr>
            <w:r>
              <w:rPr/>
              <w:t>Redemption of Securities for Sinking Fund</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83</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-vi- </w:t>
      </w:r>
      <w:r>
        <w:br w:type="page"/>
      </w:r>
    </w:p>
    <w:p>
      <w:pPr>
        <w:pStyle w:val="HorizontalLine"/>
        <w:pBdr>
          <w:bottom w:val="double" w:sz="6" w:space="0" w:color="808080"/>
        </w:pBdr>
        <w:bidi w:val="0"/>
        <w:jc w:val="left"/>
        <w:rPr/>
      </w:pPr>
      <w:r>
        <w:rPr/>
      </w:r>
    </w:p>
    <w:tbl>
      <w:tblPr>
        <w:tblW w:w="10650" w:type="dxa"/>
        <w:jc w:val="center"/>
        <w:tblInd w:w="0" w:type="dxa"/>
        <w:tblLayout w:type="fixed"/>
        <w:tblCellMar>
          <w:top w:w="0" w:type="dxa"/>
          <w:left w:w="0" w:type="dxa"/>
          <w:bottom w:w="0" w:type="dxa"/>
          <w:right w:w="0" w:type="dxa"/>
        </w:tblCellMar>
      </w:tblPr>
      <w:tblGrid>
        <w:gridCol w:w="1340"/>
        <w:gridCol w:w="60"/>
        <w:gridCol w:w="8750"/>
        <w:gridCol w:w="120"/>
        <w:gridCol w:w="60"/>
        <w:gridCol w:w="260"/>
        <w:gridCol w:w="60"/>
      </w:tblGrid>
      <w:tr>
        <w:trPr/>
        <w:tc>
          <w:tcPr>
            <w:tcW w:w="134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75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10650" w:type="dxa"/>
            <w:gridSpan w:val="7"/>
            <w:tcBorders/>
            <w:vAlign w:val="center"/>
          </w:tcPr>
          <w:p>
            <w:pPr>
              <w:pStyle w:val="TableContents"/>
              <w:bidi w:val="0"/>
              <w:spacing w:before="0" w:after="283"/>
              <w:jc w:val="left"/>
              <w:rPr>
                <w:sz w:val="4"/>
                <w:szCs w:val="4"/>
              </w:rPr>
            </w:pPr>
            <w:r>
              <w:rPr>
                <w:sz w:val="4"/>
                <w:szCs w:val="4"/>
              </w:rPr>
            </w:r>
          </w:p>
        </w:tc>
      </w:tr>
      <w:tr>
        <w:trPr/>
        <w:tc>
          <w:tcPr>
            <w:tcW w:w="10590" w:type="dxa"/>
            <w:gridSpan w:val="6"/>
            <w:tcBorders/>
          </w:tcPr>
          <w:p>
            <w:pPr>
              <w:pStyle w:val="TableContents"/>
              <w:bidi w:val="0"/>
              <w:spacing w:before="0" w:after="283"/>
              <w:jc w:val="center"/>
              <w:rPr>
                <w:b/>
              </w:rPr>
            </w:pPr>
            <w:r>
              <w:rPr>
                <w:b/>
              </w:rPr>
              <w:t>ARTICLE FOURTEEN</w:t>
            </w:r>
          </w:p>
        </w:tc>
        <w:tc>
          <w:tcPr>
            <w:tcW w:w="60" w:type="dxa"/>
            <w:tcBorders/>
          </w:tcPr>
          <w:p>
            <w:pPr>
              <w:pStyle w:val="TableContents"/>
              <w:bidi w:val="0"/>
              <w:spacing w:before="0" w:after="0"/>
              <w:jc w:val="left"/>
              <w:rPr/>
            </w:pPr>
            <w:r>
              <w:rPr/>
              <w:t> </w:t>
            </w:r>
          </w:p>
        </w:tc>
      </w:tr>
      <w:tr>
        <w:trPr>
          <w:trHeight w:val="120" w:hRule="atLeast"/>
        </w:trPr>
        <w:tc>
          <w:tcPr>
            <w:tcW w:w="10650" w:type="dxa"/>
            <w:gridSpan w:val="7"/>
            <w:tcBorders/>
            <w:vAlign w:val="center"/>
          </w:tcPr>
          <w:p>
            <w:pPr>
              <w:pStyle w:val="TableContents"/>
              <w:bidi w:val="0"/>
              <w:spacing w:before="0" w:after="283"/>
              <w:jc w:val="left"/>
              <w:rPr>
                <w:sz w:val="4"/>
                <w:szCs w:val="4"/>
              </w:rPr>
            </w:pPr>
            <w:r>
              <w:rPr>
                <w:sz w:val="4"/>
                <w:szCs w:val="4"/>
              </w:rPr>
            </w:r>
          </w:p>
        </w:tc>
      </w:tr>
      <w:tr>
        <w:trPr/>
        <w:tc>
          <w:tcPr>
            <w:tcW w:w="10590" w:type="dxa"/>
            <w:gridSpan w:val="6"/>
            <w:tcBorders/>
          </w:tcPr>
          <w:p>
            <w:pPr>
              <w:pStyle w:val="TableContents"/>
              <w:bidi w:val="0"/>
              <w:spacing w:before="0" w:after="283"/>
              <w:jc w:val="center"/>
              <w:rPr>
                <w:b/>
              </w:rPr>
            </w:pPr>
            <w:r>
              <w:rPr>
                <w:b/>
              </w:rPr>
              <w:t>DEFEASANCE AND COVENANT DEFEASANCE</w:t>
            </w:r>
          </w:p>
        </w:tc>
        <w:tc>
          <w:tcPr>
            <w:tcW w:w="60" w:type="dxa"/>
            <w:tcBorders/>
          </w:tcPr>
          <w:p>
            <w:pPr>
              <w:pStyle w:val="TableContents"/>
              <w:bidi w:val="0"/>
              <w:spacing w:before="0" w:after="0"/>
              <w:jc w:val="left"/>
              <w:rPr/>
            </w:pPr>
            <w:r>
              <w:rPr/>
              <w:t> </w:t>
            </w:r>
          </w:p>
        </w:tc>
      </w:tr>
      <w:tr>
        <w:trPr>
          <w:trHeight w:val="120" w:hRule="atLeast"/>
        </w:trPr>
        <w:tc>
          <w:tcPr>
            <w:tcW w:w="1340" w:type="dxa"/>
            <w:tcBorders/>
            <w:vAlign w:val="center"/>
          </w:tcPr>
          <w:p>
            <w:pPr>
              <w:pStyle w:val="TableContents"/>
              <w:bidi w:val="0"/>
              <w:spacing w:before="0" w:after="283"/>
              <w:jc w:val="left"/>
              <w:rPr>
                <w:sz w:val="4"/>
                <w:szCs w:val="4"/>
              </w:rPr>
            </w:pPr>
            <w:r>
              <w:rPr>
                <w:sz w:val="4"/>
                <w:szCs w:val="4"/>
              </w:rPr>
            </w:r>
          </w:p>
        </w:tc>
        <w:tc>
          <w:tcPr>
            <w:tcW w:w="8810"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340" w:type="dxa"/>
            <w:tcBorders/>
          </w:tcPr>
          <w:p>
            <w:pPr>
              <w:pStyle w:val="TableContents"/>
              <w:bidi w:val="0"/>
              <w:spacing w:before="0" w:after="0"/>
              <w:jc w:val="left"/>
              <w:rPr>
                <w:rFonts w:ascii="Times New Roman" w:hAnsi="Times New Roman"/>
                <w:sz w:val="20"/>
              </w:rPr>
            </w:pPr>
            <w:r>
              <w:rPr>
                <w:rFonts w:ascii="Times New Roman" w:hAnsi="Times New Roman"/>
                <w:sz w:val="20"/>
              </w:rPr>
              <w:t>SECTION 14.01.</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r>
              <w:rPr/>
              <w:t>Company’s and Guarantor’s Option to Effect Legal Defeasance or Covenant Defeasance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84</w:t>
            </w:r>
          </w:p>
        </w:tc>
        <w:tc>
          <w:tcPr>
            <w:tcW w:w="60" w:type="dxa"/>
            <w:tcBorders/>
            <w:vAlign w:val="bottom"/>
          </w:tcPr>
          <w:p>
            <w:pPr>
              <w:pStyle w:val="TableContents"/>
              <w:bidi w:val="0"/>
              <w:spacing w:before="0" w:after="283"/>
              <w:jc w:val="left"/>
              <w:rPr/>
            </w:pPr>
            <w:r>
              <w:rPr/>
              <w:t> </w:t>
            </w:r>
          </w:p>
        </w:tc>
      </w:tr>
      <w:tr>
        <w:trPr/>
        <w:tc>
          <w:tcPr>
            <w:tcW w:w="1340" w:type="dxa"/>
            <w:tcBorders/>
          </w:tcPr>
          <w:p>
            <w:pPr>
              <w:pStyle w:val="TableContents"/>
              <w:bidi w:val="0"/>
              <w:spacing w:before="0" w:after="0"/>
              <w:jc w:val="left"/>
              <w:rPr>
                <w:rFonts w:ascii="Times New Roman" w:hAnsi="Times New Roman"/>
                <w:sz w:val="20"/>
              </w:rPr>
            </w:pPr>
            <w:r>
              <w:rPr>
                <w:rFonts w:ascii="Times New Roman" w:hAnsi="Times New Roman"/>
                <w:sz w:val="20"/>
              </w:rPr>
              <w:t>SECTION 14.02.</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r>
              <w:rPr/>
              <w:t>Defeasance and Discharge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84</w:t>
            </w:r>
          </w:p>
        </w:tc>
        <w:tc>
          <w:tcPr>
            <w:tcW w:w="60" w:type="dxa"/>
            <w:tcBorders/>
            <w:vAlign w:val="bottom"/>
          </w:tcPr>
          <w:p>
            <w:pPr>
              <w:pStyle w:val="TableContents"/>
              <w:bidi w:val="0"/>
              <w:spacing w:before="0" w:after="283"/>
              <w:jc w:val="left"/>
              <w:rPr/>
            </w:pPr>
            <w:r>
              <w:rPr/>
              <w:t> </w:t>
            </w:r>
          </w:p>
        </w:tc>
      </w:tr>
      <w:tr>
        <w:trPr/>
        <w:tc>
          <w:tcPr>
            <w:tcW w:w="1340" w:type="dxa"/>
            <w:tcBorders/>
          </w:tcPr>
          <w:p>
            <w:pPr>
              <w:pStyle w:val="TableContents"/>
              <w:bidi w:val="0"/>
              <w:spacing w:before="0" w:after="0"/>
              <w:jc w:val="left"/>
              <w:rPr>
                <w:rFonts w:ascii="Times New Roman" w:hAnsi="Times New Roman"/>
                <w:sz w:val="20"/>
              </w:rPr>
            </w:pPr>
            <w:r>
              <w:rPr>
                <w:rFonts w:ascii="Times New Roman" w:hAnsi="Times New Roman"/>
                <w:sz w:val="20"/>
              </w:rPr>
              <w:t>SECTION 14.03.</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r>
              <w:rPr/>
              <w:t>Covenant Defeasance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85</w:t>
            </w:r>
          </w:p>
        </w:tc>
        <w:tc>
          <w:tcPr>
            <w:tcW w:w="60" w:type="dxa"/>
            <w:tcBorders/>
            <w:vAlign w:val="bottom"/>
          </w:tcPr>
          <w:p>
            <w:pPr>
              <w:pStyle w:val="TableContents"/>
              <w:bidi w:val="0"/>
              <w:spacing w:before="0" w:after="283"/>
              <w:jc w:val="left"/>
              <w:rPr/>
            </w:pPr>
            <w:r>
              <w:rPr/>
              <w:t> </w:t>
            </w:r>
          </w:p>
        </w:tc>
      </w:tr>
      <w:tr>
        <w:trPr/>
        <w:tc>
          <w:tcPr>
            <w:tcW w:w="1340" w:type="dxa"/>
            <w:tcBorders/>
          </w:tcPr>
          <w:p>
            <w:pPr>
              <w:pStyle w:val="TableContents"/>
              <w:bidi w:val="0"/>
              <w:spacing w:before="0" w:after="0"/>
              <w:jc w:val="left"/>
              <w:rPr>
                <w:rFonts w:ascii="Times New Roman" w:hAnsi="Times New Roman"/>
                <w:sz w:val="20"/>
              </w:rPr>
            </w:pPr>
            <w:r>
              <w:rPr>
                <w:rFonts w:ascii="Times New Roman" w:hAnsi="Times New Roman"/>
                <w:sz w:val="20"/>
              </w:rPr>
              <w:t>SECTION 14.04.</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r>
              <w:rPr/>
              <w:t>Conditions to Legal Defeasance or Covenant Defeasance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85</w:t>
            </w:r>
          </w:p>
        </w:tc>
        <w:tc>
          <w:tcPr>
            <w:tcW w:w="60" w:type="dxa"/>
            <w:tcBorders/>
            <w:vAlign w:val="bottom"/>
          </w:tcPr>
          <w:p>
            <w:pPr>
              <w:pStyle w:val="TableContents"/>
              <w:bidi w:val="0"/>
              <w:spacing w:before="0" w:after="283"/>
              <w:jc w:val="left"/>
              <w:rPr/>
            </w:pPr>
            <w:r>
              <w:rPr/>
              <w:t> </w:t>
            </w:r>
          </w:p>
        </w:tc>
      </w:tr>
      <w:tr>
        <w:trPr/>
        <w:tc>
          <w:tcPr>
            <w:tcW w:w="1340" w:type="dxa"/>
            <w:tcBorders/>
          </w:tcPr>
          <w:p>
            <w:pPr>
              <w:pStyle w:val="TableContents"/>
              <w:bidi w:val="0"/>
              <w:spacing w:before="0" w:after="0"/>
              <w:jc w:val="left"/>
              <w:rPr>
                <w:rFonts w:ascii="Times New Roman" w:hAnsi="Times New Roman"/>
                <w:sz w:val="20"/>
              </w:rPr>
            </w:pPr>
            <w:r>
              <w:rPr>
                <w:rFonts w:ascii="Times New Roman" w:hAnsi="Times New Roman"/>
                <w:sz w:val="20"/>
              </w:rPr>
              <w:t>SECTION 14.05.</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r>
              <w:rPr/>
              <w:t>Deposited Money and Government Securities to Be Held in Trust; Miscellaneous Provisions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87</w:t>
            </w:r>
          </w:p>
        </w:tc>
        <w:tc>
          <w:tcPr>
            <w:tcW w:w="60" w:type="dxa"/>
            <w:tcBorders/>
            <w:vAlign w:val="bottom"/>
          </w:tcPr>
          <w:p>
            <w:pPr>
              <w:pStyle w:val="TableContents"/>
              <w:bidi w:val="0"/>
              <w:spacing w:before="0" w:after="283"/>
              <w:jc w:val="left"/>
              <w:rPr/>
            </w:pPr>
            <w:r>
              <w:rPr/>
              <w:t> </w:t>
            </w:r>
          </w:p>
        </w:tc>
      </w:tr>
      <w:tr>
        <w:trPr/>
        <w:tc>
          <w:tcPr>
            <w:tcW w:w="1340" w:type="dxa"/>
            <w:tcBorders/>
          </w:tcPr>
          <w:p>
            <w:pPr>
              <w:pStyle w:val="TableContents"/>
              <w:bidi w:val="0"/>
              <w:spacing w:before="0" w:after="0"/>
              <w:jc w:val="left"/>
              <w:rPr>
                <w:rFonts w:ascii="Times New Roman" w:hAnsi="Times New Roman"/>
                <w:sz w:val="20"/>
              </w:rPr>
            </w:pPr>
            <w:r>
              <w:rPr>
                <w:rFonts w:ascii="Times New Roman" w:hAnsi="Times New Roman"/>
                <w:sz w:val="20"/>
              </w:rPr>
              <w:t>SECTION 14.06.</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r>
              <w:rPr/>
              <w:t>Reinstatement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87</w:t>
            </w:r>
          </w:p>
        </w:tc>
        <w:tc>
          <w:tcPr>
            <w:tcW w:w="60" w:type="dxa"/>
            <w:tcBorders/>
            <w:vAlign w:val="bottom"/>
          </w:tcPr>
          <w:p>
            <w:pPr>
              <w:pStyle w:val="TableContents"/>
              <w:bidi w:val="0"/>
              <w:spacing w:before="0" w:after="283"/>
              <w:jc w:val="left"/>
              <w:rPr/>
            </w:pPr>
            <w:r>
              <w:rPr/>
              <w:t> </w:t>
            </w:r>
          </w:p>
        </w:tc>
      </w:tr>
      <w:tr>
        <w:trPr>
          <w:trHeight w:val="120" w:hRule="atLeast"/>
        </w:trPr>
        <w:tc>
          <w:tcPr>
            <w:tcW w:w="10650" w:type="dxa"/>
            <w:gridSpan w:val="7"/>
            <w:tcBorders/>
            <w:vAlign w:val="center"/>
          </w:tcPr>
          <w:p>
            <w:pPr>
              <w:pStyle w:val="TableContents"/>
              <w:bidi w:val="0"/>
              <w:spacing w:before="0" w:after="283"/>
              <w:jc w:val="left"/>
              <w:rPr>
                <w:sz w:val="4"/>
                <w:szCs w:val="4"/>
              </w:rPr>
            </w:pPr>
            <w:r>
              <w:rPr>
                <w:sz w:val="4"/>
                <w:szCs w:val="4"/>
              </w:rPr>
            </w:r>
          </w:p>
        </w:tc>
      </w:tr>
      <w:tr>
        <w:trPr/>
        <w:tc>
          <w:tcPr>
            <w:tcW w:w="10590" w:type="dxa"/>
            <w:gridSpan w:val="6"/>
            <w:tcBorders/>
          </w:tcPr>
          <w:p>
            <w:pPr>
              <w:pStyle w:val="TableContents"/>
              <w:bidi w:val="0"/>
              <w:spacing w:before="0" w:after="283"/>
              <w:jc w:val="center"/>
              <w:rPr>
                <w:b/>
              </w:rPr>
            </w:pPr>
            <w:r>
              <w:rPr>
                <w:b/>
              </w:rPr>
              <w:t>ARTICLE FIFTEEN</w:t>
            </w:r>
          </w:p>
        </w:tc>
        <w:tc>
          <w:tcPr>
            <w:tcW w:w="60" w:type="dxa"/>
            <w:tcBorders/>
          </w:tcPr>
          <w:p>
            <w:pPr>
              <w:pStyle w:val="TableContents"/>
              <w:bidi w:val="0"/>
              <w:spacing w:before="0" w:after="0"/>
              <w:jc w:val="left"/>
              <w:rPr/>
            </w:pPr>
            <w:r>
              <w:rPr/>
              <w:t> </w:t>
            </w:r>
          </w:p>
        </w:tc>
      </w:tr>
      <w:tr>
        <w:trPr>
          <w:trHeight w:val="120" w:hRule="atLeast"/>
        </w:trPr>
        <w:tc>
          <w:tcPr>
            <w:tcW w:w="10650" w:type="dxa"/>
            <w:gridSpan w:val="7"/>
            <w:tcBorders/>
            <w:vAlign w:val="center"/>
          </w:tcPr>
          <w:p>
            <w:pPr>
              <w:pStyle w:val="TableContents"/>
              <w:bidi w:val="0"/>
              <w:spacing w:before="0" w:after="283"/>
              <w:jc w:val="left"/>
              <w:rPr>
                <w:sz w:val="4"/>
                <w:szCs w:val="4"/>
              </w:rPr>
            </w:pPr>
            <w:r>
              <w:rPr>
                <w:sz w:val="4"/>
                <w:szCs w:val="4"/>
              </w:rPr>
            </w:r>
          </w:p>
        </w:tc>
      </w:tr>
      <w:tr>
        <w:trPr/>
        <w:tc>
          <w:tcPr>
            <w:tcW w:w="10590" w:type="dxa"/>
            <w:gridSpan w:val="6"/>
            <w:tcBorders/>
          </w:tcPr>
          <w:p>
            <w:pPr>
              <w:pStyle w:val="TableContents"/>
              <w:bidi w:val="0"/>
              <w:spacing w:before="0" w:after="283"/>
              <w:jc w:val="center"/>
              <w:rPr>
                <w:b/>
              </w:rPr>
            </w:pPr>
            <w:r>
              <w:rPr>
                <w:b/>
              </w:rPr>
              <w:t>MISCELLANEOUS</w:t>
            </w:r>
          </w:p>
        </w:tc>
        <w:tc>
          <w:tcPr>
            <w:tcW w:w="60" w:type="dxa"/>
            <w:tcBorders/>
          </w:tcPr>
          <w:p>
            <w:pPr>
              <w:pStyle w:val="TableContents"/>
              <w:bidi w:val="0"/>
              <w:spacing w:before="0" w:after="0"/>
              <w:jc w:val="left"/>
              <w:rPr/>
            </w:pPr>
            <w:r>
              <w:rPr/>
              <w:t> </w:t>
            </w:r>
          </w:p>
        </w:tc>
      </w:tr>
      <w:tr>
        <w:trPr>
          <w:trHeight w:val="120" w:hRule="atLeast"/>
        </w:trPr>
        <w:tc>
          <w:tcPr>
            <w:tcW w:w="1340" w:type="dxa"/>
            <w:tcBorders/>
            <w:vAlign w:val="center"/>
          </w:tcPr>
          <w:p>
            <w:pPr>
              <w:pStyle w:val="TableContents"/>
              <w:bidi w:val="0"/>
              <w:spacing w:before="0" w:after="283"/>
              <w:jc w:val="left"/>
              <w:rPr>
                <w:sz w:val="4"/>
                <w:szCs w:val="4"/>
              </w:rPr>
            </w:pPr>
            <w:r>
              <w:rPr>
                <w:sz w:val="4"/>
                <w:szCs w:val="4"/>
              </w:rPr>
            </w:r>
          </w:p>
        </w:tc>
        <w:tc>
          <w:tcPr>
            <w:tcW w:w="8810"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340" w:type="dxa"/>
            <w:tcBorders/>
          </w:tcPr>
          <w:p>
            <w:pPr>
              <w:pStyle w:val="TableContents"/>
              <w:bidi w:val="0"/>
              <w:spacing w:before="0" w:after="0"/>
              <w:jc w:val="left"/>
              <w:rPr>
                <w:rFonts w:ascii="Times New Roman" w:hAnsi="Times New Roman"/>
                <w:sz w:val="20"/>
              </w:rPr>
            </w:pPr>
            <w:r>
              <w:rPr>
                <w:rFonts w:ascii="Times New Roman" w:hAnsi="Times New Roman"/>
                <w:sz w:val="20"/>
              </w:rPr>
              <w:t>SECTION 15.01.</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r>
              <w:rPr/>
              <w:t>Counterparts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88</w:t>
            </w:r>
          </w:p>
        </w:tc>
        <w:tc>
          <w:tcPr>
            <w:tcW w:w="60" w:type="dxa"/>
            <w:tcBorders/>
            <w:vAlign w:val="bottom"/>
          </w:tcPr>
          <w:p>
            <w:pPr>
              <w:pStyle w:val="TableContents"/>
              <w:bidi w:val="0"/>
              <w:spacing w:before="0" w:after="283"/>
              <w:jc w:val="left"/>
              <w:rPr/>
            </w:pPr>
            <w:r>
              <w:rPr/>
              <w:t> </w:t>
            </w:r>
          </w:p>
        </w:tc>
      </w:tr>
      <w:tr>
        <w:trPr/>
        <w:tc>
          <w:tcPr>
            <w:tcW w:w="1340" w:type="dxa"/>
            <w:tcBorders/>
          </w:tcPr>
          <w:p>
            <w:pPr>
              <w:pStyle w:val="TableContents"/>
              <w:bidi w:val="0"/>
              <w:spacing w:before="0" w:after="0"/>
              <w:jc w:val="left"/>
              <w:rPr>
                <w:rFonts w:ascii="Times New Roman" w:hAnsi="Times New Roman"/>
                <w:sz w:val="20"/>
              </w:rPr>
            </w:pPr>
            <w:r>
              <w:rPr>
                <w:rFonts w:ascii="Times New Roman" w:hAnsi="Times New Roman"/>
                <w:sz w:val="20"/>
              </w:rPr>
              <w:t>SECTION 15.02.</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r>
              <w:rPr/>
              <w:t>Withholding</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88</w:t>
            </w:r>
          </w:p>
        </w:tc>
        <w:tc>
          <w:tcPr>
            <w:tcW w:w="60" w:type="dxa"/>
            <w:tcBorders/>
            <w:vAlign w:val="bottom"/>
          </w:tcPr>
          <w:p>
            <w:pPr>
              <w:pStyle w:val="TableContents"/>
              <w:bidi w:val="0"/>
              <w:spacing w:before="0" w:after="283"/>
              <w:jc w:val="left"/>
              <w:rPr/>
            </w:pPr>
            <w:r>
              <w:rPr/>
              <w:t> </w:t>
            </w:r>
          </w:p>
        </w:tc>
      </w:tr>
      <w:tr>
        <w:trPr/>
        <w:tc>
          <w:tcPr>
            <w:tcW w:w="1340" w:type="dxa"/>
            <w:tcBorders/>
          </w:tcPr>
          <w:p>
            <w:pPr>
              <w:pStyle w:val="TableContents"/>
              <w:bidi w:val="0"/>
              <w:spacing w:before="0" w:after="0"/>
              <w:jc w:val="left"/>
              <w:rPr>
                <w:rFonts w:ascii="Times New Roman" w:hAnsi="Times New Roman"/>
                <w:sz w:val="20"/>
              </w:rPr>
            </w:pPr>
            <w:r>
              <w:rPr>
                <w:rFonts w:ascii="Times New Roman" w:hAnsi="Times New Roman"/>
                <w:sz w:val="20"/>
              </w:rPr>
              <w:t>SECTION 15.03.</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r>
              <w:rPr/>
              <w:t>No Personal Liability of Directors, Officers, Employees and Stockholders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89</w:t>
            </w:r>
          </w:p>
        </w:tc>
        <w:tc>
          <w:tcPr>
            <w:tcW w:w="60" w:type="dxa"/>
            <w:tcBorders/>
            <w:vAlign w:val="bottom"/>
          </w:tcPr>
          <w:p>
            <w:pPr>
              <w:pStyle w:val="TableContents"/>
              <w:bidi w:val="0"/>
              <w:spacing w:before="0" w:after="283"/>
              <w:jc w:val="left"/>
              <w:rPr/>
            </w:pPr>
            <w:r>
              <w:rPr/>
              <w:t> </w:t>
            </w:r>
          </w:p>
        </w:tc>
      </w:tr>
      <w:tr>
        <w:trPr/>
        <w:tc>
          <w:tcPr>
            <w:tcW w:w="1340" w:type="dxa"/>
            <w:tcBorders/>
          </w:tcPr>
          <w:p>
            <w:pPr>
              <w:pStyle w:val="TableContents"/>
              <w:bidi w:val="0"/>
              <w:spacing w:before="0" w:after="0"/>
              <w:jc w:val="left"/>
              <w:rPr>
                <w:rFonts w:ascii="Times New Roman" w:hAnsi="Times New Roman"/>
                <w:sz w:val="20"/>
              </w:rPr>
            </w:pPr>
            <w:r>
              <w:rPr>
                <w:rFonts w:ascii="Times New Roman" w:hAnsi="Times New Roman"/>
                <w:sz w:val="20"/>
              </w:rPr>
              <w:t>SECTION 15.04.</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r>
              <w:rPr/>
              <w:t>Office of Foreign Assets Control Sanctions Representations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89</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-vii-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INDENTURE, dated as of September 16, 2026 between Stellantis Finance US Inc., a corporation duly organized and existing under the laws of the State of Delaware (herein called the “Company”), having its principal address at 1000 Chrysler Drive, Auburn Hills, MI 48326, Stellantis N.V., a public company with limited liability (</w:t>
      </w:r>
      <w:r>
        <w:rPr>
          <w:rFonts w:ascii="Times New Roman" w:hAnsi="Times New Roman"/>
          <w:i/>
          <w:sz w:val="20"/>
        </w:rPr>
        <w:t>naamloze vennootschap</w:t>
      </w:r>
      <w:r>
        <w:rPr>
          <w:rFonts w:ascii="Times New Roman" w:hAnsi="Times New Roman"/>
          <w:sz w:val="20"/>
        </w:rPr>
        <w:t xml:space="preserve">) incorporated under Dutch law (herein called the “Guarantor”), having its principal address at Taurusavenue 1, 2132 LS Hoofddorp, The Netherlands, and The Bank of New York Mellon, as Trustee (herein called the “Trustee”), having its Corporate Trust Office at 240 Greenwich Street, Floor 7E, New York, NY 10286.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 xml:space="preserve">The Company and the Guarantor have duly authorized the execution and delivery of this Indenture to provide for the issuance from time to time of the Company’s unsecured debentures, notes or other evidences of indebtedness guaranteed by the Guarantor (herein called the “Securities”) to be issued in one or more series as in this Indenture provided. </w:t>
      </w:r>
    </w:p>
    <w:p>
      <w:pPr>
        <w:pStyle w:val="TextBody"/>
        <w:bidi w:val="0"/>
        <w:spacing w:before="240" w:after="0"/>
        <w:jc w:val="left"/>
        <w:rPr>
          <w:rFonts w:ascii="Times New Roman" w:hAnsi="Times New Roman"/>
          <w:sz w:val="20"/>
        </w:rPr>
      </w:pPr>
      <w:r>
        <w:rPr>
          <w:rFonts w:ascii="Times New Roman" w:hAnsi="Times New Roman"/>
          <w:sz w:val="20"/>
        </w:rPr>
        <w:t xml:space="preserve">All things necessary to make this Indenture a valid agreement of the Company and the Guarantor in accordance with its terms, have been done. </w:t>
      </w:r>
    </w:p>
    <w:p>
      <w:pPr>
        <w:pStyle w:val="TextBody"/>
        <w:bidi w:val="0"/>
        <w:spacing w:before="240" w:after="0"/>
        <w:jc w:val="left"/>
        <w:rPr>
          <w:rFonts w:ascii="Times New Roman" w:hAnsi="Times New Roman"/>
          <w:sz w:val="20"/>
        </w:rPr>
      </w:pPr>
      <w:r>
        <w:rPr>
          <w:rFonts w:ascii="Times New Roman" w:hAnsi="Times New Roman"/>
          <w:sz w:val="20"/>
        </w:rPr>
        <w:t xml:space="preserve">NOW, THEREFORE, THIS INDENTURE WITNESSETH: </w:t>
      </w:r>
    </w:p>
    <w:p>
      <w:pPr>
        <w:pStyle w:val="TextBody"/>
        <w:bidi w:val="0"/>
        <w:spacing w:before="240" w:after="0"/>
        <w:jc w:val="left"/>
        <w:rPr>
          <w:rFonts w:ascii="Times New Roman" w:hAnsi="Times New Roman"/>
          <w:sz w:val="20"/>
        </w:rPr>
      </w:pPr>
      <w:r>
        <w:rPr>
          <w:rFonts w:ascii="Times New Roman" w:hAnsi="Times New Roman"/>
          <w:sz w:val="20"/>
        </w:rPr>
        <w:t xml:space="preserve">For and in consideration of the premises and the purchase of the Securities by the Holders thereof, it is mutually agreed, for the equal and proportionate benefit of all Holders of the Securities or of any series thereof,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ONE </w:t>
      </w:r>
    </w:p>
    <w:p>
      <w:pPr>
        <w:pStyle w:val="TextBody"/>
        <w:bidi w:val="0"/>
        <w:spacing w:before="240" w:after="0"/>
        <w:jc w:val="center"/>
        <w:rPr>
          <w:rFonts w:ascii="Times New Roman" w:hAnsi="Times New Roman"/>
          <w:b/>
          <w:sz w:val="20"/>
        </w:rPr>
      </w:pPr>
      <w:r>
        <w:rPr>
          <w:rFonts w:ascii="Times New Roman" w:hAnsi="Times New Roman"/>
          <w:b/>
          <w:sz w:val="20"/>
        </w:rPr>
        <w:t xml:space="preserve">DEFINITIONS AND OTHER PROVISIONS OF GENERAL APPLICATION </w:t>
      </w:r>
    </w:p>
    <w:p>
      <w:pPr>
        <w:pStyle w:val="TextBody"/>
        <w:bidi w:val="0"/>
        <w:spacing w:before="240" w:after="0"/>
        <w:jc w:val="left"/>
        <w:rPr>
          <w:rFonts w:ascii="Times New Roman" w:hAnsi="Times New Roman"/>
          <w:sz w:val="20"/>
        </w:rPr>
      </w:pPr>
      <w:r>
        <w:rPr>
          <w:rFonts w:ascii="Times New Roman" w:hAnsi="Times New Roman"/>
          <w:sz w:val="20"/>
        </w:rPr>
        <w:t xml:space="preserve">SECTION 1.01. </w:t>
      </w:r>
      <w:r>
        <w:rPr>
          <w:rFonts w:ascii="Times New Roman" w:hAnsi="Times New Roman"/>
          <w:i/>
          <w:sz w:val="20"/>
        </w:rPr>
        <w:t>Definitions.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For all purposes of this Indenture, except as otherwise expressly provided or unless the context otherwise requires: </w:t>
      </w:r>
    </w:p>
    <w:p>
      <w:pPr>
        <w:pStyle w:val="TextBody"/>
        <w:bidi w:val="0"/>
        <w:spacing w:before="240" w:after="0"/>
        <w:jc w:val="left"/>
        <w:rPr>
          <w:rFonts w:ascii="Times New Roman" w:hAnsi="Times New Roman"/>
          <w:sz w:val="20"/>
        </w:rPr>
      </w:pPr>
      <w:r>
        <w:rPr>
          <w:rFonts w:ascii="Times New Roman" w:hAnsi="Times New Roman"/>
          <w:sz w:val="20"/>
        </w:rPr>
        <w:t xml:space="preserve">(1) the terms defined in this Article One have the meanings assigned to them in this Article One and include the plural as well as the singular; </w:t>
      </w:r>
    </w:p>
    <w:p>
      <w:pPr>
        <w:pStyle w:val="TextBody"/>
        <w:bidi w:val="0"/>
        <w:spacing w:before="240" w:after="0"/>
        <w:jc w:val="left"/>
        <w:rPr>
          <w:rFonts w:ascii="Times New Roman" w:hAnsi="Times New Roman"/>
          <w:sz w:val="20"/>
        </w:rPr>
      </w:pPr>
      <w:r>
        <w:rPr>
          <w:rFonts w:ascii="Times New Roman" w:hAnsi="Times New Roman"/>
          <w:sz w:val="20"/>
        </w:rPr>
        <w:t xml:space="preserve">(2) all other terms used herein which are defined in the Trust Indenture Act, either directly or by reference therein, have the meanings assigned to them therein; </w:t>
      </w:r>
    </w:p>
    <w:p>
      <w:pPr>
        <w:pStyle w:val="TextBody"/>
        <w:bidi w:val="0"/>
        <w:spacing w:before="240" w:after="0"/>
        <w:jc w:val="left"/>
        <w:rPr>
          <w:rFonts w:ascii="Times New Roman" w:hAnsi="Times New Roman"/>
          <w:sz w:val="20"/>
        </w:rPr>
      </w:pPr>
      <w:r>
        <w:rPr>
          <w:rFonts w:ascii="Times New Roman" w:hAnsi="Times New Roman"/>
          <w:sz w:val="20"/>
        </w:rPr>
        <w:t xml:space="preserve">(3) all accounting terms not otherwise defined herein have the meanings assigned to them in accordance with the International Financial Reporting Standards; </w:t>
      </w:r>
    </w:p>
    <w:p>
      <w:pPr>
        <w:pStyle w:val="TextBody"/>
        <w:bidi w:val="0"/>
        <w:spacing w:before="240" w:after="0"/>
        <w:jc w:val="left"/>
        <w:rPr>
          <w:rFonts w:ascii="Times New Roman" w:hAnsi="Times New Roman"/>
          <w:sz w:val="20"/>
        </w:rPr>
      </w:pPr>
      <w:r>
        <w:rPr>
          <w:rFonts w:ascii="Times New Roman" w:hAnsi="Times New Roman"/>
          <w:sz w:val="20"/>
        </w:rPr>
        <w:t xml:space="preserve">(4) “or” is not exclusive; </w:t>
      </w:r>
    </w:p>
    <w:p>
      <w:pPr>
        <w:pStyle w:val="TextBody"/>
        <w:bidi w:val="0"/>
        <w:spacing w:before="240" w:after="0"/>
        <w:jc w:val="left"/>
        <w:rPr>
          <w:rFonts w:ascii="Times New Roman" w:hAnsi="Times New Roman"/>
          <w:sz w:val="20"/>
        </w:rPr>
      </w:pPr>
      <w:r>
        <w:rPr>
          <w:rFonts w:ascii="Times New Roman" w:hAnsi="Times New Roman"/>
          <w:sz w:val="20"/>
        </w:rPr>
        <w:t xml:space="preserve">(5) “including” or “include” means including or include without limitation;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 unless the context otherwise requires, any reference to an “Article” or a “Section” refers to an Article or a Section, as the case may be, of this Indenture; and </w:t>
      </w:r>
    </w:p>
    <w:p>
      <w:pPr>
        <w:pStyle w:val="TextBody"/>
        <w:bidi w:val="0"/>
        <w:spacing w:before="240" w:after="0"/>
        <w:jc w:val="left"/>
        <w:rPr>
          <w:rFonts w:ascii="Times New Roman" w:hAnsi="Times New Roman"/>
          <w:sz w:val="20"/>
        </w:rPr>
      </w:pPr>
      <w:r>
        <w:rPr>
          <w:rFonts w:ascii="Times New Roman" w:hAnsi="Times New Roman"/>
          <w:sz w:val="20"/>
        </w:rPr>
        <w:t xml:space="preserve">(7) the words “herein”, “hereof” and “hereunder” and other words of similar import refer to this Indenture as a whole and not to any particular Article, Section or other subdivision. </w:t>
      </w:r>
    </w:p>
    <w:p>
      <w:pPr>
        <w:pStyle w:val="TextBody"/>
        <w:bidi w:val="0"/>
        <w:spacing w:before="240" w:after="0"/>
        <w:jc w:val="left"/>
        <w:rPr/>
      </w:pPr>
      <w:r>
        <w:rPr/>
        <w:t>“</w:t>
      </w:r>
      <w:r>
        <w:rPr>
          <w:rFonts w:ascii="Times New Roman" w:hAnsi="Times New Roman"/>
          <w:sz w:val="20"/>
        </w:rPr>
        <w:t xml:space="preserve">Act”, when used with respect to any Holder, has the meaning specified in Section 1.04. </w:t>
      </w:r>
    </w:p>
    <w:p>
      <w:pPr>
        <w:pStyle w:val="TextBody"/>
        <w:bidi w:val="0"/>
        <w:spacing w:before="240" w:after="0"/>
        <w:jc w:val="left"/>
        <w:rPr/>
      </w:pPr>
      <w:r>
        <w:rPr/>
        <w:t>“</w:t>
      </w:r>
      <w:r>
        <w:rPr>
          <w:rFonts w:ascii="Times New Roman" w:hAnsi="Times New Roman"/>
          <w:sz w:val="20"/>
        </w:rPr>
        <w:t xml:space="preserve">Additional Amounts” has the meaning specified in Section 2.03. </w:t>
      </w:r>
    </w:p>
    <w:p>
      <w:pPr>
        <w:pStyle w:val="TextBody"/>
        <w:bidi w:val="0"/>
        <w:spacing w:before="240" w:after="0"/>
        <w:jc w:val="left"/>
        <w:rPr/>
      </w:pPr>
      <w:r>
        <w:rPr/>
        <w:t>“</w:t>
      </w:r>
      <w:r>
        <w:rPr>
          <w:rFonts w:ascii="Times New Roman" w:hAnsi="Times New Roman"/>
          <w:sz w:val="20"/>
        </w:rPr>
        <w:t xml:space="preserve">Affiliate” of any specified Person means any other Person directly or indirectly controlling or controlled by or under direct or indirect common control with such specified Person. For purposes of this definition, “control” (including, with correlative meanings, the terms “controlling,” “controlled by” and “under common control with”), as used with respect to any Person, shall mean the possession, directly or indirectly, of the power to direct or cause the direction of the management or policies of such Person, whether through the ownership of voting securities, by agreement or otherwise. </w:t>
      </w:r>
    </w:p>
    <w:p>
      <w:pPr>
        <w:pStyle w:val="TextBody"/>
        <w:bidi w:val="0"/>
        <w:spacing w:before="240" w:after="0"/>
        <w:jc w:val="left"/>
        <w:rPr/>
      </w:pPr>
      <w:r>
        <w:rPr/>
        <w:t>“</w:t>
      </w:r>
      <w:r>
        <w:rPr>
          <w:rFonts w:ascii="Times New Roman" w:hAnsi="Times New Roman"/>
          <w:sz w:val="20"/>
        </w:rPr>
        <w:t xml:space="preserve">Applicable Tax Law” has the meaning specified in Section 15.02. </w:t>
      </w:r>
    </w:p>
    <w:p>
      <w:pPr>
        <w:pStyle w:val="TextBody"/>
        <w:bidi w:val="0"/>
        <w:spacing w:before="240" w:after="0"/>
        <w:jc w:val="left"/>
        <w:rPr/>
      </w:pPr>
      <w:r>
        <w:rPr/>
        <w:t>“</w:t>
      </w:r>
      <w:r>
        <w:rPr>
          <w:rFonts w:ascii="Times New Roman" w:hAnsi="Times New Roman"/>
          <w:sz w:val="20"/>
        </w:rPr>
        <w:t xml:space="preserve">Authenticating Agent” means any Person authorized by the Trustee pursuant to Section 6.14 to act on behalf of the Trustee to authenticate Securities of one or more series. </w:t>
      </w:r>
    </w:p>
    <w:p>
      <w:pPr>
        <w:pStyle w:val="TextBody"/>
        <w:bidi w:val="0"/>
        <w:spacing w:before="240" w:after="0"/>
        <w:jc w:val="left"/>
        <w:rPr/>
      </w:pPr>
      <w:r>
        <w:rPr/>
        <w:t>“</w:t>
      </w:r>
      <w:r>
        <w:rPr>
          <w:rFonts w:ascii="Times New Roman" w:hAnsi="Times New Roman"/>
          <w:sz w:val="20"/>
        </w:rPr>
        <w:t xml:space="preserve">Authorized Agent” has the meaning specified in Section 1.14. </w:t>
      </w:r>
    </w:p>
    <w:p>
      <w:pPr>
        <w:pStyle w:val="TextBody"/>
        <w:bidi w:val="0"/>
        <w:spacing w:before="240" w:after="0"/>
        <w:jc w:val="left"/>
        <w:rPr/>
      </w:pPr>
      <w:r>
        <w:rPr/>
        <w:t>“</w:t>
      </w:r>
      <w:r>
        <w:rPr>
          <w:rFonts w:ascii="Times New Roman" w:hAnsi="Times New Roman"/>
          <w:sz w:val="20"/>
        </w:rPr>
        <w:t xml:space="preserve">Authorized Person” has the meaning specified in Section 1.05. </w:t>
      </w:r>
    </w:p>
    <w:p>
      <w:pPr>
        <w:pStyle w:val="TextBody"/>
        <w:bidi w:val="0"/>
        <w:spacing w:before="240" w:after="0"/>
        <w:jc w:val="left"/>
        <w:rPr/>
      </w:pPr>
      <w:r>
        <w:rPr/>
        <w:t>“</w:t>
      </w:r>
      <w:r>
        <w:rPr>
          <w:rFonts w:ascii="Times New Roman" w:hAnsi="Times New Roman"/>
          <w:sz w:val="20"/>
        </w:rPr>
        <w:t xml:space="preserve">Board of Directors” means the board of directors of the Company or the Guarantor, as applicable, or any duly authorized committee of such board. </w:t>
      </w:r>
    </w:p>
    <w:p>
      <w:pPr>
        <w:pStyle w:val="TextBody"/>
        <w:bidi w:val="0"/>
        <w:spacing w:before="240" w:after="0"/>
        <w:jc w:val="left"/>
        <w:rPr/>
      </w:pPr>
      <w:r>
        <w:rPr/>
        <w:t>“</w:t>
      </w:r>
      <w:r>
        <w:rPr>
          <w:rFonts w:ascii="Times New Roman" w:hAnsi="Times New Roman"/>
          <w:sz w:val="20"/>
        </w:rPr>
        <w:t xml:space="preserve">Board Resolution” when used with reference to the Company or the Guarantor means a copy of a resolution certified by the Secretary or an Assistant Secretary of the Company or the Guarantor, as applicable, to have been duly adopted by its Board of Directors (or a duly authorized committee of board members acting under delegated authority or a duly authorized board member thereof acting under delegated authority) to be in full force and effect on the date of such certification, and delivered to the Trustee. </w:t>
      </w:r>
    </w:p>
    <w:p>
      <w:pPr>
        <w:pStyle w:val="TextBody"/>
        <w:bidi w:val="0"/>
        <w:spacing w:before="240" w:after="0"/>
        <w:jc w:val="left"/>
        <w:rPr/>
      </w:pPr>
      <w:r>
        <w:rPr/>
        <w:t>“</w:t>
      </w:r>
      <w:r>
        <w:rPr>
          <w:rFonts w:ascii="Times New Roman" w:hAnsi="Times New Roman"/>
          <w:sz w:val="20"/>
        </w:rPr>
        <w:t xml:space="preserve">Business Day” means each day which is not a Saturday, a Sunday or a day on which commercial banking institutions are authorized or required by law or executive order to close or be closed in The City of New York, or, with respect to a Place of Payment, such Place of Payment.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Change of Control” means the occurrence of any of the following after the Issue Date: </w:t>
      </w:r>
    </w:p>
    <w:p>
      <w:pPr>
        <w:pStyle w:val="TextBody"/>
        <w:bidi w:val="0"/>
        <w:spacing w:before="240" w:after="0"/>
        <w:jc w:val="left"/>
        <w:rPr>
          <w:rFonts w:ascii="Times New Roman" w:hAnsi="Times New Roman"/>
          <w:sz w:val="20"/>
        </w:rPr>
      </w:pPr>
      <w:r>
        <w:rPr>
          <w:rFonts w:ascii="Times New Roman" w:hAnsi="Times New Roman"/>
          <w:sz w:val="20"/>
        </w:rPr>
        <w:t xml:space="preserve">1. the consummation of any transaction (including, without limitation, any merger or consolidation), the result of which is that any “person” (as that term is used in Section 13(d) of the Exchange Act, or any successor provision), other than one or more Related Parties, becomes the beneficial owner, directly or indirectly, of more than 50% of the Voting Stock of Stellantis N.V. measured by voting power rather than number of shares; or </w:t>
      </w:r>
    </w:p>
    <w:p>
      <w:pPr>
        <w:pStyle w:val="TextBody"/>
        <w:bidi w:val="0"/>
        <w:spacing w:before="240" w:after="0"/>
        <w:jc w:val="left"/>
        <w:rPr>
          <w:rFonts w:ascii="Times New Roman" w:hAnsi="Times New Roman"/>
          <w:sz w:val="20"/>
        </w:rPr>
      </w:pPr>
      <w:r>
        <w:rPr>
          <w:rFonts w:ascii="Times New Roman" w:hAnsi="Times New Roman"/>
          <w:sz w:val="20"/>
        </w:rPr>
        <w:t xml:space="preserve">2. the stockholders of the Company or the Guarantor approve any plan of liquidation or dissolution of the Company or the Guarantor, as the case may be, other than in connection with a merger, consolidation or other form of combination while the Company or Guarantor is solvent, with another company where such company, in the case of the Company, assumes all obligations of the Company under the Securities and, in the case of the Guarantor, assumes all obligations of the Guarantor under the Guarantee and where such merger, consolidation or other combination does not have the effect of or result in an event described in paragraph (1) above. </w:t>
      </w:r>
    </w:p>
    <w:p>
      <w:pPr>
        <w:pStyle w:val="TextBody"/>
        <w:bidi w:val="0"/>
        <w:spacing w:before="240" w:after="0"/>
        <w:jc w:val="left"/>
        <w:rPr/>
      </w:pPr>
      <w:r>
        <w:rPr/>
        <w:t>“</w:t>
      </w:r>
      <w:r>
        <w:rPr>
          <w:rFonts w:ascii="Times New Roman" w:hAnsi="Times New Roman"/>
          <w:sz w:val="20"/>
        </w:rPr>
        <w:t xml:space="preserve">Change of Control Event” means the occurrence of a Change of Control and a Rating Decline. </w:t>
      </w:r>
    </w:p>
    <w:p>
      <w:pPr>
        <w:pStyle w:val="TextBody"/>
        <w:bidi w:val="0"/>
        <w:spacing w:before="240" w:after="0"/>
        <w:jc w:val="left"/>
        <w:rPr/>
      </w:pPr>
      <w:r>
        <w:rPr/>
        <w:t>“</w:t>
      </w:r>
      <w:r>
        <w:rPr>
          <w:rFonts w:ascii="Times New Roman" w:hAnsi="Times New Roman"/>
          <w:sz w:val="20"/>
        </w:rPr>
        <w:t xml:space="preserve">Change of Control Offer” has the meaning specified in Section 10.10. </w:t>
      </w:r>
    </w:p>
    <w:p>
      <w:pPr>
        <w:pStyle w:val="TextBody"/>
        <w:bidi w:val="0"/>
        <w:spacing w:before="240" w:after="0"/>
        <w:jc w:val="left"/>
        <w:rPr/>
      </w:pPr>
      <w:r>
        <w:rPr/>
        <w:t>“</w:t>
      </w:r>
      <w:r>
        <w:rPr>
          <w:rFonts w:ascii="Times New Roman" w:hAnsi="Times New Roman"/>
          <w:sz w:val="20"/>
        </w:rPr>
        <w:t xml:space="preserve">Change of Control Payment” has the meaning specified in Section 10.10. </w:t>
      </w:r>
    </w:p>
    <w:p>
      <w:pPr>
        <w:pStyle w:val="TextBody"/>
        <w:bidi w:val="0"/>
        <w:spacing w:before="240" w:after="0"/>
        <w:jc w:val="left"/>
        <w:rPr/>
      </w:pPr>
      <w:r>
        <w:rPr/>
        <w:t>“</w:t>
      </w:r>
      <w:r>
        <w:rPr>
          <w:rFonts w:ascii="Times New Roman" w:hAnsi="Times New Roman"/>
          <w:sz w:val="20"/>
        </w:rPr>
        <w:t xml:space="preserve">Change of Control Payment Date” has the meaning specified in Section 10.10. </w:t>
      </w:r>
    </w:p>
    <w:p>
      <w:pPr>
        <w:pStyle w:val="TextBody"/>
        <w:bidi w:val="0"/>
        <w:spacing w:before="240" w:after="0"/>
        <w:jc w:val="left"/>
        <w:rPr/>
      </w:pPr>
      <w:r>
        <w:rPr/>
        <w:t>“</w:t>
      </w:r>
      <w:r>
        <w:rPr>
          <w:rFonts w:ascii="Times New Roman" w:hAnsi="Times New Roman"/>
          <w:sz w:val="20"/>
        </w:rPr>
        <w:t xml:space="preserve">Code” has the meaning specified in Section 2.03. </w:t>
      </w:r>
    </w:p>
    <w:p>
      <w:pPr>
        <w:pStyle w:val="TextBody"/>
        <w:bidi w:val="0"/>
        <w:spacing w:before="240" w:after="0"/>
        <w:jc w:val="left"/>
        <w:rPr/>
      </w:pPr>
      <w:r>
        <w:rPr/>
        <w:t>“</w:t>
      </w:r>
      <w:r>
        <w:rPr>
          <w:rFonts w:ascii="Times New Roman" w:hAnsi="Times New Roman"/>
          <w:sz w:val="20"/>
        </w:rPr>
        <w:t xml:space="preserve">Commission” means the Securities and Exchange Commission, from time to time constituted, created under the Exchange Act, or, if at any time after the execution of this instrument such Commission is not existing and performing the duties now assigned to it under the Trust Indenture Act, then the body performing such duties at such time. </w:t>
      </w:r>
    </w:p>
    <w:p>
      <w:pPr>
        <w:pStyle w:val="TextBody"/>
        <w:bidi w:val="0"/>
        <w:spacing w:before="240" w:after="0"/>
        <w:jc w:val="left"/>
        <w:rPr/>
      </w:pPr>
      <w:r>
        <w:rPr/>
        <w:t>“</w:t>
      </w:r>
      <w:r>
        <w:rPr>
          <w:rFonts w:ascii="Times New Roman" w:hAnsi="Times New Roman"/>
          <w:sz w:val="20"/>
        </w:rPr>
        <w:t xml:space="preserve">Common Shares” means the common shares of the Guarantor, par value 0.01 per share. </w:t>
      </w:r>
    </w:p>
    <w:p>
      <w:pPr>
        <w:pStyle w:val="TextBody"/>
        <w:bidi w:val="0"/>
        <w:spacing w:before="240" w:after="0"/>
        <w:jc w:val="left"/>
        <w:rPr/>
      </w:pPr>
      <w:r>
        <w:rPr/>
        <w:t>“</w:t>
      </w:r>
      <w:r>
        <w:rPr>
          <w:rFonts w:ascii="Times New Roman" w:hAnsi="Times New Roman"/>
          <w:sz w:val="20"/>
        </w:rPr>
        <w:t xml:space="preserve">Company” means the Person named as the “Company” in the first paragraph of this instrument until a successor Person shall have become such pursuant to the applicable provisions of this Indenture, and thereafter “Company” shall mean such successor Person. </w:t>
      </w:r>
    </w:p>
    <w:p>
      <w:pPr>
        <w:pStyle w:val="TextBody"/>
        <w:bidi w:val="0"/>
        <w:spacing w:before="240" w:after="0"/>
        <w:jc w:val="left"/>
        <w:rPr/>
      </w:pPr>
      <w:r>
        <w:rPr/>
        <w:t>“</w:t>
      </w:r>
      <w:r>
        <w:rPr>
          <w:rFonts w:ascii="Times New Roman" w:hAnsi="Times New Roman"/>
          <w:sz w:val="20"/>
        </w:rPr>
        <w:t xml:space="preserve">Company Request” or “Company Order” means a written request or order signed in the name of the Company by at least one Officer of the Company and delivered to the Trustee. </w:t>
      </w:r>
    </w:p>
    <w:p>
      <w:pPr>
        <w:pStyle w:val="TextBody"/>
        <w:bidi w:val="0"/>
        <w:spacing w:before="240" w:after="0"/>
        <w:jc w:val="left"/>
        <w:rPr/>
      </w:pPr>
      <w:r>
        <w:rPr/>
        <w:t>“</w:t>
      </w:r>
      <w:r>
        <w:rPr>
          <w:rFonts w:ascii="Times New Roman" w:hAnsi="Times New Roman"/>
          <w:sz w:val="20"/>
        </w:rPr>
        <w:t xml:space="preserve">Corporate Trust Office” means the principal office of the Trustee in New York, New York at which at any particular time its corporate trust business shall be administered, which office at the date hereof is located at 240 Greenwich Street, Floor 7E, New York, NY 10286, Attn: Corporate Trust Administration, or any other address that the Trustee may designate with respect to itself from time to time by notice to the Company and the Holders, or the principal corporate trust office of any successor Trustee (or such other address as such successor Trustee may designate from time to time by notice to the Company and the Holders). </w:t>
      </w:r>
    </w:p>
    <w:p>
      <w:pPr>
        <w:pStyle w:val="TextBody"/>
        <w:bidi w:val="0"/>
        <w:spacing w:before="240" w:after="0"/>
        <w:jc w:val="left"/>
        <w:rPr/>
      </w:pPr>
      <w:r>
        <w:rPr/>
        <w:t>“</w:t>
      </w:r>
      <w:r>
        <w:rPr>
          <w:rFonts w:ascii="Times New Roman" w:hAnsi="Times New Roman"/>
          <w:sz w:val="20"/>
        </w:rPr>
        <w:t xml:space="preserve">Covenant Defeasance” has the meaning specified in Section 14.03. </w:t>
      </w:r>
    </w:p>
    <w:p>
      <w:pPr>
        <w:pStyle w:val="TextBody"/>
        <w:bidi w:val="0"/>
        <w:spacing w:before="240" w:after="0"/>
        <w:jc w:val="left"/>
        <w:rPr/>
      </w:pPr>
      <w:r>
        <w:rPr/>
        <w:t>“</w:t>
      </w:r>
      <w:r>
        <w:rPr>
          <w:rFonts w:ascii="Times New Roman" w:hAnsi="Times New Roman"/>
          <w:sz w:val="20"/>
        </w:rPr>
        <w:t xml:space="preserve">Defaulted Interest” has the meaning specified in Section 3.07.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Defeased Covenant” has the meaning specified in Section 14.03. </w:t>
      </w:r>
    </w:p>
    <w:p>
      <w:pPr>
        <w:pStyle w:val="TextBody"/>
        <w:bidi w:val="0"/>
        <w:spacing w:before="240" w:after="0"/>
        <w:jc w:val="left"/>
        <w:rPr/>
      </w:pPr>
      <w:r>
        <w:rPr/>
        <w:t>“</w:t>
      </w:r>
      <w:r>
        <w:rPr>
          <w:rFonts w:ascii="Times New Roman" w:hAnsi="Times New Roman"/>
          <w:sz w:val="20"/>
        </w:rPr>
        <w:t xml:space="preserve">Depositary” means, with respect to the Securities issuable or issued in whole or in part in global form, any Person that is designated to act as Depositary for such Securities as contemplated by Section 3.01. </w:t>
      </w:r>
    </w:p>
    <w:p>
      <w:pPr>
        <w:pStyle w:val="TextBody"/>
        <w:bidi w:val="0"/>
        <w:spacing w:before="240" w:after="0"/>
        <w:jc w:val="left"/>
        <w:rPr/>
      </w:pPr>
      <w:r>
        <w:rPr/>
        <w:t>“</w:t>
      </w:r>
      <w:r>
        <w:rPr>
          <w:rFonts w:ascii="Times New Roman" w:hAnsi="Times New Roman"/>
          <w:sz w:val="20"/>
        </w:rPr>
        <w:t xml:space="preserve">Electronic Means” shall mean the following communications methods: e-mail, secure electronic transmission containing applicable authorization codes, passwords and/or authentication keys issued by the Trustee, or another method or system specified by the Trustee as available for use in connection with its services hereunder. </w:t>
      </w:r>
    </w:p>
    <w:p>
      <w:pPr>
        <w:pStyle w:val="TextBody"/>
        <w:bidi w:val="0"/>
        <w:spacing w:before="240" w:after="0"/>
        <w:jc w:val="left"/>
        <w:rPr/>
      </w:pPr>
      <w:r>
        <w:rPr/>
        <w:t>“</w:t>
      </w:r>
      <w:r>
        <w:rPr>
          <w:rFonts w:ascii="Times New Roman" w:hAnsi="Times New Roman"/>
          <w:sz w:val="20"/>
        </w:rPr>
        <w:t xml:space="preserve">Etablissements Peugeot Frères” means the </w:t>
      </w:r>
      <w:r>
        <w:rPr>
          <w:rFonts w:ascii="Times New Roman" w:hAnsi="Times New Roman"/>
          <w:i/>
          <w:sz w:val="20"/>
        </w:rPr>
        <w:t>société anonyme</w:t>
      </w:r>
      <w:r>
        <w:rPr>
          <w:rFonts w:ascii="Times New Roman" w:hAnsi="Times New Roman"/>
          <w:sz w:val="20"/>
        </w:rPr>
        <w:t xml:space="preserve"> registered with the </w:t>
      </w:r>
      <w:r>
        <w:rPr>
          <w:rFonts w:ascii="Times New Roman" w:hAnsi="Times New Roman"/>
          <w:i/>
          <w:sz w:val="20"/>
        </w:rPr>
        <w:t>registre du commerce et des sociétés</w:t>
      </w:r>
      <w:r>
        <w:rPr>
          <w:rFonts w:ascii="Times New Roman" w:hAnsi="Times New Roman"/>
          <w:sz w:val="20"/>
        </w:rPr>
        <w:t xml:space="preserve"> of Nanterre under number 875 750 317. </w:t>
      </w:r>
    </w:p>
    <w:p>
      <w:pPr>
        <w:pStyle w:val="TextBody"/>
        <w:bidi w:val="0"/>
        <w:spacing w:before="240" w:after="0"/>
        <w:jc w:val="left"/>
        <w:rPr/>
      </w:pPr>
      <w:r>
        <w:rPr/>
        <w:t>“</w:t>
      </w:r>
      <w:r>
        <w:rPr>
          <w:rFonts w:ascii="Times New Roman" w:hAnsi="Times New Roman"/>
          <w:sz w:val="20"/>
        </w:rPr>
        <w:t xml:space="preserve">Event of Default” has the meaning specified in Section 5.01. </w:t>
      </w:r>
    </w:p>
    <w:p>
      <w:pPr>
        <w:pStyle w:val="TextBody"/>
        <w:bidi w:val="0"/>
        <w:spacing w:before="240" w:after="0"/>
        <w:jc w:val="left"/>
        <w:rPr/>
      </w:pPr>
      <w:r>
        <w:rPr/>
        <w:t>“</w:t>
      </w:r>
      <w:r>
        <w:rPr>
          <w:rFonts w:ascii="Times New Roman" w:hAnsi="Times New Roman"/>
          <w:sz w:val="20"/>
        </w:rPr>
        <w:t xml:space="preserve">Exchange Act” means the U.S. Securities Exchange Act of 1934, as amended, and the rules and regulations of the Commission promulgated thereunder. </w:t>
      </w:r>
    </w:p>
    <w:p>
      <w:pPr>
        <w:pStyle w:val="TextBody"/>
        <w:bidi w:val="0"/>
        <w:spacing w:before="240" w:after="0"/>
        <w:jc w:val="left"/>
        <w:rPr/>
      </w:pPr>
      <w:r>
        <w:rPr/>
        <w:t>“</w:t>
      </w:r>
      <w:r>
        <w:rPr>
          <w:rFonts w:ascii="Times New Roman" w:hAnsi="Times New Roman"/>
          <w:sz w:val="20"/>
        </w:rPr>
        <w:t xml:space="preserve">Expiration Date” has the meaning specified in Section 1.04. </w:t>
      </w:r>
    </w:p>
    <w:p>
      <w:pPr>
        <w:pStyle w:val="TextBody"/>
        <w:bidi w:val="0"/>
        <w:spacing w:before="240" w:after="0"/>
        <w:jc w:val="left"/>
        <w:rPr/>
      </w:pPr>
      <w:r>
        <w:rPr/>
        <w:t>“</w:t>
      </w:r>
      <w:r>
        <w:rPr>
          <w:rFonts w:ascii="Times New Roman" w:hAnsi="Times New Roman"/>
          <w:sz w:val="20"/>
        </w:rPr>
        <w:t xml:space="preserve">Financial Services Subsidiary” means a Subsidiary of the Guarantor: </w:t>
      </w:r>
    </w:p>
    <w:p>
      <w:pPr>
        <w:pStyle w:val="TextBody"/>
        <w:bidi w:val="0"/>
        <w:spacing w:before="240" w:after="0"/>
        <w:jc w:val="left"/>
        <w:rPr>
          <w:rFonts w:ascii="Times New Roman" w:hAnsi="Times New Roman"/>
          <w:sz w:val="20"/>
        </w:rPr>
      </w:pPr>
      <w:r>
        <w:rPr>
          <w:rFonts w:ascii="Times New Roman" w:hAnsi="Times New Roman"/>
          <w:sz w:val="20"/>
        </w:rPr>
        <w:t xml:space="preserve">A. which carries on no material business other than the offer and sale of financial services products to customers, dealers or suppliers of Members of the Group (and other related support activities incidental to the offer and sale of such financial services products including, without limitation, input financing and rental business activities) in any of the following areas: </w:t>
      </w:r>
    </w:p>
    <w:p>
      <w:pPr>
        <w:pStyle w:val="TextBody"/>
        <w:bidi w:val="0"/>
        <w:spacing w:before="240" w:after="0"/>
        <w:jc w:val="left"/>
        <w:rPr>
          <w:rFonts w:ascii="Times New Roman" w:hAnsi="Times New Roman"/>
          <w:sz w:val="20"/>
        </w:rPr>
      </w:pPr>
      <w:r>
        <w:rPr>
          <w:rFonts w:ascii="Times New Roman" w:hAnsi="Times New Roman"/>
          <w:sz w:val="20"/>
        </w:rPr>
        <w:t xml:space="preserve">(1) retail financing for the purchase, contract hire or lease of new or old equipment manufactured by a Member of the Group or any other manufacturer whose products are from time to time sold through the dealer network of a Member of the Group; </w:t>
      </w:r>
    </w:p>
    <w:p>
      <w:pPr>
        <w:pStyle w:val="TextBody"/>
        <w:bidi w:val="0"/>
        <w:spacing w:before="240" w:after="0"/>
        <w:jc w:val="left"/>
        <w:rPr>
          <w:rFonts w:ascii="Times New Roman" w:hAnsi="Times New Roman"/>
          <w:sz w:val="20"/>
        </w:rPr>
      </w:pPr>
      <w:r>
        <w:rPr>
          <w:rFonts w:ascii="Times New Roman" w:hAnsi="Times New Roman"/>
          <w:sz w:val="20"/>
        </w:rPr>
        <w:t xml:space="preserve">(2) other retail and wholesale financing programs reasonably related thereto, including, without limitation, financing to the dealer network of any Member of the Group; </w:t>
      </w:r>
    </w:p>
    <w:p>
      <w:pPr>
        <w:pStyle w:val="TextBody"/>
        <w:bidi w:val="0"/>
        <w:spacing w:before="240" w:after="0"/>
        <w:jc w:val="left"/>
        <w:rPr>
          <w:rFonts w:ascii="Times New Roman" w:hAnsi="Times New Roman"/>
          <w:sz w:val="20"/>
        </w:rPr>
      </w:pPr>
      <w:r>
        <w:rPr>
          <w:rFonts w:ascii="Times New Roman" w:hAnsi="Times New Roman"/>
          <w:sz w:val="20"/>
        </w:rPr>
        <w:t xml:space="preserve">(3) insurance and credit card products and services reasonably related thereto, together with the underwriting, marketing, servicing and other related support activities incidental to the offer and sale of such financial services products; and </w:t>
      </w:r>
    </w:p>
    <w:p>
      <w:pPr>
        <w:pStyle w:val="TextBody"/>
        <w:bidi w:val="0"/>
        <w:spacing w:before="240" w:after="0"/>
        <w:jc w:val="left"/>
        <w:rPr>
          <w:rFonts w:ascii="Times New Roman" w:hAnsi="Times New Roman"/>
          <w:sz w:val="20"/>
        </w:rPr>
      </w:pPr>
      <w:r>
        <w:rPr>
          <w:rFonts w:ascii="Times New Roman" w:hAnsi="Times New Roman"/>
          <w:sz w:val="20"/>
        </w:rPr>
        <w:t xml:space="preserve">(4) factoring and/or licensed banking activities; or </w:t>
      </w:r>
    </w:p>
    <w:p>
      <w:pPr>
        <w:pStyle w:val="TextBody"/>
        <w:bidi w:val="0"/>
        <w:spacing w:before="240" w:after="0"/>
        <w:jc w:val="left"/>
        <w:rPr>
          <w:rFonts w:ascii="Times New Roman" w:hAnsi="Times New Roman"/>
          <w:sz w:val="20"/>
        </w:rPr>
      </w:pPr>
      <w:r>
        <w:rPr>
          <w:rFonts w:ascii="Times New Roman" w:hAnsi="Times New Roman"/>
          <w:sz w:val="20"/>
        </w:rPr>
        <w:t xml:space="preserve">B. a holding company of a Financial Services Subsidiary which carries on no material business or activity other than holding shares in that Financial Services Subsidiary and/or activities described in Clause (A)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Global Security” means a Security that evidences all or part of the Securities of any series and bears the legend set forth in Section 2.04 (or such legend as may be specified as contemplated by Section 3.01 for such Securities). </w:t>
      </w:r>
    </w:p>
    <w:p>
      <w:pPr>
        <w:pStyle w:val="TextBody"/>
        <w:bidi w:val="0"/>
        <w:spacing w:before="240" w:after="0"/>
        <w:jc w:val="left"/>
        <w:rPr/>
      </w:pPr>
      <w:r>
        <w:rPr/>
        <w:t>“</w:t>
      </w:r>
      <w:r>
        <w:rPr>
          <w:rFonts w:ascii="Times New Roman" w:hAnsi="Times New Roman"/>
          <w:sz w:val="20"/>
        </w:rPr>
        <w:t xml:space="preserve">Government Securities” means securities that are (i) direct obligations of the United States of America for the timely payment of which its full faith and credit is pledged; or (ii) obligations of a Person controlled or supervised by and acting as an agency or instrumentality of the United States of America the timely payment of which is unconditionally guaranteed as a full faith and credit obligation by the United States of America, which, in either case, are not callable or redeemable at the option of the issuers thereof, and shall also include a depository receipt issued by a bank (as defined in Section 3(a)(2) of the Securities Act), as custodian with respect to any such Government Securities or a specific payment of principal of or interest on any such Government Securities held by such custodian for the account of the holder of such depository receipt;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(except as required by law) such custodian is not authorized to make any deduction from the amount payable to the holder of such depository receipt from any amount received by the custodian in respect of the Government Securities or the specific payment of principal of or interest on the Government Securities evidenced by such depository receipt. </w:t>
      </w:r>
    </w:p>
    <w:p>
      <w:pPr>
        <w:pStyle w:val="TextBody"/>
        <w:bidi w:val="0"/>
        <w:spacing w:before="240" w:after="0"/>
        <w:jc w:val="left"/>
        <w:rPr/>
      </w:pPr>
      <w:r>
        <w:rPr/>
        <w:t>“</w:t>
      </w:r>
      <w:r>
        <w:rPr>
          <w:rFonts w:ascii="Times New Roman" w:hAnsi="Times New Roman"/>
          <w:sz w:val="20"/>
        </w:rPr>
        <w:t xml:space="preserve">Guarantee” means a Guarantee of the Securities of a particular series pursuant to this Indenture which may be (i) endorsed on, and relate to, the Securities of a particular series authenticated and delivered hereunder or (ii) documented in any other manner permitted by law. </w:t>
      </w:r>
    </w:p>
    <w:p>
      <w:pPr>
        <w:pStyle w:val="TextBody"/>
        <w:bidi w:val="0"/>
        <w:spacing w:before="240" w:after="0"/>
        <w:jc w:val="left"/>
        <w:rPr/>
      </w:pPr>
      <w:r>
        <w:rPr/>
        <w:t>“</w:t>
      </w:r>
      <w:r>
        <w:rPr>
          <w:rFonts w:ascii="Times New Roman" w:hAnsi="Times New Roman"/>
          <w:sz w:val="20"/>
        </w:rPr>
        <w:t xml:space="preserve">Guarantor” means the Person named as the “Guarantor” in the first paragraph of this Indenture until a successor Person shall have become such pursuant to the applicable provisions of this Indenture, and thereafter “Guarantor” shall mean such successor Person. </w:t>
      </w:r>
    </w:p>
    <w:p>
      <w:pPr>
        <w:pStyle w:val="TextBody"/>
        <w:bidi w:val="0"/>
        <w:spacing w:before="240" w:after="0"/>
        <w:jc w:val="left"/>
        <w:rPr/>
      </w:pPr>
      <w:r>
        <w:rPr/>
        <w:t>“</w:t>
      </w:r>
      <w:r>
        <w:rPr>
          <w:rFonts w:ascii="Times New Roman" w:hAnsi="Times New Roman"/>
          <w:sz w:val="20"/>
        </w:rPr>
        <w:t xml:space="preserve">Holder” means a Person in whose name a Security is registered in the Security Register. </w:t>
      </w:r>
    </w:p>
    <w:p>
      <w:pPr>
        <w:pStyle w:val="TextBody"/>
        <w:bidi w:val="0"/>
        <w:spacing w:before="240" w:after="0"/>
        <w:jc w:val="left"/>
        <w:rPr/>
      </w:pPr>
      <w:r>
        <w:rPr/>
        <w:t>“</w:t>
      </w:r>
      <w:r>
        <w:rPr>
          <w:rFonts w:ascii="Times New Roman" w:hAnsi="Times New Roman"/>
          <w:sz w:val="20"/>
        </w:rPr>
        <w:t xml:space="preserve">Indebtedness” means any indebtedness (whether principal, premium or interest) for or in respect of (A) any notes, bonds, debenture stock, loan stock or other securities, (B) any Loan Financing, or (C) any liability under or in respect of any banker’s acceptance or banker’s acceptance credit; </w:t>
      </w:r>
      <w:r>
        <w:rPr>
          <w:rFonts w:ascii="Times New Roman" w:hAnsi="Times New Roman"/>
          <w:i/>
          <w:sz w:val="20"/>
        </w:rPr>
        <w:t>provided</w:t>
      </w:r>
      <w:r>
        <w:rPr>
          <w:rFonts w:ascii="Times New Roman" w:hAnsi="Times New Roman"/>
          <w:sz w:val="20"/>
        </w:rPr>
        <w:t xml:space="preserve">, that (x) indebtedness of a Member of the Group to any other Member of the Group and (y) indebtedness that qualifies as Non-recourse Securitization Debt shall, in each case, not be deemed to be Indebtedness for purposes of Section 10.09 or any other purpose of the Indenture or the Securities. </w:t>
      </w:r>
    </w:p>
    <w:p>
      <w:pPr>
        <w:pStyle w:val="TextBody"/>
        <w:bidi w:val="0"/>
        <w:spacing w:before="240" w:after="0"/>
        <w:jc w:val="left"/>
        <w:rPr/>
      </w:pPr>
      <w:r>
        <w:rPr/>
        <w:t>“</w:t>
      </w:r>
      <w:r>
        <w:rPr>
          <w:rFonts w:ascii="Times New Roman" w:hAnsi="Times New Roman"/>
          <w:sz w:val="20"/>
        </w:rPr>
        <w:t xml:space="preserve">Indenture” means this instrument as originally executed and as it may from time to time be supplemented or amended by one or more indentures supplemental hereto entered into pursuant to the applicable provisions hereof, including, for all purposes of this instrument and any such supplemental indenture, any such provisions of the Trust Indenture Act that are expressly stated herein to be a part of and govern this instrument and any such supplemental indenture, respectively. The term “Indenture” shall also include the terms of particular series of Securities established as contemplated by Section 3.01. </w:t>
      </w:r>
    </w:p>
    <w:p>
      <w:pPr>
        <w:pStyle w:val="TextBody"/>
        <w:bidi w:val="0"/>
        <w:spacing w:before="240" w:after="0"/>
        <w:jc w:val="left"/>
        <w:rPr/>
      </w:pPr>
      <w:r>
        <w:rPr/>
        <w:t>“</w:t>
      </w:r>
      <w:r>
        <w:rPr>
          <w:rFonts w:ascii="Times New Roman" w:hAnsi="Times New Roman"/>
          <w:sz w:val="20"/>
        </w:rPr>
        <w:t xml:space="preserve">Instructions” has the meaning specified in Section 1.05.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Interest”, when used with respect to an Original Issue Discount Security which by its terms bears interest only after Maturity, means interest payable after Maturity. </w:t>
      </w:r>
    </w:p>
    <w:p>
      <w:pPr>
        <w:pStyle w:val="TextBody"/>
        <w:bidi w:val="0"/>
        <w:spacing w:before="240" w:after="0"/>
        <w:jc w:val="left"/>
        <w:rPr/>
      </w:pPr>
      <w:r>
        <w:rPr/>
        <w:t>“</w:t>
      </w:r>
      <w:r>
        <w:rPr>
          <w:rFonts w:ascii="Times New Roman" w:hAnsi="Times New Roman"/>
          <w:sz w:val="20"/>
        </w:rPr>
        <w:t xml:space="preserve">Investment Grade” means a rating of BBB- or higher by S&amp;P or a rating of Baa3 or higher by Moody’s or the equivalent of such ratings. </w:t>
      </w:r>
    </w:p>
    <w:p>
      <w:pPr>
        <w:pStyle w:val="TextBody"/>
        <w:bidi w:val="0"/>
        <w:spacing w:before="240" w:after="0"/>
        <w:jc w:val="left"/>
        <w:rPr/>
      </w:pPr>
      <w:r>
        <w:rPr/>
        <w:t>“</w:t>
      </w:r>
      <w:r>
        <w:rPr>
          <w:rFonts w:ascii="Times New Roman" w:hAnsi="Times New Roman"/>
          <w:sz w:val="20"/>
        </w:rPr>
        <w:t xml:space="preserve">Interest Payment Date”, when used with respect to any Security, means the Stated Maturity of an installment of interest on such Security. </w:t>
      </w:r>
    </w:p>
    <w:p>
      <w:pPr>
        <w:pStyle w:val="TextBody"/>
        <w:bidi w:val="0"/>
        <w:spacing w:before="240" w:after="0"/>
        <w:jc w:val="left"/>
        <w:rPr/>
      </w:pPr>
      <w:r>
        <w:rPr/>
        <w:t>“</w:t>
      </w:r>
      <w:r>
        <w:rPr>
          <w:rFonts w:ascii="Times New Roman" w:hAnsi="Times New Roman"/>
          <w:sz w:val="20"/>
        </w:rPr>
        <w:t xml:space="preserve">Investment Company Act” means the U.S. Investment Company Act of 1940 and any statute successor thereto, in each case as amended from time to time. </w:t>
      </w:r>
    </w:p>
    <w:p>
      <w:pPr>
        <w:pStyle w:val="TextBody"/>
        <w:bidi w:val="0"/>
        <w:spacing w:before="240" w:after="0"/>
        <w:jc w:val="left"/>
        <w:rPr/>
      </w:pPr>
      <w:r>
        <w:rPr/>
        <w:t>“</w:t>
      </w:r>
      <w:r>
        <w:rPr>
          <w:rFonts w:ascii="Times New Roman" w:hAnsi="Times New Roman"/>
          <w:sz w:val="20"/>
        </w:rPr>
        <w:t xml:space="preserve">Issue Date” means the date on which the Securities of the applicable Series are issued. </w:t>
      </w:r>
    </w:p>
    <w:p>
      <w:pPr>
        <w:pStyle w:val="TextBody"/>
        <w:bidi w:val="0"/>
        <w:spacing w:before="240" w:after="0"/>
        <w:jc w:val="left"/>
        <w:rPr/>
      </w:pPr>
      <w:r>
        <w:rPr/>
        <w:t>“</w:t>
      </w:r>
      <w:r>
        <w:rPr>
          <w:rFonts w:ascii="Times New Roman" w:hAnsi="Times New Roman"/>
          <w:sz w:val="20"/>
        </w:rPr>
        <w:t xml:space="preserve">Legal Defeasance” has the meaning specified in Section 14.02. </w:t>
      </w:r>
    </w:p>
    <w:p>
      <w:pPr>
        <w:pStyle w:val="TextBody"/>
        <w:bidi w:val="0"/>
        <w:spacing w:before="240" w:after="0"/>
        <w:jc w:val="left"/>
        <w:rPr/>
      </w:pPr>
      <w:r>
        <w:rPr/>
        <w:t>“</w:t>
      </w:r>
      <w:r>
        <w:rPr>
          <w:rFonts w:ascii="Times New Roman" w:hAnsi="Times New Roman"/>
          <w:sz w:val="20"/>
        </w:rPr>
        <w:t xml:space="preserve">Lien” has the meaning specified in Section 10.09. </w:t>
      </w:r>
    </w:p>
    <w:p>
      <w:pPr>
        <w:pStyle w:val="TextBody"/>
        <w:bidi w:val="0"/>
        <w:spacing w:before="240" w:after="0"/>
        <w:jc w:val="left"/>
        <w:rPr/>
      </w:pPr>
      <w:r>
        <w:rPr/>
        <w:t>“</w:t>
      </w:r>
      <w:r>
        <w:rPr>
          <w:rFonts w:ascii="Times New Roman" w:hAnsi="Times New Roman"/>
          <w:sz w:val="20"/>
        </w:rPr>
        <w:t xml:space="preserve">Loan Financing” means any money borrowed from (A) a bank, financial institution, hedge fund, pension fund, or insurance company or (B) any other entity having as its principal business the lending of money and/or investing in loans, in each case other than public or quasi-public entities or international organizations with a public or quasi-public character. </w:t>
      </w:r>
    </w:p>
    <w:p>
      <w:pPr>
        <w:pStyle w:val="TextBody"/>
        <w:bidi w:val="0"/>
        <w:spacing w:before="240" w:after="0"/>
        <w:jc w:val="left"/>
        <w:rPr/>
      </w:pPr>
      <w:r>
        <w:rPr/>
        <w:t>“</w:t>
      </w:r>
      <w:r>
        <w:rPr>
          <w:rFonts w:ascii="Times New Roman" w:hAnsi="Times New Roman"/>
          <w:sz w:val="20"/>
        </w:rPr>
        <w:t xml:space="preserve">Maturity”, when used with respect to any Security, means the date on which the principal of such Security or an installment of principal becomes due and payable as therein or herein provided, whether at the Stated Maturity or by declaration of acceleration, call for redemption or otherwise. </w:t>
      </w:r>
    </w:p>
    <w:p>
      <w:pPr>
        <w:pStyle w:val="TextBody"/>
        <w:bidi w:val="0"/>
        <w:spacing w:before="240" w:after="0"/>
        <w:jc w:val="left"/>
        <w:rPr/>
      </w:pPr>
      <w:r>
        <w:rPr/>
        <w:t>“</w:t>
      </w:r>
      <w:r>
        <w:rPr>
          <w:rFonts w:ascii="Times New Roman" w:hAnsi="Times New Roman"/>
          <w:sz w:val="20"/>
        </w:rPr>
        <w:t xml:space="preserve">Material Subsidiary” means (A) Stellantis Europe S.p.A. (and any other Person Controlled by the Guarantor which Stellantis Europe S.p.A. is consolidated or merged with or into or to whom all or substantially all of the assets of such entity is sold, assigned, transferred, leased or otherwise disposed of); (B) FCA US LLC (and any other Person Controlled by the Guarantor which FCA US LLC is consolidated or merged with or into or to whom all or substantially all of the assets of such entity is sold, assigned, transferred, leased or otherwise disposed of); (C) any Member of the Group the total assets or revenues of which on a stand-alone basis (excluding intra-Group items and as determined from the entity’s most recent financial statements on the basis of which the Guarantor’s most recent audited consolidated financial statements were prepared) constitutes 10% or more of the consolidated total assets or revenues of the Group (as determined from the Guarantor’s most recent audited consolidated financial statements); (D) any Treasury Subsidiary or (E) any entity under the Guarantor’s direct or indirect Control that directly or indirectly Controls a Subsidiary that meets the requirements of the preceding Clauses (A), (B), (C) or (D), </w:t>
      </w:r>
      <w:r>
        <w:rPr>
          <w:rFonts w:ascii="Times New Roman" w:hAnsi="Times New Roman"/>
          <w:i/>
          <w:sz w:val="20"/>
        </w:rPr>
        <w:t>provided</w:t>
      </w:r>
      <w:r>
        <w:rPr>
          <w:rFonts w:ascii="Times New Roman" w:hAnsi="Times New Roman"/>
          <w:sz w:val="20"/>
        </w:rPr>
        <w:t xml:space="preserve"> that if any such entity Controls such a Subsidiary only pursuant to the aggregate ownership test specified in the proviso to Clause (1) of the definition of “Control,” “Controls” or “Controlled” below, then, and only then, the Company and the Guarantor shall have the right to designate which such entities shall be deemed to so Control such a Subsidiary </w:t>
      </w:r>
      <w:r>
        <w:rPr>
          <w:rFonts w:ascii="Times New Roman" w:hAnsi="Times New Roman"/>
          <w:i/>
          <w:sz w:val="20"/>
        </w:rPr>
        <w:t>provided</w:t>
      </w:r>
      <w:r>
        <w:rPr>
          <w:rFonts w:ascii="Times New Roman" w:hAnsi="Times New Roman"/>
          <w:sz w:val="20"/>
        </w:rPr>
        <w:t xml:space="preserve"> that, in each case, such designated entities Control in the aggregate more than 50% of the relevant Subsidiary’s voting stock. For purposes of this definition of “Material Subsidiary,” (i) the term “Control,” “Controls” or “Controlled” means (1) the direct or indirect ownership (beneficial or otherwise) of more than 50% of the voting stock of a Person measured by voting power rather than number of shares, </w:t>
      </w:r>
      <w:r>
        <w:rPr>
          <w:rFonts w:ascii="Times New Roman" w:hAnsi="Times New Roman"/>
          <w:i/>
          <w:sz w:val="20"/>
        </w:rPr>
        <w:t>provided</w:t>
      </w:r>
      <w:r>
        <w:rPr>
          <w:rFonts w:ascii="Times New Roman" w:hAnsi="Times New Roman"/>
          <w:sz w:val="20"/>
        </w:rPr>
        <w:t xml:space="preserve"> that to the extent that no single entity directly owns more than 50% of the voting stock of a Person, entities with aggregate direct or indirect ownership of more than 50% of the voting stock of a Person will be deemed to Control such Person or (2) the power to appoint or remove all or the majority of the directors or other equivalent officers of a Person and (ii) no Financial Services Subsidiary shall be considered or deemed to be a Material Subsidiary. Notwithstanding the foregoing, a Subsidiary shall be considered or deemed to be a Material Subsidiary only to the extent that such is located or domiciled in an OECD Country (or, to the extent that the OECD or a successor organization no longer exists, the countries that were members of the relevant organization on the date such organization ceased to exist).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Member of the Group” means each of the Guarantor and any direct or indirect Subsidiary it fully consolidates on the basis of which the Guarantor’s most recent audited consolidated financial statements were prepared. </w:t>
      </w:r>
    </w:p>
    <w:p>
      <w:pPr>
        <w:pStyle w:val="TextBody"/>
        <w:bidi w:val="0"/>
        <w:spacing w:before="240" w:after="0"/>
        <w:jc w:val="left"/>
        <w:rPr/>
      </w:pPr>
      <w:r>
        <w:rPr/>
        <w:t>“</w:t>
      </w:r>
      <w:r>
        <w:rPr>
          <w:rFonts w:ascii="Times New Roman" w:hAnsi="Times New Roman"/>
          <w:sz w:val="20"/>
        </w:rPr>
        <w:t xml:space="preserve">Moody’s” means Moody’s Investors Service, Inc., a subsidiary of Moody’s Corporation, and its successors. </w:t>
      </w:r>
    </w:p>
    <w:p>
      <w:pPr>
        <w:pStyle w:val="TextBody"/>
        <w:bidi w:val="0"/>
        <w:spacing w:before="240" w:after="0"/>
        <w:jc w:val="left"/>
        <w:rPr/>
      </w:pPr>
      <w:r>
        <w:rPr/>
        <w:t>“</w:t>
      </w:r>
      <w:r>
        <w:rPr>
          <w:rFonts w:ascii="Times New Roman" w:hAnsi="Times New Roman"/>
          <w:sz w:val="20"/>
        </w:rPr>
        <w:t xml:space="preserve">Non-recourse Securitization” means any securitization, asset-backed financing, transfer or transaction having a similar effect of Securitizable Assets, for which the issuers or borrowers do not provide recourse for credit losses other than Standard Securitization Undertakings. </w:t>
      </w:r>
    </w:p>
    <w:p>
      <w:pPr>
        <w:pStyle w:val="TextBody"/>
        <w:bidi w:val="0"/>
        <w:spacing w:before="240" w:after="0"/>
        <w:jc w:val="left"/>
        <w:rPr/>
      </w:pPr>
      <w:r>
        <w:rPr/>
        <w:t>“</w:t>
      </w:r>
      <w:r>
        <w:rPr>
          <w:rFonts w:ascii="Times New Roman" w:hAnsi="Times New Roman"/>
          <w:sz w:val="20"/>
        </w:rPr>
        <w:t xml:space="preserve">Non-recourse Securitization Debt” means any Indebtedness incurred by a Securitization Entity pursuant to a securitization of receivables where the recourse in respect of that Indebtedness to the Company or the Guarantor is limited to: </w:t>
      </w:r>
    </w:p>
    <w:p>
      <w:pPr>
        <w:pStyle w:val="TextBody"/>
        <w:bidi w:val="0"/>
        <w:spacing w:before="240" w:after="0"/>
        <w:jc w:val="left"/>
        <w:rPr>
          <w:rFonts w:ascii="Times New Roman" w:hAnsi="Times New Roman"/>
          <w:sz w:val="20"/>
        </w:rPr>
      </w:pPr>
      <w:r>
        <w:rPr>
          <w:rFonts w:ascii="Times New Roman" w:hAnsi="Times New Roman"/>
          <w:sz w:val="20"/>
        </w:rPr>
        <w:t xml:space="preserve">A. those receivables and/or related insurance and/or any Standard Securitization Undertakings; and </w:t>
      </w:r>
    </w:p>
    <w:p>
      <w:pPr>
        <w:pStyle w:val="TextBody"/>
        <w:bidi w:val="0"/>
        <w:spacing w:before="240" w:after="0"/>
        <w:jc w:val="left"/>
        <w:rPr>
          <w:rFonts w:ascii="Times New Roman" w:hAnsi="Times New Roman"/>
          <w:sz w:val="20"/>
        </w:rPr>
      </w:pPr>
      <w:r>
        <w:rPr>
          <w:rFonts w:ascii="Times New Roman" w:hAnsi="Times New Roman"/>
          <w:sz w:val="20"/>
        </w:rPr>
        <w:t xml:space="preserve">B. if those receivables comprise all or substantially all of the business or assets of such Securitization Entity, the shares or other interests of any Member of the Group in such Securitization Entity; </w:t>
      </w:r>
    </w:p>
    <w:p>
      <w:pPr>
        <w:pStyle w:val="TextBody"/>
        <w:bidi w:val="0"/>
        <w:spacing w:before="240" w:after="0"/>
        <w:jc w:val="left"/>
        <w:rPr>
          <w:rFonts w:ascii="Times New Roman" w:hAnsi="Times New Roman"/>
          <w:sz w:val="20"/>
        </w:rPr>
      </w:pPr>
      <w:r>
        <w:rPr>
          <w:rFonts w:ascii="Times New Roman" w:hAnsi="Times New Roman"/>
          <w:i/>
          <w:sz w:val="20"/>
        </w:rPr>
        <w:t>provided that</w:t>
      </w:r>
      <w:r>
        <w:rPr>
          <w:rFonts w:ascii="Times New Roman" w:hAnsi="Times New Roman"/>
          <w:sz w:val="20"/>
        </w:rPr>
        <w:t xml:space="preserve"> any Indebtedness not qualifying as Non-recourse Securitization Debt solely because the extent of recourse to any Member of the Group with respect to such Indebtedness is greater than that provided in Clauses (A) and (B) above shall only not qualify as Non-recourse Securitization Debt with respect to the extent of such additional recourse. </w:t>
      </w:r>
    </w:p>
    <w:p>
      <w:pPr>
        <w:pStyle w:val="TextBody"/>
        <w:bidi w:val="0"/>
        <w:spacing w:before="240" w:after="0"/>
        <w:jc w:val="left"/>
        <w:rPr/>
      </w:pPr>
      <w:r>
        <w:rPr/>
        <w:t>“</w:t>
      </w:r>
      <w:r>
        <w:rPr>
          <w:rFonts w:ascii="Times New Roman" w:hAnsi="Times New Roman"/>
          <w:sz w:val="20"/>
        </w:rPr>
        <w:t xml:space="preserve">OECD” means the Organization for Economic Co-operation and Development. </w:t>
      </w:r>
    </w:p>
    <w:p>
      <w:pPr>
        <w:pStyle w:val="TextBody"/>
        <w:bidi w:val="0"/>
        <w:spacing w:before="240" w:after="0"/>
        <w:jc w:val="left"/>
        <w:rPr/>
      </w:pPr>
      <w:r>
        <w:rPr/>
        <w:t>“</w:t>
      </w:r>
      <w:r>
        <w:rPr>
          <w:rFonts w:ascii="Times New Roman" w:hAnsi="Times New Roman"/>
          <w:sz w:val="20"/>
        </w:rPr>
        <w:t xml:space="preserve">OECD Country” means a country that is a member of the OECD or any successor organization at the time of the occurrence of a payment default or acceleration specified in the Event of Default (or, to the extent that the OECD or a successor organization no longer exists, at the time the relevant organization ceased to exist). </w:t>
      </w:r>
    </w:p>
    <w:p>
      <w:pPr>
        <w:pStyle w:val="TextBody"/>
        <w:bidi w:val="0"/>
        <w:spacing w:before="240" w:after="0"/>
        <w:jc w:val="left"/>
        <w:rPr/>
      </w:pPr>
      <w:r>
        <w:rPr/>
        <w:t>“</w:t>
      </w:r>
      <w:r>
        <w:rPr>
          <w:rFonts w:ascii="Times New Roman" w:hAnsi="Times New Roman"/>
          <w:sz w:val="20"/>
        </w:rPr>
        <w:t xml:space="preserve">Officer” means, with respect to any Person, the chairman of the board, the chief executive officer, the chief financial officer, the president, any executive vice president, senior vice president or vice president, the treasurer or any assistant treasurer, the secretary or any assistant secretary for such Person, authorized to represent such Person in the relevant matter. </w:t>
      </w:r>
    </w:p>
    <w:p>
      <w:pPr>
        <w:pStyle w:val="TextBody"/>
        <w:bidi w:val="0"/>
        <w:spacing w:before="240" w:after="0"/>
        <w:jc w:val="left"/>
        <w:rPr/>
      </w:pPr>
      <w:r>
        <w:rPr/>
        <w:t>“</w:t>
      </w:r>
      <w:r>
        <w:rPr>
          <w:rFonts w:ascii="Times New Roman" w:hAnsi="Times New Roman"/>
          <w:sz w:val="20"/>
        </w:rPr>
        <w:t xml:space="preserve">Officer’s Certificate” means a certificate signed on behalf of the Company or the Guarantor, as the case may be, by an Officer of the Company or the Guarantor, as applicable, that meets the requirements set forth in this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Opinion of Counsel” means a written opinion from legal counsel, which may be an employee of or counsel to the Company or the Guarantor, as the case may be. </w:t>
      </w:r>
    </w:p>
    <w:p>
      <w:pPr>
        <w:pStyle w:val="TextBody"/>
        <w:bidi w:val="0"/>
        <w:spacing w:before="240" w:after="0"/>
        <w:jc w:val="left"/>
        <w:rPr/>
      </w:pPr>
      <w:r>
        <w:rPr/>
        <w:t>“</w:t>
      </w:r>
      <w:r>
        <w:rPr>
          <w:rFonts w:ascii="Times New Roman" w:hAnsi="Times New Roman"/>
          <w:sz w:val="20"/>
        </w:rPr>
        <w:t xml:space="preserve">Original Issue Discount Security” means any Security which provides for an amount less than the principal amount thereof to be due and payable upon a declaration of acceleration of the Maturity thereof pursuant to Section 5.02. </w:t>
      </w:r>
    </w:p>
    <w:p>
      <w:pPr>
        <w:pStyle w:val="TextBody"/>
        <w:bidi w:val="0"/>
        <w:spacing w:before="240" w:after="0"/>
        <w:jc w:val="left"/>
        <w:rPr/>
      </w:pPr>
      <w:r>
        <w:rPr/>
        <w:t>“</w:t>
      </w:r>
      <w:r>
        <w:rPr>
          <w:rFonts w:ascii="Times New Roman" w:hAnsi="Times New Roman"/>
          <w:sz w:val="20"/>
        </w:rPr>
        <w:t xml:space="preserve">Outstanding”, when used with respect to Securities, means, as of the date of determination, all Securities theretofore authenticated and delivered under this Indenture, except: </w:t>
      </w:r>
    </w:p>
    <w:p>
      <w:pPr>
        <w:pStyle w:val="TextBody"/>
        <w:bidi w:val="0"/>
        <w:spacing w:before="240" w:after="0"/>
        <w:jc w:val="left"/>
        <w:rPr>
          <w:rFonts w:ascii="Times New Roman" w:hAnsi="Times New Roman"/>
          <w:sz w:val="20"/>
        </w:rPr>
      </w:pPr>
      <w:r>
        <w:rPr>
          <w:rFonts w:ascii="Times New Roman" w:hAnsi="Times New Roman"/>
          <w:sz w:val="20"/>
        </w:rPr>
        <w:t xml:space="preserve">(1) Securities theretofore cancelled by the Trustee or delivered to the Trustee for cancellation; </w:t>
      </w:r>
    </w:p>
    <w:p>
      <w:pPr>
        <w:pStyle w:val="TextBody"/>
        <w:bidi w:val="0"/>
        <w:spacing w:before="240" w:after="0"/>
        <w:jc w:val="left"/>
        <w:rPr>
          <w:rFonts w:ascii="Times New Roman" w:hAnsi="Times New Roman"/>
          <w:sz w:val="20"/>
        </w:rPr>
      </w:pPr>
      <w:r>
        <w:rPr>
          <w:rFonts w:ascii="Times New Roman" w:hAnsi="Times New Roman"/>
          <w:sz w:val="20"/>
        </w:rPr>
        <w:t xml:space="preserve">(2) Securities for whose payment or redemption money in the necessary amount has been theretofore deposited with the Trustee or any Paying Agent (other than the Company or the Guarantor) in trust or set aside and segregated in trust by the Company or the Guarantor (if the Company or the Guarantor, as applicable, acts as its own Paying Agent) for the Holders of such Securities; </w:t>
      </w:r>
      <w:r>
        <w:rPr>
          <w:rFonts w:ascii="Times New Roman" w:hAnsi="Times New Roman"/>
          <w:i/>
          <w:sz w:val="20"/>
        </w:rPr>
        <w:t>provided</w:t>
      </w:r>
      <w:r>
        <w:rPr>
          <w:rFonts w:ascii="Times New Roman" w:hAnsi="Times New Roman"/>
          <w:sz w:val="20"/>
        </w:rPr>
        <w:t xml:space="preserve"> that, if such Securities are to be redeemed, notice of such redemption has been duly given pursuant to this Indenture or provision therefor satisfactory to the Trustee has been made; </w:t>
      </w:r>
    </w:p>
    <w:p>
      <w:pPr>
        <w:pStyle w:val="TextBody"/>
        <w:bidi w:val="0"/>
        <w:spacing w:before="240" w:after="0"/>
        <w:jc w:val="left"/>
        <w:rPr>
          <w:rFonts w:ascii="Times New Roman" w:hAnsi="Times New Roman"/>
          <w:sz w:val="20"/>
        </w:rPr>
      </w:pPr>
      <w:r>
        <w:rPr>
          <w:rFonts w:ascii="Times New Roman" w:hAnsi="Times New Roman"/>
          <w:sz w:val="20"/>
        </w:rPr>
        <w:t xml:space="preserve">(3) Securities as to which Legal Defeasance has been effected pursuant to Section 14.02; and </w:t>
      </w:r>
    </w:p>
    <w:p>
      <w:pPr>
        <w:pStyle w:val="TextBody"/>
        <w:bidi w:val="0"/>
        <w:spacing w:before="240" w:after="0"/>
        <w:jc w:val="left"/>
        <w:rPr>
          <w:rFonts w:ascii="Times New Roman" w:hAnsi="Times New Roman"/>
          <w:sz w:val="20"/>
        </w:rPr>
      </w:pPr>
      <w:r>
        <w:rPr>
          <w:rFonts w:ascii="Times New Roman" w:hAnsi="Times New Roman"/>
          <w:sz w:val="20"/>
        </w:rPr>
        <w:t xml:space="preserve">(4) Securities which have been paid pursuant to Section 3.06 or in exchange for or in lieu of which other Securities have been authenticated and delivered pursuant to this Indenture, other than any such Securities in respect of which there shall have been presented to the Trustee proof satisfactory to it that such Securities are held by a bona fide purchaser in whose hands such Securities are valid obligations of the Company; </w:t>
      </w:r>
    </w:p>
    <w:p>
      <w:pPr>
        <w:pStyle w:val="TextBody"/>
        <w:bidi w:val="0"/>
        <w:spacing w:before="24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in determining whether the Holders of the requisite principal amount of the Outstanding Securities have given, made or taken any request, demand, authorization, direction, notice, consent, waiver or other action hereunder as of any date, (A) the principal amount of an Original Issue Discount Security which shall be deemed to be Outstanding shall be the amount of the principal thereof which would be due and payable as of such date upon acceleration of the Maturity thereof to such date pursuant to Section 5.02, (B) if, as of such date, the principal amount payable at the Stated Maturity of a Security is not determinable, the principal amount of such Security which shall be deemed to be Outstanding shall be the amount as specified or determined as contemplated by Section 3.01, (C) the principal amount of a Security denominated in one or more foreign currencies or currency units which shall be deemed to be Outstanding shall be the U.S. dollar equivalent, determined as of such date in the manner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provided as contemplated by Section 3.01, of the principal amount of such Security (or, in the case of a Security described in Clause (A) or (B) above, of the amount determined as provided in such Clause) and (D) Securities owned by the Company, the Guarantor or any other obligor upon the Securities or any Affiliate of the Company, the Guarantor or of such other obligor shall be disregarded and deemed not to be Outstanding, except that, in determining whether the Trustee shall be protected in relying upon any such request, demand, authorization, direction, notice, consent, waiver or other action, only Securities which a Responsible Officer of the Trustee knows to be so owned shall be so disregarded. Securities so owned which have been pledged in good faith may be regarded as Outstanding if the pledgee establishes to the satisfaction of the Trustee the pledgee’s right so to act with respect to such Securities and that the pledgee is not the Company, the Guarantor or any other obligor upon the Securities or any Affiliate of the Company, the Guarantor or of such other obligor. </w:t>
      </w:r>
    </w:p>
    <w:p>
      <w:pPr>
        <w:pStyle w:val="TextBody"/>
        <w:bidi w:val="0"/>
        <w:spacing w:before="240" w:after="0"/>
        <w:jc w:val="left"/>
        <w:rPr/>
      </w:pPr>
      <w:r>
        <w:rPr/>
        <w:t>“</w:t>
      </w:r>
      <w:r>
        <w:rPr>
          <w:rFonts w:ascii="Times New Roman" w:hAnsi="Times New Roman"/>
          <w:sz w:val="20"/>
        </w:rPr>
        <w:t xml:space="preserve">Par Call Date” has the meaning specified in Section 2.03. </w:t>
      </w:r>
    </w:p>
    <w:p>
      <w:pPr>
        <w:pStyle w:val="TextBody"/>
        <w:bidi w:val="0"/>
        <w:spacing w:before="240" w:after="0"/>
        <w:jc w:val="left"/>
        <w:rPr/>
      </w:pPr>
      <w:r>
        <w:rPr/>
        <w:t>“</w:t>
      </w:r>
      <w:r>
        <w:rPr>
          <w:rFonts w:ascii="Times New Roman" w:hAnsi="Times New Roman"/>
          <w:sz w:val="20"/>
        </w:rPr>
        <w:t xml:space="preserve">Payor” has the meaning specified in Section 2.03. </w:t>
      </w:r>
    </w:p>
    <w:p>
      <w:pPr>
        <w:pStyle w:val="TextBody"/>
        <w:bidi w:val="0"/>
        <w:spacing w:before="240" w:after="0"/>
        <w:jc w:val="left"/>
        <w:rPr/>
      </w:pPr>
      <w:r>
        <w:rPr/>
        <w:t>“</w:t>
      </w:r>
      <w:r>
        <w:rPr>
          <w:rFonts w:ascii="Times New Roman" w:hAnsi="Times New Roman"/>
          <w:sz w:val="20"/>
        </w:rPr>
        <w:t xml:space="preserve">Paying Agent” means any Person (which may include the Company, the Guarantor or the Trustee) authorized by the Company or the Guarantor to pay the principal of or any premium or interest on any Securities on behalf of the Company or the Guarantor. </w:t>
      </w:r>
    </w:p>
    <w:p>
      <w:pPr>
        <w:pStyle w:val="TextBody"/>
        <w:bidi w:val="0"/>
        <w:spacing w:before="240" w:after="0"/>
        <w:jc w:val="left"/>
        <w:rPr/>
      </w:pPr>
      <w:r>
        <w:rPr/>
        <w:t>“</w:t>
      </w:r>
      <w:r>
        <w:rPr>
          <w:rFonts w:ascii="Times New Roman" w:hAnsi="Times New Roman"/>
          <w:sz w:val="20"/>
        </w:rPr>
        <w:t xml:space="preserve">Permitted Liens” means: </w:t>
      </w:r>
    </w:p>
    <w:p>
      <w:pPr>
        <w:pStyle w:val="TextBody"/>
        <w:bidi w:val="0"/>
        <w:spacing w:before="240" w:after="0"/>
        <w:jc w:val="left"/>
        <w:rPr>
          <w:rFonts w:ascii="Times New Roman" w:hAnsi="Times New Roman"/>
          <w:sz w:val="20"/>
        </w:rPr>
      </w:pPr>
      <w:r>
        <w:rPr>
          <w:rFonts w:ascii="Times New Roman" w:hAnsi="Times New Roman"/>
          <w:sz w:val="20"/>
        </w:rPr>
        <w:t xml:space="preserve">A. Liens existing on the Issue Date; </w:t>
      </w:r>
    </w:p>
    <w:p>
      <w:pPr>
        <w:pStyle w:val="TextBody"/>
        <w:bidi w:val="0"/>
        <w:spacing w:before="240" w:after="0"/>
        <w:jc w:val="left"/>
        <w:rPr>
          <w:rFonts w:ascii="Times New Roman" w:hAnsi="Times New Roman"/>
          <w:sz w:val="20"/>
        </w:rPr>
      </w:pPr>
      <w:r>
        <w:rPr>
          <w:rFonts w:ascii="Times New Roman" w:hAnsi="Times New Roman"/>
          <w:sz w:val="20"/>
        </w:rPr>
        <w:t xml:space="preserve">B. Liens arising by operation of law, by contract having an equivalent effect, from rights of set-off arising in the ordinary course of business between the Company or the Guarantor, as the case may be, and any of their respective suppliers or customers, or from rights of set-off or netting arising by operation of law (or by contract having similar effect) by virtue of the provision to the Company or the Guarantor, as the case may be, of clearing bank facilities or overdraft facilities; </w:t>
      </w:r>
    </w:p>
    <w:p>
      <w:pPr>
        <w:pStyle w:val="TextBody"/>
        <w:bidi w:val="0"/>
        <w:spacing w:before="240" w:after="0"/>
        <w:jc w:val="left"/>
        <w:rPr>
          <w:rFonts w:ascii="Times New Roman" w:hAnsi="Times New Roman"/>
          <w:sz w:val="20"/>
        </w:rPr>
      </w:pPr>
      <w:r>
        <w:rPr>
          <w:rFonts w:ascii="Times New Roman" w:hAnsi="Times New Roman"/>
          <w:sz w:val="20"/>
        </w:rPr>
        <w:t xml:space="preserve">C. any Lien over: </w:t>
      </w:r>
    </w:p>
    <w:p>
      <w:pPr>
        <w:pStyle w:val="TextBody"/>
        <w:bidi w:val="0"/>
        <w:spacing w:before="240" w:after="0"/>
        <w:jc w:val="left"/>
        <w:rPr>
          <w:rFonts w:ascii="Times New Roman" w:hAnsi="Times New Roman"/>
          <w:sz w:val="20"/>
        </w:rPr>
      </w:pPr>
      <w:r>
        <w:rPr>
          <w:rFonts w:ascii="Times New Roman" w:hAnsi="Times New Roman"/>
          <w:sz w:val="20"/>
        </w:rPr>
        <w:t xml:space="preserve">(1) the receivables of a Securitization Entity (and any bank account to which such proceeds are deposited) which are subject to a Non-recourse Securitization as security for Non-recourse Securitization Debt raised by such Securitization Entity in respect of such receivables; and/or </w:t>
      </w:r>
    </w:p>
    <w:p>
      <w:pPr>
        <w:pStyle w:val="TextBody"/>
        <w:bidi w:val="0"/>
        <w:spacing w:before="240" w:after="0"/>
        <w:jc w:val="left"/>
        <w:rPr>
          <w:rFonts w:ascii="Times New Roman" w:hAnsi="Times New Roman"/>
          <w:sz w:val="20"/>
        </w:rPr>
      </w:pPr>
      <w:r>
        <w:rPr>
          <w:rFonts w:ascii="Times New Roman" w:hAnsi="Times New Roman"/>
          <w:sz w:val="20"/>
        </w:rPr>
        <w:t xml:space="preserve">(2) the shares or other interests owned by any Member of the Group in any Securitization Entity as security for Non-recourse Securitization Debt raised by such Securitization Entity </w:t>
      </w:r>
      <w:r>
        <w:rPr>
          <w:rFonts w:ascii="Times New Roman" w:hAnsi="Times New Roman"/>
          <w:i/>
          <w:sz w:val="20"/>
        </w:rPr>
        <w:t>provided</w:t>
      </w:r>
      <w:r>
        <w:rPr>
          <w:rFonts w:ascii="Times New Roman" w:hAnsi="Times New Roman"/>
          <w:sz w:val="20"/>
        </w:rPr>
        <w:t xml:space="preserve"> that the receivables or revenues which are the subject of the relevant Non-recourse Securitization comprise all or substantially all of the business of such Securitization Entity; </w:t>
      </w:r>
    </w:p>
    <w:p>
      <w:pPr>
        <w:pStyle w:val="TextBody"/>
        <w:bidi w:val="0"/>
        <w:spacing w:before="240" w:after="0"/>
        <w:jc w:val="left"/>
        <w:rPr>
          <w:rFonts w:ascii="Times New Roman" w:hAnsi="Times New Roman"/>
          <w:sz w:val="20"/>
        </w:rPr>
      </w:pPr>
      <w:r>
        <w:rPr>
          <w:rFonts w:ascii="Times New Roman" w:hAnsi="Times New Roman"/>
          <w:sz w:val="20"/>
        </w:rPr>
        <w:t xml:space="preserve">D. any Liens on assets acquired by a Member of the Group after the Issue Date, </w:t>
      </w:r>
      <w:r>
        <w:rPr>
          <w:rFonts w:ascii="Times New Roman" w:hAnsi="Times New Roman"/>
          <w:i/>
          <w:sz w:val="20"/>
        </w:rPr>
        <w:t>provided</w:t>
      </w:r>
      <w:r>
        <w:rPr>
          <w:rFonts w:ascii="Times New Roman" w:hAnsi="Times New Roman"/>
          <w:sz w:val="20"/>
        </w:rPr>
        <w:t xml:space="preserve"> that (i) such Lien was existing or agreed to be created at or before the time the relevant asset was acquired by a Member of the Group, (ii) such Lien was not created in contemplation of such acquisition, and (iii) the principal amount then secured does not exceed the principal amount of the committed financing then secured (whether or not drawn), with respect to such assets at the time the relevant asset was acquired by a Member of the Group;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any Lien created to secure all or any part of the purchase price, or to secure Quoted Indebtedness incurred or assumed to pay all or any part of the purchase price or cost of construction, of property (or any improvement thereon) acquired or constructed by the Company or the Guarantor after the Issue Date, </w:t>
      </w:r>
      <w:r>
        <w:rPr>
          <w:rFonts w:ascii="Times New Roman" w:hAnsi="Times New Roman"/>
          <w:i/>
          <w:sz w:val="20"/>
        </w:rPr>
        <w:t>provided</w:t>
      </w:r>
      <w:r>
        <w:rPr>
          <w:rFonts w:ascii="Times New Roman" w:hAnsi="Times New Roman"/>
          <w:sz w:val="20"/>
        </w:rPr>
        <w:t xml:space="preserve">, that (i) any such Lien shall extend solely to the item or items of property (or improvement thereon) so acquired or constructed and (ii) the principal amount of Quoted Indebtedness secured by any such Lien shall at no time exceed an amount equal to the fair market value of such property (or any improvement thereon) at the time of such acquisition or construction; </w:t>
      </w:r>
    </w:p>
    <w:p>
      <w:pPr>
        <w:pStyle w:val="TextBody"/>
        <w:bidi w:val="0"/>
        <w:spacing w:before="240" w:after="0"/>
        <w:jc w:val="left"/>
        <w:rPr>
          <w:rFonts w:ascii="Times New Roman" w:hAnsi="Times New Roman"/>
          <w:sz w:val="20"/>
        </w:rPr>
      </w:pPr>
      <w:r>
        <w:rPr>
          <w:rFonts w:ascii="Times New Roman" w:hAnsi="Times New Roman"/>
          <w:sz w:val="20"/>
        </w:rPr>
        <w:t xml:space="preserve">F. any Lien securing Quoted Indebtedness incurred to refinance other indebtedness itself secured by a Lien included in Clauses (A), (B), (D) or (E) above, but only if the principal amount of the Quoted Indebtedness is not increased and only the same assets are secured as were secured by the prior Lien; </w:t>
      </w:r>
    </w:p>
    <w:p>
      <w:pPr>
        <w:pStyle w:val="TextBody"/>
        <w:bidi w:val="0"/>
        <w:spacing w:before="240" w:after="0"/>
        <w:jc w:val="left"/>
        <w:rPr>
          <w:rFonts w:ascii="Times New Roman" w:hAnsi="Times New Roman"/>
          <w:sz w:val="20"/>
        </w:rPr>
      </w:pPr>
      <w:r>
        <w:rPr>
          <w:rFonts w:ascii="Times New Roman" w:hAnsi="Times New Roman"/>
          <w:sz w:val="20"/>
        </w:rPr>
        <w:t xml:space="preserve">G. any Lien provided in favor of any bank or governmental (central or local), intergovernmental or supranational body, agency, department or other authority securing any of the Company’s or the Guarantor’s Quoted Indebtedness under a loan scheme operated by (or on behalf of) Banco Nacional de Desenvolvimento Economico e Social, Finame, Banco de Minas Gerais, the United States Department of Energy, the United States Department of the Treasury, a member country of the OECD, Argentina, Brazil, China, India, South Africa or any supranational entity (such as the European Bank for Reconstruction and Development or the International Finance Corporation) where the provision of such Lien is required for the relevant loan; or </w:t>
      </w:r>
    </w:p>
    <w:p>
      <w:pPr>
        <w:pStyle w:val="TextBody"/>
        <w:bidi w:val="0"/>
        <w:spacing w:before="240" w:after="0"/>
        <w:jc w:val="left"/>
        <w:rPr>
          <w:rFonts w:ascii="Times New Roman" w:hAnsi="Times New Roman"/>
          <w:sz w:val="20"/>
        </w:rPr>
      </w:pPr>
      <w:r>
        <w:rPr>
          <w:rFonts w:ascii="Times New Roman" w:hAnsi="Times New Roman"/>
          <w:sz w:val="20"/>
        </w:rPr>
        <w:t xml:space="preserve">H. (i) any Lien created on the shares of capital stock of any of the Guarantor’s subsidiaries, and (ii) any Lien created on the assets of any of the Guarantor’s subsidiaries of the type described in Clause (E) above other than shares of capital stock of any of the Guarantor’s subsidiaries. </w:t>
      </w:r>
    </w:p>
    <w:p>
      <w:pPr>
        <w:pStyle w:val="TextBody"/>
        <w:bidi w:val="0"/>
        <w:spacing w:before="240" w:after="0"/>
        <w:jc w:val="left"/>
        <w:rPr/>
      </w:pPr>
      <w:r>
        <w:rPr/>
        <w:t>“</w:t>
      </w:r>
      <w:r>
        <w:rPr>
          <w:rFonts w:ascii="Times New Roman" w:hAnsi="Times New Roman"/>
          <w:sz w:val="20"/>
        </w:rPr>
        <w:t xml:space="preserve">Person” means any individual, firm, corporation, limited liability company, partnership, joint venture, association, joint stock company, trust, unincorporated organization, government or any agency or political subdivision thereof or any other entity. </w:t>
      </w:r>
    </w:p>
    <w:p>
      <w:pPr>
        <w:pStyle w:val="TextBody"/>
        <w:bidi w:val="0"/>
        <w:spacing w:before="240" w:after="0"/>
        <w:jc w:val="left"/>
        <w:rPr/>
      </w:pPr>
      <w:r>
        <w:rPr/>
        <w:t>“</w:t>
      </w:r>
      <w:r>
        <w:rPr>
          <w:rFonts w:ascii="Times New Roman" w:hAnsi="Times New Roman"/>
          <w:sz w:val="20"/>
        </w:rPr>
        <w:t xml:space="preserve">Peugeot Invest” means the </w:t>
      </w:r>
      <w:r>
        <w:rPr>
          <w:rFonts w:ascii="Times New Roman" w:hAnsi="Times New Roman"/>
          <w:i/>
          <w:sz w:val="20"/>
        </w:rPr>
        <w:t>société anonyme</w:t>
      </w:r>
      <w:r>
        <w:rPr>
          <w:rFonts w:ascii="Times New Roman" w:hAnsi="Times New Roman"/>
          <w:sz w:val="20"/>
        </w:rPr>
        <w:t xml:space="preserve"> registered with the </w:t>
      </w:r>
      <w:r>
        <w:rPr>
          <w:rFonts w:ascii="Times New Roman" w:hAnsi="Times New Roman"/>
          <w:i/>
          <w:sz w:val="20"/>
        </w:rPr>
        <w:t>registre du commerce et des sociétés</w:t>
      </w:r>
      <w:r>
        <w:rPr>
          <w:rFonts w:ascii="Times New Roman" w:hAnsi="Times New Roman"/>
          <w:sz w:val="20"/>
        </w:rPr>
        <w:t xml:space="preserve"> of Nanterre under number 562 075 390. </w:t>
      </w:r>
    </w:p>
    <w:p>
      <w:pPr>
        <w:pStyle w:val="TextBody"/>
        <w:bidi w:val="0"/>
        <w:spacing w:before="240" w:after="0"/>
        <w:jc w:val="left"/>
        <w:rPr/>
      </w:pPr>
      <w:r>
        <w:rPr/>
        <w:t>“</w:t>
      </w:r>
      <w:r>
        <w:rPr>
          <w:rFonts w:ascii="Times New Roman" w:hAnsi="Times New Roman"/>
          <w:sz w:val="20"/>
        </w:rPr>
        <w:t xml:space="preserve">Place of Payment”, when used with respect to the Securities of any series, means the place or places where the principal of and any premium and interest on the Securities of that series are payable as specified by Section 3.01. </w:t>
      </w:r>
    </w:p>
    <w:p>
      <w:pPr>
        <w:pStyle w:val="TextBody"/>
        <w:bidi w:val="0"/>
        <w:spacing w:before="240" w:after="0"/>
        <w:jc w:val="left"/>
        <w:rPr/>
      </w:pPr>
      <w:r>
        <w:rPr/>
        <w:t>“</w:t>
      </w:r>
      <w:r>
        <w:rPr>
          <w:rFonts w:ascii="Times New Roman" w:hAnsi="Times New Roman"/>
          <w:sz w:val="20"/>
        </w:rPr>
        <w:t xml:space="preserve">Predecessor Security” of any particular Security means every previous Security evidencing all or a portion of the same debt as that evidenced by such particular Security; and, for the purposes of this definition, any Security authenticated and delivered under Section 3.06 in exchange for or in lieu of a mutilated, destroyed, lost or stolen Security shall be deemed to evidence the same debt as the mutilated, destroyed, lost or stolen Security.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Qualifying Guarantee” means a direct or indirect guarantee in respect of any Indebtedness or a direct or indirect indemnity against the consequences of a default in the payment of any Indebtedness, other than, in each case, by endorsement of negotiable instruments, letters of credit or reimbursement agreements in the ordinary course of business. </w:t>
      </w:r>
    </w:p>
    <w:p>
      <w:pPr>
        <w:pStyle w:val="TextBody"/>
        <w:bidi w:val="0"/>
        <w:spacing w:before="240" w:after="0"/>
        <w:jc w:val="left"/>
        <w:rPr/>
      </w:pPr>
      <w:r>
        <w:rPr/>
        <w:t>“</w:t>
      </w:r>
      <w:r>
        <w:rPr>
          <w:rFonts w:ascii="Times New Roman" w:hAnsi="Times New Roman"/>
          <w:sz w:val="20"/>
        </w:rPr>
        <w:t xml:space="preserve">Quoted Indebtedness” means any Indebtedness in the form of, or represented by, bonds, notes, debentures, loan stock or other securities and which at the time of issue is, or is capable of being, quoted, listed or ordinarily dealt in on any stock exchange or over-the-counter market or other securities market (whether or not initially distributed by means of a private placement). </w:t>
      </w:r>
    </w:p>
    <w:p>
      <w:pPr>
        <w:pStyle w:val="TextBody"/>
        <w:bidi w:val="0"/>
        <w:spacing w:before="240" w:after="0"/>
        <w:jc w:val="left"/>
        <w:rPr/>
      </w:pPr>
      <w:r>
        <w:rPr/>
        <w:t>“</w:t>
      </w:r>
      <w:r>
        <w:rPr>
          <w:rFonts w:ascii="Times New Roman" w:hAnsi="Times New Roman"/>
          <w:sz w:val="20"/>
        </w:rPr>
        <w:t xml:space="preserve">Rating Agency ” means Moody’s or S&amp;P (each as herein defined), or, if either such entity ceases to rate the Notes for reasons outside of the control of the Guarantor (where applicable) or the Company, the equivalent investment grade credit rating from any other “nationally recognized statistical rating organization” within the meaning of Section 3(a)(62) of the Exchange Act. </w:t>
      </w:r>
    </w:p>
    <w:p>
      <w:pPr>
        <w:pStyle w:val="TextBody"/>
        <w:bidi w:val="0"/>
        <w:spacing w:before="240" w:after="0"/>
        <w:jc w:val="left"/>
        <w:rPr/>
      </w:pPr>
      <w:r>
        <w:rPr/>
        <w:t>“</w:t>
      </w:r>
      <w:r>
        <w:rPr>
          <w:rFonts w:ascii="Times New Roman" w:hAnsi="Times New Roman"/>
          <w:sz w:val="20"/>
        </w:rPr>
        <w:t xml:space="preserve">Rating Date” means (i) the date one Business Day prior to the occurrence of an event specified in clauses (1) or (2) of the definition of Change of Control or, if applicable, and only with respect to the type of transaction specified in clause (1) of the definition of Change of Control, the date one Business Day before the first public announcement of a definitive agreement with respect to such transaction and (ii) in the event that a Rating Agency has announced a Rating Decline of the Securities within 90 calendar days prior to the occurrence of an event specified in clauses (1) or (2) of the definition of Change of Control or, if applicable, and only with respect to the type of transaction specified in clause (1) of the definition of Change of Control, within 90 calendar days before the first public announcement of a definitive agreement with respect to such transaction, and the official statement issued by a Rating Agency announcing the Rating Decline refers to such event or transaction as a reason for such downgrade, the date one Business Day prior to such announcement by a Rating Agency. </w:t>
      </w:r>
    </w:p>
    <w:p>
      <w:pPr>
        <w:pStyle w:val="TextBody"/>
        <w:bidi w:val="0"/>
        <w:spacing w:before="240" w:after="0"/>
        <w:jc w:val="left"/>
        <w:rPr/>
      </w:pPr>
      <w:r>
        <w:rPr/>
        <w:t>“</w:t>
      </w:r>
      <w:r>
        <w:rPr>
          <w:rFonts w:ascii="Times New Roman" w:hAnsi="Times New Roman"/>
          <w:sz w:val="20"/>
        </w:rPr>
        <w:t xml:space="preserve">Rating Decline”, with respect to a series of Securities, means the occurrence on any date within the 90-calendar day period following the occurrence of the event specified in clauses (1) or (2) of the definition of a Change of Control (which period shall be extended so long as during such period any rating of the Securities of the applicable series is under publicly announced consideration for possible downgrade by a Rating Agency, </w:t>
      </w:r>
      <w:r>
        <w:rPr>
          <w:rFonts w:ascii="Times New Roman" w:hAnsi="Times New Roman"/>
          <w:i/>
          <w:sz w:val="20"/>
        </w:rPr>
        <w:t>provided</w:t>
      </w:r>
      <w:r>
        <w:rPr>
          <w:rFonts w:ascii="Times New Roman" w:hAnsi="Times New Roman"/>
          <w:sz w:val="20"/>
        </w:rPr>
        <w:t xml:space="preserve"> that such extension shall not be for more than 30 calendar days) of: (i) in the event such Securities are rated by any Rating Agency on the Rating Date below Investment Grade (a) the rating of such Securities by such Rating Agency is downgraded by at least one rating category below the rating of such Securities by such Rating Agency on the Rating Date and not subsequently upgraded to its earlier rating (or better) by such Rating Agency within such period, or (b) such Securities cease to be rated by such Rating Agency and such Rating Agency does not subsequently reinstate the earlier rating (or better) that it had assigned to such Securities during such period; or (ii) in the event such Securities are rated by any Rating Agency on the Rating Date as Investment Grade (a) the rating of such Securities by such Rating Agency is downgraded to below Investment Grade and not subsequently upgraded to Investment Grade by such Rating Agency within such period, or (b) such Securities cease to be rated by such Rating Agency and such Rating Agency does not subsequently reinstate an Investment Grade rating to such Securities during such period, </w:t>
      </w:r>
      <w:r>
        <w:rPr>
          <w:rFonts w:ascii="Times New Roman" w:hAnsi="Times New Roman"/>
          <w:i/>
          <w:sz w:val="20"/>
        </w:rPr>
        <w:t xml:space="preserve">provided </w:t>
      </w:r>
      <w:r>
        <w:rPr>
          <w:rFonts w:ascii="Times New Roman" w:hAnsi="Times New Roman"/>
          <w:sz w:val="20"/>
        </w:rPr>
        <w:t>that</w:t>
      </w:r>
      <w:r>
        <w:rPr>
          <w:rFonts w:ascii="Times New Roman" w:hAnsi="Times New Roman"/>
          <w:i/>
          <w:sz w:val="20"/>
        </w:rPr>
        <w:t>:</w:t>
      </w:r>
      <w:r>
        <w:rPr>
          <w:rFonts w:ascii="Times New Roman" w:hAnsi="Times New Roman"/>
          <w:sz w:val="20"/>
        </w:rPr>
        <w:t xml:space="preserve"> (x) any such decision of the relevant Rating Agency to downgrade or cease to rate such Securities referred to in paragraph (i) or (ii) above shall not be deemed to have occurred in respect of a particular Change of Control if such Rating Agency does not publicly announce or confirm that such decision was the result, in whole or in part, of the event specified in clauses (1) or (2) of the definition of a Change of Control; and (y) if at the time of the event specified in Clauses (1) or (2) of the definition of Change of Control such Securities are not rated by a Rating Agency, and no Rating Agency assigns an Investment Grade rating to such Securities within the 90-calendar day period following the occurrence of the event specified in clauses (1) or (2) of the definition of a Change of Control, a Rating Decline will be deemed to have occurred. In determining how many rating categories the rating of such Securities has decreased, gradation will be taken in account (</w:t>
      </w:r>
      <w:r>
        <w:rPr>
          <w:rFonts w:ascii="Times New Roman" w:hAnsi="Times New Roman"/>
          <w:i/>
          <w:sz w:val="20"/>
        </w:rPr>
        <w:t>e.g.</w:t>
      </w:r>
      <w:r>
        <w:rPr>
          <w:rFonts w:ascii="Times New Roman" w:hAnsi="Times New Roman"/>
          <w:sz w:val="20"/>
        </w:rPr>
        <w:t xml:space="preserve">, with respect to S&amp;P’s, a decline in a rating from BB+ to BB, or from BB to BB-, will constitute a decrease of one rating category).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Redemption Date”, when used with respect to any Security to be redeemed, means the date fixed for such redemption by or pursuant to this Indenture. </w:t>
      </w:r>
    </w:p>
    <w:p>
      <w:pPr>
        <w:pStyle w:val="TextBody"/>
        <w:bidi w:val="0"/>
        <w:spacing w:before="240" w:after="0"/>
        <w:jc w:val="left"/>
        <w:rPr/>
      </w:pPr>
      <w:r>
        <w:rPr/>
        <w:t>“</w:t>
      </w:r>
      <w:r>
        <w:rPr>
          <w:rFonts w:ascii="Times New Roman" w:hAnsi="Times New Roman"/>
          <w:sz w:val="20"/>
        </w:rPr>
        <w:t xml:space="preserve">Redemption Price”, when used with respect to any Security to be redeemed, means the price (exclusive of any accrued interest) at which it is to be redeemed pursuant to this Indenture. The Trustee shall have no responsibility to calculate the Redemption Price. </w:t>
      </w:r>
    </w:p>
    <w:p>
      <w:pPr>
        <w:pStyle w:val="TextBody"/>
        <w:bidi w:val="0"/>
        <w:spacing w:before="240" w:after="0"/>
        <w:jc w:val="left"/>
        <w:rPr/>
      </w:pPr>
      <w:r>
        <w:rPr/>
        <w:t>“</w:t>
      </w:r>
      <w:r>
        <w:rPr>
          <w:rFonts w:ascii="Times New Roman" w:hAnsi="Times New Roman"/>
          <w:sz w:val="20"/>
        </w:rPr>
        <w:t xml:space="preserve">Regular Record Date” for the interest payable on any Interest Payment Date on the Securities of any series means the date specified for that purpose as contemplated by Section 3.01. </w:t>
      </w:r>
    </w:p>
    <w:p>
      <w:pPr>
        <w:pStyle w:val="TextBody"/>
        <w:bidi w:val="0"/>
        <w:spacing w:before="240" w:after="0"/>
        <w:jc w:val="left"/>
        <w:rPr/>
      </w:pPr>
      <w:r>
        <w:rPr/>
        <w:t>“</w:t>
      </w:r>
      <w:r>
        <w:rPr>
          <w:rFonts w:ascii="Times New Roman" w:hAnsi="Times New Roman"/>
          <w:sz w:val="20"/>
        </w:rPr>
        <w:t xml:space="preserve">Related Party” means (i) each of the owners and beneficial holders of interests in Giovanni Agnelli B.V. (at the Issue Date) and each of their spouses, heirs, legatees, descendants and blood relatives to the third degree, (ii) Giovanni Agnelli B.V., (iii) any Person directly or indirectly under the Control of Giovanni Agnelli B.V., (iv) Etablissements Peugeot Frères, (v) any Person directly or indirectly under the Control of Etablissements Peugeot Frères, (vi) Peugeot Invest, or (vii) any Person directly or indirectly under the Control of Peugeot Invest. For the purposes of this definition, the term “Control” means (1) the direct or indirect ownership (beneficial or otherwise) of more than 50% of the Voting Stock of a Person measured by voting power rather than number of shares or (2) the power to appoint or remove all or the majority of the directors or other equivalent officers of a Person. </w:t>
      </w:r>
    </w:p>
    <w:p>
      <w:pPr>
        <w:pStyle w:val="TextBody"/>
        <w:bidi w:val="0"/>
        <w:spacing w:before="240" w:after="0"/>
        <w:jc w:val="left"/>
        <w:rPr/>
      </w:pPr>
      <w:r>
        <w:rPr/>
        <w:t>“</w:t>
      </w:r>
      <w:r>
        <w:rPr>
          <w:rFonts w:ascii="Times New Roman" w:hAnsi="Times New Roman"/>
          <w:sz w:val="20"/>
        </w:rPr>
        <w:t xml:space="preserve">Relevant Jurisdiction” has the meaning specified in Section 2.03. </w:t>
      </w:r>
    </w:p>
    <w:p>
      <w:pPr>
        <w:pStyle w:val="TextBody"/>
        <w:bidi w:val="0"/>
        <w:spacing w:before="240" w:after="0"/>
        <w:jc w:val="left"/>
        <w:rPr/>
      </w:pPr>
      <w:r>
        <w:rPr/>
        <w:t>“</w:t>
      </w:r>
      <w:r>
        <w:rPr>
          <w:rFonts w:ascii="Times New Roman" w:hAnsi="Times New Roman"/>
          <w:sz w:val="20"/>
        </w:rPr>
        <w:t xml:space="preserve">Responsible Officer”, when used with respect to the Trustee, means any vice president, assistant vice president, assistant secretary, any senior associate, any associate, any trust officer or any other officer of the Trustee customarily performing functions similar to those performed by any of the above designated officers and also means, with respect to a particular corporate trust matter, any other officer to whom such matter is referred because of his or her knowledge of and familiarity with the particular subject, in each case having direct responsibility for the administration of this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Securities” has the meaning stated in the first recital of this Indenture and more particularly means any Securities authenticated and delivered under this Indenture. </w:t>
      </w:r>
    </w:p>
    <w:p>
      <w:pPr>
        <w:pStyle w:val="TextBody"/>
        <w:bidi w:val="0"/>
        <w:spacing w:before="240" w:after="0"/>
        <w:jc w:val="left"/>
        <w:rPr/>
      </w:pPr>
      <w:r>
        <w:rPr/>
        <w:t>“</w:t>
      </w:r>
      <w:r>
        <w:rPr>
          <w:rFonts w:ascii="Times New Roman" w:hAnsi="Times New Roman"/>
          <w:sz w:val="20"/>
        </w:rPr>
        <w:t xml:space="preserve">Securities Act” means the U.S. Securities Act of 1933, as amended, and the rules and regulations of the Commission promulgated thereunder. </w:t>
      </w:r>
    </w:p>
    <w:p>
      <w:pPr>
        <w:pStyle w:val="TextBody"/>
        <w:bidi w:val="0"/>
        <w:spacing w:before="240" w:after="0"/>
        <w:jc w:val="left"/>
        <w:rPr/>
      </w:pPr>
      <w:r>
        <w:rPr/>
        <w:t>“</w:t>
      </w:r>
      <w:r>
        <w:rPr>
          <w:rFonts w:ascii="Times New Roman" w:hAnsi="Times New Roman"/>
          <w:sz w:val="20"/>
        </w:rPr>
        <w:t xml:space="preserve">Security Register” and “Security Registrar” have the respective meanings specified in Section 3.05. </w:t>
      </w:r>
    </w:p>
    <w:p>
      <w:pPr>
        <w:pStyle w:val="TextBody"/>
        <w:bidi w:val="0"/>
        <w:spacing w:before="240" w:after="0"/>
        <w:jc w:val="left"/>
        <w:rPr/>
      </w:pPr>
      <w:r>
        <w:rPr/>
        <w:t>“</w:t>
      </w:r>
      <w:r>
        <w:rPr>
          <w:rFonts w:ascii="Times New Roman" w:hAnsi="Times New Roman"/>
          <w:sz w:val="20"/>
        </w:rPr>
        <w:t xml:space="preserve">Securitizable Asset” means receivables, loans, installment sales contracts, leases and/or leased assets, and incidental assets related thereto (or any interests therein) or interests or securities representing or dependent on collection of any of the foregoing. </w:t>
      </w:r>
    </w:p>
    <w:p>
      <w:pPr>
        <w:pStyle w:val="TextBody"/>
        <w:bidi w:val="0"/>
        <w:spacing w:before="240" w:after="0"/>
        <w:jc w:val="left"/>
        <w:rPr/>
      </w:pPr>
      <w:r>
        <w:rPr/>
        <w:t>“</w:t>
      </w:r>
      <w:r>
        <w:rPr>
          <w:rFonts w:ascii="Times New Roman" w:hAnsi="Times New Roman"/>
          <w:sz w:val="20"/>
        </w:rPr>
        <w:t xml:space="preserve">Securitization Entity” means any special purpose vehicle created for the sole purpose of carrying out, or otherwise used solely for the purpose of carrying out a Non-recourse Securitization or any other Subsidiary which is effecting Non-recourse Securitization. </w:t>
      </w:r>
    </w:p>
    <w:p>
      <w:pPr>
        <w:pStyle w:val="TextBody"/>
        <w:bidi w:val="0"/>
        <w:spacing w:before="240" w:after="0"/>
        <w:jc w:val="left"/>
        <w:rPr/>
      </w:pPr>
      <w:r>
        <w:rPr/>
        <w:t>“</w:t>
      </w:r>
      <w:r>
        <w:rPr>
          <w:rFonts w:ascii="Times New Roman" w:hAnsi="Times New Roman"/>
          <w:sz w:val="20"/>
        </w:rPr>
        <w:t xml:space="preserve">Special Record Date” for the payment of any Defaulted Interest means a date fixed by the Trustee pursuant to Section 3.07. </w:t>
      </w:r>
    </w:p>
    <w:p>
      <w:pPr>
        <w:pStyle w:val="TextBody"/>
        <w:bidi w:val="0"/>
        <w:spacing w:before="240" w:after="0"/>
        <w:jc w:val="left"/>
        <w:rPr/>
      </w:pPr>
      <w:r>
        <w:rPr/>
        <w:t>“</w:t>
      </w:r>
      <w:r>
        <w:rPr>
          <w:rFonts w:ascii="Times New Roman" w:hAnsi="Times New Roman"/>
          <w:sz w:val="20"/>
        </w:rPr>
        <w:t xml:space="preserve">S&amp;P” means S&amp;P Global Ratings, a division of S&amp;P Global Inc., and its successors. </w:t>
      </w:r>
    </w:p>
    <w:p>
      <w:pPr>
        <w:pStyle w:val="TextBody"/>
        <w:bidi w:val="0"/>
        <w:spacing w:before="240" w:after="0"/>
        <w:jc w:val="left"/>
        <w:rPr/>
      </w:pPr>
      <w:r>
        <w:rPr/>
        <w:t>“</w:t>
      </w:r>
      <w:r>
        <w:rPr>
          <w:rFonts w:ascii="Times New Roman" w:hAnsi="Times New Roman"/>
          <w:sz w:val="20"/>
        </w:rPr>
        <w:t xml:space="preserve">Standard Securitization Undertaking” means representations, warranties, covenants, guarantees and indemnities entered into by any Member of the Group from time to time which are customary in relation to Non-recourse Securitization, including any payment or performance undertakings with respect to origination or servicing obligations or undertakings with respect to breaches of representations or warranties. </w:t>
      </w:r>
    </w:p>
    <w:p>
      <w:pPr>
        <w:pStyle w:val="TextBody"/>
        <w:bidi w:val="0"/>
        <w:spacing w:before="240" w:after="0"/>
        <w:jc w:val="left"/>
        <w:rPr/>
      </w:pPr>
      <w:r>
        <w:rPr/>
        <w:t>“</w:t>
      </w:r>
      <w:r>
        <w:rPr>
          <w:rFonts w:ascii="Times New Roman" w:hAnsi="Times New Roman"/>
          <w:sz w:val="20"/>
        </w:rPr>
        <w:t xml:space="preserve">Stated Maturity”, when used with respect to any Security or any installment of principal thereof or interest thereon, means the date specified in such Security as the fixed date on which the principal of such Security or such installment of principal or interest is due and payable. </w:t>
      </w:r>
    </w:p>
    <w:p>
      <w:pPr>
        <w:pStyle w:val="TextBody"/>
        <w:bidi w:val="0"/>
        <w:spacing w:before="240" w:after="0"/>
        <w:jc w:val="left"/>
        <w:rPr/>
      </w:pPr>
      <w:r>
        <w:rPr/>
        <w:t>“</w:t>
      </w:r>
      <w:r>
        <w:rPr>
          <w:rFonts w:ascii="Times New Roman" w:hAnsi="Times New Roman"/>
          <w:sz w:val="20"/>
        </w:rPr>
        <w:t xml:space="preserve">Subsidiary” means, with respect to any Person: (1) any corporation, association, or other business entity (other than a partnership, joint venture, limited liability company or similar entity) more than 50% of the outstanding capital stock of which is owned, directly or indirectly, by such Person or by one or more other Subsidiaries of such Person, or by such Person and one or more other Subsidiary of such Person; and (2) any partnership, joint venture, limited liability company or similar entity of which (a) more than 50% of the capital accounts, distribution rights, total equity and voting interests or general or limited partnership interests, as applicable, are owned or controlled, directly or indirectly, by such Person or one or more of the other Subsidiaries of such Person or a combination thereof whether in the form of membership, general, special or limited partnership or otherwise, or (b) such Person is a controlling general partner or otherwise controls such entity. </w:t>
      </w:r>
    </w:p>
    <w:p>
      <w:pPr>
        <w:pStyle w:val="TextBody"/>
        <w:bidi w:val="0"/>
        <w:spacing w:before="240" w:after="0"/>
        <w:jc w:val="left"/>
        <w:rPr/>
      </w:pPr>
      <w:r>
        <w:rPr/>
        <w:t>“</w:t>
      </w:r>
      <w:r>
        <w:rPr>
          <w:rFonts w:ascii="Times New Roman" w:hAnsi="Times New Roman"/>
          <w:sz w:val="20"/>
        </w:rPr>
        <w:t xml:space="preserve">Substitute” has the meaning specified in Section 8.04. </w:t>
      </w:r>
    </w:p>
    <w:p>
      <w:pPr>
        <w:pStyle w:val="TextBody"/>
        <w:bidi w:val="0"/>
        <w:spacing w:before="240" w:after="0"/>
        <w:jc w:val="left"/>
        <w:rPr/>
      </w:pPr>
      <w:r>
        <w:rPr/>
        <w:t>“</w:t>
      </w:r>
      <w:r>
        <w:rPr>
          <w:rFonts w:ascii="Times New Roman" w:hAnsi="Times New Roman"/>
          <w:sz w:val="20"/>
        </w:rPr>
        <w:t xml:space="preserve">Substitution by Guarantor Documents” has the meaning specified in Section 8.03.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Substitution by Treasury Subsidiary Documents” has the meaning specified in Section 8.04. </w:t>
      </w:r>
    </w:p>
    <w:p>
      <w:pPr>
        <w:pStyle w:val="TextBody"/>
        <w:bidi w:val="0"/>
        <w:spacing w:before="240" w:after="0"/>
        <w:jc w:val="left"/>
        <w:rPr/>
      </w:pPr>
      <w:r>
        <w:rPr/>
        <w:t>“</w:t>
      </w:r>
      <w:r>
        <w:rPr>
          <w:rFonts w:ascii="Times New Roman" w:hAnsi="Times New Roman"/>
          <w:sz w:val="20"/>
        </w:rPr>
        <w:t xml:space="preserve">Taxes” has the meaning specified in Section 2.03. </w:t>
      </w:r>
    </w:p>
    <w:p>
      <w:pPr>
        <w:pStyle w:val="TextBody"/>
        <w:bidi w:val="0"/>
        <w:spacing w:before="240" w:after="0"/>
        <w:jc w:val="left"/>
        <w:rPr/>
      </w:pPr>
      <w:r>
        <w:rPr/>
        <w:t>“</w:t>
      </w:r>
      <w:r>
        <w:rPr>
          <w:rFonts w:ascii="Times New Roman" w:hAnsi="Times New Roman"/>
          <w:sz w:val="20"/>
        </w:rPr>
        <w:t xml:space="preserve">Treasury Rate” has the meaning specified in Section 2.03. </w:t>
      </w:r>
    </w:p>
    <w:p>
      <w:pPr>
        <w:pStyle w:val="TextBody"/>
        <w:bidi w:val="0"/>
        <w:spacing w:before="240" w:after="0"/>
        <w:jc w:val="left"/>
        <w:rPr/>
      </w:pPr>
      <w:r>
        <w:rPr/>
        <w:t>“</w:t>
      </w:r>
      <w:r>
        <w:rPr>
          <w:rFonts w:ascii="Times New Roman" w:hAnsi="Times New Roman"/>
          <w:sz w:val="20"/>
        </w:rPr>
        <w:t xml:space="preserve">Treasury Subsidiary” means (A) Fiat Chrysler Finance Europe </w:t>
      </w:r>
      <w:r>
        <w:rPr>
          <w:rFonts w:ascii="Times New Roman" w:hAnsi="Times New Roman"/>
          <w:i/>
          <w:sz w:val="20"/>
        </w:rPr>
        <w:t>société en nom collectif</w:t>
      </w:r>
      <w:r>
        <w:rPr>
          <w:rFonts w:ascii="Times New Roman" w:hAnsi="Times New Roman"/>
          <w:sz w:val="20"/>
        </w:rPr>
        <w:t xml:space="preserve">, acting through its UK Branch (B) Stellantis Finance US Inc., and (C) any other Subsidiary of the Guarantor the primary purpose of which is borrowing funds, issuing securities or incurring Indebtedness from third parties. For the avoidance of doubt, “Treasury Subsidiary” does not, and shall not be deemed to, include any Financial Services Subsidiary. </w:t>
      </w:r>
    </w:p>
    <w:p>
      <w:pPr>
        <w:pStyle w:val="TextBody"/>
        <w:bidi w:val="0"/>
        <w:spacing w:before="240" w:after="0"/>
        <w:jc w:val="left"/>
        <w:rPr/>
      </w:pPr>
      <w:r>
        <w:rPr/>
        <w:t>“</w:t>
      </w:r>
      <w:r>
        <w:rPr>
          <w:rFonts w:ascii="Times New Roman" w:hAnsi="Times New Roman"/>
          <w:sz w:val="20"/>
        </w:rPr>
        <w:t xml:space="preserve">Trust Indenture Act” means the U.S. Trust Indenture Act of 1939, including the rules promulgated thereunder, as in force at the date as of which this instrument was executed;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in the event the Trust Indenture Act of 1939 is amended after such date, “Trust Indenture Act” means, to the extent required by any such amendment, the Trust Indenture Act of 1939 as so amended and any successor statute thereto. </w:t>
      </w:r>
    </w:p>
    <w:p>
      <w:pPr>
        <w:pStyle w:val="TextBody"/>
        <w:bidi w:val="0"/>
        <w:spacing w:before="240" w:after="0"/>
        <w:jc w:val="left"/>
        <w:rPr/>
      </w:pPr>
      <w:r>
        <w:rPr/>
        <w:t>“</w:t>
      </w:r>
      <w:r>
        <w:rPr>
          <w:rFonts w:ascii="Times New Roman" w:hAnsi="Times New Roman"/>
          <w:sz w:val="20"/>
        </w:rPr>
        <w:t xml:space="preserve">Trustee” means the Person named as the “Trustee” in the first paragraph of this instrument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 </w:t>
      </w:r>
    </w:p>
    <w:p>
      <w:pPr>
        <w:pStyle w:val="TextBody"/>
        <w:bidi w:val="0"/>
        <w:spacing w:before="240" w:after="0"/>
        <w:jc w:val="left"/>
        <w:rPr/>
      </w:pPr>
      <w:r>
        <w:rPr/>
        <w:t>“</w:t>
      </w:r>
      <w:r>
        <w:rPr>
          <w:rFonts w:ascii="Times New Roman" w:hAnsi="Times New Roman"/>
          <w:sz w:val="20"/>
        </w:rPr>
        <w:t xml:space="preserve">Voting Stock” of any Person as of any date means the capital stock of such Person that is at the time entitled to vote in the election of the board of directors of such Person. </w:t>
      </w:r>
    </w:p>
    <w:p>
      <w:pPr>
        <w:pStyle w:val="TextBody"/>
        <w:bidi w:val="0"/>
        <w:spacing w:before="240" w:after="0"/>
        <w:jc w:val="left"/>
        <w:rPr>
          <w:rFonts w:ascii="Times New Roman" w:hAnsi="Times New Roman"/>
          <w:sz w:val="20"/>
        </w:rPr>
      </w:pPr>
      <w:r>
        <w:rPr>
          <w:rFonts w:ascii="Times New Roman" w:hAnsi="Times New Roman"/>
          <w:sz w:val="20"/>
        </w:rPr>
        <w:t xml:space="preserve">SECTION 1.02. </w:t>
      </w:r>
      <w:r>
        <w:rPr>
          <w:rFonts w:ascii="Times New Roman" w:hAnsi="Times New Roman"/>
          <w:i/>
          <w:sz w:val="20"/>
        </w:rPr>
        <w:t>Compliance Certificates and Opinions.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Upon any application or request by the Company or the Guarantor to the Trustee to take any action under any provision of this Indenture, the Company or the Guarantor, as applicable, shall furnish to the Trustee such certificates and opinions as may be required under the Trust Indenture Act. Each such certificate or opinion shall be given in the form of an Officer’s Certificate, if to be given by an Officer of the Company or the Guarantor or an Opinion of Counsel, if to be given by counsel, and shall in each case comply with the requirements of the Trust Indenture Act and any other requirements set forth in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Every certificate or opinion with respect to compliance with a condition or covenant provided for in this Indenture (except for certificates provided for in Section 10.04) shall include, </w:t>
      </w:r>
    </w:p>
    <w:p>
      <w:pPr>
        <w:pStyle w:val="TextBody"/>
        <w:bidi w:val="0"/>
        <w:spacing w:before="240" w:after="0"/>
        <w:jc w:val="left"/>
        <w:rPr>
          <w:rFonts w:ascii="Times New Roman" w:hAnsi="Times New Roman"/>
          <w:sz w:val="20"/>
        </w:rPr>
      </w:pPr>
      <w:r>
        <w:rPr>
          <w:rFonts w:ascii="Times New Roman" w:hAnsi="Times New Roman"/>
          <w:sz w:val="20"/>
        </w:rPr>
        <w:t xml:space="preserve">(1) a statement that each individual signing such certificate or opinion has read such covenant or condition and the definitions herein relating thereto; </w:t>
      </w:r>
    </w:p>
    <w:p>
      <w:pPr>
        <w:pStyle w:val="TextBody"/>
        <w:bidi w:val="0"/>
        <w:spacing w:before="240" w:after="0"/>
        <w:jc w:val="left"/>
        <w:rPr>
          <w:rFonts w:ascii="Times New Roman" w:hAnsi="Times New Roman"/>
          <w:sz w:val="20"/>
        </w:rPr>
      </w:pPr>
      <w:r>
        <w:rPr>
          <w:rFonts w:ascii="Times New Roman" w:hAnsi="Times New Roman"/>
          <w:sz w:val="20"/>
        </w:rPr>
        <w:t xml:space="preserve">(2) a brief statement as to the nature and scope of the examination or investigation upon which the statements or opinions contained in such certificate or opinion are based;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a statement that, in the opinion of each such individual, he or she has made such examination or investigation as is necessary to enable him or her to express an informed opinion as to whether or not such covenant or condition has been complied with; and </w:t>
      </w:r>
    </w:p>
    <w:p>
      <w:pPr>
        <w:pStyle w:val="TextBody"/>
        <w:bidi w:val="0"/>
        <w:spacing w:before="240" w:after="0"/>
        <w:jc w:val="left"/>
        <w:rPr>
          <w:rFonts w:ascii="Times New Roman" w:hAnsi="Times New Roman"/>
          <w:sz w:val="20"/>
        </w:rPr>
      </w:pPr>
      <w:r>
        <w:rPr>
          <w:rFonts w:ascii="Times New Roman" w:hAnsi="Times New Roman"/>
          <w:sz w:val="20"/>
        </w:rPr>
        <w:t xml:space="preserve">(4) a statement as to whether, in the opinion of each such individual, such condition or covenant has been complied with. </w:t>
      </w:r>
    </w:p>
    <w:p>
      <w:pPr>
        <w:pStyle w:val="TextBody"/>
        <w:bidi w:val="0"/>
        <w:spacing w:before="240" w:after="0"/>
        <w:jc w:val="left"/>
        <w:rPr>
          <w:rFonts w:ascii="Times New Roman" w:hAnsi="Times New Roman"/>
          <w:sz w:val="20"/>
        </w:rPr>
      </w:pPr>
      <w:r>
        <w:rPr>
          <w:rFonts w:ascii="Times New Roman" w:hAnsi="Times New Roman"/>
          <w:sz w:val="20"/>
        </w:rPr>
        <w:t xml:space="preserve">SECTION 1.03. </w:t>
      </w:r>
      <w:r>
        <w:rPr>
          <w:rFonts w:ascii="Times New Roman" w:hAnsi="Times New Roman"/>
          <w:i/>
          <w:sz w:val="20"/>
        </w:rPr>
        <w:t>Form of Documents Delivered to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 </w:t>
      </w:r>
    </w:p>
    <w:p>
      <w:pPr>
        <w:pStyle w:val="TextBody"/>
        <w:bidi w:val="0"/>
        <w:spacing w:before="240" w:after="0"/>
        <w:jc w:val="left"/>
        <w:rPr>
          <w:rFonts w:ascii="Times New Roman" w:hAnsi="Times New Roman"/>
          <w:sz w:val="20"/>
        </w:rPr>
      </w:pPr>
      <w:r>
        <w:rPr>
          <w:rFonts w:ascii="Times New Roman" w:hAnsi="Times New Roman"/>
          <w:sz w:val="20"/>
        </w:rPr>
        <w:t xml:space="preserve">Any certificate or opinion of an Officer of the Company or the Guarantor may be based, insofar as it relates to legal matters, upon a certificate or opinion of, or representations by, counsel, unless such Officer knows that the certificate or opinion or representations with respect to the matters upon which his certificate or opinion is based are erroneous. Any such certificate or opinion of, or representation by, counsel may be based, insofar as it relates to factual matters, upon a certificate or opinion of, or representations by, an Officer or Officers of the Company or the Guarantor, as applicable, stating that the information with respect to such factual matters is in the possession of the Company or the Guarantor, as applicable, unless such counsel knows that the certificate or opinion or representations with respect to such matters are erroneous. </w:t>
      </w:r>
    </w:p>
    <w:p>
      <w:pPr>
        <w:pStyle w:val="TextBody"/>
        <w:bidi w:val="0"/>
        <w:spacing w:before="240" w:after="0"/>
        <w:jc w:val="left"/>
        <w:rPr>
          <w:rFonts w:ascii="Times New Roman" w:hAnsi="Times New Roman"/>
          <w:sz w:val="20"/>
        </w:rPr>
      </w:pPr>
      <w:r>
        <w:rPr>
          <w:rFonts w:ascii="Times New Roman" w:hAnsi="Times New Roman"/>
          <w:sz w:val="20"/>
        </w:rPr>
        <w:t xml:space="preserve">Where any Person is required to make, give or execute two or more applications, requests, consents, certificates, statements, opinions or other instruments under this Indenture, they may, but need not, be consolidated and form one instrument. </w:t>
      </w:r>
    </w:p>
    <w:p>
      <w:pPr>
        <w:pStyle w:val="TextBody"/>
        <w:bidi w:val="0"/>
        <w:spacing w:before="240" w:after="0"/>
        <w:jc w:val="left"/>
        <w:rPr>
          <w:rFonts w:ascii="Times New Roman" w:hAnsi="Times New Roman"/>
          <w:sz w:val="20"/>
        </w:rPr>
      </w:pPr>
      <w:r>
        <w:rPr>
          <w:rFonts w:ascii="Times New Roman" w:hAnsi="Times New Roman"/>
          <w:sz w:val="20"/>
        </w:rPr>
        <w:t xml:space="preserve">SECTION 1.04. </w:t>
      </w:r>
      <w:r>
        <w:rPr>
          <w:rFonts w:ascii="Times New Roman" w:hAnsi="Times New Roman"/>
          <w:i/>
          <w:sz w:val="20"/>
        </w:rPr>
        <w:t>Acts of Holders; Record Dates.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Any request, demand, authorization, direction, notice, consent, waiver or other action provided or permitted by this Indenture to be given, made or taken by Holders may be embodied in and evidenced by one or more instruments of substantially similar tenor signed by such Holders in person or by an agent duly appointed in writing; and, except as herein otherwise expressly provided, such action shall become effective when such instrument or instruments, or record or both, are delivered to the Trustee and, where it is hereby expressly required, to the Company or the Guarantor. Such instrument or instruments (and the action embodied therein and evidenced thereby) are herein sometimes referred to as the “Act” of the Holders signing such instrument or instruments. Proof of execution of any such instrument or of a writing appointing any such agent shall be sufficient for any purpose of this Indenture and (subject to Section 6.01) conclusive in favor of the Trustee, the Company and the Guarantor, if made in the manner provided in this Section 1.04.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the execution thereof, or may be proved in such other manner as shall be deemed sufficient by the Trustee. Where such execution is by a signer acting in a capacity other than his individual capacity, such certificate or affidavit shall also constitute sufficient proof of his authority. The fact and date of the execution of any such instrument or writing, or the authority of the Person executing the same, may also be proved in any other manner which the Trustee deems sufficient. </w:t>
      </w:r>
    </w:p>
    <w:p>
      <w:pPr>
        <w:pStyle w:val="TextBody"/>
        <w:bidi w:val="0"/>
        <w:spacing w:before="240" w:after="0"/>
        <w:jc w:val="left"/>
        <w:rPr>
          <w:rFonts w:ascii="Times New Roman" w:hAnsi="Times New Roman"/>
          <w:sz w:val="20"/>
        </w:rPr>
      </w:pPr>
      <w:r>
        <w:rPr>
          <w:rFonts w:ascii="Times New Roman" w:hAnsi="Times New Roman"/>
          <w:sz w:val="20"/>
        </w:rPr>
        <w:t xml:space="preserve">The ownership of Securities shall be proved by the Security Register. </w:t>
      </w:r>
    </w:p>
    <w:p>
      <w:pPr>
        <w:pStyle w:val="TextBody"/>
        <w:bidi w:val="0"/>
        <w:spacing w:before="240" w:after="0"/>
        <w:jc w:val="left"/>
        <w:rPr>
          <w:rFonts w:ascii="Times New Roman" w:hAnsi="Times New Roman"/>
          <w:sz w:val="20"/>
        </w:rPr>
      </w:pPr>
      <w:r>
        <w:rPr>
          <w:rFonts w:ascii="Times New Roman" w:hAnsi="Times New Roman"/>
          <w:sz w:val="20"/>
        </w:rPr>
        <w:t xml:space="preserve">Any request, demand, authorization, direction, notice, consent, waiver or other Act of the Holder of any Security shall bind every future Holder of the same Security and the Holder of every Security issued upon the registration of transfer thereof or in exchange therefor or in lieu thereof in respect of anything done, omitted or suffered to be done by the Trustee, the Company or the Guarantor, in reliance thereon, whether or not notation of such action is made upon such Security. </w:t>
      </w:r>
    </w:p>
    <w:p>
      <w:pPr>
        <w:pStyle w:val="TextBody"/>
        <w:bidi w:val="0"/>
        <w:spacing w:before="240" w:after="0"/>
        <w:jc w:val="left"/>
        <w:rPr>
          <w:rFonts w:ascii="Times New Roman" w:hAnsi="Times New Roman"/>
          <w:sz w:val="20"/>
        </w:rPr>
      </w:pPr>
      <w:r>
        <w:rPr>
          <w:rFonts w:ascii="Times New Roman" w:hAnsi="Times New Roman"/>
          <w:sz w:val="20"/>
        </w:rPr>
        <w:t xml:space="preserve">The Company or the Guarantor may, in the circumstances permitted by the Trust Indenture Act, set any day as a record date for the purpose of determining the Holders of Outstanding Securities of any series entitled to give, make or take any request, demand, authorization, direction, notice, consent, waiver or other action provided or permitted by this Indenture to be given, made or taken by Holders of Securities of such series; </w:t>
      </w:r>
      <w:r>
        <w:rPr>
          <w:rFonts w:ascii="Times New Roman" w:hAnsi="Times New Roman"/>
          <w:i/>
          <w:sz w:val="20"/>
        </w:rPr>
        <w:t>provided</w:t>
      </w:r>
      <w:r>
        <w:rPr>
          <w:rFonts w:ascii="Times New Roman" w:hAnsi="Times New Roman"/>
          <w:sz w:val="20"/>
        </w:rPr>
        <w:t xml:space="preserve"> that the Company and the Guarantor may not set a record date for, and the provisions of this paragraph shall not apply with respect to, the giving or making of any notice, declaration, request or direction referred to in the next paragraph. If any record date is set pursuant to this paragraph, the Holders of Outstanding Securities of the relevant series on such record date, and no other Holders, shall be entitled to take the relevant action, whether or not such Holders remain Holders after such record date; </w:t>
      </w:r>
      <w:r>
        <w:rPr>
          <w:rFonts w:ascii="Times New Roman" w:hAnsi="Times New Roman"/>
          <w:i/>
          <w:sz w:val="20"/>
        </w:rPr>
        <w:t>provided</w:t>
      </w:r>
      <w:r>
        <w:rPr>
          <w:rFonts w:ascii="Times New Roman" w:hAnsi="Times New Roman"/>
          <w:sz w:val="20"/>
        </w:rPr>
        <w:t xml:space="preserve"> that no such action shall be effective hereunder unless taken on or prior to the applicable Expiration Date by Holders of the requisite principal amount of Outstanding Securities of such series on such record date. Nothing in this paragraph shall be construed to prevent the Company or the Guarantor from setting a new record date for any action for which a record date has previously been set pursuant to this paragraph (whereupon the record date previously set shall automatically and with no action by any Person be cancelled and of no effect), and nothing in this paragraph shall be construed to render ineffective any action taken by Holders of the requisite principal amount of Outstanding Securities of the relevant series on the date such action is taken. Promptly after any record date is set pursuant to this paragraph, the Company or the Guarantor, at its own expense, shall cause notice of such record date, the proposed action by Holders and the applicable Expiration Date to be given to the Trustee in writing and to each Holder of Securities of the relevant series in the manner set forth in Section 1.06.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Trustee may, in the circumstances permitted by the Trust Indenture Act, set any day as a record date for the purpose of determining the Holders of Outstanding Securities of any series entitled to join in the giving or making of (i) any notice of default, (ii) any declaration of acceleration referred to in Section 5.02, (iii) any request to institute proceedings referred to in Section 5.07(2) or (iv) any direction referred to in Section 5.12, in each case with respect to Securities of such series. If any record date is set pursuant to this paragraph, the Holders of Outstanding Securities of such series on such record date, and no other Holders, shall be entitled to join in such notice, declaration, request or direction, whether or not such Holders remain Holders after such record date; </w:t>
      </w:r>
      <w:r>
        <w:rPr>
          <w:rFonts w:ascii="Times New Roman" w:hAnsi="Times New Roman"/>
          <w:i/>
          <w:sz w:val="20"/>
        </w:rPr>
        <w:t>provided</w:t>
      </w:r>
      <w:r>
        <w:rPr>
          <w:rFonts w:ascii="Times New Roman" w:hAnsi="Times New Roman"/>
          <w:sz w:val="20"/>
        </w:rPr>
        <w:t xml:space="preserve"> that no such action shall be effective hereunder unless taken on or prior to the applicable Expiration Date by Holders of the requisite principal amount of Outstanding Securities of such series on such record date. Nothing in this paragraph shall be construed to prevent the Trustee from setting a new record date for any action for which a record date has previously been set pursuant to this paragraph (whereupon the record date previously set shall automatically and with no action by any Person be cancelled and of no effect), and nothing in this paragraph shall be construed to render ineffective any action taken by Holders of the requisite principal amount of Outstanding Securities of the relevant series on the date such action is taken. Promptly after any record date is set pursuant to this paragraph, the Trustee, at the Company’s or the Guarantor’s expense, shall cause notice of such record date, the proposed action by Holders and the applicable Expiration Date to be given to the Company or the Guarantor in writing and to each Holder of Securities of the relevant series in the manner set forth in Section 1.06.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any record date set pursuant to this Section 1.04, the party hereto which sets such record dates may designate any day as the “Expiration Date” and from time to time may change the Expiration Date to any earlier or later day; </w:t>
      </w:r>
      <w:r>
        <w:rPr>
          <w:rFonts w:ascii="Times New Roman" w:hAnsi="Times New Roman"/>
          <w:i/>
          <w:sz w:val="20"/>
        </w:rPr>
        <w:t>provided</w:t>
      </w:r>
      <w:r>
        <w:rPr>
          <w:rFonts w:ascii="Times New Roman" w:hAnsi="Times New Roman"/>
          <w:sz w:val="20"/>
        </w:rPr>
        <w:t xml:space="preserve"> that no such change shall be effective unless notice of the proposed new Expiration Date is given to the other party hereto in writing, and to each Holder of Securities of the relevant series in the manner set forth in Section 1.06, on or prior to the existing Expiration Date. If an Expiration Date is not designated with respect to any record date set pursuant to this Section 1.04, the party hereto which set such record date shall be deemed to have initially designated the 180th day after such record date as the Expiration Date with respect thereto, subject to its right to change the Expiration Date as provided in this paragraph. Notwithstanding the foregoing, no Expiration Date shall be later than the 180th day after the applicable record date. </w:t>
      </w:r>
    </w:p>
    <w:p>
      <w:pPr>
        <w:pStyle w:val="TextBody"/>
        <w:bidi w:val="0"/>
        <w:spacing w:before="240" w:after="0"/>
        <w:jc w:val="left"/>
        <w:rPr>
          <w:rFonts w:ascii="Times New Roman" w:hAnsi="Times New Roman"/>
          <w:sz w:val="20"/>
        </w:rPr>
      </w:pPr>
      <w:r>
        <w:rPr>
          <w:rFonts w:ascii="Times New Roman" w:hAnsi="Times New Roman"/>
          <w:sz w:val="20"/>
        </w:rPr>
        <w:t xml:space="preserve">Without limiting the foregoing, a Holder entitled hereunder to take any action hereunder with regard to any particular Security may do so with regard to all or any part of the principal amount of such Security or by one or more duly appointed agents each of which may do so pursuant to such appointment with regard to all or any part of such principal amount. </w:t>
      </w:r>
    </w:p>
    <w:p>
      <w:pPr>
        <w:pStyle w:val="TextBody"/>
        <w:bidi w:val="0"/>
        <w:spacing w:before="240" w:after="0"/>
        <w:jc w:val="left"/>
        <w:rPr>
          <w:rFonts w:ascii="Times New Roman" w:hAnsi="Times New Roman"/>
          <w:sz w:val="20"/>
        </w:rPr>
      </w:pPr>
      <w:r>
        <w:rPr>
          <w:rFonts w:ascii="Times New Roman" w:hAnsi="Times New Roman"/>
          <w:sz w:val="20"/>
        </w:rPr>
        <w:t xml:space="preserve">SECTION 1.05. </w:t>
      </w:r>
      <w:r>
        <w:rPr>
          <w:rFonts w:ascii="Times New Roman" w:hAnsi="Times New Roman"/>
          <w:i/>
          <w:sz w:val="20"/>
        </w:rPr>
        <w:t>Notices, Etc., to Trustee, the Company and the Guarantor.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Any request, demand, authorization, direction, notice, consent, waiver or Act of Holders or other document provided or permitted by this Indenture to be made upon, given or furnished to, or filed with, </w:t>
      </w:r>
    </w:p>
    <w:p>
      <w:pPr>
        <w:pStyle w:val="TextBody"/>
        <w:bidi w:val="0"/>
        <w:spacing w:before="240" w:after="0"/>
        <w:jc w:val="left"/>
        <w:rPr>
          <w:rFonts w:ascii="Times New Roman" w:hAnsi="Times New Roman"/>
          <w:sz w:val="20"/>
        </w:rPr>
      </w:pPr>
      <w:r>
        <w:rPr>
          <w:rFonts w:ascii="Times New Roman" w:hAnsi="Times New Roman"/>
          <w:sz w:val="20"/>
        </w:rPr>
        <w:t xml:space="preserve">(1) the Trustee by any Holder or by the Company or the Guarantor shall be sufficient for every purpose hereunder if made, given, furnished or filed in writing to or with the Trustee at its Corporate Trust Office, or </w:t>
      </w:r>
    </w:p>
    <w:p>
      <w:pPr>
        <w:pStyle w:val="TextBody"/>
        <w:bidi w:val="0"/>
        <w:spacing w:before="240" w:after="0"/>
        <w:jc w:val="left"/>
        <w:rPr>
          <w:rFonts w:ascii="Times New Roman" w:hAnsi="Times New Roman"/>
          <w:sz w:val="20"/>
        </w:rPr>
      </w:pPr>
      <w:r>
        <w:rPr>
          <w:rFonts w:ascii="Times New Roman" w:hAnsi="Times New Roman"/>
          <w:sz w:val="20"/>
        </w:rPr>
        <w:t xml:space="preserve">(2) the Company or the Guarantor by the Trustee or by any Holder shall be sufficient for every purpose hereunder (unless otherwise herein expressly provided) if in writing and sent to the Company or the Guarantor, as applicable, addressed to it at the address of its principal office specified in the first paragraph of this instrument, or at any other address previously furnished in writing to the Trustee by the Company or the Guarantor, as applicable. The Company, the Guarantor or the Trustee by written notice to the others may designate additional or different addresses for subsequent notices or communications.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the Trustee shall have the right to accept and act upon instructions, including funds transfer instructions (“Instructions”) given pursuant to this Indenture and delivered using Electronic Means; provided, however, that the Company and/or the Guarantor, as applicable, shall provide to the Trustee an incumbency certificate listing officers with the authority to provide such Instructions (“Authorized Persons”) and containing specimen signatures of such Authorized Persons, which incumbency certificate shall be amended by the Company and/or the Guarantor, as applicable, whenever a person is to be added or deleted from the listing. If the Company and/or the Guarantor, as applicable, elects to give the Trustee Instructions using Electronic Means and the Trustee in its discretion elects to act upon such Instructions, the Trustee’s understanding of such Instructions shall be deemed controlling. The Company and the Guarantor understand and agree that the Trustee cannot determine the identity of the actual sender of such Instructions and that the Trustee shall conclusively presume that directions that purport to have been sent by an Authorized Person listed on the incumbency certificate provided to the Trustee have been sent by such Authorized Person. The Company and the Guarantor shall be responsible for ensuring that only Authorized Person transmit such Instructions to the Trustee and that the Company, the Guarantor and all Authorized Persons are solely responsible to safeguard the use and confidentiality of applicable user and authorization codes, passwords and/or authentication keys upon receipt by the Company and/or the Guarantor, as applicable. The Trustee shall not be liable for any losses, costs or expenses arising directly or indirectly from the Trustee’s reliance upon and compliance with such Instructions notwithstanding such directions conflict or are inconsistent with a subsequent written instruction. The Company and the Guarantor agree, other than, in each case, with respect to gross negligence or willful misconduct on the part of the Trustee arising out of or in connection with any such actions taken or omitted: (i) to assume all risks arising out of the use of Electronic Means to submit Instructions to the Trustee, including without limitation the risk of the Trustee acting on unauthorized Instructions, and the risk of interception and misuse by third parties; (ii) that it is fully informed of the protections and risks associated with the various methods of transmitting Instructions to the Trustee and that there may be more secure methods of transmitting Instructions than the method(s) selected by the Company and/or the Guarantor, as applicable; (iii) that the security procedures (if any) to be followed in connection with its transmission of Instructions provide to it a commercially reasonable degree of protection in light of its particular needs and circumstances; and (iv) to notify the Trustee immediately upon learning of any compromise or unauthorized use of the security procedures. </w:t>
      </w:r>
    </w:p>
    <w:p>
      <w:pPr>
        <w:pStyle w:val="TextBody"/>
        <w:bidi w:val="0"/>
        <w:spacing w:before="240" w:after="0"/>
        <w:jc w:val="left"/>
        <w:rPr>
          <w:rFonts w:ascii="Times New Roman" w:hAnsi="Times New Roman"/>
          <w:sz w:val="20"/>
        </w:rPr>
      </w:pPr>
      <w:r>
        <w:rPr>
          <w:rFonts w:ascii="Times New Roman" w:hAnsi="Times New Roman"/>
          <w:sz w:val="20"/>
        </w:rPr>
        <w:t xml:space="preserve">SECTION 1.06. </w:t>
      </w:r>
      <w:r>
        <w:rPr>
          <w:rFonts w:ascii="Times New Roman" w:hAnsi="Times New Roman"/>
          <w:i/>
          <w:sz w:val="20"/>
        </w:rPr>
        <w:t>Notice to Holders; Waiver.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 this Indenture provides for notice to Holders of any event, such notice shall be deemed to have been duly given (unless otherwise herein expressly provided including redemption notices to Holders pursuant to Article Eleven hereof) if in writing and sent to each Holder affected by such event, at his or her address as it appears in the Security Register, not later than the latest date (if any), and not earlier than the earliest date (if any), prescribed for the giving of such notice. In any case where notice to Holders is given by mail, neither the failure to mail such notice, nor any defect in any notice so mailed, to any particular Holder shall affect the sufficiency of such notice with respect to other Holders. 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case by reason of the suspension of regular mail service or by reason of any other cause it shall be impracticable to give such notice by mail as contemplated herein, then such notification as shall be made with the approval of the Trustee shall constitute a sufficient notification for every purpose hereunder. </w:t>
      </w:r>
    </w:p>
    <w:p>
      <w:pPr>
        <w:pStyle w:val="TextBody"/>
        <w:bidi w:val="0"/>
        <w:spacing w:before="240" w:after="0"/>
        <w:jc w:val="left"/>
        <w:rPr>
          <w:rFonts w:ascii="Times New Roman" w:hAnsi="Times New Roman"/>
          <w:sz w:val="20"/>
        </w:rPr>
      </w:pPr>
      <w:r>
        <w:rPr>
          <w:rFonts w:ascii="Times New Roman" w:hAnsi="Times New Roman"/>
          <w:sz w:val="20"/>
        </w:rPr>
        <w:t xml:space="preserve">Where this Indenture provides for notice of any event to a Holder of a Global Security, such notice shall be sufficiently given if given to the Depositary for such Security (or its designee), pursuant to its applicable procedures, not later than the latest date (if any), and not earlier than the earliest date (if any), prescribed for the giving of such notice. </w:t>
      </w:r>
    </w:p>
    <w:p>
      <w:pPr>
        <w:pStyle w:val="TextBody"/>
        <w:bidi w:val="0"/>
        <w:spacing w:before="240" w:after="0"/>
        <w:jc w:val="left"/>
        <w:rPr>
          <w:rFonts w:ascii="Times New Roman" w:hAnsi="Times New Roman"/>
          <w:sz w:val="20"/>
        </w:rPr>
      </w:pPr>
      <w:r>
        <w:rPr>
          <w:rFonts w:ascii="Times New Roman" w:hAnsi="Times New Roman"/>
          <w:sz w:val="20"/>
        </w:rPr>
        <w:t xml:space="preserve">SECTION 1.07. </w:t>
      </w:r>
      <w:r>
        <w:rPr>
          <w:rFonts w:ascii="Times New Roman" w:hAnsi="Times New Roman"/>
          <w:i/>
          <w:sz w:val="20"/>
        </w:rPr>
        <w:t>Conflict with Trust Indenture Act.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any provision hereof limits, qualifies or conflicts with a provision of the Trust Indenture Act which is required under the Trust Indenture Act to be a part of and govern this Indenture, the latter provision shall control. If any provision of this Indenture modifies or excludes any provision of the Trust Indenture Act which may be so modified or excluded, the latter provision shall be deemed to apply to this Indenture as so modified or to be excluded,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SECTION 1.08. </w:t>
      </w:r>
      <w:r>
        <w:rPr>
          <w:rFonts w:ascii="Times New Roman" w:hAnsi="Times New Roman"/>
          <w:i/>
          <w:sz w:val="20"/>
        </w:rPr>
        <w:t>Effect of Headings and Table of Contents.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Article and Section headings herein and the Table of Contents are for convenience only and shall not affect the construction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1.09. </w:t>
      </w:r>
      <w:r>
        <w:rPr>
          <w:rFonts w:ascii="Times New Roman" w:hAnsi="Times New Roman"/>
          <w:i/>
          <w:sz w:val="20"/>
        </w:rPr>
        <w:t>Successors and Assigns.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All covenants and agreements in this Indenture by the Company and the Guarantor shall bind each of their respective successors and assigns, whether so expressed or not. All covenants and agreements of the Trustee in this instrument shall bind its successors and assigns. </w:t>
      </w:r>
    </w:p>
    <w:p>
      <w:pPr>
        <w:pStyle w:val="TextBody"/>
        <w:bidi w:val="0"/>
        <w:spacing w:before="240" w:after="0"/>
        <w:jc w:val="left"/>
        <w:rPr>
          <w:rFonts w:ascii="Times New Roman" w:hAnsi="Times New Roman"/>
          <w:sz w:val="20"/>
        </w:rPr>
      </w:pPr>
      <w:r>
        <w:rPr>
          <w:rFonts w:ascii="Times New Roman" w:hAnsi="Times New Roman"/>
          <w:sz w:val="20"/>
        </w:rPr>
        <w:t xml:space="preserve">SECTION 1.10. </w:t>
      </w:r>
      <w:r>
        <w:rPr>
          <w:rFonts w:ascii="Times New Roman" w:hAnsi="Times New Roman"/>
          <w:i/>
          <w:sz w:val="20"/>
        </w:rPr>
        <w:t>Separability Clause.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case any provision in this Indenture, in any Guarantee or in the Securities shall be invalid, illegal or unenforceable, the validity, legality and enforceability of the remaining provisions shall not in any way be affected or impaired thereby. </w:t>
      </w:r>
    </w:p>
    <w:p>
      <w:pPr>
        <w:pStyle w:val="TextBody"/>
        <w:bidi w:val="0"/>
        <w:spacing w:before="240" w:after="0"/>
        <w:jc w:val="left"/>
        <w:rPr>
          <w:rFonts w:ascii="Times New Roman" w:hAnsi="Times New Roman"/>
          <w:sz w:val="20"/>
        </w:rPr>
      </w:pPr>
      <w:r>
        <w:rPr>
          <w:rFonts w:ascii="Times New Roman" w:hAnsi="Times New Roman"/>
          <w:sz w:val="20"/>
        </w:rPr>
        <w:t xml:space="preserve">SECTION 1.11. </w:t>
      </w:r>
      <w:r>
        <w:rPr>
          <w:rFonts w:ascii="Times New Roman" w:hAnsi="Times New Roman"/>
          <w:i/>
          <w:sz w:val="20"/>
        </w:rPr>
        <w:t>Benefits of Indenture.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Nothing in this Indenture, in the Securities or in the Guarantees, express or implied, shall give to any Person, other than the parties hereto and their successors hereunder and the Holders, any benefit or any legal or equitable right, remedy or claim under this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1.12. </w:t>
      </w:r>
      <w:r>
        <w:rPr>
          <w:rFonts w:ascii="Times New Roman" w:hAnsi="Times New Roman"/>
          <w:i/>
          <w:sz w:val="20"/>
        </w:rPr>
        <w:t>Governing Law; Waiver of Jury Trial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Indenture, the Guarantees and the Securities shall be governed by and construed in accordance with the law of the State of New York. EACH OF THE COMPANY, THE GUARANTOR, THE HOLDERS AND THE TRUSTEE HEREBY IRREVOCABLY WAIVES, TO THE FULLEST EXTENT PERMITTED BY APPLICABLE LAW, ANY AND ALL RIGHT TO TRIAL BY JURY IN ANY LEGAL PROCEEDING ARISING OUT OF OR RELATING TO THIS INDENTURE, THE SECURITIES OR THE TRANSACTION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SECTION 1.13. </w:t>
      </w:r>
      <w:r>
        <w:rPr>
          <w:rFonts w:ascii="Times New Roman" w:hAnsi="Times New Roman"/>
          <w:i/>
          <w:sz w:val="20"/>
        </w:rPr>
        <w:t>Legal Holidays.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any case where any Interest Payment Date, Redemption Date or Maturity of any Security shall not be a Business Day, then (notwithstanding any other provision of this Indenture or of the Securities (other than a provision of any Security established as contemplated by Section 3.01 and which specifically states that such provision shall apply in lieu of this Section 1.13) payment of interest or principal (and premium, if any) need not be made on such date, but may be made on the next succeeding Business Day with the same force and effect as if made on the Interest Payment Date or Redemption Date, or at the Maturity; </w:t>
      </w:r>
      <w:r>
        <w:rPr>
          <w:rFonts w:ascii="Times New Roman" w:hAnsi="Times New Roman"/>
          <w:i/>
          <w:sz w:val="20"/>
        </w:rPr>
        <w:t>provided</w:t>
      </w:r>
      <w:r>
        <w:rPr>
          <w:rFonts w:ascii="Times New Roman" w:hAnsi="Times New Roman"/>
          <w:sz w:val="20"/>
        </w:rPr>
        <w:t xml:space="preserve"> that no interest shall accrue with respect to such payment for the period from and after such Interest Payment Date, Redemption Date or Maturity, as the case may be to the date of such payment (unless otherwise provided). </w:t>
      </w:r>
    </w:p>
    <w:p>
      <w:pPr>
        <w:pStyle w:val="TextBody"/>
        <w:bidi w:val="0"/>
        <w:spacing w:before="240" w:after="0"/>
        <w:jc w:val="left"/>
        <w:rPr>
          <w:rFonts w:ascii="Times New Roman" w:hAnsi="Times New Roman"/>
          <w:sz w:val="20"/>
        </w:rPr>
      </w:pPr>
      <w:r>
        <w:rPr>
          <w:rFonts w:ascii="Times New Roman" w:hAnsi="Times New Roman"/>
          <w:sz w:val="20"/>
        </w:rPr>
        <w:t xml:space="preserve">SECTION 1.14. </w:t>
      </w:r>
      <w:r>
        <w:rPr>
          <w:rFonts w:ascii="Times New Roman" w:hAnsi="Times New Roman"/>
          <w:i/>
          <w:sz w:val="20"/>
        </w:rPr>
        <w:t>Authorized Agent; Submission to Jurisdiction; Waiver of Immunity.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 By the execution and delivery of this Indenture the Guarantor (i) acknowledges that it will, by separate written instrument, designate and appoint Fiat Chrysler Finance North America Inc., 1000 Chrysler Drive, Auburn Hills, MI 48326 (the “Authorized Agent”) (and any successor entity) as its authorized agent upon which process may be served in any suit or proceeding arising out of or relating to this Indenture that may be instituted in any U.S. federal or state court in the State of New York, New York County or brought under U.S. federal or state securities laws, and acknowledge that the Authorized Agent will accept such designation, (ii) submits itself and its property to the non-exclusive jurisdiction of any such court in any such suit or proceeding, (iii) consent that any such proceeding may be brought in any such court and any objection that it may now or hereafter have to the venue of any such proceeding in any such court or that such proceeding was brought in any inconvenient court and agrees not to plead or claim the same, (iv) agrees not to dispute that such service of process upon the Authorized Agent and written notice of said service to the Guarantor in accordance with Section 1.05 will be in every respect effective service of process upon the Guarantor in any such suit or proceeding and (v) agrees that nothing herein shall affect the right to effect service of process in any other manner permitted by law or shall limit the right to sue in any other jurisdiction. </w:t>
      </w:r>
    </w:p>
    <w:p>
      <w:pPr>
        <w:pStyle w:val="TextBody"/>
        <w:bidi w:val="0"/>
        <w:spacing w:before="240" w:after="0"/>
        <w:jc w:val="left"/>
        <w:rPr>
          <w:rFonts w:ascii="Times New Roman" w:hAnsi="Times New Roman"/>
          <w:sz w:val="20"/>
        </w:rPr>
      </w:pPr>
      <w:r>
        <w:rPr>
          <w:rFonts w:ascii="Times New Roman" w:hAnsi="Times New Roman"/>
          <w:sz w:val="20"/>
        </w:rPr>
        <w:t xml:space="preserve">(2) To the extent that the Guarantor may be entitled, in any jurisdiction in which judicial proceedings may at any time be commenced with respect to or arising out of this Indenture, to claim for itself or its revenues, assets or properties immunity (whether by reason of sovereignty or otherwise) from suit, from the jurisdiction of any court (including but not limited to any court of the United States of America or the State of New York), from attachment prior to judgment, from setoff, from execution of a judgment or from any other legal process, and to the extent that in any such jurisdiction there may be attributed such an immunity (whether or not claimed), the Guarantor hereby irrevocably agrees not to claim and hereby irrevocably waives such immunity to the extent permitted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TWO </w:t>
      </w:r>
    </w:p>
    <w:p>
      <w:pPr>
        <w:pStyle w:val="TextBody"/>
        <w:bidi w:val="0"/>
        <w:spacing w:before="240" w:after="0"/>
        <w:jc w:val="center"/>
        <w:rPr>
          <w:rFonts w:ascii="Times New Roman" w:hAnsi="Times New Roman"/>
          <w:sz w:val="24"/>
        </w:rPr>
      </w:pPr>
      <w:r>
        <w:rPr>
          <w:rFonts w:ascii="Times New Roman" w:hAnsi="Times New Roman"/>
          <w:sz w:val="24"/>
        </w:rPr>
        <w:t xml:space="preserve">SECURITY FORMS </w:t>
      </w:r>
    </w:p>
    <w:p>
      <w:pPr>
        <w:pStyle w:val="TextBody"/>
        <w:bidi w:val="0"/>
        <w:spacing w:before="240" w:after="0"/>
        <w:jc w:val="left"/>
        <w:rPr>
          <w:rFonts w:ascii="Times New Roman" w:hAnsi="Times New Roman"/>
          <w:sz w:val="20"/>
        </w:rPr>
      </w:pPr>
      <w:r>
        <w:rPr>
          <w:rFonts w:ascii="Times New Roman" w:hAnsi="Times New Roman"/>
          <w:sz w:val="20"/>
        </w:rPr>
        <w:t xml:space="preserve">SECTION 2.01. </w:t>
      </w:r>
      <w:r>
        <w:rPr>
          <w:rFonts w:ascii="Times New Roman" w:hAnsi="Times New Roman"/>
          <w:i/>
          <w:sz w:val="20"/>
        </w:rPr>
        <w:t>Forms Generally.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of each series shall be in substantially the form set forth in this Article Two, or in such other form as shall be established from time to time by or pursuant to a Board Resolution and, subject to Section 3.03, determined in the manner provided in the Officer’s Certificate of the Company or established in one or more indentures supplemental hereto, in each case with such appropriate insertions, omissions, substitutions and other variations as are required or permitted by this Indenture or any indentures supplemental hereto, and may have such letters, numbers or other marks of identification or designation and such legends or endorsements placed thereon as the Company may deem appropriate and as are not inconsistent with the provisions of this instrument, or as may be required to comply with the rules of any securities exchange or Depositary therefor or as may, consistently herewith, be determined by the Officers executing such Securities, as evidenced by their execution thereof. If the form of Securities of any series is established by action taken pursuant to a Board Resolution, a copy of an appropriate record of such action shall be certified by the Secretary or an Assistant Secretary of the Company and delivered to the Trustee at or prior to the delivery of the Company Order contemplated by Section 3.03 for the authentication and delivery of such Securities. </w:t>
      </w:r>
    </w:p>
    <w:p>
      <w:pPr>
        <w:pStyle w:val="TextBody"/>
        <w:bidi w:val="0"/>
        <w:spacing w:before="240" w:after="0"/>
        <w:jc w:val="left"/>
        <w:rPr>
          <w:rFonts w:ascii="Times New Roman" w:hAnsi="Times New Roman"/>
          <w:sz w:val="20"/>
        </w:rPr>
      </w:pPr>
      <w:r>
        <w:rPr>
          <w:rFonts w:ascii="Times New Roman" w:hAnsi="Times New Roman"/>
          <w:sz w:val="20"/>
        </w:rPr>
        <w:t xml:space="preserve">Any Guarantee to be endorsed on and to relate to the Securities of any series shall each be in substantially the applicable form set forth in this Article Two, or in such other form as shall be established from time to time by or pursuant to a Board Resolution or determined in a manner provided in the Officer’s Certificate of the Guarantor or established in one or more indentures supplemental hereto, in each case with such appropriate insertions, omissions, substitutions and other variations as are required or permitted by this Indenture or any indentures supplemental hereto, and may have such letters, numbers or other marks of identification and such legends or endorsements placed thereon as may be required to comply with the rules of any securities exchange or as may, consistently herewith, be determined by the officers executing such Guarantees, as evidenced by their execution of the Guarantees. If the form of the Guarantee is to be endorsed on the Securities of any series and such form of Guarantee is established by action taken pursuant to a Board Resolution of the Guarantor, a copy of an appropriate record of such action shall be certified by the Secretary or an Assistant Secretary, or officer or person serving in a similar capacity, of the applicable Guarantor and delivered to the Trustee at or prior to the delivery of the Company Order contemplated by Section 3.03 for the authentication and delivery of such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definitive Securities shall be printed, lithographed or engraved on steel engraved borders or may be produced in any other manner, all as determined by the Officers executing such Securities, as evidenced by their execution of such Securities. </w:t>
      </w:r>
    </w:p>
    <w:p>
      <w:pPr>
        <w:pStyle w:val="TextBody"/>
        <w:bidi w:val="0"/>
        <w:spacing w:before="240" w:after="0"/>
        <w:jc w:val="left"/>
        <w:rPr>
          <w:rFonts w:ascii="Times New Roman" w:hAnsi="Times New Roman"/>
          <w:sz w:val="20"/>
        </w:rPr>
      </w:pPr>
      <w:r>
        <w:rPr>
          <w:rFonts w:ascii="Times New Roman" w:hAnsi="Times New Roman"/>
          <w:sz w:val="20"/>
        </w:rPr>
        <w:t xml:space="preserve">SECTION 2.02. </w:t>
      </w:r>
      <w:r>
        <w:rPr>
          <w:rFonts w:ascii="Times New Roman" w:hAnsi="Times New Roman"/>
          <w:i/>
          <w:sz w:val="20"/>
        </w:rPr>
        <w:t>Form of Face of Security.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shall be in substantially the following form: </w:t>
      </w:r>
    </w:p>
    <w:p>
      <w:pPr>
        <w:pStyle w:val="TextBody"/>
        <w:bidi w:val="0"/>
        <w:spacing w:before="240" w:after="0"/>
        <w:jc w:val="left"/>
        <w:rPr>
          <w:rFonts w:ascii="Times New Roman" w:hAnsi="Times New Roman"/>
          <w:sz w:val="20"/>
        </w:rPr>
      </w:pPr>
      <w:r>
        <w:rPr>
          <w:rFonts w:ascii="Times New Roman" w:hAnsi="Times New Roman"/>
          <w:sz w:val="20"/>
        </w:rPr>
        <w:t xml:space="preserve">[Insert any legend required by the Internal Revenue Code and the regulations thereunder.]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03"/>
        <w:gridCol w:w="101"/>
        <w:gridCol w:w="5001"/>
      </w:tblGrid>
      <w:tr>
        <w:trPr/>
        <w:tc>
          <w:tcPr>
            <w:tcW w:w="5103"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5001" w:type="dxa"/>
            <w:tcBorders/>
            <w:vAlign w:val="center"/>
          </w:tcPr>
          <w:p>
            <w:pPr>
              <w:pStyle w:val="TableContents"/>
              <w:bidi w:val="0"/>
              <w:spacing w:before="0" w:after="283"/>
              <w:jc w:val="left"/>
              <w:rPr>
                <w:sz w:val="4"/>
                <w:szCs w:val="4"/>
              </w:rPr>
            </w:pPr>
            <w:r>
              <w:rPr>
                <w:sz w:val="4"/>
                <w:szCs w:val="4"/>
              </w:rPr>
            </w:r>
          </w:p>
        </w:tc>
      </w:tr>
      <w:tr>
        <w:trPr/>
        <w:tc>
          <w:tcPr>
            <w:tcW w:w="510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5001" w:type="dxa"/>
            <w:tcBorders/>
          </w:tcPr>
          <w:p>
            <w:pPr>
              <w:pStyle w:val="TableContents"/>
              <w:bidi w:val="0"/>
              <w:spacing w:before="0" w:after="0"/>
              <w:jc w:val="left"/>
              <w:rPr>
                <w:rFonts w:ascii="Times New Roman" w:hAnsi="Times New Roman"/>
                <w:sz w:val="20"/>
              </w:rPr>
            </w:pPr>
            <w:r>
              <w:rPr>
                <w:rFonts w:ascii="Times New Roman" w:hAnsi="Times New Roman"/>
                <w:sz w:val="20"/>
              </w:rPr>
              <w:t>CUSIP No.</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[Title of Security]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03"/>
        <w:gridCol w:w="101"/>
        <w:gridCol w:w="5001"/>
      </w:tblGrid>
      <w:tr>
        <w:trPr/>
        <w:tc>
          <w:tcPr>
            <w:tcW w:w="5103"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5001" w:type="dxa"/>
            <w:tcBorders/>
            <w:vAlign w:val="center"/>
          </w:tcPr>
          <w:p>
            <w:pPr>
              <w:pStyle w:val="TableContents"/>
              <w:bidi w:val="0"/>
              <w:spacing w:before="0" w:after="283"/>
              <w:jc w:val="left"/>
              <w:rPr>
                <w:sz w:val="4"/>
                <w:szCs w:val="4"/>
              </w:rPr>
            </w:pPr>
            <w:r>
              <w:rPr>
                <w:sz w:val="4"/>
                <w:szCs w:val="4"/>
              </w:rPr>
            </w:r>
          </w:p>
        </w:tc>
      </w:tr>
      <w:tr>
        <w:trPr/>
        <w:tc>
          <w:tcPr>
            <w:tcW w:w="5103" w:type="dxa"/>
            <w:tcBorders/>
          </w:tcPr>
          <w:p>
            <w:pPr>
              <w:pStyle w:val="TableContents"/>
              <w:bidi w:val="0"/>
              <w:spacing w:before="0" w:after="283"/>
              <w:jc w:val="left"/>
              <w:rPr/>
            </w:pPr>
            <w:r>
              <w:rPr/>
              <w:t>No.</w:t>
            </w:r>
          </w:p>
        </w:tc>
        <w:tc>
          <w:tcPr>
            <w:tcW w:w="101" w:type="dxa"/>
            <w:tcBorders/>
            <w:vAlign w:val="bottom"/>
          </w:tcPr>
          <w:p>
            <w:pPr>
              <w:pStyle w:val="TableContents"/>
              <w:bidi w:val="0"/>
              <w:spacing w:before="0" w:after="283"/>
              <w:jc w:val="left"/>
              <w:rPr/>
            </w:pPr>
            <w:r>
              <w:rPr/>
              <w:t> </w:t>
            </w:r>
          </w:p>
        </w:tc>
        <w:tc>
          <w:tcPr>
            <w:tcW w:w="5001" w:type="dxa"/>
            <w:tcBorders/>
          </w:tcPr>
          <w:p>
            <w:pPr>
              <w:pStyle w:val="TableContents"/>
              <w:bidi w:val="0"/>
              <w:spacing w:before="0" w:after="283"/>
              <w:jc w:val="left"/>
              <w:rPr/>
            </w:pPr>
            <w:r>
              <w:rPr/>
              <w:t>$</w:t>
            </w:r>
          </w:p>
        </w:tc>
      </w:tr>
      <w:tr>
        <w:trPr/>
        <w:tc>
          <w:tcPr>
            <w:tcW w:w="5103"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5001" w:type="dxa"/>
            <w:tcBorders/>
            <w:vAlign w:val="bottom"/>
          </w:tcPr>
          <w:p>
            <w:pPr>
              <w:pStyle w:val="TableContents"/>
              <w:bidi w:val="0"/>
              <w:spacing w:before="0" w:after="283"/>
              <w:jc w:val="center"/>
              <w:rPr>
                <w:b/>
              </w:rPr>
            </w:pPr>
            <w:r>
              <w:rPr>
                <w:b/>
              </w:rPr>
              <w:t>.</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STELLANTIS FINANCE US INC. </w:t>
      </w:r>
    </w:p>
    <w:p>
      <w:pPr>
        <w:pStyle w:val="TextBody"/>
        <w:bidi w:val="0"/>
        <w:spacing w:before="240" w:after="0"/>
        <w:jc w:val="left"/>
        <w:rPr>
          <w:rFonts w:ascii="Times New Roman" w:hAnsi="Times New Roman"/>
          <w:sz w:val="20"/>
        </w:rPr>
      </w:pPr>
      <w:r>
        <w:rPr>
          <w:rFonts w:ascii="Times New Roman" w:hAnsi="Times New Roman"/>
          <w:sz w:val="20"/>
        </w:rPr>
        <w:t>Stellantis Finance US Inc., a corporation under the laws of the State of Delaware (herein called the “Company”, which term includes any successor Person under the Indenture hereinafter referred to), for value received, hereby promises to pay to ___________, or registered assigns, the principal sum of ______________ U.S. dollars on ______________[</w:t>
      </w:r>
      <w:r>
        <w:rPr>
          <w:rFonts w:ascii="Times New Roman" w:hAnsi="Times New Roman"/>
          <w:i/>
          <w:sz w:val="20"/>
        </w:rPr>
        <w:t>if this Security is to bear interest prior to Maturity, insert</w:t>
      </w:r>
      <w:r>
        <w:rPr>
          <w:rFonts w:ascii="Times New Roman" w:hAnsi="Times New Roman"/>
          <w:sz w:val="20"/>
        </w:rPr>
        <w:t xml:space="preserve"> – , and to pay interest thereon from </w:t>
      </w:r>
      <w:r>
        <w:rPr>
          <w:rFonts w:ascii="Times New Roman" w:hAnsi="Times New Roman"/>
          <w:sz w:val="20"/>
          <w:u w:val="single"/>
        </w:rPr>
        <w:t>_________</w:t>
      </w:r>
      <w:r>
        <w:rPr>
          <w:rFonts w:ascii="Times New Roman" w:hAnsi="Times New Roman"/>
          <w:sz w:val="20"/>
        </w:rPr>
        <w:t xml:space="preserve">_or the most recent Interest Payment Date to which interest has been paid or duly provided for, [semi-annually] in arrears on ________ and ________ in each year, commencing __________, at the rate of </w:t>
      </w:r>
      <w:r>
        <w:rPr>
          <w:rFonts w:ascii="Times New Roman" w:hAnsi="Times New Roman"/>
          <w:sz w:val="20"/>
          <w:u w:val="single"/>
        </w:rPr>
        <w:t xml:space="preserve">   </w:t>
      </w:r>
      <w:r>
        <w:rPr>
          <w:rFonts w:ascii="Times New Roman" w:hAnsi="Times New Roman"/>
          <w:sz w:val="20"/>
        </w:rPr>
        <w:t xml:space="preserve">% per annum, until the principal hereof is paid or made available for payment, </w:t>
      </w:r>
      <w:r>
        <w:rPr>
          <w:rFonts w:ascii="Times New Roman" w:hAnsi="Times New Roman"/>
          <w:b/>
          <w:sz w:val="20"/>
        </w:rPr>
        <w:t>[</w:t>
      </w:r>
      <w:r>
        <w:rPr>
          <w:rFonts w:ascii="Times New Roman" w:hAnsi="Times New Roman"/>
          <w:i/>
          <w:sz w:val="20"/>
        </w:rPr>
        <w:t xml:space="preserve">if applicable, insert </w:t>
      </w:r>
      <w:r>
        <w:rPr>
          <w:rFonts w:ascii="Times New Roman" w:hAnsi="Times New Roman"/>
          <w:sz w:val="20"/>
        </w:rPr>
        <w:t xml:space="preserve">– provided that any principal and premium, and any such installment of interest, which is overdue shall bear interest at the rate of </w:t>
      </w:r>
      <w:r>
        <w:rPr>
          <w:rFonts w:ascii="Times New Roman" w:hAnsi="Times New Roman"/>
          <w:sz w:val="20"/>
          <w:u w:val="single"/>
        </w:rPr>
        <w:t>  </w:t>
      </w:r>
      <w:r>
        <w:rPr>
          <w:rFonts w:ascii="Times New Roman" w:hAnsi="Times New Roman"/>
          <w:sz w:val="20"/>
        </w:rPr>
        <w:t>% per annum (to the extent that the payment of such interest shall be legally enforceable), from the dates such amounts are due until they are paid or made available for payment, and such interest shall be payable on demand</w:t>
      </w:r>
      <w:r>
        <w:rPr>
          <w:rFonts w:ascii="Times New Roman" w:hAnsi="Times New Roman"/>
          <w:b/>
          <w:sz w:val="20"/>
        </w:rPr>
        <w:t>]</w:t>
      </w:r>
      <w:r>
        <w:rPr>
          <w:rFonts w:ascii="Times New Roman" w:hAnsi="Times New Roman"/>
          <w:sz w:val="20"/>
        </w:rPr>
        <w:t>. The interest so payable, and punctually paid or duly provided for, on any Interest Payment Date will, as provided in the Indenture, be paid to the Person in whose name this Security (or one or more Predecessor Securities) is registered at the close of business on the Regular Record Date for such interest, which shall be _________ or __________ (whether or not a Business Day), as the case may be, next preceding such Interest Payment Date. Any such interest so payable, but not punctually paid or duly provided for, on any Interest Payment Date will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Trustee, notice whereof shall be given to Holders of Securities of this series not less than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said Indenture.</w:t>
      </w:r>
      <w:r>
        <w:rPr>
          <w:rFonts w:ascii="Times New Roman" w:hAnsi="Times New Roman"/>
          <w:b/>
          <w:sz w:val="20"/>
        </w:rPr>
        <w: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w:t>
      </w:r>
      <w:r>
        <w:rPr>
          <w:rFonts w:ascii="Times New Roman" w:hAnsi="Times New Roman"/>
          <w:i/>
          <w:sz w:val="20"/>
        </w:rPr>
        <w:t xml:space="preserve">If the Security is not to bear interest prior to Maturity, insert </w:t>
      </w:r>
      <w:r>
        <w:rPr>
          <w:rFonts w:ascii="Times New Roman" w:hAnsi="Times New Roman"/>
          <w:sz w:val="20"/>
        </w:rPr>
        <w:t>– The principal of this Security shall not bear interest except in the case of a default in payment of principal upon acceleration, upon redemption or at Stated Maturity and in such case the overdue principal and any overdue premium shall bear interest at the rate of ____ % per annum (to the extent that the payment of such interest shall be legally enforceable), from the dates such amounts are due until they are paid or made available for payment.</w:t>
      </w:r>
      <w:r>
        <w:rPr>
          <w:rFonts w:ascii="Times New Roman" w:hAnsi="Times New Roman"/>
          <w:b/>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Payment of the principal of (and premium, if any) and </w:t>
      </w:r>
      <w:r>
        <w:rPr>
          <w:rFonts w:ascii="Times New Roman" w:hAnsi="Times New Roman"/>
          <w:b/>
          <w:sz w:val="20"/>
        </w:rPr>
        <w:t>[</w:t>
      </w:r>
      <w:r>
        <w:rPr>
          <w:rFonts w:ascii="Times New Roman" w:hAnsi="Times New Roman"/>
          <w:i/>
          <w:sz w:val="20"/>
        </w:rPr>
        <w:t xml:space="preserve">if applicable, insert </w:t>
      </w:r>
      <w:r>
        <w:rPr>
          <w:rFonts w:ascii="Times New Roman" w:hAnsi="Times New Roman"/>
          <w:sz w:val="20"/>
        </w:rPr>
        <w:t>– any such</w:t>
      </w:r>
      <w:r>
        <w:rPr>
          <w:rFonts w:ascii="Times New Roman" w:hAnsi="Times New Roman"/>
          <w:b/>
          <w:sz w:val="20"/>
        </w:rPr>
        <w:t>]</w:t>
      </w:r>
      <w:r>
        <w:rPr>
          <w:rFonts w:ascii="Times New Roman" w:hAnsi="Times New Roman"/>
          <w:sz w:val="20"/>
        </w:rPr>
        <w:t xml:space="preserve"> interest on this Security shall be made at the office or agency of the Company maintained for that purpose in New York, New York, in such coin or currency of the United States of America as at the time of payment is legal tender for payment of public and private debts, against surrender of this Security in the case of any payment due at the Maturity of the principal hereof (other than any payment of interest that first becomes payable on a day other than an Interest Payment Date);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at the option of the Company payment of interest may be made (1) by check mailed to the address of the Person entitled thereto as such address shall appear in the Security Register, or (2) by wire transfer in immediately available funds at the bank account number maintained within the United States as may be designated by the Person entitled thereto, as specified in the Security Register in writing; and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if this Security is a Global Security, payment shall be made pursuant to the applicable procedures of the Depositary as permitted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Reference is hereby made to the further provisions of this Security set forth on the reverse hereof, which further provisions shall for all purposes have the same effect as if set forth at this place. </w:t>
      </w:r>
    </w:p>
    <w:p>
      <w:pPr>
        <w:pStyle w:val="TextBody"/>
        <w:bidi w:val="0"/>
        <w:spacing w:before="240" w:after="0"/>
        <w:jc w:val="left"/>
        <w:rPr>
          <w:rFonts w:ascii="Times New Roman" w:hAnsi="Times New Roman"/>
          <w:sz w:val="20"/>
        </w:rPr>
      </w:pPr>
      <w:r>
        <w:rPr>
          <w:rFonts w:ascii="Times New Roman" w:hAnsi="Times New Roman"/>
          <w:sz w:val="20"/>
        </w:rPr>
        <w:t xml:space="preserve">Unless the certificate of authentication hereon has been executed by the Trustee or an authentication agent on its behalf referred to on the reverse hereof by manual or electronic signature, this Security shall not be entitled to any benefit under the Indenture or be valid or obligatory for any purpose. </w:t>
      </w:r>
    </w:p>
    <w:p>
      <w:pPr>
        <w:pStyle w:val="TextBody"/>
        <w:bidi w:val="0"/>
        <w:spacing w:before="240" w:after="0"/>
        <w:jc w:val="left"/>
        <w:rPr>
          <w:rFonts w:ascii="Times New Roman" w:hAnsi="Times New Roman"/>
          <w:sz w:val="20"/>
        </w:rPr>
      </w:pPr>
      <w:r>
        <w:rPr>
          <w:rFonts w:ascii="Times New Roman" w:hAnsi="Times New Roman"/>
          <w:sz w:val="20"/>
        </w:rPr>
        <w:t xml:space="preserve">IN WITNESS WHEREOF, the Company has caused this instrument to be duly executed by manual or electronic signature by a duly authorized Officer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Dated __________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112"/>
        <w:gridCol w:w="208"/>
        <w:gridCol w:w="2762"/>
      </w:tblGrid>
      <w:tr>
        <w:trPr/>
        <w:tc>
          <w:tcPr>
            <w:tcW w:w="1112" w:type="dxa"/>
            <w:tcBorders/>
            <w:vAlign w:val="center"/>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sz w:val="4"/>
                <w:szCs w:val="4"/>
              </w:rPr>
            </w:pPr>
            <w:r>
              <w:rPr>
                <w:sz w:val="4"/>
                <w:szCs w:val="4"/>
              </w:rPr>
            </w:r>
          </w:p>
        </w:tc>
        <w:tc>
          <w:tcPr>
            <w:tcW w:w="276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STELLANTIS FINANCE US INC.,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As the Company</w:t>
            </w:r>
          </w:p>
        </w:tc>
      </w:tr>
      <w:tr>
        <w:trPr>
          <w:trHeight w:val="240" w:hRule="atLeast"/>
        </w:trPr>
        <w:tc>
          <w:tcPr>
            <w:tcW w:w="1112" w:type="dxa"/>
            <w:tcBorders/>
            <w:vAlign w:val="center"/>
          </w:tcPr>
          <w:p>
            <w:pPr>
              <w:pStyle w:val="TableContents"/>
              <w:bidi w:val="0"/>
              <w:spacing w:before="0" w:after="283"/>
              <w:jc w:val="left"/>
              <w:rPr>
                <w:sz w:val="4"/>
                <w:szCs w:val="4"/>
              </w:rPr>
            </w:pPr>
            <w:r>
              <w:rPr>
                <w:sz w:val="4"/>
                <w:szCs w:val="4"/>
              </w:rPr>
            </w:r>
          </w:p>
        </w:tc>
        <w:tc>
          <w:tcPr>
            <w:tcW w:w="2970" w:type="dxa"/>
            <w:gridSpan w:val="2"/>
            <w:tcBorders/>
            <w:vAlign w:val="center"/>
          </w:tcPr>
          <w:p>
            <w:pPr>
              <w:pStyle w:val="TableContents"/>
              <w:bidi w:val="0"/>
              <w:spacing w:before="0" w:after="283"/>
              <w:jc w:val="left"/>
              <w:rPr>
                <w:sz w:val="4"/>
                <w:szCs w:val="4"/>
              </w:rPr>
            </w:pPr>
            <w:r>
              <w:rPr>
                <w:sz w:val="4"/>
                <w:szCs w:val="4"/>
              </w:rPr>
            </w:r>
          </w:p>
        </w:tc>
      </w:tr>
      <w:tr>
        <w:trPr/>
        <w:tc>
          <w:tcPr>
            <w:tcW w:w="1112" w:type="dxa"/>
            <w:tcBorders/>
          </w:tcPr>
          <w:p>
            <w:pPr>
              <w:pStyle w:val="TableContents"/>
              <w:bidi w:val="0"/>
              <w:spacing w:before="0" w:after="283"/>
              <w:jc w:val="left"/>
              <w:rPr/>
            </w:pPr>
            <w:r>
              <w:rPr/>
              <w:t>By:</w:t>
            </w:r>
          </w:p>
        </w:tc>
        <w:tc>
          <w:tcPr>
            <w:tcW w:w="208" w:type="dxa"/>
            <w:tcBorders/>
            <w:vAlign w:val="bottom"/>
          </w:tcPr>
          <w:p>
            <w:pPr>
              <w:pStyle w:val="TableContents"/>
              <w:bidi w:val="0"/>
              <w:spacing w:before="0" w:after="283"/>
              <w:jc w:val="left"/>
              <w:rPr/>
            </w:pPr>
            <w:r>
              <w:rPr/>
              <w:t> </w:t>
            </w:r>
          </w:p>
        </w:tc>
        <w:tc>
          <w:tcPr>
            <w:tcW w:w="2762" w:type="dxa"/>
            <w:tcBorders/>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2.03. </w:t>
      </w:r>
      <w:r>
        <w:rPr>
          <w:rFonts w:ascii="Times New Roman" w:hAnsi="Times New Roman"/>
          <w:i/>
          <w:sz w:val="20"/>
        </w:rPr>
        <w:t>Form of Reverse of Security.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Security is one of a duly authorized issue of securities of the Company of this series (herein called the “Securities”), issued and to be issued in one or more series under an Indenture, dated as of       , 20 (the “Indenture”), between the Company and The Bank of New York Mellon, as Trustee (the “Trustee”, which term includes any successor trustee under the Indenture), and reference is hereby made to the Indenture for a statement of the respective rights, limitations of rights, duties and immunities thereunder of the Company, the Trustee and the Holders of the Securities and of the terms upon which the Securities are, and are to be, authenticated and delivered. This Security is one of the series designated on the face hereof </w:t>
      </w:r>
      <w:r>
        <w:rPr>
          <w:rFonts w:ascii="Times New Roman" w:hAnsi="Times New Roman"/>
          <w:b/>
          <w:sz w:val="20"/>
        </w:rPr>
        <w:t>[</w:t>
      </w:r>
      <w:r>
        <w:rPr>
          <w:rFonts w:ascii="Times New Roman" w:hAnsi="Times New Roman"/>
          <w:i/>
          <w:sz w:val="20"/>
        </w:rPr>
        <w:t xml:space="preserve">if applicable, insert – </w:t>
      </w:r>
      <w:r>
        <w:rPr>
          <w:rFonts w:ascii="Times New Roman" w:hAnsi="Times New Roman"/>
          <w:b/>
          <w:sz w:val="20"/>
        </w:rPr>
        <w:t>[</w:t>
      </w:r>
      <w:r>
        <w:rPr>
          <w:rFonts w:ascii="Times New Roman" w:hAnsi="Times New Roman"/>
          <w:sz w:val="20"/>
        </w:rPr>
        <w:t>initially</w:t>
      </w:r>
      <w:r>
        <w:rPr>
          <w:rFonts w:ascii="Times New Roman" w:hAnsi="Times New Roman"/>
          <w:b/>
          <w:sz w:val="20"/>
        </w:rPr>
        <w:t>]</w:t>
      </w:r>
      <w:r>
        <w:rPr>
          <w:rFonts w:ascii="Times New Roman" w:hAnsi="Times New Roman"/>
          <w:sz w:val="20"/>
        </w:rPr>
        <w:t xml:space="preserve"> limited in an aggregate principal amount to $__________, </w:t>
      </w:r>
      <w:r>
        <w:rPr>
          <w:rFonts w:ascii="Times New Roman" w:hAnsi="Times New Roman"/>
          <w:b/>
          <w:sz w:val="20"/>
        </w:rPr>
        <w:t>[</w:t>
      </w:r>
      <w:r>
        <w:rPr>
          <w:rFonts w:ascii="Times New Roman" w:hAnsi="Times New Roman"/>
          <w:i/>
          <w:sz w:val="20"/>
        </w:rPr>
        <w:t>provided</w:t>
      </w:r>
      <w:r>
        <w:rPr>
          <w:rFonts w:ascii="Times New Roman" w:hAnsi="Times New Roman"/>
          <w:sz w:val="20"/>
        </w:rPr>
        <w:t xml:space="preserve"> that the Company may, without the consent of any Holder, at any time and from time to time increase the initial principal amount.</w:t>
      </w:r>
      <w:r>
        <w:rPr>
          <w:rFonts w:ascii="Times New Roman" w:hAnsi="Times New Roman"/>
          <w:b/>
          <w:sz w:val="20"/>
        </w:rPr>
        <w:t xml:space="preserve">] </w:t>
      </w:r>
      <w:r>
        <w:rPr>
          <w:rFonts w:ascii="Times New Roman" w:hAnsi="Times New Roman"/>
          <w:sz w:val="20"/>
        </w:rPr>
        <w:t xml:space="preserve">Unless otherwise defined, all terms used herein which are defined in the Indenture shall have the meanings assigned to them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Save for any provision as to withholding or deduction of taxes, no reference herein to the Indenture and no provision of this Security or of the Indenture shall alter or impair the obligation of the Company, which is absolute and unconditional, to pay the principal of and any premium and interest on this Security at the times, place and rate, and in the coin or currency, herein prescribed. </w:t>
      </w:r>
    </w:p>
    <w:p>
      <w:pPr>
        <w:pStyle w:val="TextBody"/>
        <w:bidi w:val="0"/>
        <w:spacing w:before="240" w:after="0"/>
        <w:jc w:val="left"/>
        <w:rPr>
          <w:rFonts w:ascii="Times New Roman" w:hAnsi="Times New Roman"/>
          <w:sz w:val="20"/>
        </w:rPr>
      </w:pPr>
      <w:r>
        <w:rPr>
          <w:rFonts w:ascii="Times New Roman" w:hAnsi="Times New Roman"/>
          <w:b/>
          <w:sz w:val="20"/>
        </w:rPr>
        <w:t>[</w:t>
      </w:r>
      <w:r>
        <w:rPr>
          <w:rFonts w:ascii="Times New Roman" w:hAnsi="Times New Roman"/>
          <w:i/>
          <w:sz w:val="20"/>
        </w:rPr>
        <w:t xml:space="preserve">If applicable, insert – </w:t>
      </w:r>
      <w:r>
        <w:rPr>
          <w:rFonts w:ascii="Times New Roman" w:hAnsi="Times New Roman"/>
          <w:sz w:val="20"/>
        </w:rPr>
        <w:t xml:space="preserve">In the event that the Company or the Guarantor becomes obligated to make payments in respect of the Securities, the Company or the Guarantor, as applicable, shall make all payments of principal of (and premium, if any, on), interest on (whether on scheduled payment dates or upon acceleration) any Securities, free and clear of, and without withholding or deduction for, or on account of, any present or future taxes, duties, assessments or governmental charges of whatever nature (collectively, “Taxes”) imposed, collected, withheld, assessed or levied by or on behalf of any jurisdiction in which the Company, the Guarantor, a Paying Agent, or any other Person on behalf of the Company or the Guarantor, or any successor thereto (each, a “Payor”) is incorporated, organized or tax resident, or any governmental authority or political subdivision thereof or therein having the power to tax (a “Relevant Jurisdiction”), unless the withholding or deduction of the Taxes is required by law of any Relevant Jurisdiction. </w:t>
      </w:r>
    </w:p>
    <w:p>
      <w:pPr>
        <w:pStyle w:val="TextBody"/>
        <w:bidi w:val="0"/>
        <w:spacing w:before="240" w:after="0"/>
        <w:jc w:val="left"/>
        <w:rPr>
          <w:rFonts w:ascii="Times New Roman" w:hAnsi="Times New Roman"/>
          <w:sz w:val="20"/>
        </w:rPr>
      </w:pPr>
      <w:r>
        <w:rPr>
          <w:rFonts w:ascii="Times New Roman" w:hAnsi="Times New Roman"/>
          <w:sz w:val="20"/>
        </w:rPr>
        <w:t xml:space="preserve">Where the withholding or deduction of Taxes is required by the law of any Relevant Jurisdiction, the Payor will, subject to the exceptions and limitations set forth below, pay as additional interest on the Securities such additional amounts (“Additional Amounts”) as are necessary so that the net payment by the Company or the Guarantor or a paying agent or other Payor of the principal of and interest on such Securities, after deduction for any present or future tax, assessment or governmental charge of a Relevant Jurisdiction, imposed by withholding with respect to the payment, will not be less than the amount that would have been payable in respect of such Securities had no withholding or deduction been required. Any obligation to pay Additional Amounts shall not apply: </w:t>
      </w:r>
    </w:p>
    <w:p>
      <w:pPr>
        <w:pStyle w:val="TextBody"/>
        <w:bidi w:val="0"/>
        <w:spacing w:before="240" w:after="0"/>
        <w:jc w:val="left"/>
        <w:rPr>
          <w:rFonts w:ascii="Times New Roman" w:hAnsi="Times New Roman"/>
          <w:sz w:val="20"/>
        </w:rPr>
      </w:pPr>
      <w:r>
        <w:rPr>
          <w:rFonts w:ascii="Times New Roman" w:hAnsi="Times New Roman"/>
          <w:sz w:val="20"/>
        </w:rPr>
        <w:t xml:space="preserve">(1) to any Taxes that are only payable because a present or former type of connection exists or existed between the Holder or beneficial owner of the Securities and a Relevant Jurisdiction other than a connection related solely to purchase, ownership or mere holding of the Securities or the receipt of principal or interest in respect of 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to any Taxes that are imposed or withheld by the United States of America solely because the beneficial owner, or a fiduciary, settlor, beneficiary or member of the beneficial owner if the beneficial owner is an estate, trust or partnership, or a person holding a power over an estate or trust administered by a fiduciary holder: </w:t>
      </w:r>
    </w:p>
    <w:p>
      <w:pPr>
        <w:pStyle w:val="TextBody"/>
        <w:bidi w:val="0"/>
        <w:spacing w:before="240" w:after="0"/>
        <w:jc w:val="left"/>
        <w:rPr>
          <w:rFonts w:ascii="Times New Roman" w:hAnsi="Times New Roman"/>
          <w:sz w:val="20"/>
        </w:rPr>
      </w:pPr>
      <w:r>
        <w:rPr>
          <w:rFonts w:ascii="Times New Roman" w:hAnsi="Times New Roman"/>
          <w:sz w:val="20"/>
        </w:rPr>
        <w:t xml:space="preserve">a. is or was a citizen or resident or is or was treated as a resident of the United States of America; </w:t>
      </w:r>
    </w:p>
    <w:p>
      <w:pPr>
        <w:pStyle w:val="TextBody"/>
        <w:bidi w:val="0"/>
        <w:spacing w:before="240" w:after="0"/>
        <w:jc w:val="left"/>
        <w:rPr>
          <w:rFonts w:ascii="Times New Roman" w:hAnsi="Times New Roman"/>
          <w:sz w:val="20"/>
        </w:rPr>
      </w:pPr>
      <w:r>
        <w:rPr>
          <w:rFonts w:ascii="Times New Roman" w:hAnsi="Times New Roman"/>
          <w:sz w:val="20"/>
        </w:rPr>
        <w:t xml:space="preserve">b. is or was a personal holding company, a passive foreign investment company or a controlled foreign corporation with respect to the United States of America or is or was a corporation that has accumulated earnings to avoid United States of America federal income tax; </w:t>
      </w:r>
    </w:p>
    <w:p>
      <w:pPr>
        <w:pStyle w:val="TextBody"/>
        <w:bidi w:val="0"/>
        <w:spacing w:before="240" w:after="0"/>
        <w:jc w:val="left"/>
        <w:rPr>
          <w:rFonts w:ascii="Times New Roman" w:hAnsi="Times New Roman"/>
          <w:sz w:val="20"/>
        </w:rPr>
      </w:pPr>
      <w:r>
        <w:rPr>
          <w:rFonts w:ascii="Times New Roman" w:hAnsi="Times New Roman"/>
          <w:sz w:val="20"/>
        </w:rPr>
        <w:t xml:space="preserve">c. is or was a bank receiving interest described in Section 881(c)(3)(A) of the Internal Revenue Code of 1986, as amended (the “Code”); </w:t>
      </w:r>
    </w:p>
    <w:p>
      <w:pPr>
        <w:pStyle w:val="TextBody"/>
        <w:bidi w:val="0"/>
        <w:spacing w:before="240" w:after="0"/>
        <w:jc w:val="left"/>
        <w:rPr>
          <w:rFonts w:ascii="Times New Roman" w:hAnsi="Times New Roman"/>
          <w:sz w:val="20"/>
        </w:rPr>
      </w:pPr>
      <w:r>
        <w:rPr>
          <w:rFonts w:ascii="Times New Roman" w:hAnsi="Times New Roman"/>
          <w:sz w:val="20"/>
        </w:rPr>
        <w:t xml:space="preserve">d. is or was an actual or constructive owner of 10% or more of the total combined voting power of all classes of stock of the Company or the Guarantor entitled to vote; or </w:t>
      </w:r>
    </w:p>
    <w:p>
      <w:pPr>
        <w:pStyle w:val="TextBody"/>
        <w:bidi w:val="0"/>
        <w:spacing w:before="240" w:after="0"/>
        <w:jc w:val="left"/>
        <w:rPr>
          <w:rFonts w:ascii="Times New Roman" w:hAnsi="Times New Roman"/>
          <w:sz w:val="20"/>
        </w:rPr>
      </w:pPr>
      <w:r>
        <w:rPr>
          <w:rFonts w:ascii="Times New Roman" w:hAnsi="Times New Roman"/>
          <w:sz w:val="20"/>
        </w:rPr>
        <w:t xml:space="preserve">e. is or was subject to tax under Section 4948(a) of the Code; </w:t>
      </w:r>
    </w:p>
    <w:p>
      <w:pPr>
        <w:pStyle w:val="TextBody"/>
        <w:bidi w:val="0"/>
        <w:spacing w:before="240" w:after="0"/>
        <w:jc w:val="left"/>
        <w:rPr>
          <w:rFonts w:ascii="Times New Roman" w:hAnsi="Times New Roman"/>
          <w:sz w:val="20"/>
        </w:rPr>
      </w:pPr>
      <w:r>
        <w:rPr>
          <w:rFonts w:ascii="Times New Roman" w:hAnsi="Times New Roman"/>
          <w:sz w:val="20"/>
        </w:rPr>
        <w:t xml:space="preserve">(3) to any Holder of the Securities that is not the sole beneficial owner of such Securities, or a portion thereof, or that is a fiduciary or partnership, but only to the extent that the beneficial owner, a beneficiary or settlor with respect to the fiduciary, or a member of the partnership would not have been entitled to the payment of an Additional Amount had such beneficial owner, beneficiary, settlor or member received directly its beneficial or distributive share of the payment; </w:t>
      </w:r>
    </w:p>
    <w:p>
      <w:pPr>
        <w:pStyle w:val="TextBody"/>
        <w:bidi w:val="0"/>
        <w:spacing w:before="240" w:after="0"/>
        <w:jc w:val="left"/>
        <w:rPr>
          <w:rFonts w:ascii="Times New Roman" w:hAnsi="Times New Roman"/>
          <w:sz w:val="20"/>
        </w:rPr>
      </w:pPr>
      <w:r>
        <w:rPr>
          <w:rFonts w:ascii="Times New Roman" w:hAnsi="Times New Roman"/>
          <w:sz w:val="20"/>
        </w:rPr>
        <w:t xml:space="preserve">(4) to any Taxes that are imposed or withheld because the beneficial owner of the Securities or any other person failed to accurately comply with a request from the Company, the Guarantor or any paying agent to meet certification, identification or information reporting requirements concerning the nationality, residence or identity of the Holder or beneficial owner of the Securities or to satisfy any information or reporting requirement, or to present the relevant Security (if certificated), if compliance such action is required as a precondition to exemption from, or reduction in, such tax, assessment or other governmental charge by the Relevant Jurisdiction; </w:t>
      </w:r>
    </w:p>
    <w:p>
      <w:pPr>
        <w:pStyle w:val="TextBody"/>
        <w:bidi w:val="0"/>
        <w:spacing w:before="240" w:after="0"/>
        <w:jc w:val="left"/>
        <w:rPr>
          <w:rFonts w:ascii="Times New Roman" w:hAnsi="Times New Roman"/>
          <w:sz w:val="20"/>
        </w:rPr>
      </w:pPr>
      <w:r>
        <w:rPr>
          <w:rFonts w:ascii="Times New Roman" w:hAnsi="Times New Roman"/>
          <w:sz w:val="20"/>
        </w:rPr>
        <w:t xml:space="preserve">(5) to any Taxes that are imposed other than by withholding or deduction by the Company or the Guarantor or a paying agent from the payment; </w:t>
      </w:r>
    </w:p>
    <w:p>
      <w:pPr>
        <w:pStyle w:val="TextBody"/>
        <w:bidi w:val="0"/>
        <w:spacing w:before="240" w:after="0"/>
        <w:jc w:val="left"/>
        <w:rPr>
          <w:rFonts w:ascii="Times New Roman" w:hAnsi="Times New Roman"/>
          <w:sz w:val="20"/>
        </w:rPr>
      </w:pPr>
      <w:r>
        <w:rPr>
          <w:rFonts w:ascii="Times New Roman" w:hAnsi="Times New Roman"/>
          <w:sz w:val="20"/>
        </w:rPr>
        <w:t xml:space="preserve">(6) to any Taxes that are imposed or withheld solely because of a change in law, regulation, or administrative or judicial interpretation that becomes effective after the day on which the payment becomes due or is duly provided for, whichever occurs later; </w:t>
      </w:r>
    </w:p>
    <w:p>
      <w:pPr>
        <w:pStyle w:val="TextBody"/>
        <w:bidi w:val="0"/>
        <w:spacing w:before="240" w:after="0"/>
        <w:jc w:val="left"/>
        <w:rPr>
          <w:rFonts w:ascii="Times New Roman" w:hAnsi="Times New Roman"/>
          <w:sz w:val="20"/>
        </w:rPr>
      </w:pPr>
      <w:r>
        <w:rPr>
          <w:rFonts w:ascii="Times New Roman" w:hAnsi="Times New Roman"/>
          <w:sz w:val="20"/>
        </w:rPr>
        <w:t xml:space="preserve">(7) to any estate, inheritance, gift, sales, excise, transfer, wealth, personal property or similar Taxes; </w:t>
      </w:r>
    </w:p>
    <w:p>
      <w:pPr>
        <w:pStyle w:val="TextBody"/>
        <w:bidi w:val="0"/>
        <w:spacing w:before="240" w:after="0"/>
        <w:jc w:val="left"/>
        <w:rPr>
          <w:rFonts w:ascii="Times New Roman" w:hAnsi="Times New Roman"/>
          <w:sz w:val="20"/>
        </w:rPr>
      </w:pPr>
      <w:r>
        <w:rPr>
          <w:rFonts w:ascii="Times New Roman" w:hAnsi="Times New Roman"/>
          <w:sz w:val="20"/>
        </w:rPr>
        <w:t xml:space="preserve">(8) to any Taxes any paying agent (which term may include the Company and the Guarantor) must withhold from any payment of principal of or interest on any Securities, if such payment can be made without such withholding by any other paying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(9) to any Taxes imposed pursuant to the Dutch Withholding Tax Act 2021 (</w:t>
      </w:r>
      <w:r>
        <w:rPr>
          <w:rFonts w:ascii="Times New Roman" w:hAnsi="Times New Roman"/>
          <w:i/>
          <w:sz w:val="20"/>
        </w:rPr>
        <w:t>Wet Bronbelasting 2021</w:t>
      </w:r>
      <w:r>
        <w:rPr>
          <w:rFonts w:ascii="Times New Roman" w:hAnsi="Times New Roman"/>
          <w:sz w:val="20"/>
        </w:rPr>
        <w:t xml:space="preserve">); or </w:t>
      </w:r>
    </w:p>
    <w:p>
      <w:pPr>
        <w:pStyle w:val="TextBody"/>
        <w:bidi w:val="0"/>
        <w:spacing w:before="240" w:after="0"/>
        <w:jc w:val="left"/>
        <w:rPr>
          <w:rFonts w:ascii="Times New Roman" w:hAnsi="Times New Roman"/>
          <w:sz w:val="20"/>
        </w:rPr>
      </w:pPr>
      <w:r>
        <w:rPr>
          <w:rFonts w:ascii="Times New Roman" w:hAnsi="Times New Roman"/>
          <w:sz w:val="20"/>
        </w:rPr>
        <w:t xml:space="preserve">(10) in the case of any combination of the above items. </w:t>
      </w:r>
    </w:p>
    <w:p>
      <w:pPr>
        <w:pStyle w:val="TextBody"/>
        <w:bidi w:val="0"/>
        <w:spacing w:before="240" w:after="0"/>
        <w:jc w:val="left"/>
        <w:rPr>
          <w:rFonts w:ascii="Times New Roman" w:hAnsi="Times New Roman"/>
          <w:sz w:val="20"/>
        </w:rPr>
      </w:pPr>
      <w:r>
        <w:rPr>
          <w:rFonts w:ascii="Times New Roman" w:hAnsi="Times New Roman"/>
          <w:sz w:val="20"/>
        </w:rPr>
        <w:t xml:space="preserve">In addition, any amounts to be paid on the Securities shall be paid net of any deduction or withholding imposed or required pursuant to Sections 1471 through 1474 of the Code,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and no Additional Amounts shall be required to be paid on account of any such deduction or withholding. </w:t>
      </w:r>
    </w:p>
    <w:p>
      <w:pPr>
        <w:pStyle w:val="TextBody"/>
        <w:bidi w:val="0"/>
        <w:spacing w:before="240" w:after="0"/>
        <w:jc w:val="left"/>
        <w:rPr>
          <w:rFonts w:ascii="Times New Roman" w:hAnsi="Times New Roman"/>
          <w:sz w:val="20"/>
        </w:rPr>
      </w:pPr>
      <w:r>
        <w:rPr>
          <w:rFonts w:ascii="Times New Roman" w:hAnsi="Times New Roman"/>
          <w:sz w:val="20"/>
        </w:rPr>
        <w:t xml:space="preserve">Whenever in this Security or the Indenture there is mentioned, in any context other than the case of Section 5.02 of the Indenture, the payment of principal (and premium, if any) </w:t>
      </w:r>
      <w:r>
        <w:rPr>
          <w:rFonts w:ascii="Times New Roman" w:hAnsi="Times New Roman"/>
          <w:b/>
          <w:sz w:val="20"/>
        </w:rPr>
        <w:t>[</w:t>
      </w:r>
      <w:r>
        <w:rPr>
          <w:rFonts w:ascii="Times New Roman" w:hAnsi="Times New Roman"/>
          <w:i/>
          <w:sz w:val="20"/>
        </w:rPr>
        <w:t>if applicable, insert</w:t>
      </w:r>
      <w:r>
        <w:rPr>
          <w:rFonts w:ascii="Times New Roman" w:hAnsi="Times New Roman"/>
          <w:sz w:val="20"/>
        </w:rPr>
        <w:t xml:space="preserve"> - the Redemption Price, if any,</w:t>
      </w:r>
      <w:r>
        <w:rPr>
          <w:rFonts w:ascii="Times New Roman" w:hAnsi="Times New Roman"/>
          <w:b/>
          <w:sz w:val="20"/>
        </w:rPr>
        <w:t>]</w:t>
      </w:r>
      <w:r>
        <w:rPr>
          <w:rFonts w:ascii="Times New Roman" w:hAnsi="Times New Roman"/>
          <w:sz w:val="20"/>
        </w:rPr>
        <w:t xml:space="preserve"> interest or any other amount payable under or with respect to the Securities, such mention shall be deemed to include mention of the payment of Additional Amounts to the extent that, in such context Additional Amounts are, were or would be payable by the Company or the Guarantor in respect thereof.</w:t>
      </w:r>
      <w:r>
        <w:rPr>
          <w:rFonts w:ascii="Times New Roman" w:hAnsi="Times New Roman"/>
          <w:b/>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t>
      </w:r>
      <w:r>
        <w:rPr>
          <w:rFonts w:ascii="Times New Roman" w:hAnsi="Times New Roman"/>
          <w:i/>
          <w:sz w:val="20"/>
        </w:rPr>
        <w:t xml:space="preserve">If applicable, insert – </w:t>
      </w:r>
      <w:r>
        <w:rPr>
          <w:rFonts w:ascii="Times New Roman" w:hAnsi="Times New Roman"/>
          <w:sz w:val="20"/>
        </w:rPr>
        <w:t xml:space="preserve">Prior to ____________ (the “Par Call Date”), the Company may redeem the Securities at its option, in whole or in part, at any time and from time to time, at a Redemption Price (expressed as a percentage of principal amount and rounded to three decimal places) equal to the greater of: </w:t>
      </w:r>
    </w:p>
    <w:p>
      <w:pPr>
        <w:pStyle w:val="TextBody"/>
        <w:bidi w:val="0"/>
        <w:spacing w:before="240" w:after="0"/>
        <w:jc w:val="left"/>
        <w:rPr>
          <w:rFonts w:ascii="Times New Roman" w:hAnsi="Times New Roman"/>
          <w:sz w:val="20"/>
        </w:rPr>
      </w:pPr>
      <w:r>
        <w:rPr>
          <w:rFonts w:ascii="Times New Roman" w:hAnsi="Times New Roman"/>
          <w:sz w:val="20"/>
        </w:rPr>
        <w:t xml:space="preserve">(1) (a) the sum of the present values of the remaining scheduled payments of principal and interest thereon discounted to the Redemption Date (assuming the Securities matured on the Par Call Date) on a semi-annual basis (assuming a 360-day year consisting of twelve 30-day months) at the Treasury Rate plus _____ basis points, less (b) interest accrued to the Redemption Date, and </w:t>
      </w:r>
    </w:p>
    <w:p>
      <w:pPr>
        <w:pStyle w:val="TextBody"/>
        <w:bidi w:val="0"/>
        <w:spacing w:before="240" w:after="0"/>
        <w:jc w:val="left"/>
        <w:rPr>
          <w:rFonts w:ascii="Times New Roman" w:hAnsi="Times New Roman"/>
          <w:sz w:val="20"/>
        </w:rPr>
      </w:pPr>
      <w:r>
        <w:rPr>
          <w:rFonts w:ascii="Times New Roman" w:hAnsi="Times New Roman"/>
          <w:sz w:val="20"/>
        </w:rPr>
        <w:t xml:space="preserve">(2) 100% of the principal amount of the Securities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plus, in either case, accrued and unpaid interest thereon to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On or after the Par Call Date, the Company may redeem the Securities at its option, in whole or in part, at any time and from time to time, at a Redemption Price equal to _____% of the principal amount of the Securities to be redeemed plus accrued and unpaid interest thereon to the Redemption Date. </w:t>
      </w:r>
    </w:p>
    <w:p>
      <w:pPr>
        <w:pStyle w:val="TextBody"/>
        <w:bidi w:val="0"/>
        <w:spacing w:before="240" w:after="0"/>
        <w:jc w:val="left"/>
        <w:rPr/>
      </w:pPr>
      <w:r>
        <w:rPr/>
        <w:t>“</w:t>
      </w:r>
      <w:r>
        <w:rPr>
          <w:rFonts w:ascii="Times New Roman" w:hAnsi="Times New Roman"/>
          <w:sz w:val="20"/>
        </w:rPr>
        <w:t xml:space="preserve">Treasury Rate” means, with respect to any Redemption Date, the yield determined by the Company in accordance with the following two paragraphs. </w:t>
      </w:r>
    </w:p>
    <w:p>
      <w:pPr>
        <w:pStyle w:val="TextBody"/>
        <w:bidi w:val="0"/>
        <w:spacing w:before="240" w:after="0"/>
        <w:jc w:val="left"/>
        <w:rPr>
          <w:rFonts w:ascii="Times New Roman" w:hAnsi="Times New Roman"/>
          <w:sz w:val="20"/>
        </w:rPr>
      </w:pPr>
      <w:r>
        <w:rPr>
          <w:rFonts w:ascii="Times New Roman" w:hAnsi="Times New Roman"/>
          <w:sz w:val="20"/>
        </w:rPr>
        <w:t xml:space="preserve">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(“H.15”) under the caption “U.S. government securities–Treasury constant maturities–Nominal” (or any successor caption or heading). In determining the Treasury Rate, the Company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on the third Business Day preceding the Redemption Date H.15 or any successor designation or publication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If there is no United States Treasury security maturing on the Par Call Date but there are two or more United States Treasury securities with a maturity date equally distant from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 </w:t>
      </w:r>
    </w:p>
    <w:p>
      <w:pPr>
        <w:pStyle w:val="TextBody"/>
        <w:bidi w:val="0"/>
        <w:spacing w:before="240" w:after="0"/>
        <w:jc w:val="left"/>
        <w:rPr>
          <w:rFonts w:ascii="Times New Roman" w:hAnsi="Times New Roman"/>
          <w:sz w:val="20"/>
        </w:rPr>
      </w:pPr>
      <w:r>
        <w:rPr>
          <w:rFonts w:ascii="Times New Roman" w:hAnsi="Times New Roman"/>
          <w:sz w:val="20"/>
        </w:rPr>
        <w:t xml:space="preserve">The Company’s actions and determinations in determining the Redemption Price shall be conclusive and binding for all purposes, absent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Notice of any redemption shall be mailed or electronically delivered (or otherwise transmitted in accordance with the depositary’s procedures) at least 10 days but not more than 60 days before the Redemption Date to each holder of Securities to be redeemed except that redemption notices may be given more than 60 days prior to a Redemption Date if the notice is issued in connection with a defeasance of the Securities or a satisfaction and discharge of the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In the case of a partial redemption, selection of the Securities for redemption shall be made by lot. For so long as the Securities are held by DTC, Euroclear or Clearstream (or another depositary), the redemption of the Securities shall be done in accordance with the policies and procedures of the depositary.</w:t>
      </w:r>
      <w:r>
        <w:rPr>
          <w:rFonts w:ascii="Times New Roman" w:hAnsi="Times New Roman"/>
          <w:b/>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t>
      </w:r>
      <w:r>
        <w:rPr>
          <w:rFonts w:ascii="Times New Roman" w:hAnsi="Times New Roman"/>
          <w:i/>
          <w:sz w:val="20"/>
        </w:rPr>
        <w:t xml:space="preserve">If applicable, insert – </w:t>
      </w:r>
      <w:r>
        <w:rPr>
          <w:rFonts w:ascii="Times New Roman" w:hAnsi="Times New Roman"/>
          <w:sz w:val="20"/>
        </w:rPr>
        <w:t xml:space="preserve">The Securities are subject to redemption upon not less than ___days’ nor more than ___ days’ notice, </w:t>
      </w:r>
      <w:r>
        <w:rPr>
          <w:rFonts w:ascii="Times New Roman" w:hAnsi="Times New Roman"/>
          <w:b/>
          <w:sz w:val="20"/>
        </w:rPr>
        <w:t>[</w:t>
      </w:r>
      <w:r>
        <w:rPr>
          <w:rFonts w:ascii="Times New Roman" w:hAnsi="Times New Roman"/>
          <w:i/>
          <w:sz w:val="20"/>
        </w:rPr>
        <w:t xml:space="preserve">if applicable, insert </w:t>
      </w:r>
      <w:r>
        <w:rPr>
          <w:rFonts w:ascii="Times New Roman" w:hAnsi="Times New Roman"/>
          <w:sz w:val="20"/>
        </w:rPr>
        <w:t>– (1) on _____________ in any year commencing with the year __________ and ending with the year __________ through operation of the sinking fund for this series at a Redemption Price equal to ___% of the principal amount, and (2)</w:t>
      </w:r>
      <w:r>
        <w:rPr>
          <w:rFonts w:ascii="Times New Roman" w:hAnsi="Times New Roman"/>
          <w:b/>
          <w:sz w:val="20"/>
        </w:rPr>
        <w:t>]</w:t>
      </w:r>
      <w:r>
        <w:rPr>
          <w:rFonts w:ascii="Times New Roman" w:hAnsi="Times New Roman"/>
          <w:sz w:val="20"/>
        </w:rPr>
        <w:t xml:space="preserve"> at any time </w:t>
      </w:r>
      <w:r>
        <w:rPr>
          <w:rFonts w:ascii="Times New Roman" w:hAnsi="Times New Roman"/>
          <w:b/>
          <w:sz w:val="20"/>
        </w:rPr>
        <w:t>[</w:t>
      </w:r>
      <w:r>
        <w:rPr>
          <w:rFonts w:ascii="Times New Roman" w:hAnsi="Times New Roman"/>
          <w:i/>
          <w:sz w:val="20"/>
        </w:rPr>
        <w:t xml:space="preserve">if applicable, insert </w:t>
      </w:r>
      <w:r>
        <w:rPr>
          <w:rFonts w:ascii="Times New Roman" w:hAnsi="Times New Roman"/>
          <w:sz w:val="20"/>
        </w:rPr>
        <w:t xml:space="preserve">– on or after ________, 20 ____ </w:t>
      </w:r>
      <w:r>
        <w:rPr>
          <w:rFonts w:ascii="Times New Roman" w:hAnsi="Times New Roman"/>
          <w:b/>
          <w:sz w:val="20"/>
        </w:rPr>
        <w:t>]</w:t>
      </w:r>
      <w:r>
        <w:rPr>
          <w:rFonts w:ascii="Times New Roman" w:hAnsi="Times New Roman"/>
          <w:sz w:val="20"/>
        </w:rPr>
        <w:t xml:space="preserve">, as a whole or in part, at the election of the Company, at the following Redemption Prices (expressed as percentages of the principal amount): If redeemed during the 12-month period beginning _______ of the years indicated,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43"/>
        <w:gridCol w:w="60"/>
        <w:gridCol w:w="2546"/>
        <w:gridCol w:w="107"/>
        <w:gridCol w:w="2458"/>
        <w:gridCol w:w="122"/>
        <w:gridCol w:w="2269"/>
      </w:tblGrid>
      <w:tr>
        <w:trPr/>
        <w:tc>
          <w:tcPr>
            <w:tcW w:w="264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46"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2458"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2269" w:type="dxa"/>
            <w:tcBorders/>
            <w:vAlign w:val="center"/>
          </w:tcPr>
          <w:p>
            <w:pPr>
              <w:pStyle w:val="TableContents"/>
              <w:bidi w:val="0"/>
              <w:spacing w:before="0" w:after="283"/>
              <w:jc w:val="left"/>
              <w:rPr>
                <w:sz w:val="4"/>
                <w:szCs w:val="4"/>
              </w:rPr>
            </w:pPr>
            <w:r>
              <w:rPr>
                <w:sz w:val="4"/>
                <w:szCs w:val="4"/>
              </w:rPr>
            </w:r>
          </w:p>
        </w:tc>
      </w:tr>
      <w:tr>
        <w:trPr/>
        <w:tc>
          <w:tcPr>
            <w:tcW w:w="2643" w:type="dxa"/>
            <w:tcBorders/>
            <w:vAlign w:val="bottom"/>
          </w:tcPr>
          <w:p>
            <w:pPr>
              <w:pStyle w:val="TableContents"/>
              <w:bidi w:val="0"/>
              <w:spacing w:before="0" w:after="283"/>
              <w:jc w:val="center"/>
              <w:rPr>
                <w:b/>
              </w:rPr>
            </w:pPr>
            <w:r>
              <w:rPr>
                <w:b/>
              </w:rPr>
              <w:t>Year</w:t>
            </w:r>
          </w:p>
        </w:tc>
        <w:tc>
          <w:tcPr>
            <w:tcW w:w="60" w:type="dxa"/>
            <w:tcBorders/>
            <w:vAlign w:val="bottom"/>
          </w:tcPr>
          <w:p>
            <w:pPr>
              <w:pStyle w:val="TableContents"/>
              <w:bidi w:val="0"/>
              <w:spacing w:before="0" w:after="283"/>
              <w:jc w:val="left"/>
              <w:rPr/>
            </w:pPr>
            <w:r>
              <w:rPr/>
              <w:t> </w:t>
            </w:r>
          </w:p>
        </w:tc>
        <w:tc>
          <w:tcPr>
            <w:tcW w:w="2546" w:type="dxa"/>
            <w:tcBorders/>
            <w:vAlign w:val="bottom"/>
          </w:tcPr>
          <w:p>
            <w:pPr>
              <w:pStyle w:val="TableContents"/>
              <w:bidi w:val="0"/>
              <w:spacing w:before="0" w:after="283"/>
              <w:jc w:val="center"/>
              <w:rPr>
                <w:b/>
              </w:rPr>
            </w:pPr>
            <w:r>
              <w:rPr>
                <w:b/>
              </w:rPr>
              <w:t>Redemption Price</w:t>
            </w:r>
          </w:p>
        </w:tc>
        <w:tc>
          <w:tcPr>
            <w:tcW w:w="107" w:type="dxa"/>
            <w:tcBorders/>
            <w:vAlign w:val="bottom"/>
          </w:tcPr>
          <w:p>
            <w:pPr>
              <w:pStyle w:val="TableContents"/>
              <w:bidi w:val="0"/>
              <w:spacing w:before="0" w:after="283"/>
              <w:jc w:val="left"/>
              <w:rPr/>
            </w:pPr>
            <w:r>
              <w:rPr/>
              <w:t> </w:t>
            </w:r>
          </w:p>
        </w:tc>
        <w:tc>
          <w:tcPr>
            <w:tcW w:w="2458" w:type="dxa"/>
            <w:tcBorders/>
            <w:vAlign w:val="bottom"/>
          </w:tcPr>
          <w:p>
            <w:pPr>
              <w:pStyle w:val="TableContents"/>
              <w:bidi w:val="0"/>
              <w:spacing w:before="0" w:after="283"/>
              <w:jc w:val="center"/>
              <w:rPr>
                <w:b/>
              </w:rPr>
            </w:pPr>
            <w:r>
              <w:rPr>
                <w:b/>
              </w:rPr>
              <w:t>Year</w:t>
            </w:r>
          </w:p>
        </w:tc>
        <w:tc>
          <w:tcPr>
            <w:tcW w:w="122" w:type="dxa"/>
            <w:tcBorders/>
            <w:vAlign w:val="bottom"/>
          </w:tcPr>
          <w:p>
            <w:pPr>
              <w:pStyle w:val="TableContents"/>
              <w:bidi w:val="0"/>
              <w:spacing w:before="0" w:after="283"/>
              <w:jc w:val="left"/>
              <w:rPr/>
            </w:pPr>
            <w:r>
              <w:rPr/>
              <w:t>  </w:t>
            </w:r>
          </w:p>
        </w:tc>
        <w:tc>
          <w:tcPr>
            <w:tcW w:w="2269" w:type="dxa"/>
            <w:tcBorders/>
            <w:vAlign w:val="bottom"/>
          </w:tcPr>
          <w:p>
            <w:pPr>
              <w:pStyle w:val="TableContents"/>
              <w:bidi w:val="0"/>
              <w:spacing w:before="0" w:after="283"/>
              <w:jc w:val="center"/>
              <w:rPr>
                <w:b/>
              </w:rPr>
            </w:pPr>
            <w:r>
              <w:rPr>
                <w:b/>
              </w:rPr>
              <w:t>Redemption Price</w:t>
            </w:r>
          </w:p>
        </w:tc>
      </w:tr>
      <w:tr>
        <w:trPr/>
        <w:tc>
          <w:tcPr>
            <w:tcW w:w="264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54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2458"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2269"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and thereafter at a Redemption Price equal to ____% of the principal amount, together in the case of any such redemption </w:t>
      </w:r>
      <w:r>
        <w:rPr>
          <w:rFonts w:ascii="Times New Roman" w:hAnsi="Times New Roman"/>
          <w:b/>
          <w:sz w:val="20"/>
        </w:rPr>
        <w:t>[</w:t>
      </w:r>
      <w:r>
        <w:rPr>
          <w:rFonts w:ascii="Times New Roman" w:hAnsi="Times New Roman"/>
          <w:sz w:val="20"/>
        </w:rPr>
        <w:t>(whether through operation of the sinking fund or otherwise)</w:t>
      </w:r>
      <w:r>
        <w:rPr>
          <w:rFonts w:ascii="Times New Roman" w:hAnsi="Times New Roman"/>
          <w:b/>
          <w:sz w:val="20"/>
        </w:rPr>
        <w:t>]</w:t>
      </w:r>
      <w:r>
        <w:rPr>
          <w:rFonts w:ascii="Times New Roman" w:hAnsi="Times New Roman"/>
          <w:sz w:val="20"/>
        </w:rPr>
        <w:t xml:space="preserve"> with accrued interest to the Redemption Date, but interest installments whose Stated Maturity is on or prior to such Redemption Date will be payable to the Holders of such Securities, or one or more Predecessor Securities, of record at the close of business on the relevant record dates referred to on the face hereof, all as provided in the Indenture.</w:t>
      </w:r>
      <w:r>
        <w:rPr>
          <w:rFonts w:ascii="Times New Roman" w:hAnsi="Times New Roman"/>
          <w:b/>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t>
      </w:r>
      <w:r>
        <w:rPr>
          <w:rFonts w:ascii="Times New Roman" w:hAnsi="Times New Roman"/>
          <w:i/>
          <w:sz w:val="20"/>
        </w:rPr>
        <w:t>If applicable, insert</w:t>
      </w:r>
      <w:r>
        <w:rPr>
          <w:rFonts w:ascii="Times New Roman" w:hAnsi="Times New Roman"/>
          <w:sz w:val="20"/>
        </w:rPr>
        <w:t xml:space="preserve"> – If (a) a Payor becomes or shall become obligated to pay Additional Amounts with respect to any Securities as result of any change in, or amendment to, the laws or regulations of a Relevant Jurisdiction, or any change in the official interpretation of the laws or regulations of a Relevant Jurisdiction, which change or amendment becomes effective after _______, 20___, and (b) such obligation cannot be avoided by the Company taking reasonable measures available to the Company, the Company may, at its option, having given not less than ___ days notice to the Holders of such Securities (which notice shall be irrevocable), redeem all, but not a portion of, the Securities at any time at ___ % of their principal amount, plus accrued but unpaid interest to, but excluding, the Redemption Date; provided that no such notice of redemption shall be given earlier than ___ days prior to the earliest date on which the applicable Payor would be obliged to pay such Additional Amounts were a payment in respect of the Securities then due. Prior to the delivery of any notice of redemption pursuant to this paragraph, the Company shall deliver to the Trustee (i) an Officer’s Certificate stating that the requirements referred to in (a) and (b) above are satisfied, and (ii) an Opinion of Counsel to the effect that the applicable Payor has or will become obliged to pay such Additional Amounts as a result of the change or amendment, in each case to be held by the Trustee and made available for viewing at the offices of the Trustee on written request by any Holder of the Securities.</w:t>
      </w:r>
      <w:r>
        <w:rPr>
          <w:rFonts w:ascii="Times New Roman" w:hAnsi="Times New Roman"/>
          <w:b/>
          <w:sz w:val="20"/>
        </w:rPr>
        <w: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w:t>
      </w:r>
      <w:r>
        <w:rPr>
          <w:rFonts w:ascii="Times New Roman" w:hAnsi="Times New Roman"/>
          <w:i/>
          <w:sz w:val="20"/>
        </w:rPr>
        <w:t>If applicable, insert</w:t>
      </w:r>
      <w:r>
        <w:rPr>
          <w:rFonts w:ascii="Times New Roman" w:hAnsi="Times New Roman"/>
          <w:sz w:val="20"/>
        </w:rPr>
        <w:t xml:space="preserve"> – The sinking fund for this series provides for the redemption on __________ in each year beginning with the year __________ and ending with the year __________ of </w:t>
      </w:r>
      <w:r>
        <w:rPr>
          <w:rFonts w:ascii="Times New Roman" w:hAnsi="Times New Roman"/>
          <w:b/>
          <w:sz w:val="20"/>
        </w:rPr>
        <w:t>[</w:t>
      </w:r>
      <w:r>
        <w:rPr>
          <w:rFonts w:ascii="Times New Roman" w:hAnsi="Times New Roman"/>
          <w:i/>
          <w:sz w:val="20"/>
        </w:rPr>
        <w:t xml:space="preserve">if applicable, insert </w:t>
      </w:r>
      <w:r>
        <w:rPr>
          <w:rFonts w:ascii="Times New Roman" w:hAnsi="Times New Roman"/>
          <w:sz w:val="20"/>
        </w:rPr>
        <w:t>– not less than $__________</w:t>
      </w:r>
      <w:r>
        <w:rPr>
          <w:rFonts w:ascii="Times New Roman" w:hAnsi="Times New Roman"/>
          <w:sz w:val="20"/>
          <w:u w:val="single"/>
        </w:rPr>
        <w:t xml:space="preserve"> </w:t>
      </w:r>
      <w:r>
        <w:rPr>
          <w:rFonts w:ascii="Times New Roman" w:hAnsi="Times New Roman"/>
          <w:sz w:val="20"/>
        </w:rPr>
        <w:t>(“mandatory sinking fund”) and not more than</w:t>
      </w:r>
      <w:r>
        <w:rPr>
          <w:rFonts w:ascii="Times New Roman" w:hAnsi="Times New Roman"/>
          <w:b/>
          <w:sz w:val="20"/>
        </w:rPr>
        <w:t>]</w:t>
      </w:r>
      <w:r>
        <w:rPr>
          <w:rFonts w:ascii="Times New Roman" w:hAnsi="Times New Roman"/>
          <w:sz w:val="20"/>
        </w:rPr>
        <w:t xml:space="preserve"> $__________ aggregate principal amount of Securities of this series. Securities of this series acquired or redeemed by the Company otherwise than through </w:t>
      </w:r>
      <w:r>
        <w:rPr>
          <w:rFonts w:ascii="Times New Roman" w:hAnsi="Times New Roman"/>
          <w:b/>
          <w:sz w:val="20"/>
        </w:rPr>
        <w:t>[</w:t>
      </w:r>
      <w:r>
        <w:rPr>
          <w:rFonts w:ascii="Times New Roman" w:hAnsi="Times New Roman"/>
          <w:i/>
          <w:sz w:val="20"/>
        </w:rPr>
        <w:t xml:space="preserve">if applicable, insert </w:t>
      </w:r>
      <w:r>
        <w:rPr>
          <w:rFonts w:ascii="Times New Roman" w:hAnsi="Times New Roman"/>
          <w:sz w:val="20"/>
        </w:rPr>
        <w:t>– mandatory</w:t>
      </w:r>
      <w:r>
        <w:rPr>
          <w:rFonts w:ascii="Times New Roman" w:hAnsi="Times New Roman"/>
          <w:b/>
          <w:sz w:val="20"/>
        </w:rPr>
        <w:t>]</w:t>
      </w:r>
      <w:r>
        <w:rPr>
          <w:rFonts w:ascii="Times New Roman" w:hAnsi="Times New Roman"/>
          <w:sz w:val="20"/>
        </w:rPr>
        <w:t xml:space="preserve"> sinking fund payments may be credited against subsequent </w:t>
      </w:r>
      <w:r>
        <w:rPr>
          <w:rFonts w:ascii="Times New Roman" w:hAnsi="Times New Roman"/>
          <w:b/>
          <w:sz w:val="20"/>
        </w:rPr>
        <w:t>[</w:t>
      </w:r>
      <w:r>
        <w:rPr>
          <w:rFonts w:ascii="Times New Roman" w:hAnsi="Times New Roman"/>
          <w:i/>
          <w:sz w:val="20"/>
        </w:rPr>
        <w:t xml:space="preserve">if applicable, insert </w:t>
      </w:r>
      <w:r>
        <w:rPr>
          <w:rFonts w:ascii="Times New Roman" w:hAnsi="Times New Roman"/>
          <w:sz w:val="20"/>
        </w:rPr>
        <w:t>– mandatory</w:t>
      </w:r>
      <w:r>
        <w:rPr>
          <w:rFonts w:ascii="Times New Roman" w:hAnsi="Times New Roman"/>
          <w:b/>
          <w:sz w:val="20"/>
        </w:rPr>
        <w:t>]</w:t>
      </w:r>
      <w:r>
        <w:rPr>
          <w:rFonts w:ascii="Times New Roman" w:hAnsi="Times New Roman"/>
          <w:sz w:val="20"/>
        </w:rPr>
        <w:t xml:space="preserve"> sinking fund payments otherwise required to be made </w:t>
      </w:r>
      <w:r>
        <w:rPr>
          <w:rFonts w:ascii="Times New Roman" w:hAnsi="Times New Roman"/>
          <w:b/>
          <w:sz w:val="20"/>
        </w:rPr>
        <w:t>[</w:t>
      </w:r>
      <w:r>
        <w:rPr>
          <w:rFonts w:ascii="Times New Roman" w:hAnsi="Times New Roman"/>
          <w:i/>
          <w:sz w:val="20"/>
        </w:rPr>
        <w:t xml:space="preserve">if applicable, insert </w:t>
      </w:r>
      <w:r>
        <w:rPr>
          <w:rFonts w:ascii="Times New Roman" w:hAnsi="Times New Roman"/>
          <w:sz w:val="20"/>
        </w:rPr>
        <w:t>– , in the inverse order in which they become due</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t>
      </w:r>
      <w:r>
        <w:rPr>
          <w:rFonts w:ascii="Times New Roman" w:hAnsi="Times New Roman"/>
          <w:i/>
          <w:sz w:val="20"/>
        </w:rPr>
        <w:t>If the Security is subject to redemption of any kind, insert</w:t>
      </w:r>
      <w:r>
        <w:rPr>
          <w:rFonts w:ascii="Times New Roman" w:hAnsi="Times New Roman"/>
          <w:sz w:val="20"/>
        </w:rPr>
        <w:t xml:space="preserve"> – On and after the Redemption Date, interest shall cease to accrue on the Securities or any portion of the Securities called for redemption, unless the Company defaults in the payment of the Redemption Price and accrued interest. On or before the Redemption Date, the Company shall deposit with a Paying Agent or the Trustee money sufficient to pay the Redemption Price of and accrued interest on the Securities to be redeemed on that date. The Trustee shall not be responsible for determining or calculating the Redemption Price (or any component thereof) of the Securities or the Treasury Rate or for confirming the Company’s calculation thereof. </w:t>
      </w:r>
    </w:p>
    <w:p>
      <w:pPr>
        <w:pStyle w:val="TextBody"/>
        <w:bidi w:val="0"/>
        <w:spacing w:before="240" w:after="0"/>
        <w:jc w:val="left"/>
        <w:rPr>
          <w:rFonts w:ascii="Times New Roman" w:hAnsi="Times New Roman"/>
          <w:sz w:val="20"/>
        </w:rPr>
      </w:pPr>
      <w:r>
        <w:rPr>
          <w:rFonts w:ascii="Times New Roman" w:hAnsi="Times New Roman"/>
          <w:sz w:val="20"/>
        </w:rPr>
        <w:t>In the event of redemption of this Security in part only, a new Security or Securities of this series and of like tenor for the unredeemed portion hereof will be issued in the name of the Holder hereof upon the cancellation hereof.</w:t>
      </w:r>
      <w:r>
        <w:rPr>
          <w:rFonts w:ascii="Times New Roman" w:hAnsi="Times New Roman"/>
          <w:b/>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t>
      </w:r>
      <w:r>
        <w:rPr>
          <w:rFonts w:ascii="Times New Roman" w:hAnsi="Times New Roman"/>
          <w:i/>
          <w:sz w:val="20"/>
        </w:rPr>
        <w:t>If applicable, insert</w:t>
      </w:r>
      <w:r>
        <w:rPr>
          <w:rFonts w:ascii="Times New Roman" w:hAnsi="Times New Roman"/>
          <w:sz w:val="20"/>
        </w:rPr>
        <w:t xml:space="preserve"> – The Indenture contains provisions for defeasance at any time of the entire indebtedness of this Security or certain restrictive covenants and Events of Default with respect to this Security, in each case upon compliance with certain conditions set forth in the Indenture.</w:t>
      </w:r>
      <w:r>
        <w:rPr>
          <w:rFonts w:ascii="Times New Roman" w:hAnsi="Times New Roman"/>
          <w:b/>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t>
      </w:r>
      <w:r>
        <w:rPr>
          <w:rFonts w:ascii="Times New Roman" w:hAnsi="Times New Roman"/>
          <w:i/>
          <w:sz w:val="20"/>
        </w:rPr>
        <w:t>If the Security is not an Original Issue Discount Security, insert</w:t>
      </w:r>
      <w:r>
        <w:rPr>
          <w:rFonts w:ascii="Times New Roman" w:hAnsi="Times New Roman"/>
          <w:sz w:val="20"/>
        </w:rPr>
        <w:t xml:space="preserve"> – If an Event of Default with respect to the Securities shall occur and be continuing, the principal of the Securities may be declared due and payable in the manner and with the effect provided in the Indenture.</w:t>
      </w:r>
      <w:r>
        <w:rPr>
          <w:rFonts w:ascii="Times New Roman" w:hAnsi="Times New Roman"/>
          <w:b/>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t>
      </w:r>
      <w:r>
        <w:rPr>
          <w:rFonts w:ascii="Times New Roman" w:hAnsi="Times New Roman"/>
          <w:i/>
          <w:sz w:val="20"/>
        </w:rPr>
        <w:t>If the Security is an Original Issue Discount Security, insert</w:t>
      </w:r>
      <w:r>
        <w:rPr>
          <w:rFonts w:ascii="Times New Roman" w:hAnsi="Times New Roman"/>
          <w:sz w:val="20"/>
        </w:rPr>
        <w:t xml:space="preserve"> – If an Event of Default with respect to the Securities shall occur and be continuing, an amount of principal of the Securities may be declared due and payable in the manner and with the effect provided in the Indenture. Such amount shall be equal to </w:t>
      </w:r>
      <w:r>
        <w:rPr>
          <w:rFonts w:ascii="Times New Roman" w:hAnsi="Times New Roman"/>
          <w:b/>
          <w:sz w:val="20"/>
        </w:rPr>
        <w:t>[</w:t>
      </w:r>
      <w:r>
        <w:rPr>
          <w:rFonts w:ascii="Times New Roman" w:hAnsi="Times New Roman"/>
          <w:sz w:val="20"/>
        </w:rPr>
        <w:t xml:space="preserve">– </w:t>
      </w:r>
      <w:r>
        <w:rPr>
          <w:rFonts w:ascii="Times New Roman" w:hAnsi="Times New Roman"/>
          <w:i/>
          <w:sz w:val="20"/>
        </w:rPr>
        <w:t>insert formula for determining the amount</w:t>
      </w:r>
      <w:r>
        <w:rPr>
          <w:rFonts w:ascii="Times New Roman" w:hAnsi="Times New Roman"/>
          <w:b/>
          <w:sz w:val="20"/>
        </w:rPr>
        <w:t>]</w:t>
      </w:r>
      <w:r>
        <w:rPr>
          <w:rFonts w:ascii="Times New Roman" w:hAnsi="Times New Roman"/>
          <w:sz w:val="20"/>
        </w:rPr>
        <w:t>. Upon payment (i) of the amount of principal so declared due and payable and (ii) of interest on any overdue principal, premium and interest (in each case to the extent that the payment of such interest shall be legally enforceable), all of the Company’s obligations in respect of the payment of the principal of and premium and interest, if any, on the Securities shall terminate.</w:t>
      </w:r>
      <w:r>
        <w:rPr>
          <w:rFonts w:ascii="Times New Roman" w:hAnsi="Times New Roman"/>
          <w:b/>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Indenture permits, with certain exceptions as therein provided, the amendment thereof and the modification of the rights and obligations of the Company or the Guarantor and the rights of the Holders of the Securities under the Indenture at any time by the Company or the Guarantor and the Trustee with the consent of the Holders of not less than a majority in principal amount of the Securities at the time Outstanding. The Indenture also contains provisions (i) permitting the Holders of not less than a majority of the aggregate principal amount of the Securities at the time Outstanding, on behalf of the Holders of all the Securities, to waive compliance by the Company and the Guarantor with certain provisions of the Indenture with respect to such Securities and (ii) permitting the Holders of a majority in principal amount of the Securities at the time Outstanding, on behalf of the Holders of the Securities, to waive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As provided in and subject to the provisions of the Indenture, the Holder of this Security shall not have the right to institute any proceeding with respect to the Indenture, or for the appointment of a receiver or trustee, or for any other remedy thereunder, unless such Holder shall have previously given the Trustee written notice of a continuing Event of Default with respect to the Securities, the Holders of at least 25% of the principal amount of the Securities at the time Outstanding shall have made written request to the Trustee to institute proceedings in respect of such Event of Default as Trustee and offered the Trustee indemnity reasonably satisfactory to the Trustee, and the Trustee shall not have received from the Holders of a majority in principal amount of the Securities at the time Outstanding a direction inconsistent with such request, and shall have failed to institute any such proceeding, for 60 days after receipt of such notice, request and offer of indemnity. The foregoing shall not apply to any suit instituted by the Holder of this Security for the enforcement of any payment of principal hereof or any premium or interest hereon on or after the respective due dates expressed herein. </w:t>
      </w:r>
    </w:p>
    <w:p>
      <w:pPr>
        <w:pStyle w:val="TextBody"/>
        <w:bidi w:val="0"/>
        <w:spacing w:before="240" w:after="0"/>
        <w:jc w:val="left"/>
        <w:rPr>
          <w:rFonts w:ascii="Times New Roman" w:hAnsi="Times New Roman"/>
          <w:sz w:val="20"/>
        </w:rPr>
      </w:pPr>
      <w:r>
        <w:rPr>
          <w:rFonts w:ascii="Times New Roman" w:hAnsi="Times New Roman"/>
          <w:sz w:val="20"/>
        </w:rPr>
        <w:t xml:space="preserve">As provided in the Indenture and subject to certain limitations therein set forth, the transfer of this Security is registrable in the Security Register, upon surrender of this Security for registration of transfer at the office or agency of the Company in any place where the principal of and any premium and interest on this Security are payable, duly endorsed by, or accompanied by a written instrument of transfer in form satisfactory to the Company and the Security Registrar duly executed by, the Holder hereof or his attorney duly authorized in writing, and thereupon one or more new Securities of this series and of like tenor, of authorized denominations and for the same aggregate principal amount, will be issued to the designated transferee or transferees.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are issuable only in registered form without coupons in denominations of $__________ and any integral multiples of $_______ in excess thereof. As provided in the Indenture and subject to certain limitations therein set forth, the Securities are exchangeable for a like aggregate principal amount of Securities of like tenor of a different authorized denomination, as requested by the Holder surrendering the same. </w:t>
      </w:r>
    </w:p>
    <w:p>
      <w:pPr>
        <w:pStyle w:val="TextBody"/>
        <w:bidi w:val="0"/>
        <w:spacing w:before="240" w:after="0"/>
        <w:jc w:val="left"/>
        <w:rPr>
          <w:rFonts w:ascii="Times New Roman" w:hAnsi="Times New Roman"/>
          <w:sz w:val="20"/>
        </w:rPr>
      </w:pPr>
      <w:r>
        <w:rPr>
          <w:rFonts w:ascii="Times New Roman" w:hAnsi="Times New Roman"/>
          <w:sz w:val="20"/>
        </w:rPr>
        <w:t xml:space="preserve">As provided in the Indenture, the obligations of the Company under the Indenture and this Security are guaranteed pursuant to the Guarantee endorsed hereon as provided in the Indenture. Each Holder, by holding this Security, agrees to all of the terms and provisions of said Guarantee. </w:t>
      </w:r>
    </w:p>
    <w:p>
      <w:pPr>
        <w:pStyle w:val="TextBody"/>
        <w:bidi w:val="0"/>
        <w:spacing w:before="240" w:after="0"/>
        <w:jc w:val="left"/>
        <w:rPr>
          <w:rFonts w:ascii="Times New Roman" w:hAnsi="Times New Roman"/>
          <w:sz w:val="20"/>
        </w:rPr>
      </w:pPr>
      <w:r>
        <w:rPr>
          <w:rFonts w:ascii="Times New Roman" w:hAnsi="Times New Roman"/>
          <w:sz w:val="20"/>
        </w:rPr>
        <w:t xml:space="preserve">No service charge shall be made for any such registration of transfer or exchange, but the Company may require payment of a sum sufficient to cover any tax or other governmental charge payable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Prior to due presentment of this Security for registration of transfer, the Company, the Guarantor, the Trustee and any agent of the Company, the Guarantor or the Trustee shall treat the Person in whose name this Security is registered as the owner hereof for all purposes, whether or not this Security be overdue, and none of the Company, the Guarantor, the Trustee and any such agent shall be affected by notice to the contrary.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w:t>
      </w:r>
      <w:r>
        <w:rPr>
          <w:rFonts w:ascii="Times New Roman" w:hAnsi="Times New Roman"/>
          <w:i/>
          <w:sz w:val="20"/>
        </w:rPr>
        <w:t>If applicable, insert</w:t>
      </w:r>
      <w:r>
        <w:rPr>
          <w:rFonts w:ascii="Times New Roman" w:hAnsi="Times New Roman"/>
          <w:sz w:val="20"/>
        </w:rPr>
        <w:t xml:space="preserve"> – Except in the limited circumstances described in Section 3.05 of the Indenture, the Securities shall be issued in the form of one or more Global Securities and [____________] shall be the Depositary for such Global Securities.</w:t>
      </w:r>
      <w:r>
        <w:rPr>
          <w:rFonts w:ascii="Times New Roman" w:hAnsi="Times New Roman"/>
          <w:b/>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t>
      </w:r>
      <w:r>
        <w:rPr>
          <w:rFonts w:ascii="Times New Roman" w:hAnsi="Times New Roman"/>
          <w:i/>
          <w:sz w:val="20"/>
        </w:rPr>
        <w:t>If applicable, insert</w:t>
      </w:r>
      <w:r>
        <w:rPr>
          <w:rFonts w:ascii="Times New Roman" w:hAnsi="Times New Roman"/>
          <w:sz w:val="20"/>
        </w:rPr>
        <w:t xml:space="preserve"> – Interest on the principal balance of this Security shall be calculated on the basis of a </w:t>
      </w:r>
      <w:r>
        <w:rPr>
          <w:rFonts w:ascii="Times New Roman" w:hAnsi="Times New Roman"/>
          <w:b/>
          <w:sz w:val="20"/>
        </w:rPr>
        <w:t>[</w:t>
      </w:r>
      <w:r>
        <w:rPr>
          <w:rFonts w:ascii="Times New Roman" w:hAnsi="Times New Roman"/>
          <w:sz w:val="20"/>
        </w:rPr>
        <w:t>365- or 366-day year, as appropriate, for the actual number of days elapsed</w:t>
      </w:r>
      <w:r>
        <w:rPr>
          <w:rFonts w:ascii="Times New Roman" w:hAnsi="Times New Roman"/>
          <w:b/>
          <w:sz w:val="20"/>
        </w:rPr>
        <w:t>] [</w:t>
      </w:r>
      <w:r>
        <w:rPr>
          <w:rFonts w:ascii="Times New Roman" w:hAnsi="Times New Roman"/>
          <w:sz w:val="20"/>
        </w:rPr>
        <w:t>360-day year of twelve 30-day months.</w:t>
      </w:r>
      <w:r>
        <w:rPr>
          <w:rFonts w:ascii="Times New Roman" w:hAnsi="Times New Roman"/>
          <w:b/>
          <w:sz w:val="20"/>
        </w:rPr>
        <w:t>]]</w:t>
      </w:r>
      <w:r>
        <w:rPr>
          <w:rFonts w:ascii="Times New Roman" w:hAnsi="Times New Roman"/>
          <w:sz w:val="20"/>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THIS SECURITY SHALL BE GOVERNED BY AND CONSTRUED IN ACCORDANCE WITH THE LAWS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SECTION 2.04. </w:t>
      </w:r>
      <w:r>
        <w:rPr>
          <w:rFonts w:ascii="Times New Roman" w:hAnsi="Times New Roman"/>
          <w:i/>
          <w:sz w:val="20"/>
        </w:rPr>
        <w:t>Securities in Global Form.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any Security of a series is issuable in global form, such Global Security may provide that it shall represent the aggregate amount of Outstanding Securities from time to time endorsed thereon and may also provide that the aggregate amount of Outstanding Securities represented thereby may from time to time be reduced to reflect exchanges. Any endorsement of a Global Security to reflect the amount, or any increase or decrease in the amount, of Outstanding Securities represented thereby shall be made by the Trustee and in such manner as shall be specified in such Global Security. </w:t>
      </w:r>
    </w:p>
    <w:p>
      <w:pPr>
        <w:pStyle w:val="TextBody"/>
        <w:bidi w:val="0"/>
        <w:spacing w:before="240" w:after="0"/>
        <w:jc w:val="left"/>
        <w:rPr>
          <w:rFonts w:ascii="Times New Roman" w:hAnsi="Times New Roman"/>
          <w:sz w:val="20"/>
        </w:rPr>
      </w:pPr>
      <w:r>
        <w:rPr>
          <w:rFonts w:ascii="Times New Roman" w:hAnsi="Times New Roman"/>
          <w:sz w:val="20"/>
        </w:rPr>
        <w:t xml:space="preserve">Global Securities may be issued in either temporary or permanent form. Permanent Global Securities will be issued in definitive form.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specified as contemplated by Section 3.01 for the Securities evidenced thereby, every Global Security authenticated and delivered hereunder shall bear a legend in substantially the following form: </w:t>
      </w:r>
    </w:p>
    <w:p>
      <w:pPr>
        <w:pStyle w:val="TextBody"/>
        <w:bidi w:val="0"/>
        <w:spacing w:before="240" w:after="0"/>
        <w:jc w:val="left"/>
        <w:rPr>
          <w:rFonts w:ascii="Times New Roman" w:hAnsi="Times New Roman"/>
          <w:sz w:val="20"/>
        </w:rPr>
      </w:pPr>
      <w:r>
        <w:rPr>
          <w:rFonts w:ascii="Times New Roman" w:hAnsi="Times New Roman"/>
          <w:sz w:val="20"/>
        </w:rPr>
        <w:t xml:space="preserve">THIS SECURITY IS A GLOBAL SECURITY WITHIN THE MEANING OF THE INDENTURE HEREINAFTER REFERRED TO AND IS REGISTERED IN THE NAME OF A DEPOSITARY OR A NOMINEE THEREOF. THIS SECURITY MAY NOT BE EXCHANGED IN WHOLE OR IN PART FOR A SECURITY REGISTERED, AND NO TRANSFER OF THIS SECURITY IN WHOLE OR IN PART MAY BE REGISTERED, IN THE NAME OF ANY PERSON OTHER THAN SUCH DEPOSITARY OR A NOMINEE THEREOF, EXCEPT IN THE LIMITED CIRCUMSTANCES DESCRIBED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2.05. </w:t>
      </w:r>
      <w:r>
        <w:rPr>
          <w:rFonts w:ascii="Times New Roman" w:hAnsi="Times New Roman"/>
          <w:i/>
          <w:sz w:val="20"/>
        </w:rPr>
        <w:t>Form of Trustee</w:t>
      </w:r>
      <w:r>
        <w:rPr>
          <w:rFonts w:ascii="Times New Roman" w:hAnsi="Times New Roman"/>
          <w:sz w:val="20"/>
        </w:rPr>
        <w:t>’</w:t>
      </w:r>
      <w:r>
        <w:rPr>
          <w:rFonts w:ascii="Times New Roman" w:hAnsi="Times New Roman"/>
          <w:i/>
          <w:sz w:val="20"/>
        </w:rPr>
        <w:t>s Certificate of Authentication.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Trustee’s certificates of authentication shall be in substantially the following form: </w:t>
      </w:r>
    </w:p>
    <w:p>
      <w:pPr>
        <w:pStyle w:val="TextBody"/>
        <w:bidi w:val="0"/>
        <w:spacing w:before="240" w:after="0"/>
        <w:jc w:val="left"/>
        <w:rPr>
          <w:rFonts w:ascii="Times New Roman" w:hAnsi="Times New Roman"/>
          <w:sz w:val="20"/>
        </w:rPr>
      </w:pPr>
      <w:r>
        <w:rPr>
          <w:rFonts w:ascii="Times New Roman" w:hAnsi="Times New Roman"/>
          <w:sz w:val="20"/>
        </w:rPr>
        <w:t xml:space="preserve">This is one of the Securities of the series designated herein and referred to in the within-mentioned Indenture. </w:t>
      </w:r>
    </w:p>
    <w:p>
      <w:pPr>
        <w:pStyle w:val="TextBody"/>
        <w:bidi w:val="0"/>
        <w:spacing w:before="240" w:after="0"/>
        <w:jc w:val="left"/>
        <w:rPr>
          <w:rFonts w:ascii="Times New Roman" w:hAnsi="Times New Roman"/>
          <w:sz w:val="20"/>
        </w:rPr>
      </w:pPr>
      <w:r>
        <w:rPr>
          <w:rFonts w:ascii="Times New Roman" w:hAnsi="Times New Roman"/>
          <w:sz w:val="20"/>
        </w:rPr>
        <w:t xml:space="preserve">Dated: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75"/>
        <w:gridCol w:w="60"/>
        <w:gridCol w:w="3647"/>
      </w:tblGrid>
      <w:tr>
        <w:trPr/>
        <w:tc>
          <w:tcPr>
            <w:tcW w:w="3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THE BANK OF NEW YORK MELLON,</w:t>
            </w:r>
          </w:p>
        </w:tc>
      </w:tr>
      <w:tr>
        <w:trPr/>
        <w:tc>
          <w:tcPr>
            <w:tcW w:w="4082" w:type="dxa"/>
            <w:gridSpan w:val="3"/>
            <w:tcBorders/>
          </w:tcPr>
          <w:p>
            <w:pPr>
              <w:pStyle w:val="TableContents"/>
              <w:bidi w:val="0"/>
              <w:spacing w:before="0" w:after="283"/>
              <w:jc w:val="left"/>
              <w:rPr>
                <w:i/>
              </w:rPr>
            </w:pPr>
            <w:r>
              <w:rPr>
                <w:i/>
              </w:rPr>
              <w:t>as Trustee</w:t>
            </w:r>
          </w:p>
        </w:tc>
      </w:tr>
      <w:tr>
        <w:trPr>
          <w:trHeight w:val="240" w:hRule="atLeast"/>
        </w:trPr>
        <w:tc>
          <w:tcPr>
            <w:tcW w:w="375" w:type="dxa"/>
            <w:tcBorders/>
            <w:vAlign w:val="center"/>
          </w:tcPr>
          <w:p>
            <w:pPr>
              <w:pStyle w:val="TableContents"/>
              <w:bidi w:val="0"/>
              <w:spacing w:before="0" w:after="283"/>
              <w:jc w:val="left"/>
              <w:rPr>
                <w:sz w:val="4"/>
                <w:szCs w:val="4"/>
              </w:rPr>
            </w:pPr>
            <w:r>
              <w:rPr>
                <w:sz w:val="4"/>
                <w:szCs w:val="4"/>
              </w:rPr>
            </w:r>
          </w:p>
        </w:tc>
        <w:tc>
          <w:tcPr>
            <w:tcW w:w="3707" w:type="dxa"/>
            <w:gridSpan w:val="2"/>
            <w:tcBorders/>
            <w:vAlign w:val="center"/>
          </w:tcPr>
          <w:p>
            <w:pPr>
              <w:pStyle w:val="TableContents"/>
              <w:bidi w:val="0"/>
              <w:spacing w:before="0" w:after="283"/>
              <w:jc w:val="left"/>
              <w:rPr>
                <w:sz w:val="4"/>
                <w:szCs w:val="4"/>
              </w:rPr>
            </w:pPr>
            <w:r>
              <w:rPr>
                <w:sz w:val="4"/>
                <w:szCs w:val="4"/>
              </w:rPr>
            </w:r>
          </w:p>
        </w:tc>
      </w:tr>
      <w:tr>
        <w:trPr/>
        <w:tc>
          <w:tcPr>
            <w:tcW w:w="37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7" w:type="dxa"/>
            <w:tcBorders/>
          </w:tcPr>
          <w:p>
            <w:pPr>
              <w:pStyle w:val="TableContents"/>
              <w:bidi w:val="0"/>
              <w:spacing w:before="0" w:after="283"/>
              <w:jc w:val="left"/>
              <w:rPr/>
            </w:pPr>
            <w:r>
              <w:rPr/>
              <w:t>[</w:t>
            </w:r>
            <w:r>
              <w:rPr>
                <w:u w:val="single"/>
              </w:rPr>
              <w:t>                  </w:t>
            </w:r>
            <w:r>
              <w:rPr/>
              <w:t>]</w:t>
            </w:r>
          </w:p>
        </w:tc>
      </w:tr>
      <w:tr>
        <w:trPr/>
        <w:tc>
          <w:tcPr>
            <w:tcW w:w="37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7" w:type="dxa"/>
            <w:tcBorders/>
          </w:tcPr>
          <w:p>
            <w:pPr>
              <w:pStyle w:val="TableContents"/>
              <w:bidi w:val="0"/>
              <w:spacing w:before="0" w:after="283"/>
              <w:jc w:val="left"/>
              <w:rPr>
                <w:i/>
              </w:rPr>
            </w:pPr>
            <w:r>
              <w:rPr>
                <w:i/>
              </w:rPr>
              <w:t>Authorized Signatory</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SECTION 2.06. </w:t>
      </w:r>
      <w:r>
        <w:rPr>
          <w:rFonts w:ascii="Times New Roman" w:hAnsi="Times New Roman"/>
          <w:i/>
          <w:sz w:val="20"/>
        </w:rPr>
        <w:t>Form of Guarantee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 Any Guarantee shall be represented by a Guarantee endorsed on the Securities of the series covered by the applicable Guarantee or by any other means permitted by law. </w:t>
      </w:r>
    </w:p>
    <w:p>
      <w:pPr>
        <w:pStyle w:val="TextBody"/>
        <w:bidi w:val="0"/>
        <w:spacing w:before="240" w:after="0"/>
        <w:jc w:val="left"/>
        <w:rPr>
          <w:rFonts w:ascii="Times New Roman" w:hAnsi="Times New Roman"/>
          <w:sz w:val="20"/>
        </w:rPr>
      </w:pPr>
      <w:r>
        <w:rPr>
          <w:rFonts w:ascii="Times New Roman" w:hAnsi="Times New Roman"/>
          <w:sz w:val="20"/>
        </w:rPr>
        <w:t xml:space="preserve">(2) If the Guarantee is to be represented by a Guarantee endorsed on and relating to the Securities of a particular series authenticated and delivered hereunder, such Guarantee shall, subject to Section 2.01, be in substantially the form set forth below: </w:t>
      </w:r>
    </w:p>
    <w:p>
      <w:pPr>
        <w:pStyle w:val="TextBody"/>
        <w:bidi w:val="0"/>
        <w:spacing w:before="480" w:after="0"/>
        <w:jc w:val="center"/>
        <w:rPr>
          <w:rFonts w:ascii="Times New Roman" w:hAnsi="Times New Roman"/>
          <w:b/>
          <w:sz w:val="20"/>
        </w:rPr>
      </w:pPr>
      <w:r>
        <w:rPr>
          <w:rFonts w:ascii="Times New Roman" w:hAnsi="Times New Roman"/>
          <w:b/>
          <w:sz w:val="20"/>
        </w:rPr>
        <w:t xml:space="preserve">GUARANTEE </w:t>
      </w:r>
    </w:p>
    <w:p>
      <w:pPr>
        <w:pStyle w:val="TextBody"/>
        <w:bidi w:val="0"/>
        <w:spacing w:before="240" w:after="0"/>
        <w:jc w:val="left"/>
        <w:rPr>
          <w:rFonts w:ascii="Times New Roman" w:hAnsi="Times New Roman"/>
          <w:sz w:val="20"/>
        </w:rPr>
      </w:pPr>
      <w:r>
        <w:rPr>
          <w:rFonts w:ascii="Times New Roman" w:hAnsi="Times New Roman"/>
          <w:sz w:val="20"/>
        </w:rPr>
        <w:t>For value received, Stellantis N.V., a public company with limited liability (</w:t>
      </w:r>
      <w:r>
        <w:rPr>
          <w:rFonts w:ascii="Times New Roman" w:hAnsi="Times New Roman"/>
          <w:i/>
          <w:sz w:val="20"/>
        </w:rPr>
        <w:t>naamloze vennootschap</w:t>
      </w:r>
      <w:r>
        <w:rPr>
          <w:rFonts w:ascii="Times New Roman" w:hAnsi="Times New Roman"/>
          <w:sz w:val="20"/>
        </w:rPr>
        <w:t xml:space="preserve">) incorporated under Dutch law (herein called the “Guarantor” which terms include any successor Person under the Indenture referred to in the Security upon which this Guarantee is endorsed), hereby irrevocably, fully and unconditionally guarantees to the Trustee and to each Holder of this Security, which has been authenticated and delivered by the Trustee or its Authenticating Agent, the due and punctual payment of the principal of (including any amount in respect of original issue discount), and any premium and interest (together with any Additional Amounts payable pursuant to the terms of this Security), on this Security </w:t>
      </w:r>
      <w:r>
        <w:rPr>
          <w:rFonts w:ascii="Times New Roman" w:hAnsi="Times New Roman"/>
          <w:b/>
          <w:sz w:val="20"/>
        </w:rPr>
        <w:t>[</w:t>
      </w:r>
      <w:r>
        <w:rPr>
          <w:rFonts w:ascii="Times New Roman" w:hAnsi="Times New Roman"/>
          <w:i/>
          <w:sz w:val="20"/>
        </w:rPr>
        <w:t>If applicable, insert</w:t>
      </w:r>
      <w:r>
        <w:rPr>
          <w:rFonts w:ascii="Times New Roman" w:hAnsi="Times New Roman"/>
          <w:sz w:val="20"/>
        </w:rPr>
        <w:t xml:space="preserve"> – and the due and punctual payment of the sinking fund payments, if any,] and all other obligations of the Company to the Holders or the Trustee provided for pursuant to the terms of the Indenture and this Security, when and as the same shall become due and payable, whether at Stated Maturity or upon redemption or upon declaration of acceleration or otherwise according to the terms of this Security and of the Indenture. In case of default by the Company in the payment of any such principal (including any amount in respect of original issue discount), and any premium or interest (together with any Additional Amounts payable pursuant to the terms of this Security), </w:t>
      </w:r>
      <w:r>
        <w:rPr>
          <w:rFonts w:ascii="Times New Roman" w:hAnsi="Times New Roman"/>
          <w:b/>
          <w:sz w:val="20"/>
        </w:rPr>
        <w:t>[</w:t>
      </w:r>
      <w:r>
        <w:rPr>
          <w:rFonts w:ascii="Times New Roman" w:hAnsi="Times New Roman"/>
          <w:i/>
          <w:sz w:val="20"/>
        </w:rPr>
        <w:t>If applicable, insert</w:t>
      </w:r>
      <w:r>
        <w:rPr>
          <w:rFonts w:ascii="Times New Roman" w:hAnsi="Times New Roman"/>
          <w:sz w:val="20"/>
        </w:rPr>
        <w:t xml:space="preserve"> – sinking fund payment</w:t>
      </w:r>
      <w:r>
        <w:rPr>
          <w:rFonts w:ascii="Times New Roman" w:hAnsi="Times New Roman"/>
          <w:b/>
          <w:sz w:val="20"/>
        </w:rPr>
        <w:t>]</w:t>
      </w:r>
      <w:r>
        <w:rPr>
          <w:rFonts w:ascii="Times New Roman" w:hAnsi="Times New Roman"/>
          <w:sz w:val="20"/>
        </w:rPr>
        <w:t xml:space="preserve">, or analogous obligation, the Guarantor agrees duly and punctually to pay the same. The Guarantor hereby agrees that its obligations hereunder shall rank </w:t>
      </w:r>
      <w:r>
        <w:rPr>
          <w:rFonts w:ascii="Times New Roman" w:hAnsi="Times New Roman"/>
          <w:i/>
          <w:sz w:val="20"/>
        </w:rPr>
        <w:t>pari passu</w:t>
      </w:r>
      <w:r>
        <w:rPr>
          <w:rFonts w:ascii="Times New Roman" w:hAnsi="Times New Roman"/>
          <w:sz w:val="20"/>
        </w:rPr>
        <w:t xml:space="preserve"> with all other unsecured and unsubordinated obligations of the Guarantor, shall be as principal and not merely as surety, and shall be absolute and unconditional irrespective of any extension of the time for payment of this Security, any modification of this Security, any invalidity, irregularity or unenforceability of this Security or the Indenture, any failure to enforce the same or any waiver, modification, consent or indulgence granted to the Company with respect thereto by the Holder of this Security or the Trustee, or any other circumstances which may otherwise constitute a legal or equitable discharge of a surety or guarantor. The Guarantor hereby waives diligence, presentment, demand of payment, filing of claims with a court in the event of merger or bankruptcy of the Company, any right to require a demand or proceeding first against the Company, protest or notice with respect to this Security or the indebtedness evidenced thereby and all demands whatsoever, and covenants that this Guarantee will not be discharged as to this Security except by payment in full of the principal of (including any amount payable in respect of original issue discount), and any premium and interest (together with any Additional Amounts payable pursuant to the terms of this Security), thereon. The Guarantor irrevocably waives any and all rights to which it may be entitled, by operation of law or otherwise, upon making any payment hereunder (i) to be subrogated to the rights of a Holder against the Company with respect to such payment or otherwise to be reimbursed, indemnified or exonerated by the Company in respect thereof or (ii) to receive any payment, in the nature of contribution or for any other reason, from any other obligor with respect to such payment. This Guarantee shall not be valid or become obligatory for any purpose with respect to this Security until the certificate of authentication on this Security shall have been signed by the Trustee.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Guarantor, and by its acceptance of Securities, each Holder, hereby confirms that it is the intention of all such parties that this Guarantee not constitute (i) a fraudulent transfer or conveyance for purposes of bankruptcy law, the Uniform Fraudulent Conveyance Act, the Uniform Fraudulent Transfer Act or any similar federal, state or foreign law to the extent applicable to this Guarantee or (ii) an unlawful distribution under any applicable state law prohibiting shareholder distributions by an insolvent Subsidiary to the extent applicable to the Guarantee. </w:t>
      </w:r>
    </w:p>
    <w:p>
      <w:pPr>
        <w:pStyle w:val="TextBody"/>
        <w:bidi w:val="0"/>
        <w:spacing w:before="240" w:after="0"/>
        <w:jc w:val="left"/>
        <w:rPr>
          <w:rFonts w:ascii="Times New Roman" w:hAnsi="Times New Roman"/>
          <w:sz w:val="20"/>
        </w:rPr>
      </w:pPr>
      <w:r>
        <w:rPr>
          <w:rFonts w:ascii="Times New Roman" w:hAnsi="Times New Roman"/>
          <w:sz w:val="20"/>
        </w:rPr>
        <w:t xml:space="preserve">All terms used in this Guarantee which are not defined herein shall have the meanings assigned to them in the Indenture or the Security upon which this Guarantee is endorsed. </w:t>
      </w:r>
    </w:p>
    <w:p>
      <w:pPr>
        <w:pStyle w:val="TextBody"/>
        <w:bidi w:val="0"/>
        <w:spacing w:before="240" w:after="0"/>
        <w:jc w:val="left"/>
        <w:rPr>
          <w:rFonts w:ascii="Times New Roman" w:hAnsi="Times New Roman"/>
          <w:sz w:val="20"/>
        </w:rPr>
      </w:pPr>
      <w:r>
        <w:rPr>
          <w:rFonts w:ascii="Times New Roman" w:hAnsi="Times New Roman"/>
          <w:sz w:val="20"/>
        </w:rPr>
        <w:t xml:space="preserve">This Guarantee is subject to certain limitations and waivers set forth in the Indenture, as it may be supplemented from time to time. </w:t>
      </w:r>
    </w:p>
    <w:p>
      <w:pPr>
        <w:pStyle w:val="TextBody"/>
        <w:bidi w:val="0"/>
        <w:spacing w:before="240" w:after="0"/>
        <w:jc w:val="left"/>
        <w:rPr>
          <w:rFonts w:ascii="Times New Roman" w:hAnsi="Times New Roman"/>
          <w:b/>
          <w:sz w:val="20"/>
        </w:rPr>
      </w:pPr>
      <w:r>
        <w:rPr>
          <w:rFonts w:ascii="Times New Roman" w:hAnsi="Times New Roman"/>
          <w:b/>
          <w:sz w:val="20"/>
        </w:rPr>
        <w:t xml:space="preserve">THIS GUARANTEE SHALL BE GOVERNED BY AND CONSTRUED IN ACCORDANCE WITH THE LAWS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IN WITNESS WHEREOF, the undersigned has caused this Guarantee to be signed manually or electronically by its duly authorized officer or representative.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8"/>
        <w:gridCol w:w="60"/>
        <w:gridCol w:w="3624"/>
      </w:tblGrid>
      <w:tr>
        <w:trPr/>
        <w:tc>
          <w:tcPr>
            <w:tcW w:w="39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STELLANTIS N.V.,</w:t>
            </w:r>
          </w:p>
        </w:tc>
      </w:tr>
      <w:tr>
        <w:trPr/>
        <w:tc>
          <w:tcPr>
            <w:tcW w:w="4082" w:type="dxa"/>
            <w:gridSpan w:val="3"/>
            <w:tcBorders/>
          </w:tcPr>
          <w:p>
            <w:pPr>
              <w:pStyle w:val="TableContents"/>
              <w:bidi w:val="0"/>
              <w:spacing w:before="0" w:after="283"/>
              <w:jc w:val="left"/>
              <w:rPr>
                <w:i/>
              </w:rPr>
            </w:pPr>
            <w:r>
              <w:rPr>
                <w:i/>
              </w:rPr>
              <w:t>As Guarantor</w:t>
            </w:r>
          </w:p>
        </w:tc>
      </w:tr>
      <w:tr>
        <w:trPr>
          <w:trHeight w:val="240" w:hRule="atLeast"/>
        </w:trPr>
        <w:tc>
          <w:tcPr>
            <w:tcW w:w="398" w:type="dxa"/>
            <w:tcBorders/>
            <w:vAlign w:val="center"/>
          </w:tcPr>
          <w:p>
            <w:pPr>
              <w:pStyle w:val="TableContents"/>
              <w:bidi w:val="0"/>
              <w:spacing w:before="0" w:after="283"/>
              <w:jc w:val="left"/>
              <w:rPr>
                <w:sz w:val="4"/>
                <w:szCs w:val="4"/>
              </w:rPr>
            </w:pPr>
            <w:r>
              <w:rPr>
                <w:sz w:val="4"/>
                <w:szCs w:val="4"/>
              </w:rPr>
            </w:r>
          </w:p>
        </w:tc>
        <w:tc>
          <w:tcPr>
            <w:tcW w:w="3684" w:type="dxa"/>
            <w:gridSpan w:val="2"/>
            <w:tcBorders/>
            <w:vAlign w:val="center"/>
          </w:tcPr>
          <w:p>
            <w:pPr>
              <w:pStyle w:val="TableContents"/>
              <w:bidi w:val="0"/>
              <w:spacing w:before="0" w:after="283"/>
              <w:jc w:val="left"/>
              <w:rPr>
                <w:sz w:val="4"/>
                <w:szCs w:val="4"/>
              </w:rPr>
            </w:pPr>
            <w:r>
              <w:rPr>
                <w:sz w:val="4"/>
                <w:szCs w:val="4"/>
              </w:rPr>
            </w:r>
          </w:p>
        </w:tc>
      </w:tr>
      <w:tr>
        <w:trPr/>
        <w:tc>
          <w:tcPr>
            <w:tcW w:w="39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bidi w:val="0"/>
              <w:spacing w:before="0" w:after="283"/>
              <w:jc w:val="left"/>
              <w:rPr/>
            </w:pPr>
            <w:r>
              <w:rPr/>
              <w:t>[</w:t>
            </w:r>
            <w:r>
              <w:rPr>
                <w:u w:val="single"/>
              </w:rPr>
              <w:t>                  </w:t>
            </w:r>
            <w:r>
              <w:rPr/>
              <w:t>]</w:t>
            </w:r>
          </w:p>
        </w:tc>
      </w:tr>
      <w:tr>
        <w:trPr/>
        <w:tc>
          <w:tcPr>
            <w:tcW w:w="39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bidi w:val="0"/>
              <w:spacing w:before="0" w:after="283"/>
              <w:jc w:val="left"/>
              <w:rPr>
                <w:i/>
              </w:rPr>
            </w:pPr>
            <w:r>
              <w:rPr>
                <w:i/>
              </w:rPr>
              <w:t>Authorized Signatory</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ARTICLE THREE </w:t>
      </w:r>
    </w:p>
    <w:p>
      <w:pPr>
        <w:pStyle w:val="TextBody"/>
        <w:bidi w:val="0"/>
        <w:spacing w:before="240" w:after="0"/>
        <w:jc w:val="center"/>
        <w:rPr>
          <w:rFonts w:ascii="Times New Roman" w:hAnsi="Times New Roman"/>
          <w:sz w:val="24"/>
        </w:rPr>
      </w:pPr>
      <w:r>
        <w:rPr>
          <w:rFonts w:ascii="Times New Roman" w:hAnsi="Times New Roman"/>
          <w:sz w:val="24"/>
        </w:rPr>
        <w:t xml:space="preserve">THE SECURITIES </w:t>
      </w:r>
    </w:p>
    <w:p>
      <w:pPr>
        <w:pStyle w:val="TextBody"/>
        <w:bidi w:val="0"/>
        <w:spacing w:before="240" w:after="0"/>
        <w:jc w:val="left"/>
        <w:rPr>
          <w:rFonts w:ascii="Times New Roman" w:hAnsi="Times New Roman"/>
          <w:sz w:val="20"/>
        </w:rPr>
      </w:pPr>
      <w:r>
        <w:rPr>
          <w:rFonts w:ascii="Times New Roman" w:hAnsi="Times New Roman"/>
          <w:sz w:val="20"/>
        </w:rPr>
        <w:t xml:space="preserve">SECTION 3.01. </w:t>
      </w:r>
      <w:r>
        <w:rPr>
          <w:rFonts w:ascii="Times New Roman" w:hAnsi="Times New Roman"/>
          <w:i/>
          <w:sz w:val="20"/>
        </w:rPr>
        <w:t>Amount Unlimited; Issuable in Series.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aggregate principal amount of Securities which may be authenticated and delivered under this Indenture is unlimited.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Securities may be issued in one or more series. There shall be established in or pursuant to a Board Resolution of the Company and, subject to Section 3.03, set forth, or determined in the manner provided, in an Officer’s Certificate of the Company or established in one or more indentures supplemental hereto, prior to the issuance of Securities of any series, </w:t>
      </w:r>
    </w:p>
    <w:p>
      <w:pPr>
        <w:pStyle w:val="TextBody"/>
        <w:bidi w:val="0"/>
        <w:spacing w:before="240" w:after="0"/>
        <w:jc w:val="left"/>
        <w:rPr>
          <w:rFonts w:ascii="Times New Roman" w:hAnsi="Times New Roman"/>
          <w:sz w:val="20"/>
        </w:rPr>
      </w:pPr>
      <w:r>
        <w:rPr>
          <w:rFonts w:ascii="Times New Roman" w:hAnsi="Times New Roman"/>
          <w:sz w:val="20"/>
        </w:rPr>
        <w:t xml:space="preserve">(1) 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 3.04, 3.05, 3.06, 9.06 or 11.07 and except for any Securities which, pursuant to Section 3.03, are deemed never to have been authenticated and delivered hereunder); </w:t>
      </w:r>
    </w:p>
    <w:p>
      <w:pPr>
        <w:pStyle w:val="TextBody"/>
        <w:bidi w:val="0"/>
        <w:spacing w:before="240" w:after="0"/>
        <w:jc w:val="left"/>
        <w:rPr>
          <w:rFonts w:ascii="Times New Roman" w:hAnsi="Times New Roman"/>
          <w:sz w:val="20"/>
        </w:rPr>
      </w:pPr>
      <w:r>
        <w:rPr>
          <w:rFonts w:ascii="Times New Roman" w:hAnsi="Times New Roman"/>
          <w:sz w:val="20"/>
        </w:rPr>
        <w:t xml:space="preserve">(2) the Person to whom any interest on a Security of the series shall be payable, if other than the Person in whose name that Security (or one or more Predecessor Securities) is registered at the close of business on the Regular Record Date for such interest; </w:t>
      </w:r>
    </w:p>
    <w:p>
      <w:pPr>
        <w:pStyle w:val="TextBody"/>
        <w:bidi w:val="0"/>
        <w:spacing w:before="240" w:after="0"/>
        <w:jc w:val="left"/>
        <w:rPr>
          <w:rFonts w:ascii="Times New Roman" w:hAnsi="Times New Roman"/>
          <w:sz w:val="20"/>
        </w:rPr>
      </w:pPr>
      <w:r>
        <w:rPr>
          <w:rFonts w:ascii="Times New Roman" w:hAnsi="Times New Roman"/>
          <w:sz w:val="20"/>
        </w:rPr>
        <w:t xml:space="preserve">(3) the date or dates on which the principal and any premium of any Securities of the series are payable or the method of determination thereof; </w:t>
      </w:r>
    </w:p>
    <w:p>
      <w:pPr>
        <w:pStyle w:val="TextBody"/>
        <w:bidi w:val="0"/>
        <w:spacing w:before="240" w:after="0"/>
        <w:jc w:val="left"/>
        <w:rPr>
          <w:rFonts w:ascii="Times New Roman" w:hAnsi="Times New Roman"/>
          <w:sz w:val="20"/>
        </w:rPr>
      </w:pPr>
      <w:r>
        <w:rPr>
          <w:rFonts w:ascii="Times New Roman" w:hAnsi="Times New Roman"/>
          <w:sz w:val="20"/>
        </w:rPr>
        <w:t xml:space="preserve">(4) the title of the Securities of the series (which shall distinguish the Securities of the series from Securities of any other series); </w:t>
      </w:r>
    </w:p>
    <w:p>
      <w:pPr>
        <w:pStyle w:val="TextBody"/>
        <w:bidi w:val="0"/>
        <w:spacing w:before="240" w:after="0"/>
        <w:jc w:val="left"/>
        <w:rPr>
          <w:rFonts w:ascii="Times New Roman" w:hAnsi="Times New Roman"/>
          <w:sz w:val="20"/>
        </w:rPr>
      </w:pPr>
      <w:r>
        <w:rPr>
          <w:rFonts w:ascii="Times New Roman" w:hAnsi="Times New Roman"/>
          <w:sz w:val="20"/>
        </w:rPr>
        <w:t xml:space="preserve">(5) the rate or rates (which may be fixed or variable), or the method of determination thereof, at which any Securities of the series shall bear interest, if any, including the rate of interest applicable on overdue payments of principal or interest, if different from the rate of interest stated in the title of the Security, the date or dates from which any such interest shall accrue, or the method of determination thereof, the Interest Payment Dates on which any such interest shall be payable and the Regular Record Date, if any, for any such interest payable on any Interest Payment Date and the basis upon which interest shall be calculated if other than that of a 360-day year of twelve 30 day months; </w:t>
      </w:r>
    </w:p>
    <w:p>
      <w:pPr>
        <w:pStyle w:val="TextBody"/>
        <w:bidi w:val="0"/>
        <w:spacing w:before="240" w:after="0"/>
        <w:jc w:val="left"/>
        <w:rPr>
          <w:rFonts w:ascii="Times New Roman" w:hAnsi="Times New Roman"/>
          <w:sz w:val="20"/>
        </w:rPr>
      </w:pPr>
      <w:r>
        <w:rPr>
          <w:rFonts w:ascii="Times New Roman" w:hAnsi="Times New Roman"/>
          <w:sz w:val="20"/>
        </w:rPr>
        <w:t xml:space="preserve">(6) the place or places where the principal of and any premium and interest on any Securities of the series shall be payable and the manner in which any payment may be made; </w:t>
      </w:r>
    </w:p>
    <w:p>
      <w:pPr>
        <w:pStyle w:val="TextBody"/>
        <w:bidi w:val="0"/>
        <w:spacing w:before="240" w:after="0"/>
        <w:jc w:val="left"/>
        <w:rPr>
          <w:rFonts w:ascii="Times New Roman" w:hAnsi="Times New Roman"/>
          <w:sz w:val="20"/>
        </w:rPr>
      </w:pPr>
      <w:r>
        <w:rPr>
          <w:rFonts w:ascii="Times New Roman" w:hAnsi="Times New Roman"/>
          <w:sz w:val="20"/>
        </w:rPr>
        <w:t xml:space="preserve">(7) the period or periods within which, the price or prices at which, the currency, currencies, currency unit or composite currency in which and the terms and conditions upon which any Securities of the series may be redeemed, in whole or in part, at the option of the Company and, if other than by a Board Resolution, the manner in which any election by the Company to redeem the Securities shall be evidenced; </w:t>
      </w:r>
    </w:p>
    <w:p>
      <w:pPr>
        <w:pStyle w:val="TextBody"/>
        <w:bidi w:val="0"/>
        <w:spacing w:before="240" w:after="0"/>
        <w:jc w:val="left"/>
        <w:rPr>
          <w:rFonts w:ascii="Times New Roman" w:hAnsi="Times New Roman"/>
          <w:sz w:val="20"/>
        </w:rPr>
      </w:pPr>
      <w:r>
        <w:rPr>
          <w:rFonts w:ascii="Times New Roman" w:hAnsi="Times New Roman"/>
          <w:sz w:val="20"/>
        </w:rPr>
        <w:t xml:space="preserve">(8) the obligation, if any, of the Company to redeem or purchase any Securities of the series pursuant to any sinking fund or analogous provisions or at the option of the Holder thereof and the period or periods within which, the price or prices at which, the currency, currencies, currency unit or composite currency in which and the terms and conditions upon which any Securities of the series shall be redeemed or purchased, in whole or in part, pursuant to such obligation;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(9) if other than denominations of $1,000 and any integral multiple thereof, the denominations in which any Securities of the series shall be issuable; </w:t>
      </w:r>
    </w:p>
    <w:p>
      <w:pPr>
        <w:pStyle w:val="TextBody"/>
        <w:bidi w:val="0"/>
        <w:spacing w:before="240" w:after="0"/>
        <w:jc w:val="left"/>
        <w:rPr>
          <w:rFonts w:ascii="Times New Roman" w:hAnsi="Times New Roman"/>
          <w:sz w:val="20"/>
        </w:rPr>
      </w:pPr>
      <w:r>
        <w:rPr>
          <w:rFonts w:ascii="Times New Roman" w:hAnsi="Times New Roman"/>
          <w:sz w:val="20"/>
        </w:rPr>
        <w:t xml:space="preserve">(10) if the amount of principal of or any premium or interest on any Securities of the series may be determined with reference to a financial or economic measure or pursuant to a formula, the manner in which such amounts shall be determined; </w:t>
      </w:r>
    </w:p>
    <w:p>
      <w:pPr>
        <w:pStyle w:val="TextBody"/>
        <w:bidi w:val="0"/>
        <w:spacing w:before="240" w:after="0"/>
        <w:jc w:val="left"/>
        <w:rPr>
          <w:rFonts w:ascii="Times New Roman" w:hAnsi="Times New Roman"/>
          <w:sz w:val="20"/>
        </w:rPr>
      </w:pPr>
      <w:r>
        <w:rPr>
          <w:rFonts w:ascii="Times New Roman" w:hAnsi="Times New Roman"/>
          <w:sz w:val="20"/>
        </w:rPr>
        <w:t xml:space="preserve">(11) if other than the currency of the United States of America, the currency, currencies, currency units or composite currency in which the principal of or any premium or interest on any Securities of the series shall be payable and the manner of determining the equivalent thereof in the currency of the United States of America for any purpose, including for the purposes of making payment in the currency of the United States of America and applying the definition of “Outstanding” in Section 1.01; </w:t>
      </w:r>
    </w:p>
    <w:p>
      <w:pPr>
        <w:pStyle w:val="TextBody"/>
        <w:bidi w:val="0"/>
        <w:spacing w:before="240" w:after="0"/>
        <w:jc w:val="left"/>
        <w:rPr>
          <w:rFonts w:ascii="Times New Roman" w:hAnsi="Times New Roman"/>
          <w:sz w:val="20"/>
        </w:rPr>
      </w:pPr>
      <w:r>
        <w:rPr>
          <w:rFonts w:ascii="Times New Roman" w:hAnsi="Times New Roman"/>
          <w:sz w:val="20"/>
        </w:rPr>
        <w:t xml:space="preserve">(12) if the principal of or any premium or interest on any Securities of the series is to be payable, at the election of the Company or the Holder thereof, in one or more currencies, currency units or composite currencies other than that or those in which such Securities are stated to be payable, the currency, currency units or composite currencies in which the principal of or any premium or interest on such Securities as to which such election is made shall be payable, the periods within which and the terms and conditions upon which such election is to be made and the amount so payable (or the manner in which such amount shall be determined); </w:t>
      </w:r>
    </w:p>
    <w:p>
      <w:pPr>
        <w:pStyle w:val="TextBody"/>
        <w:bidi w:val="0"/>
        <w:spacing w:before="240" w:after="0"/>
        <w:jc w:val="left"/>
        <w:rPr>
          <w:rFonts w:ascii="Times New Roman" w:hAnsi="Times New Roman"/>
          <w:sz w:val="20"/>
        </w:rPr>
      </w:pPr>
      <w:r>
        <w:rPr>
          <w:rFonts w:ascii="Times New Roman" w:hAnsi="Times New Roman"/>
          <w:sz w:val="20"/>
        </w:rPr>
        <w:t xml:space="preserve">(13) if other than the entire principal amount thereof, the portion of the principal amount of any Securities of the series which shall be payable upon declaration of acceleration of the Maturity thereof pursuant to Section 5.02 or, if applicable, the portion of the principal amount of Securities of the series that is convertible in accordance with the provisions of this Indenture, or the method by which such portion shall be determined; </w:t>
      </w:r>
    </w:p>
    <w:p>
      <w:pPr>
        <w:pStyle w:val="TextBody"/>
        <w:bidi w:val="0"/>
        <w:spacing w:before="240" w:after="0"/>
        <w:jc w:val="left"/>
        <w:rPr>
          <w:rFonts w:ascii="Times New Roman" w:hAnsi="Times New Roman"/>
          <w:sz w:val="20"/>
        </w:rPr>
      </w:pPr>
      <w:r>
        <w:rPr>
          <w:rFonts w:ascii="Times New Roman" w:hAnsi="Times New Roman"/>
          <w:sz w:val="20"/>
        </w:rPr>
        <w:t xml:space="preserve">(14) if the principal amount payable at the Stated Maturity of any Securities of the series will not be determinable as of any one or more dates prior to the Stated Maturity, the amount which shall be deemed to be the principal amount of such Securities as of any such date for any purpose thereunder or hereunder, including the principal amount thereof which shall be due and payable upon any Maturity other than the Stated Maturity or which shall be deemed to be Outstanding as of any date prior to the Stated Maturity (or, in any such case, the manner in which such amount deemed to be the principal amount shall be determined); </w:t>
      </w:r>
    </w:p>
    <w:p>
      <w:pPr>
        <w:pStyle w:val="TextBody"/>
        <w:bidi w:val="0"/>
        <w:spacing w:before="240" w:after="0"/>
        <w:jc w:val="left"/>
        <w:rPr>
          <w:rFonts w:ascii="Times New Roman" w:hAnsi="Times New Roman"/>
          <w:sz w:val="20"/>
        </w:rPr>
      </w:pPr>
      <w:r>
        <w:rPr>
          <w:rFonts w:ascii="Times New Roman" w:hAnsi="Times New Roman"/>
          <w:sz w:val="20"/>
        </w:rPr>
        <w:t xml:space="preserve">(15) if the amount of payments of principal of or any premium or interest on any Securities of the series may be determined with reference to an index, formula or other method (which index, formula or method may be based, without limitation, on one or more currencies, currency units, composite currencies, commodities, equity indices or other indices), the manner in which such amounts shall be determined; </w:t>
      </w:r>
    </w:p>
    <w:p>
      <w:pPr>
        <w:pStyle w:val="TextBody"/>
        <w:bidi w:val="0"/>
        <w:spacing w:before="240" w:after="0"/>
        <w:jc w:val="left"/>
        <w:rPr>
          <w:rFonts w:ascii="Times New Roman" w:hAnsi="Times New Roman"/>
          <w:sz w:val="20"/>
        </w:rPr>
      </w:pPr>
      <w:r>
        <w:rPr>
          <w:rFonts w:ascii="Times New Roman" w:hAnsi="Times New Roman"/>
          <w:sz w:val="20"/>
        </w:rPr>
        <w:t xml:space="preserve">(16) provisions, if any, granting special rights to the Holders of Securities of the series upon the occurrence of such events as may be specified; </w:t>
      </w:r>
    </w:p>
    <w:p>
      <w:pPr>
        <w:pStyle w:val="TextBody"/>
        <w:bidi w:val="0"/>
        <w:spacing w:before="240" w:after="0"/>
        <w:jc w:val="left"/>
        <w:rPr>
          <w:rFonts w:ascii="Times New Roman" w:hAnsi="Times New Roman"/>
          <w:sz w:val="20"/>
        </w:rPr>
      </w:pPr>
      <w:r>
        <w:rPr>
          <w:rFonts w:ascii="Times New Roman" w:hAnsi="Times New Roman"/>
          <w:sz w:val="20"/>
        </w:rPr>
        <w:t xml:space="preserve">(17) whether and under what circumstances, if any, the Company or the Guarantor will pay Additional Amounts as contemplated by Section 10.08 on the Securities of the series to any Holder in respect of any tax, assessment or governmental charge and, if so, whether and under what circumstances, if any, the Company or the Guarantor will have the option to redeem such Securities rather than pay such Additional Amounts (and the terms of any such option);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(18) if applicable, that the Securities of the series, shall be subject to either or both of Legal Defeasance or Covenant Defeasance as provided in Article Fourteen; </w:t>
      </w:r>
    </w:p>
    <w:p>
      <w:pPr>
        <w:pStyle w:val="TextBody"/>
        <w:bidi w:val="0"/>
        <w:spacing w:before="240" w:after="0"/>
        <w:jc w:val="left"/>
        <w:rPr>
          <w:rFonts w:ascii="Times New Roman" w:hAnsi="Times New Roman"/>
          <w:sz w:val="20"/>
        </w:rPr>
      </w:pPr>
      <w:r>
        <w:rPr>
          <w:rFonts w:ascii="Times New Roman" w:hAnsi="Times New Roman"/>
          <w:sz w:val="20"/>
        </w:rPr>
        <w:t xml:space="preserve">(19) if applicable, that any Securities of the series shall be issuable in whole or in part in the form of one or more Global Securities and, in such case, the respective Depositaries for such Global Securities, the form of any legend or legends which shall be borne by any such Global Security in addition to or in lieu of that set forth in Section 2.04 and any addition to, elimination of or other changes in the circumstances set forth in Clause (2) of the last paragraph of Section 3.05(a) in which any such Global Security may be exchanged in whole or in part for Securities registered, and any transfer of such Global Security in whole or in part may be registered, in the name or names of Persons other than the Depositary for such Global Security or a nominee thereof; </w:t>
      </w:r>
    </w:p>
    <w:p>
      <w:pPr>
        <w:pStyle w:val="TextBody"/>
        <w:bidi w:val="0"/>
        <w:spacing w:before="240" w:after="0"/>
        <w:jc w:val="left"/>
        <w:rPr>
          <w:rFonts w:ascii="Times New Roman" w:hAnsi="Times New Roman"/>
          <w:sz w:val="20"/>
        </w:rPr>
      </w:pPr>
      <w:r>
        <w:rPr>
          <w:rFonts w:ascii="Times New Roman" w:hAnsi="Times New Roman"/>
          <w:sz w:val="20"/>
        </w:rPr>
        <w:t xml:space="preserve">(20) any addition to, elimination of or other change in the Events of Default which applies to any Securities of the series and any change in the right of the Trustee or the requisite Holders of such Securities to declare the principal amount thereof due and payable pursuant to Section 5.02; </w:t>
      </w:r>
    </w:p>
    <w:p>
      <w:pPr>
        <w:pStyle w:val="TextBody"/>
        <w:bidi w:val="0"/>
        <w:spacing w:before="240" w:after="0"/>
        <w:jc w:val="left"/>
        <w:rPr>
          <w:rFonts w:ascii="Times New Roman" w:hAnsi="Times New Roman"/>
          <w:sz w:val="20"/>
        </w:rPr>
      </w:pPr>
      <w:r>
        <w:rPr>
          <w:rFonts w:ascii="Times New Roman" w:hAnsi="Times New Roman"/>
          <w:sz w:val="20"/>
        </w:rPr>
        <w:t xml:space="preserve">(21) any addition to, elimination of or other change in the covenants set forth in Article Ten or elsewhere herein which applies to Securities of the series; </w:t>
      </w:r>
    </w:p>
    <w:p>
      <w:pPr>
        <w:pStyle w:val="TextBody"/>
        <w:bidi w:val="0"/>
        <w:spacing w:before="240" w:after="0"/>
        <w:jc w:val="left"/>
        <w:rPr>
          <w:rFonts w:ascii="Times New Roman" w:hAnsi="Times New Roman"/>
          <w:sz w:val="20"/>
        </w:rPr>
      </w:pPr>
      <w:r>
        <w:rPr>
          <w:rFonts w:ascii="Times New Roman" w:hAnsi="Times New Roman"/>
          <w:sz w:val="20"/>
        </w:rPr>
        <w:t xml:space="preserve">(22) the terms and conditions, if any, pursuant to which the Securities are convertible or exchangeable for Common Shares or other securities; and </w:t>
      </w:r>
    </w:p>
    <w:p>
      <w:pPr>
        <w:pStyle w:val="TextBody"/>
        <w:bidi w:val="0"/>
        <w:spacing w:before="240" w:after="0"/>
        <w:jc w:val="left"/>
        <w:rPr>
          <w:rFonts w:ascii="Times New Roman" w:hAnsi="Times New Roman"/>
          <w:sz w:val="20"/>
        </w:rPr>
      </w:pPr>
      <w:r>
        <w:rPr>
          <w:rFonts w:ascii="Times New Roman" w:hAnsi="Times New Roman"/>
          <w:sz w:val="20"/>
        </w:rPr>
        <w:t xml:space="preserve">(23) any other terms of the series (in compliance with the provisions of this Indenture, including as permitted by Section 9.01). </w:t>
      </w:r>
    </w:p>
    <w:p>
      <w:pPr>
        <w:pStyle w:val="TextBody"/>
        <w:bidi w:val="0"/>
        <w:spacing w:before="240" w:after="0"/>
        <w:jc w:val="left"/>
        <w:rPr>
          <w:rFonts w:ascii="Times New Roman" w:hAnsi="Times New Roman"/>
          <w:sz w:val="20"/>
        </w:rPr>
      </w:pPr>
      <w:r>
        <w:rPr>
          <w:rFonts w:ascii="Times New Roman" w:hAnsi="Times New Roman"/>
          <w:sz w:val="20"/>
        </w:rPr>
        <w:t xml:space="preserve">All Securities of any one series shall be substantially identical, whether or not Securities of such series have been registered under the Securities Act or any state securities law, except as to denomination and except as may otherwise be provided in or pursuant to the Board Resolution referred to above and (subject to Section 3.03) set forth, or determined in the manner provided, in the Officer’s Certificate referred to above or in any such indenture supplemental hereto. All Securities of any one series need not be issued at one time and, unless otherwise provided or contemplated by this Section 3.01 with respect to a series of Securities, additional Securities of a series may be issued at the option of the Company, without the consent of any Holder, at any time and from time to time; </w:t>
      </w:r>
      <w:r>
        <w:rPr>
          <w:rFonts w:ascii="Times New Roman" w:hAnsi="Times New Roman"/>
          <w:i/>
          <w:sz w:val="20"/>
        </w:rPr>
        <w:t>provided</w:t>
      </w:r>
      <w:r>
        <w:rPr>
          <w:rFonts w:ascii="Times New Roman" w:hAnsi="Times New Roman"/>
          <w:sz w:val="20"/>
        </w:rPr>
        <w:t xml:space="preserve"> that, if the additional Securities of a series do not trade fungibly with the other Securities of such series, whether due to registration or absence of registration under the Securities Act, the initial interest period or otherwise, the additional Securities shall have a separate CUSIP number. To the extent any terms of a series of Securities established as provided or contemplated by this Section 3.01 shall be inconsistent with any provisions of this Indenture, such terms shall supersede the inconsistent provisions of this Indenture for all purposes related to such series of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any of the terms of the series or any related Guarantee are established by action taken pursuant to a Board Resolution of the Company or the Guarantor, a copy of an appropriate record of such action shall be certified by the Secretary or an Assistant Secretary of the Company or the Guarantor, as applicable, and delivered to the Trustee at or prior to the delivery of the Officer’s Certificate setting forth the terms of the series. </w:t>
      </w:r>
    </w:p>
    <w:p>
      <w:pPr>
        <w:pStyle w:val="TextBody"/>
        <w:bidi w:val="0"/>
        <w:spacing w:before="240" w:after="0"/>
        <w:jc w:val="left"/>
        <w:rPr>
          <w:rFonts w:ascii="Times New Roman" w:hAnsi="Times New Roman"/>
          <w:sz w:val="20"/>
        </w:rPr>
      </w:pPr>
      <w:r>
        <w:rPr>
          <w:rFonts w:ascii="Times New Roman" w:hAnsi="Times New Roman"/>
          <w:sz w:val="20"/>
        </w:rPr>
        <w:t xml:space="preserve">SECTION 3.02. </w:t>
      </w:r>
      <w:r>
        <w:rPr>
          <w:rFonts w:ascii="Times New Roman" w:hAnsi="Times New Roman"/>
          <w:i/>
          <w:sz w:val="20"/>
        </w:rPr>
        <w:t>Denominations.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of each series shall be issuable only in registered form without coupons and only in such denominations as shall be specified as contemplated by Section 3.01. In the absence of any such specified denomination with respect to the Securities of any series, the Securities of such series shall be issuable in denominations of $1,000 and any integral multiple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3.03. </w:t>
      </w:r>
      <w:r>
        <w:rPr>
          <w:rFonts w:ascii="Times New Roman" w:hAnsi="Times New Roman"/>
          <w:i/>
          <w:sz w:val="20"/>
        </w:rPr>
        <w:t>Execution, Authentication, Delivery and Dating.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shall be executed on behalf of the Company by at least one Officer of the Company and any Guarantee to be endorsed on the Securities of a particular series shall be executed on behalf of the Guarantor by at least one Officer of the Guarantor. The signature of any of these Officers on the Securities and Guarantees may be manual or electronic. </w:t>
      </w:r>
    </w:p>
    <w:p>
      <w:pPr>
        <w:pStyle w:val="TextBody"/>
        <w:bidi w:val="0"/>
        <w:spacing w:before="240" w:after="0"/>
        <w:jc w:val="left"/>
        <w:rPr>
          <w:rFonts w:ascii="Times New Roman" w:hAnsi="Times New Roman"/>
          <w:sz w:val="20"/>
        </w:rPr>
      </w:pPr>
      <w:r>
        <w:rPr>
          <w:rFonts w:ascii="Times New Roman" w:hAnsi="Times New Roman"/>
          <w:sz w:val="20"/>
        </w:rPr>
        <w:t xml:space="preserve">Securities or Guarantees bearing the manual or electronic signatures of individuals who were at any time the proper Officers of the Company or the Guarantor shall bind the Company and the Guarantor, as applicable, notwithstanding that such individuals or any of them have ceased to hold such offices prior to the authentication and delivery of such Securities, or the execution and delivery of such Guarantees, as applicable, or did not hold such offices at the date of issuance of such Securities, or the date of delivery of such Guarantees, as applicable. </w:t>
      </w:r>
    </w:p>
    <w:p>
      <w:pPr>
        <w:pStyle w:val="TextBody"/>
        <w:bidi w:val="0"/>
        <w:spacing w:before="240" w:after="0"/>
        <w:jc w:val="left"/>
        <w:rPr>
          <w:rFonts w:ascii="Times New Roman" w:hAnsi="Times New Roman"/>
          <w:sz w:val="20"/>
        </w:rPr>
      </w:pPr>
      <w:r>
        <w:rPr>
          <w:rFonts w:ascii="Times New Roman" w:hAnsi="Times New Roman"/>
          <w:sz w:val="20"/>
        </w:rPr>
        <w:t xml:space="preserve">At any time and from time to time after the execution and delivery of this Indenture, the Company may deliver Securities of any series executed by the Company and, if applicable, endorsed with any Guarantees of the Securities of such series, to the Trustee for authentication, together with a Company Order for the authentication and delivery of such Securities and an Officer’s Certificate delivered in accordance with Section 1.02, and the Trustee in accordance with the Company Order shall authenticate and deliver such Securities. If any Security shall be represented by a permanent Global Security, then, for purposes of this Section 3.03 and Section 3.04, the notation of a beneficial owner’s interest therein upon original issuance of such Security or upon exchange of a portion of a temporary Global Security shall be deemed to be delivered in connection with the original issuance of such beneficial owner’s interest in such permanent Global Security. If the form or terms of the Securities of the series have been established by or pursuant to one or more Board Resolutions as permitted by Sections 2.01 and 3.01, in authenticating such Securities, and accepting the additional responsibilities under this Indenture in relation to such Securities, the Trustee shall be entitled to receive, and (subject to Section 6.01) shall be fully protected in relying upon, an Opinion of Counsel stating in effect that, </w:t>
      </w:r>
    </w:p>
    <w:p>
      <w:pPr>
        <w:pStyle w:val="TextBody"/>
        <w:bidi w:val="0"/>
        <w:spacing w:before="240" w:after="0"/>
        <w:jc w:val="left"/>
        <w:rPr>
          <w:rFonts w:ascii="Times New Roman" w:hAnsi="Times New Roman"/>
          <w:sz w:val="20"/>
        </w:rPr>
      </w:pPr>
      <w:r>
        <w:rPr>
          <w:rFonts w:ascii="Times New Roman" w:hAnsi="Times New Roman"/>
          <w:sz w:val="20"/>
        </w:rPr>
        <w:t xml:space="preserve">(1) if the form of such Securities has been established by or pursuant to Board Resolution as permitted by Section 2.01, that such form has been established in conformity with the provisions of this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if the terms of such Securities have been established by or pursuant to a Board Resolution, that such terms have been established in conformity with the provisions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(3) that such Securities, when authenticated and delivered by the Trustee and issued by the Company in the manner and subject to any conditions specified in such Opinion of Counsel, will constitute valid and legally binding obligations of the Company, enforceable in accordance with their terms, subject to bankruptcy, insolvency, fraudulent transfer, reorganization, moratorium and similar laws of general applicability relating to or affecting creditors’ rights and to general equity principles; and </w:t>
      </w:r>
    </w:p>
    <w:p>
      <w:pPr>
        <w:pStyle w:val="TextBody"/>
        <w:bidi w:val="0"/>
        <w:spacing w:before="240" w:after="0"/>
        <w:jc w:val="left"/>
        <w:rPr>
          <w:rFonts w:ascii="Times New Roman" w:hAnsi="Times New Roman"/>
          <w:sz w:val="20"/>
        </w:rPr>
      </w:pPr>
      <w:r>
        <w:rPr>
          <w:rFonts w:ascii="Times New Roman" w:hAnsi="Times New Roman"/>
          <w:sz w:val="20"/>
        </w:rPr>
        <w:t xml:space="preserve">(4) that such Guarantees have been duly executed and, when the Securities on which they shall have been endorsed shall have been authenticated and delivered by the Trustee and issued by the Company in the manner and subject to any conditions specified in such Opinion of Counsel, will constitute valid and legally binding obligations of the Guarantor enforceable in accordance with their terms, subject to bankruptcy, insolvency, fraudulent transfer, reorganization, moratorium and similar laws of general applicability relating to or affecting creditors’ rights and to general equity principles and provided that such Opinion of Counsel need not express any opinion on financial assistance or the consequences thereof. </w:t>
      </w:r>
    </w:p>
    <w:p>
      <w:pPr>
        <w:pStyle w:val="TextBody"/>
        <w:bidi w:val="0"/>
        <w:spacing w:before="240" w:after="0"/>
        <w:jc w:val="left"/>
        <w:rPr>
          <w:rFonts w:ascii="Times New Roman" w:hAnsi="Times New Roman"/>
          <w:sz w:val="20"/>
        </w:rPr>
      </w:pPr>
      <w:r>
        <w:rPr>
          <w:rFonts w:ascii="Times New Roman" w:hAnsi="Times New Roman"/>
          <w:sz w:val="20"/>
        </w:rPr>
        <w:t xml:space="preserve">If such form or terms have been so established, the Trustee shall not be required to authenticate such Securities if the issue of such Securities pursuant to this Indenture will affect the Trustee’s own rights, duties or immunities under the Securities and this Indenture or otherwise in a manner which is not reasonably acceptable to the Trustee.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provisions of Section 3.01 and of the preceding paragraph, if all Securities of a series are not to be originally issued at one time, including where the size of an Outstanding series of Securities is increased as contemplated in Section 3.01, it shall not be necessary to deliver the Officer’s Certificate otherwise required pursuant to Section 3.01 or the Company Order and Opinion of Counsel otherwise required pursuant to such preceding paragraph at or prior to the authentication of each Security of such series if such documents are delivered at or prior to the authentication upon original issuance of the first Security of such series to be issued. </w:t>
      </w:r>
    </w:p>
    <w:p>
      <w:pPr>
        <w:pStyle w:val="TextBody"/>
        <w:bidi w:val="0"/>
        <w:spacing w:before="240" w:after="0"/>
        <w:jc w:val="left"/>
        <w:rPr>
          <w:rFonts w:ascii="Times New Roman" w:hAnsi="Times New Roman"/>
          <w:sz w:val="20"/>
        </w:rPr>
      </w:pPr>
      <w:r>
        <w:rPr>
          <w:rFonts w:ascii="Times New Roman" w:hAnsi="Times New Roman"/>
          <w:sz w:val="20"/>
        </w:rPr>
        <w:t xml:space="preserve">Each Security shall be dated the date of its authentication. </w:t>
      </w:r>
    </w:p>
    <w:p>
      <w:pPr>
        <w:pStyle w:val="TextBody"/>
        <w:bidi w:val="0"/>
        <w:spacing w:before="240" w:after="0"/>
        <w:jc w:val="left"/>
        <w:rPr>
          <w:rFonts w:ascii="Times New Roman" w:hAnsi="Times New Roman"/>
          <w:sz w:val="20"/>
        </w:rPr>
      </w:pPr>
      <w:r>
        <w:rPr>
          <w:rFonts w:ascii="Times New Roman" w:hAnsi="Times New Roman"/>
          <w:sz w:val="20"/>
        </w:rPr>
        <w:t xml:space="preserve">No Security shall be entitled to any benefit under this Indenture or be valid or obligatory for any purpose unless there appears on such Security a certificate of authentication substantially in the form provided for herein executed by the Trustee by manual or electronic signature, and such certificate upon any Security shall be conclusive evidence, and the only evidence, that such Security has been duly authenticated and delivered hereunder. Notwithstanding the foregoing, if any Security shall have been authenticated and delivered hereunder but never issued and sold by the Company, and the Company shall deliver such Security to the Trustee for cancellation as provided in Section 3.09, for all purposes of this Indenture such Security shall be deemed never to have been authenticated and delivered hereunder and shall never be entitled to the benefits of this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delivery of any Security by the Trustee, after the authentication thereof hereunder, shall constitute due delivery of any Guarantee endorsed thereon on behalf of the Guarantor; if the Guarantee is thereafter attached pursuant to an order of the Guarantor, then after authentication of the corresponding Guarantee, the corresponding Guarantee shall be deemed delivered. The Trustee, in accordance with the Company Order and order of the applicable Guarantor, shall authenticate the Guarantee and deliver such Securities. </w:t>
      </w:r>
    </w:p>
    <w:p>
      <w:pPr>
        <w:pStyle w:val="TextBody"/>
        <w:bidi w:val="0"/>
        <w:spacing w:before="240" w:after="0"/>
        <w:jc w:val="left"/>
        <w:rPr>
          <w:rFonts w:ascii="Times New Roman" w:hAnsi="Times New Roman"/>
          <w:sz w:val="20"/>
        </w:rPr>
      </w:pPr>
      <w:r>
        <w:rPr>
          <w:rFonts w:ascii="Times New Roman" w:hAnsi="Times New Roman"/>
          <w:sz w:val="20"/>
        </w:rPr>
        <w:t xml:space="preserve">SECTION 3.04. </w:t>
      </w:r>
      <w:r>
        <w:rPr>
          <w:rFonts w:ascii="Times New Roman" w:hAnsi="Times New Roman"/>
          <w:i/>
          <w:sz w:val="20"/>
        </w:rPr>
        <w:t>Temporary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Pending the preparation of definitive Securities of any series, the Company may execute, and upon Company Order the Trustee shall authenticate and deliver, temporary Securities which may have endorsed thereon Guarantees duly executed by the Guarantor, which are printed, lithographed, typewritten, reproduced or otherwise produced, in any authorized denomination, substantially of the tenor of the definitive Securities in lieu of which they are issued and with such appropriate insertions, omissions, substitutions and other variations as the Officers executing such Securities may determine, as evidenced by their execution of such Securities. </w:t>
      </w:r>
    </w:p>
    <w:p>
      <w:pPr>
        <w:pStyle w:val="TextBody"/>
        <w:bidi w:val="0"/>
        <w:spacing w:before="240" w:after="0"/>
        <w:jc w:val="left"/>
        <w:rPr>
          <w:rFonts w:ascii="Times New Roman" w:hAnsi="Times New Roman"/>
          <w:sz w:val="20"/>
        </w:rPr>
      </w:pPr>
      <w:r>
        <w:rPr>
          <w:rFonts w:ascii="Times New Roman" w:hAnsi="Times New Roman"/>
          <w:sz w:val="20"/>
        </w:rPr>
        <w:t xml:space="preserve">If temporary Securities of any series are issued, the Company will cause definitive Securities of that series, which may have endorsed thereon a Guarantee duly executed by the Guarantor, to be prepared without unreasonable delay. After the preparation of definitive Securities of such series, the temporary Securities of such series shall be exchangeable for definitive Securities of such series, having endorsed thereon a Guarantee duly executed by the Guarantor, upon surrender of the temporary Securities of such series at the office or agency of the Company in a Place of Payment for that series, without charge to the Holder. Upon surrender for cancellation of any one or more temporary Securities of any series, the Company shall execute and the Trustee shall authenticate and deliver in exchange therefor one or more definitive Securities of the same series, which may have endorsed thereon a Guarantee duly executed by the Guarantor, of any authorized denominations and of like tenor and aggregate principal amount. Until so exchanged, the temporary Securities of any series shall in all respects be entitled to the same benefits under this Indenture as definitive Securities of such series and tenor. </w:t>
      </w:r>
    </w:p>
    <w:p>
      <w:pPr>
        <w:pStyle w:val="TextBody"/>
        <w:bidi w:val="0"/>
        <w:spacing w:before="240" w:after="0"/>
        <w:jc w:val="left"/>
        <w:rPr>
          <w:rFonts w:ascii="Times New Roman" w:hAnsi="Times New Roman"/>
          <w:sz w:val="20"/>
        </w:rPr>
      </w:pPr>
      <w:r>
        <w:rPr>
          <w:rFonts w:ascii="Times New Roman" w:hAnsi="Times New Roman"/>
          <w:sz w:val="20"/>
        </w:rPr>
        <w:t xml:space="preserve">SECTION 3.05. </w:t>
      </w:r>
      <w:r>
        <w:rPr>
          <w:rFonts w:ascii="Times New Roman" w:hAnsi="Times New Roman"/>
          <w:i/>
          <w:sz w:val="20"/>
        </w:rPr>
        <w:t>Registration, Registration of Transfer and Exchange.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shall cause to be kept at the Corporate Trust Office of the Trustee a register (the register maintained in such office and in any other office or agency of the Company in a Place of Payment being herein sometimes collectively referred to as the “Security Register” although in no circumstances shall the register be kept in the United Kingdom) in which, subject to such reasonable regulations as it may prescribe, the Company shall provide for the registration of Securities and of transfers of Securities. The Trustee is hereby appointed “Security Registrar” for the purpose of registering Securities and transfers of Securities as herein provided. </w:t>
      </w:r>
    </w:p>
    <w:p>
      <w:pPr>
        <w:pStyle w:val="TextBody"/>
        <w:bidi w:val="0"/>
        <w:spacing w:before="240" w:after="0"/>
        <w:jc w:val="left"/>
        <w:rPr>
          <w:rFonts w:ascii="Times New Roman" w:hAnsi="Times New Roman"/>
          <w:sz w:val="20"/>
        </w:rPr>
      </w:pPr>
      <w:r>
        <w:rPr>
          <w:rFonts w:ascii="Times New Roman" w:hAnsi="Times New Roman"/>
          <w:sz w:val="20"/>
        </w:rPr>
        <w:t xml:space="preserve">Upon surrender for registration of transfer of any Security of a series at the office or agency of the Company in a Place of Payment for that series, the Company shall execute, and the Trustee shall authenticate and deliver, in the name of the designated transferee or transferees, one or more new Securities of the same series, of any authorized denominations and of like tenor and aggregate principal amount, which shall have endorsed thereon any Guarantees which were endorsed on the Securities so surrendered.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At the option of the Holder, Securities of any series may be exchanged for other Securities of the same series, of any authorized denominations and of like tenor and aggregate principal amount, upon surrender of the Securities to be exchanged at such office or agency. Whenever any Securities are so surrendered for exchange, the Company shall execute, and the Trustee shall authenticate and deliver, the Securities which the Holder making the exchange is entitled to receive, and having endorsed thereon any Guarantees which were endorsed on the Securities so surrendered. </w:t>
      </w:r>
    </w:p>
    <w:p>
      <w:pPr>
        <w:pStyle w:val="TextBody"/>
        <w:bidi w:val="0"/>
        <w:spacing w:before="240" w:after="0"/>
        <w:jc w:val="left"/>
        <w:rPr>
          <w:rFonts w:ascii="Times New Roman" w:hAnsi="Times New Roman"/>
          <w:sz w:val="20"/>
        </w:rPr>
      </w:pPr>
      <w:r>
        <w:rPr>
          <w:rFonts w:ascii="Times New Roman" w:hAnsi="Times New Roman"/>
          <w:sz w:val="20"/>
        </w:rPr>
        <w:t xml:space="preserve">All Securities and any Guarantees endorsed thereon issued upon any registration of transfer or exchange of Securities shall be the valid obligations of the Company and the Guarantor, as applicable, evidencing the same debt, and entitled to the same benefits under this Indenture, as the Securities surrendered upon such registration of transfer or exchange. </w:t>
      </w:r>
    </w:p>
    <w:p>
      <w:pPr>
        <w:pStyle w:val="TextBody"/>
        <w:bidi w:val="0"/>
        <w:spacing w:before="240" w:after="0"/>
        <w:jc w:val="left"/>
        <w:rPr>
          <w:rFonts w:ascii="Times New Roman" w:hAnsi="Times New Roman"/>
          <w:sz w:val="20"/>
        </w:rPr>
      </w:pPr>
      <w:r>
        <w:rPr>
          <w:rFonts w:ascii="Times New Roman" w:hAnsi="Times New Roman"/>
          <w:sz w:val="20"/>
        </w:rPr>
        <w:t xml:space="preserve">Every Security presented or surrendered for registration of transfer or for exchange or redemption shall (if so required by the Company or the Trustee) be duly endorsed, or be accompanied by a written instrument of transfer in form satisfactory to the Company, the Guarantor and the Security Registrar duly executed, by the Holder thereof or his attorney duly authorized in writing. </w:t>
      </w:r>
    </w:p>
    <w:p>
      <w:pPr>
        <w:pStyle w:val="TextBody"/>
        <w:bidi w:val="0"/>
        <w:spacing w:before="240" w:after="0"/>
        <w:jc w:val="left"/>
        <w:rPr>
          <w:rFonts w:ascii="Times New Roman" w:hAnsi="Times New Roman"/>
          <w:sz w:val="20"/>
        </w:rPr>
      </w:pPr>
      <w:r>
        <w:rPr>
          <w:rFonts w:ascii="Times New Roman" w:hAnsi="Times New Roman"/>
          <w:sz w:val="20"/>
        </w:rPr>
        <w:t xml:space="preserve">No service charge shall be made for any registration of transfer or exchange of Securities, but the Company may require payment of a sum sufficient to cover any tax or other governmental charge that may be imposed in connection with any registration of transfer or exchange of Securities, other than exchanges pursuant to Sections 3.04, 9.06 or 11.07 not involving any transfer. </w:t>
      </w:r>
    </w:p>
    <w:p>
      <w:pPr>
        <w:pStyle w:val="TextBody"/>
        <w:bidi w:val="0"/>
        <w:spacing w:before="240" w:after="0"/>
        <w:jc w:val="left"/>
        <w:rPr>
          <w:rFonts w:ascii="Times New Roman" w:hAnsi="Times New Roman"/>
          <w:sz w:val="20"/>
        </w:rPr>
      </w:pPr>
      <w:r>
        <w:rPr>
          <w:rFonts w:ascii="Times New Roman" w:hAnsi="Times New Roman"/>
          <w:sz w:val="20"/>
        </w:rPr>
        <w:t xml:space="preserve">If the Securities of any series (or of any series and specified tenor) are to be redeemed in part, the Company shall not be required (A) to issue, register the transfer of or exchange any Securities of that series (or of that series and specified tenor, as the case may be) during a period beginning at the opening of business 15 days before the day of the giving of a notice of redemption of any such Securities selected for redemption under Section 11.03 and ending at the close of business on the day of such mailing, (B) to register the transfer of or exchange any Security so selected for redemption in whole or in part, except the unredeemed portion of any Security being redeemed in part or (C) issue, register the transfer of or exchange any Security that has been surrendered for repayment at the option of the Holder, except the portion, if any, of the Security that is not to be repaid. </w:t>
      </w:r>
    </w:p>
    <w:p>
      <w:pPr>
        <w:pStyle w:val="TextBody"/>
        <w:bidi w:val="0"/>
        <w:spacing w:before="240" w:after="0"/>
        <w:jc w:val="left"/>
        <w:rPr>
          <w:rFonts w:ascii="Times New Roman" w:hAnsi="Times New Roman"/>
          <w:sz w:val="20"/>
        </w:rPr>
      </w:pPr>
      <w:r>
        <w:rPr>
          <w:rFonts w:ascii="Times New Roman" w:hAnsi="Times New Roman"/>
          <w:sz w:val="20"/>
        </w:rPr>
        <w:t xml:space="preserve">The Trustee shall have no obligation or duty to monitor, determine or inquire as to compliance with any restrictions on transfer imposed under this Indenture, any indenture supplemental hereto, the Securities or under applicable law with respect to any transfer of any interest in any Security (including any transfers between or among Depositary participants or beneficial owners of interests in any Global Security) other than to require delivery of such certificates and other documentation or evidence as are expressly required by, and to do so if and when expressly required by the terms of, this Indenture, any indenture supplemental hereto and the Securities, and to examine the same to determine substantial compliance as to form with the express requirements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provisions of Clauses (1), (2), (3), (4) and (5) below shall apply only to Global Securities: </w:t>
      </w:r>
    </w:p>
    <w:p>
      <w:pPr>
        <w:pStyle w:val="TextBody"/>
        <w:bidi w:val="0"/>
        <w:spacing w:before="120" w:after="0"/>
        <w:jc w:val="left"/>
        <w:rPr>
          <w:rFonts w:ascii="Times New Roman" w:hAnsi="Times New Roman"/>
          <w:sz w:val="20"/>
        </w:rPr>
      </w:pPr>
      <w:r>
        <w:rPr>
          <w:rFonts w:ascii="Times New Roman" w:hAnsi="Times New Roman"/>
          <w:sz w:val="20"/>
        </w:rPr>
        <w:t xml:space="preserve">(1) Each Global Security authenticated under this Indenture shall be registered in the name of the Depositary designated for such Global Security or a nominee thereof and delivered to such Depositary or a nominee thereof or custodian therefor, and each such Global Security shall constitute a single Security for all purposes of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(2) Notwithstanding any other provision in this Indenture, and subject to such applicable provisions, if any, as may be specified as contemplated by Section 3.01, no Global Security may be exchanged in whole or in part for Securities registered, and no transfer of a Global Security in whole or in part may be registered, in the name of any Person other than the Depositary for such Global Security or a nominee thereof unless (A) such Depositary has notified the Company that it is unwilling or unable or no longer permitted under applicable law to continue as Depositary for such Global Security and the Company does not appoint another institution to act as Depositary within 90 days or (B) there shall have occurred and be continuing an Event of Default with respect to such Global Security and a Holder of the series of Securities represented by such Global Security requests registered Securities or (C) there shall exist such circumstances, if any, in addition to or in lieu of the foregoing as have been specified for this purpose as contemplated by Section 3.01. </w:t>
      </w:r>
    </w:p>
    <w:p>
      <w:pPr>
        <w:pStyle w:val="TextBody"/>
        <w:bidi w:val="0"/>
        <w:spacing w:before="120" w:after="0"/>
        <w:jc w:val="left"/>
        <w:rPr>
          <w:rFonts w:ascii="Times New Roman" w:hAnsi="Times New Roman"/>
          <w:sz w:val="20"/>
        </w:rPr>
      </w:pPr>
      <w:r>
        <w:rPr>
          <w:rFonts w:ascii="Times New Roman" w:hAnsi="Times New Roman"/>
          <w:sz w:val="20"/>
        </w:rPr>
        <w:t xml:space="preserve">(3) Subject to Clause (2) above and to such applicable provisions, if any, as may be specified as contemplated by Section 3.01, any exchange of a Global Security for other Securities may be made in whole or in part, and all Securities issued in exchange for a Global Security or any portion thereof shall be registered in such names as the Depositary for such Global Security shall direct. </w:t>
      </w:r>
    </w:p>
    <w:p>
      <w:pPr>
        <w:pStyle w:val="TextBody"/>
        <w:bidi w:val="0"/>
        <w:spacing w:before="120" w:after="0"/>
        <w:jc w:val="left"/>
        <w:rPr>
          <w:rFonts w:ascii="Times New Roman" w:hAnsi="Times New Roman"/>
          <w:sz w:val="20"/>
        </w:rPr>
      </w:pPr>
      <w:r>
        <w:rPr>
          <w:rFonts w:ascii="Times New Roman" w:hAnsi="Times New Roman"/>
          <w:sz w:val="20"/>
        </w:rPr>
        <w:t xml:space="preserve">(4) Every Security authenticated and delivered upon registration of transfer of, or in exchange for or in lieu of, a Global Security or any portion thereof, whether pursuant to this Section 3.05, Sections 3.04, 3.06, 9.06 or 11.07 or otherwise, shall be authenticated and delivered in the form of, and shall be, a Global Security, unless such Security is registered in the name of a Person other than the Depositary for such Global Security or a nominee thereof. </w:t>
      </w:r>
    </w:p>
    <w:p>
      <w:pPr>
        <w:pStyle w:val="TextBody"/>
        <w:bidi w:val="0"/>
        <w:spacing w:before="120" w:after="0"/>
        <w:jc w:val="left"/>
        <w:rPr>
          <w:rFonts w:ascii="Times New Roman" w:hAnsi="Times New Roman"/>
          <w:sz w:val="20"/>
        </w:rPr>
      </w:pPr>
      <w:r>
        <w:rPr>
          <w:rFonts w:ascii="Times New Roman" w:hAnsi="Times New Roman"/>
          <w:sz w:val="20"/>
        </w:rPr>
        <w:t xml:space="preserve">(5) Neither the Trustee nor any agent shall have any responsibility or liability for any actions taken or not taken by the Depositary. </w:t>
      </w:r>
    </w:p>
    <w:p>
      <w:pPr>
        <w:pStyle w:val="TextBody"/>
        <w:bidi w:val="0"/>
        <w:spacing w:before="240" w:after="0"/>
        <w:jc w:val="left"/>
        <w:rPr>
          <w:rFonts w:ascii="Times New Roman" w:hAnsi="Times New Roman"/>
          <w:sz w:val="20"/>
        </w:rPr>
      </w:pPr>
      <w:r>
        <w:rPr>
          <w:rFonts w:ascii="Times New Roman" w:hAnsi="Times New Roman"/>
          <w:sz w:val="20"/>
        </w:rPr>
        <w:t xml:space="preserve">SECTION 3.06. </w:t>
      </w:r>
      <w:r>
        <w:rPr>
          <w:rFonts w:ascii="Times New Roman" w:hAnsi="Times New Roman"/>
          <w:i/>
          <w:sz w:val="20"/>
        </w:rPr>
        <w:t>Mutilated, Destroyed, Lost and Stolen Securities.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any mutilated Security is surrendered to the Trustee, the Company shall execute and the Trustee shall authenticate and deliver in exchange therefor a new Security of the same series and of like tenor and principal amount and bearing a number not contemporaneously 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there shall be delivered to the Company and the Trustee (i) evidence to their satisfaction of the destruction, loss or theft of any Security and (ii) such security or indemnity as may be required by them to save each of them, the Guarantor and any of their respective agents harmless, then, in the absence of notice to the Company or the Trustee that such Security has been acquired by a bona fide purchaser, the Company shall execute and the Trustee shall authenticate and deliver, in lieu of any such destroyed, lost or stolen Security, a new Security of the same series and of like tenor and principal amount and bearing a number not contemporaneously outstanding. </w:t>
      </w:r>
    </w:p>
    <w:p>
      <w:pPr>
        <w:pStyle w:val="TextBody"/>
        <w:bidi w:val="0"/>
        <w:spacing w:before="240" w:after="0"/>
        <w:jc w:val="left"/>
        <w:rPr>
          <w:rFonts w:ascii="Times New Roman" w:hAnsi="Times New Roman"/>
          <w:sz w:val="20"/>
        </w:rPr>
      </w:pPr>
      <w:r>
        <w:rPr>
          <w:rFonts w:ascii="Times New Roman" w:hAnsi="Times New Roman"/>
          <w:sz w:val="20"/>
        </w:rPr>
        <w:t xml:space="preserve">In case any such mutilated, destroyed, lost or stolen Security has become or is about to become due and payable, the Company in its discretion may, instead of issuing a new Security, pay such Security. </w:t>
      </w:r>
    </w:p>
    <w:p>
      <w:pPr>
        <w:pStyle w:val="TextBody"/>
        <w:bidi w:val="0"/>
        <w:spacing w:before="240" w:after="0"/>
        <w:jc w:val="left"/>
        <w:rPr>
          <w:rFonts w:ascii="Times New Roman" w:hAnsi="Times New Roman"/>
          <w:sz w:val="20"/>
        </w:rPr>
      </w:pPr>
      <w:r>
        <w:rPr>
          <w:rFonts w:ascii="Times New Roman" w:hAnsi="Times New Roman"/>
          <w:sz w:val="20"/>
        </w:rPr>
        <w:t xml:space="preserve">Upon the issuance of any new Security under this Section 3.06, the Company may require the payment of a sum sufficient to cover any tax or other governmental charge that may be imposed in relation thereto and any other expenses (including the fees and expenses of the Trustee) connected therewith. </w:t>
      </w:r>
    </w:p>
    <w:p>
      <w:pPr>
        <w:pStyle w:val="TextBody"/>
        <w:bidi w:val="0"/>
        <w:spacing w:before="240" w:after="0"/>
        <w:jc w:val="left"/>
        <w:rPr>
          <w:rFonts w:ascii="Times New Roman" w:hAnsi="Times New Roman"/>
          <w:sz w:val="20"/>
        </w:rPr>
      </w:pPr>
      <w:r>
        <w:rPr>
          <w:rFonts w:ascii="Times New Roman" w:hAnsi="Times New Roman"/>
          <w:sz w:val="20"/>
        </w:rPr>
        <w:t xml:space="preserve">Every new Security of any series issued pursuant to this Section 3.06 in lieu of any destroyed, lost or stolen Security shall constitute an original additional contractual obligation of the Company and the Guarantor, respectively, whether or not the destroyed, lost or stolen Security shall be at any time enforceable by anyone, and shall be entitled to all the benefits of this Indenture equally and proportionately with any and all other Securities of that series duly issued hereunder.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this Section 3.06 are exclusive and shall preclude (to the extent lawful) all other rights and remedies with respect to the replacement or payment of mutilated, destroyed, lost or stolen Securities. </w:t>
      </w:r>
    </w:p>
    <w:p>
      <w:pPr>
        <w:pStyle w:val="TextBody"/>
        <w:bidi w:val="0"/>
        <w:spacing w:before="240" w:after="0"/>
        <w:jc w:val="left"/>
        <w:rPr>
          <w:rFonts w:ascii="Times New Roman" w:hAnsi="Times New Roman"/>
          <w:sz w:val="20"/>
        </w:rPr>
      </w:pPr>
      <w:r>
        <w:rPr>
          <w:rFonts w:ascii="Times New Roman" w:hAnsi="Times New Roman"/>
          <w:sz w:val="20"/>
        </w:rPr>
        <w:t xml:space="preserve">SECTION 3.07. </w:t>
      </w:r>
      <w:r>
        <w:rPr>
          <w:rFonts w:ascii="Times New Roman" w:hAnsi="Times New Roman"/>
          <w:i/>
          <w:sz w:val="20"/>
        </w:rPr>
        <w:t>Payment of Interest; Interest Rights Preserved.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Except as otherwise provided as contemplated by Section 3.01 with respect to any series of Securities, interest on any Security which is payable, and is punctually paid or duly provided for, on any Interest Payment Date shall be paid to the Person in whose name that Security (or one or more Predecessor Securities) is registered at the close of business on the Regular Record Date for such interest or, if no business is conducted by the Trustee at its Corporate Trust Office on such date, at 10:00 a.m., New York City time, on such date. </w:t>
      </w:r>
    </w:p>
    <w:p>
      <w:pPr>
        <w:pStyle w:val="TextBody"/>
        <w:bidi w:val="0"/>
        <w:spacing w:before="240" w:after="0"/>
        <w:jc w:val="left"/>
        <w:rPr>
          <w:rFonts w:ascii="Times New Roman" w:hAnsi="Times New Roman"/>
          <w:sz w:val="20"/>
        </w:rPr>
      </w:pPr>
      <w:r>
        <w:rPr>
          <w:rFonts w:ascii="Times New Roman" w:hAnsi="Times New Roman"/>
          <w:sz w:val="20"/>
        </w:rPr>
        <w:t xml:space="preserve">Any interest on any Security of any series which is payable, but is not punctually paid or duly provided for, on any Interest Payment Date (herein called “Defaulted Interest”) shall forthwith cease to be payable to the Holder on the relevant Regular Record Date by virtue of having been such Holder, and such Defaulted Interest may be paid by the Company, at its election in each case, as provided in Clause (1) or (2)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 The Company may elect to make payment of any Defaulted Interest to the Persons in whose names the Securities of such series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Security of such series and the date of the proposed payment, and at the same time the Company shall deposit with the Trustee an amount of money in the currency or currencies, currency unit or units or composite currency or currencies in which the Securities are payable (except as otherwise established as contemplated by Section 3.01 in respect of such Securities)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(1) provided. Thereupon the Trustee shall fix a Special Record Date for the payment of such Defaulted Interest which shall be not more than 15 days and not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given to each Holder of Securities of such series in the manner set forth in Section 1.06, not less than 10 days prior to such Special Record Date. Notice of the proposed payment of such Defaulted Interest and the Special Record Date therefor having been so given, such Defaulted Interest shall be paid to the Persons in whose names the Securities of such series (or their respective Predecessor Securities) are registered at the close of business on such Special Record Date and shall no longer be payable pursuant to the following Clause (2). </w:t>
      </w:r>
    </w:p>
    <w:p>
      <w:pPr>
        <w:pStyle w:val="TextBody"/>
        <w:bidi w:val="0"/>
        <w:spacing w:before="120" w:after="0"/>
        <w:jc w:val="left"/>
        <w:rPr>
          <w:rFonts w:ascii="Times New Roman" w:hAnsi="Times New Roman"/>
          <w:sz w:val="20"/>
        </w:rPr>
      </w:pPr>
      <w:r>
        <w:rPr>
          <w:rFonts w:ascii="Times New Roman" w:hAnsi="Times New Roman"/>
          <w:sz w:val="20"/>
        </w:rPr>
        <w:t xml:space="preserve">(2) The Company may make payment of any Defaulted Interest on the Securities of any series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(2), such manner of payment shall be deemed practicable by the Trustee. </w:t>
      </w:r>
    </w:p>
    <w:p>
      <w:pPr>
        <w:pStyle w:val="TextBody"/>
        <w:bidi w:val="0"/>
        <w:spacing w:before="240" w:after="0"/>
        <w:jc w:val="left"/>
        <w:rPr>
          <w:rFonts w:ascii="Times New Roman" w:hAnsi="Times New Roman"/>
          <w:sz w:val="20"/>
        </w:rPr>
      </w:pPr>
      <w:r>
        <w:rPr>
          <w:rFonts w:ascii="Times New Roman" w:hAnsi="Times New Roman"/>
          <w:sz w:val="20"/>
        </w:rPr>
        <w:t xml:space="preserve">Except as may be provided in this Section 3.07 or as contemplated in Section 3.01 with respect to any Securities of a series, the Person to whom interest shall be payable on any Security that first becomes payable on a day that is not an Interest Payment Date shall be the Holder of such Security on the day such interest is paid.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foregoing provisions of this Section 3.07, each Security delivered under this Indenture upon registration of transfer of or in exchange for or in lieu of any other Security shall carry the rights to interest accrued and unpaid, and to accrue, which were carried by such other Security. </w:t>
      </w:r>
    </w:p>
    <w:p>
      <w:pPr>
        <w:pStyle w:val="TextBody"/>
        <w:bidi w:val="0"/>
        <w:spacing w:before="240" w:after="0"/>
        <w:jc w:val="left"/>
        <w:rPr>
          <w:rFonts w:ascii="Times New Roman" w:hAnsi="Times New Roman"/>
          <w:sz w:val="20"/>
        </w:rPr>
      </w:pPr>
      <w:r>
        <w:rPr>
          <w:rFonts w:ascii="Times New Roman" w:hAnsi="Times New Roman"/>
          <w:sz w:val="20"/>
        </w:rPr>
        <w:t xml:space="preserve">SECTION 3.08. </w:t>
      </w:r>
      <w:r>
        <w:rPr>
          <w:rFonts w:ascii="Times New Roman" w:hAnsi="Times New Roman"/>
          <w:i/>
          <w:sz w:val="20"/>
        </w:rPr>
        <w:t>Persons Deemed Owners.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Prior to due presentment of a Security for registration of transfer, the Company, the Guarantor, the Trustee and any of their respective agents shall treat the Person in whose name such Security is registered as the owner of such Security for the purpose of receiving payment of principal of and any premium and (subject to Section 3.07) any interest on such Security and for all other purposes whatsoever, whether or not such Security be overdue, and none of the Company, the Guarantor, the Trustee and any of their respective agents shall be affected by notice to the contrary.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3.09. </w:t>
      </w:r>
      <w:r>
        <w:rPr>
          <w:rFonts w:ascii="Times New Roman" w:hAnsi="Times New Roman"/>
          <w:i/>
          <w:sz w:val="20"/>
        </w:rPr>
        <w:t>Cancellation.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All Securities surrendered for payment, redemption, conversion, registration of transfer or exchange or for credit against any sinking fund payment or analogous obligation shall, if surrendered to any Person other than the Trustee, be delivered to the Trustee and shall be promptly cancelled by it in accordance with its customary procedures. The Company may at any time deliver to the Trustee for cancellation any Securities previously authenticated and delivered hereunder which the Company or the Guarantor may have acquired in any manner whatsoever, and may deliver to the Trustee (or to any other Person for delivery to the Trustee) for cancellation any Securities previously authenticated hereunder which the Company has not issued and sold, and all Securities so delivered shall be promptly cancelled by the Trustee. No Securities shall be authenticated in lieu of or in exchange for any Securities cancelled as provided in this Section 3.09, except as expressly permitted by this Indenture. All cancelled Securities held by the Trustee shall be disposed of as reasonably directed by a Company Order in accordance with the Trustee’s customary procedure;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Trustee shall not be required to destroy such cancelled Securities. </w:t>
      </w:r>
    </w:p>
    <w:p>
      <w:pPr>
        <w:pStyle w:val="TextBody"/>
        <w:bidi w:val="0"/>
        <w:spacing w:before="240" w:after="0"/>
        <w:jc w:val="left"/>
        <w:rPr>
          <w:rFonts w:ascii="Times New Roman" w:hAnsi="Times New Roman"/>
          <w:sz w:val="20"/>
        </w:rPr>
      </w:pPr>
      <w:r>
        <w:rPr>
          <w:rFonts w:ascii="Times New Roman" w:hAnsi="Times New Roman"/>
          <w:sz w:val="20"/>
        </w:rPr>
        <w:t xml:space="preserve">SECTION 3.10. </w:t>
      </w:r>
      <w:r>
        <w:rPr>
          <w:rFonts w:ascii="Times New Roman" w:hAnsi="Times New Roman"/>
          <w:i/>
          <w:sz w:val="20"/>
        </w:rPr>
        <w:t>Computation of Interest.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Except as otherwise specified as contemplated by Section 3.01 for Securities of any series, interest on the Securities of each series shall be computed on the basis of a 360-day year of twelve 30-day months. </w:t>
      </w:r>
    </w:p>
    <w:p>
      <w:pPr>
        <w:pStyle w:val="TextBody"/>
        <w:bidi w:val="0"/>
        <w:spacing w:before="240" w:after="0"/>
        <w:jc w:val="left"/>
        <w:rPr>
          <w:rFonts w:ascii="Times New Roman" w:hAnsi="Times New Roman"/>
          <w:sz w:val="20"/>
        </w:rPr>
      </w:pPr>
      <w:r>
        <w:rPr>
          <w:rFonts w:ascii="Times New Roman" w:hAnsi="Times New Roman"/>
          <w:sz w:val="20"/>
        </w:rPr>
        <w:t xml:space="preserve">SECTION 3.11. </w:t>
      </w:r>
      <w:r>
        <w:rPr>
          <w:rFonts w:ascii="Times New Roman" w:hAnsi="Times New Roman"/>
          <w:i/>
          <w:sz w:val="20"/>
        </w:rPr>
        <w:t>CUSIP Numbers.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in issuing the Securities may use “CUSIP” numbers, and, if so, the Trustee shall use “CUSIP” numbers in notices of redemption as a convenience to Holders; </w:t>
      </w:r>
      <w:r>
        <w:rPr>
          <w:rFonts w:ascii="Times New Roman" w:hAnsi="Times New Roman"/>
          <w:i/>
          <w:sz w:val="20"/>
        </w:rPr>
        <w:t>provided</w:t>
      </w:r>
      <w:r>
        <w:rPr>
          <w:rFonts w:ascii="Times New Roman" w:hAnsi="Times New Roman"/>
          <w:sz w:val="20"/>
        </w:rPr>
        <w:t xml:space="preserve"> that any such notice may state that no representation is made as to the correctness of such numbers either as printed on the Securities or as contained in any notice of redemption and that reliance may be placed only on the other identification numbers printed on the Securities. Any such redemption shall not be affected by any defect in or omission of such numbers.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FOUR </w:t>
      </w:r>
    </w:p>
    <w:p>
      <w:pPr>
        <w:pStyle w:val="TextBody"/>
        <w:bidi w:val="0"/>
        <w:spacing w:before="240" w:after="0"/>
        <w:jc w:val="center"/>
        <w:rPr>
          <w:rFonts w:ascii="Times New Roman" w:hAnsi="Times New Roman"/>
          <w:sz w:val="20"/>
        </w:rPr>
      </w:pPr>
      <w:r>
        <w:rPr>
          <w:rFonts w:ascii="Times New Roman" w:hAnsi="Times New Roman"/>
          <w:sz w:val="20"/>
        </w:rPr>
        <w:t xml:space="preserve">SATISFACTION AND DISCHARGE </w:t>
      </w:r>
    </w:p>
    <w:p>
      <w:pPr>
        <w:pStyle w:val="TextBody"/>
        <w:bidi w:val="0"/>
        <w:spacing w:before="240" w:after="0"/>
        <w:jc w:val="left"/>
        <w:rPr>
          <w:rFonts w:ascii="Times New Roman" w:hAnsi="Times New Roman"/>
          <w:sz w:val="20"/>
        </w:rPr>
      </w:pPr>
      <w:r>
        <w:rPr>
          <w:rFonts w:ascii="Times New Roman" w:hAnsi="Times New Roman"/>
          <w:sz w:val="20"/>
        </w:rPr>
        <w:t xml:space="preserve">SECTION 4.01. </w:t>
      </w:r>
      <w:r>
        <w:rPr>
          <w:rFonts w:ascii="Times New Roman" w:hAnsi="Times New Roman"/>
          <w:i/>
          <w:sz w:val="20"/>
        </w:rPr>
        <w:t>Satisfaction and Discharge of Indenture.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This Indenture shall upon Company Request cease to be of further effect with respect to Securities of any series specified in such Company Request (except as to any surviving rights of registration of transfer or exchange of any Security expressly provided for herein or in the terms of such Security), and the Trustee, upon receipt of Company Request and at the expense of the Company, shall execute proper instruments acknowledging satisfaction and discharge of this Indenture as to such series, when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 either </w:t>
      </w:r>
    </w:p>
    <w:p>
      <w:pPr>
        <w:pStyle w:val="TextBody"/>
        <w:bidi w:val="0"/>
        <w:spacing w:before="120" w:after="0"/>
        <w:jc w:val="left"/>
        <w:rPr>
          <w:rFonts w:ascii="Times New Roman" w:hAnsi="Times New Roman"/>
          <w:sz w:val="20"/>
        </w:rPr>
      </w:pPr>
      <w:r>
        <w:rPr>
          <w:rFonts w:ascii="Times New Roman" w:hAnsi="Times New Roman"/>
          <w:sz w:val="20"/>
        </w:rPr>
        <w:t xml:space="preserve">(A) all Securities of a series theretofore authenticated and delivered (other than (i) Securities of such series which have been mutilated, destroyed, lost or stolen and which have been replaced or paid as provided in Section 3.06 and (ii) Securities of such series for whose payment money has theretofore been deposited in trust or segregated and held in trust by the Company or the Guarantor and thereafter repaid to the Company or the Guarantor or discharged from such trust, as provided in Section 10.03) have been delivered to the Trustee for cancellation; or </w:t>
      </w:r>
    </w:p>
    <w:p>
      <w:pPr>
        <w:pStyle w:val="TextBody"/>
        <w:bidi w:val="0"/>
        <w:spacing w:before="120" w:after="0"/>
        <w:jc w:val="left"/>
        <w:rPr>
          <w:rFonts w:ascii="Times New Roman" w:hAnsi="Times New Roman"/>
          <w:sz w:val="20"/>
        </w:rPr>
      </w:pPr>
      <w:r>
        <w:rPr>
          <w:rFonts w:ascii="Times New Roman" w:hAnsi="Times New Roman"/>
          <w:sz w:val="20"/>
        </w:rPr>
        <w:t xml:space="preserve">(B) all Securities of such series not theretofore delivered to the Trustee for cancellation </w:t>
      </w:r>
    </w:p>
    <w:p>
      <w:pPr>
        <w:pStyle w:val="TextBody"/>
        <w:bidi w:val="0"/>
        <w:spacing w:before="120" w:after="0"/>
        <w:jc w:val="left"/>
        <w:rPr>
          <w:rFonts w:ascii="Times New Roman" w:hAnsi="Times New Roman"/>
          <w:sz w:val="20"/>
        </w:rPr>
      </w:pPr>
      <w:r>
        <w:rPr>
          <w:rFonts w:ascii="Times New Roman" w:hAnsi="Times New Roman"/>
          <w:sz w:val="20"/>
        </w:rPr>
        <w:t xml:space="preserve">(i) have become due and payable, or </w:t>
      </w:r>
    </w:p>
    <w:p>
      <w:pPr>
        <w:pStyle w:val="TextBody"/>
        <w:bidi w:val="0"/>
        <w:spacing w:before="120" w:after="0"/>
        <w:jc w:val="left"/>
        <w:rPr>
          <w:rFonts w:ascii="Times New Roman" w:hAnsi="Times New Roman"/>
          <w:sz w:val="20"/>
        </w:rPr>
      </w:pPr>
      <w:r>
        <w:rPr>
          <w:rFonts w:ascii="Times New Roman" w:hAnsi="Times New Roman"/>
          <w:sz w:val="20"/>
        </w:rPr>
        <w:t xml:space="preserve">(ii) will become due and payable at their Stated Maturity within one year, or </w:t>
      </w:r>
    </w:p>
    <w:p>
      <w:pPr>
        <w:pStyle w:val="TextBody"/>
        <w:bidi w:val="0"/>
        <w:spacing w:before="120" w:after="0"/>
        <w:jc w:val="left"/>
        <w:rPr>
          <w:rFonts w:ascii="Times New Roman" w:hAnsi="Times New Roman"/>
          <w:sz w:val="20"/>
        </w:rPr>
      </w:pPr>
      <w:r>
        <w:rPr>
          <w:rFonts w:ascii="Times New Roman" w:hAnsi="Times New Roman"/>
          <w:sz w:val="20"/>
        </w:rPr>
        <w:t xml:space="preserve">(iii) are to be called for redemption within one year under arrangements satisfactory to the Trustee for the giving of notice of redemption by the Trustee in the name, and at the expense,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and the Company or the Guarantor, as the case may be, in the case of (i), (ii) or (iii) above, has deposited or caused to be deposited with the Trustee as trust funds in trust for the purpose money in an amount sufficient to pay and discharge the entire indebtedness on such Securities of a series not theretofore delivered to the Trustee for cancellation (other than Securities of a series which have been destroyed, lost or stolen and which have been replaced or paid as provided in Section 3.06), for principal and any premium and interest to the date of such deposit (in the case of Securities which have become due and payable) or to the Stated Maturity or Redemption Date, as the case may be; and </w:t>
      </w:r>
    </w:p>
    <w:p>
      <w:pPr>
        <w:pStyle w:val="TextBody"/>
        <w:bidi w:val="0"/>
        <w:spacing w:before="120" w:after="0"/>
        <w:jc w:val="left"/>
        <w:rPr>
          <w:rFonts w:ascii="Times New Roman" w:hAnsi="Times New Roman"/>
          <w:sz w:val="20"/>
        </w:rPr>
      </w:pPr>
      <w:r>
        <w:rPr>
          <w:rFonts w:ascii="Times New Roman" w:hAnsi="Times New Roman"/>
          <w:sz w:val="20"/>
        </w:rPr>
        <w:t xml:space="preserve">(2) the Company or the Guarantor, as the case may be, has paid or caused to be paid all other sums payable hereunder by the Company in respect of such Securities; </w:t>
      </w:r>
    </w:p>
    <w:p>
      <w:pPr>
        <w:pStyle w:val="TextBody"/>
        <w:bidi w:val="0"/>
        <w:spacing w:before="120" w:after="0"/>
        <w:jc w:val="left"/>
        <w:rPr>
          <w:rFonts w:ascii="Times New Roman" w:hAnsi="Times New Roman"/>
          <w:sz w:val="20"/>
        </w:rPr>
      </w:pPr>
      <w:r>
        <w:rPr>
          <w:rFonts w:ascii="Times New Roman" w:hAnsi="Times New Roman"/>
          <w:sz w:val="20"/>
        </w:rPr>
        <w:t xml:space="preserve">(3) no default or Event of Default then exists; and </w:t>
      </w:r>
    </w:p>
    <w:p>
      <w:pPr>
        <w:pStyle w:val="TextBody"/>
        <w:bidi w:val="0"/>
        <w:spacing w:before="120" w:after="0"/>
        <w:jc w:val="left"/>
        <w:rPr>
          <w:rFonts w:ascii="Times New Roman" w:hAnsi="Times New Roman"/>
          <w:sz w:val="20"/>
        </w:rPr>
      </w:pPr>
      <w:r>
        <w:rPr>
          <w:rFonts w:ascii="Times New Roman" w:hAnsi="Times New Roman"/>
          <w:sz w:val="20"/>
        </w:rPr>
        <w:t xml:space="preserve">(4) the Company has delivered to the Trustee an Officer’s Certificate and an Opinion of Counsel, each stating that all conditions precedent herein provided for relating to the satisfaction and discharge of this Indenture with respect to such Securities have been complied with.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satisfaction and discharge of this Indenture, with respect to Securities of any series pursuant to this Section 4.01, the obligations of the Company and the Guarantor to the Trustee under Section 6.07, the obligations of the Trustee to any Authenticating Agent under Section 6.14 and, if money shall have been deposited with the Trustee pursuant to sub-Clause (B) of Clause (1) of this Section 4.01 and the obligations of the Trustee under Section 4.02, in each case with respect to such Securities, shall survive.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4.02. </w:t>
      </w:r>
      <w:r>
        <w:rPr>
          <w:rFonts w:ascii="Times New Roman" w:hAnsi="Times New Roman"/>
          <w:i/>
          <w:sz w:val="20"/>
        </w:rPr>
        <w:t>Application of Trust Money.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All money deposited with the Trustee pursuant to Section 4.01 shall be held in trust and applied by it, in accordance with the provisions of the Securities, the Guarantees and this Indenture, to the payment, either directly or through any Paying Agent (including the Company acting as its own Paying Agent) as the Trustee may determine, to the Persons entitled thereto, of the principal and any premium and interest for whose payment such money has been deposited with the Trustee.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FIVE </w:t>
      </w:r>
    </w:p>
    <w:p>
      <w:pPr>
        <w:pStyle w:val="TextBody"/>
        <w:bidi w:val="0"/>
        <w:spacing w:before="240" w:after="0"/>
        <w:jc w:val="center"/>
        <w:rPr>
          <w:rFonts w:ascii="Times New Roman" w:hAnsi="Times New Roman"/>
          <w:sz w:val="20"/>
        </w:rPr>
      </w:pPr>
      <w:r>
        <w:rPr>
          <w:rFonts w:ascii="Times New Roman" w:hAnsi="Times New Roman"/>
          <w:sz w:val="20"/>
        </w:rPr>
        <w:t xml:space="preserve">REMEDIES </w:t>
      </w:r>
    </w:p>
    <w:p>
      <w:pPr>
        <w:pStyle w:val="TextBody"/>
        <w:bidi w:val="0"/>
        <w:spacing w:before="240" w:after="0"/>
        <w:jc w:val="left"/>
        <w:rPr>
          <w:rFonts w:ascii="Times New Roman" w:hAnsi="Times New Roman"/>
          <w:sz w:val="20"/>
        </w:rPr>
      </w:pPr>
      <w:r>
        <w:rPr>
          <w:rFonts w:ascii="Times New Roman" w:hAnsi="Times New Roman"/>
          <w:sz w:val="20"/>
        </w:rPr>
        <w:t xml:space="preserve">SECTION 5.01. </w:t>
      </w:r>
      <w:r>
        <w:rPr>
          <w:rFonts w:ascii="Times New Roman" w:hAnsi="Times New Roman"/>
          <w:i/>
          <w:sz w:val="20"/>
        </w:rPr>
        <w:t>Events of Default.</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sz w:val="20"/>
        </w:rPr>
        <w:t xml:space="preserve">Event of Default”, wherever used herein with respect to Securities of any series, means any one of the following events (whatever the reason for such Event of Default and whether it shall be voluntary or involuntary or be effected by operation of law or pursuant to any judgment, decree or order of any court or any order, rule or regulation of any administrative or governmental body), unless otherwise provided in an Officer’s Certificate of the Company or any indenture supplemental hereto creating such series of Securities pursuant to Section 3.01 of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(1) default of the Company for 5 days or more in the payment when due and payable, upon redemption, acceleration or otherwise, of principal of, or premium, if any, on the Securities of such series; </w:t>
      </w:r>
    </w:p>
    <w:p>
      <w:pPr>
        <w:pStyle w:val="TextBody"/>
        <w:bidi w:val="0"/>
        <w:spacing w:before="120" w:after="0"/>
        <w:jc w:val="left"/>
        <w:rPr>
          <w:rFonts w:ascii="Times New Roman" w:hAnsi="Times New Roman"/>
          <w:sz w:val="20"/>
        </w:rPr>
      </w:pPr>
      <w:r>
        <w:rPr>
          <w:rFonts w:ascii="Times New Roman" w:hAnsi="Times New Roman"/>
          <w:sz w:val="20"/>
        </w:rPr>
        <w:t xml:space="preserve">(2) default of the Company for 30 days or more in the payment when due of interest or any Additional Amounts payable on or with respect to Securities of such series; </w:t>
      </w:r>
    </w:p>
    <w:p>
      <w:pPr>
        <w:pStyle w:val="TextBody"/>
        <w:bidi w:val="0"/>
        <w:spacing w:before="120" w:after="0"/>
        <w:jc w:val="left"/>
        <w:rPr>
          <w:rFonts w:ascii="Times New Roman" w:hAnsi="Times New Roman"/>
          <w:sz w:val="20"/>
        </w:rPr>
      </w:pPr>
      <w:r>
        <w:rPr>
          <w:rFonts w:ascii="Times New Roman" w:hAnsi="Times New Roman"/>
          <w:sz w:val="20"/>
        </w:rPr>
        <w:t xml:space="preserve">(3) failure of the Company or the Guarantor to comply with their obligations set forth in Section 8.01 with respect to Securities of such series; </w:t>
      </w:r>
    </w:p>
    <w:p>
      <w:pPr>
        <w:pStyle w:val="TextBody"/>
        <w:bidi w:val="0"/>
        <w:spacing w:before="120" w:after="0"/>
        <w:jc w:val="left"/>
        <w:rPr>
          <w:rFonts w:ascii="Times New Roman" w:hAnsi="Times New Roman"/>
          <w:sz w:val="20"/>
        </w:rPr>
      </w:pPr>
      <w:r>
        <w:rPr>
          <w:rFonts w:ascii="Times New Roman" w:hAnsi="Times New Roman"/>
          <w:sz w:val="20"/>
        </w:rPr>
        <w:t xml:space="preserve">(4) failure of the Company to comply for 60 days after notice to the Company by the Trustee or to the Company and the Trustee by Holders of least 25% in principal amount of Securities of such series then Outstanding with the Company’s obligation to make a Change of Control Offer as described under Section 10.10 with respect to Securities of such series; </w:t>
      </w:r>
    </w:p>
    <w:p>
      <w:pPr>
        <w:pStyle w:val="TextBody"/>
        <w:bidi w:val="0"/>
        <w:spacing w:before="120" w:after="0"/>
        <w:jc w:val="left"/>
        <w:rPr>
          <w:rFonts w:ascii="Times New Roman" w:hAnsi="Times New Roman"/>
          <w:sz w:val="20"/>
        </w:rPr>
      </w:pPr>
      <w:r>
        <w:rPr>
          <w:rFonts w:ascii="Times New Roman" w:hAnsi="Times New Roman"/>
          <w:sz w:val="20"/>
        </w:rPr>
        <w:t xml:space="preserve">(5) failure of the Company to comply for 90 days after notice to the Company by the Trustee or to the Company and the Trustee by Holders of at least 25% in principal amount of the Securities of such series then Outstanding with any of its other obligations, covenants or agreements contained in this Indenture or Securities of such series; </w:t>
      </w:r>
    </w:p>
    <w:p>
      <w:pPr>
        <w:pStyle w:val="TextBody"/>
        <w:bidi w:val="0"/>
        <w:spacing w:before="120" w:after="0"/>
        <w:jc w:val="left"/>
        <w:rPr>
          <w:rFonts w:ascii="Times New Roman" w:hAnsi="Times New Roman"/>
          <w:sz w:val="20"/>
        </w:rPr>
      </w:pPr>
      <w:r>
        <w:rPr>
          <w:rFonts w:ascii="Times New Roman" w:hAnsi="Times New Roman"/>
          <w:sz w:val="20"/>
        </w:rPr>
        <w:t xml:space="preserve">(6) the Indebtedness of the Company or the Guarantor or the Indebtedness of a Material Subsidiary is not paid within any applicable grace period after final maturity or is accelerated by the holders thereof because of a default and the total amount of such Indebtedness unpaid or accelerated exceeds 250 million; </w:t>
      </w:r>
      <w:r>
        <w:rPr>
          <w:rFonts w:ascii="Times New Roman" w:hAnsi="Times New Roman"/>
          <w:i/>
          <w:sz w:val="20"/>
        </w:rPr>
        <w:t>provided, however</w:t>
      </w:r>
      <w:r>
        <w:rPr>
          <w:rFonts w:ascii="Times New Roman" w:hAnsi="Times New Roman"/>
          <w:sz w:val="20"/>
        </w:rPr>
        <w:t xml:space="preserve">, that it shall be deemed not to be an Event of Default if such Indebtedness is paid or otherwise acquired or retired (or for which such failure to pay or acceleration is waived or rescinded) within 30 Business Days after such failure to pay or such acceleration;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(7) the entry by a court having jurisdiction in the premises of (A) a decree or order for relief in respect of the Company or the Guarantor in an involuntary case or proceeding under any applicable bankruptcy, insolvency, reorganization or other similar law or (B) a decree or order adjudging the Company or the Guarantor as bankrupt or insolvent, or approving as properly filed a petition seeking reorganization, arrangement, adjustment or composition of or in respect of the Company or the Guarantor under any applicable law, or appointing a custodian, receiver, liquidator, assignee, trustee, sequestrator or other similar official of the Company or the Guarantor or of any substantial part of their property, or ordering the winding up or liquidation of their affairs, and the continuance of any such decree or order for relief or any such other decree or order unstayed and in effect for a period of 60 consecutive days; </w:t>
      </w:r>
    </w:p>
    <w:p>
      <w:pPr>
        <w:pStyle w:val="TextBody"/>
        <w:bidi w:val="0"/>
        <w:spacing w:before="120" w:after="0"/>
        <w:jc w:val="left"/>
        <w:rPr>
          <w:rFonts w:ascii="Times New Roman" w:hAnsi="Times New Roman"/>
          <w:sz w:val="20"/>
        </w:rPr>
      </w:pPr>
      <w:r>
        <w:rPr>
          <w:rFonts w:ascii="Times New Roman" w:hAnsi="Times New Roman"/>
          <w:sz w:val="20"/>
        </w:rPr>
        <w:t xml:space="preserve">(8) the commencement by the Company or the Guarantor of a voluntary case or proceeding under any applicable bankruptcy, insolvency, reorganization or other similar law or of any other case or proceeding to be adjudicated a bankrupt or insolvent, or the consent by it to the entry of a decree or order for relief in respect of the Company or the Guarantor in an involuntary case or proceeding under any applicable bankruptcy, insolvency, reorganization or other similar law or to the commencement of any bankruptcy or insolvency case or proceeding against it, or the filing by it of a petition or answer or consent seeking reorganization or relief under any applicable law, or the consent by it to the filing of such petition or to the appointment of or taking possession by a custodian, receiver, liquidator, assignee, trustee, sequestrator or other similar official of the Company or the Guarantor or of any substantial part of their property, or the making by it of an assignment for the benefit of creditors, or the admission by the Company or the Guarantor in writing of its inability to pay its debts generally as they become due, or the taking of corporate action by the Company or the Guarantor in furtherance of any such action; </w:t>
      </w:r>
    </w:p>
    <w:p>
      <w:pPr>
        <w:pStyle w:val="TextBody"/>
        <w:bidi w:val="0"/>
        <w:spacing w:before="120" w:after="0"/>
        <w:jc w:val="left"/>
        <w:rPr>
          <w:rFonts w:ascii="Times New Roman" w:hAnsi="Times New Roman"/>
          <w:sz w:val="20"/>
        </w:rPr>
      </w:pPr>
      <w:r>
        <w:rPr>
          <w:rFonts w:ascii="Times New Roman" w:hAnsi="Times New Roman"/>
          <w:sz w:val="20"/>
        </w:rPr>
        <w:t xml:space="preserve">(9) the Company ceases to be Controlled directly or indirectly by the Guarantor, for which purpose the Guarantor shall be deemed to Control the Company only if the Guarantor directly or indirectly, through one or more companies Controlled by it within the meaning of this definition, (a) owns more than 50% of the voting share capital of the Company; or (b) has power to appoint or remove more than 50% of the board of directors (or other similar senior supervisory body)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(10) the Guarantee shall be held in any judicial proceeding (in each case being a judgment or order from which no further appeal or judicial review is permissible under applicable law) to be unenforceable or invalid or shall cease for any reason to be in full force and effect or the Guarantor shall deny or disaffirm its obligations under the Guarantee, as the case may be; or </w:t>
      </w:r>
    </w:p>
    <w:p>
      <w:pPr>
        <w:pStyle w:val="TextBody"/>
        <w:bidi w:val="0"/>
        <w:spacing w:before="120" w:after="0"/>
        <w:jc w:val="left"/>
        <w:rPr>
          <w:rFonts w:ascii="Times New Roman" w:hAnsi="Times New Roman"/>
          <w:sz w:val="20"/>
        </w:rPr>
      </w:pPr>
      <w:r>
        <w:rPr>
          <w:rFonts w:ascii="Times New Roman" w:hAnsi="Times New Roman"/>
          <w:sz w:val="20"/>
        </w:rPr>
        <w:t xml:space="preserve">(11) any other Event of Default provided with respect to Securities of such series.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5.02. </w:t>
      </w:r>
      <w:r>
        <w:rPr>
          <w:rFonts w:ascii="Times New Roman" w:hAnsi="Times New Roman"/>
          <w:i/>
          <w:sz w:val="20"/>
        </w:rPr>
        <w:t>Acceleration of Maturity; Rescission and Annulment; Waiver of Existing Default.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any Event of Default (other than of a type specified in Section 5.01(7) or Section 5.01(8) with respect to the Company or the Guarantor occurs and is continuing under this Indenture with respect to the Securities of any series, the Trustee or the holders of at least 25% in aggregate principal amount of the Securities of that series then Outstanding may declare the principal, premium, if any, interest and any other monetary obligations on all the then Outstanding Securities of that series to be due and payable immediately. Upon the effectiveness of such declaration, such principal and interest shall be due and payable immediately. Notwithstanding the foregoing, in the case of an Event of Default arising under Section 5.01(7) or Section 5.01(8), all Outstanding Securities of that series will become due and payable without further action or notice. The Trustee may withhold from the Holders notice of any continuing default, except a default relating to the payment of principal, premium, if any, or interest, if and so long as the board of directors, the executive committee or a trust committee of directors or Responsible Officers of the Trustee in good faith determines that withholding notice is in the Holders’ interest.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a majority in aggregate principal amount of the then Outstanding Securities of that series by notice to the Trustee may, on behalf of the Holders of all of the Securities of that series, waive any existing default with respect to the Securities of that series and its consequences thereof under this Indenture (except a continuing default in the payment of interest on, premium, if any, or the principal of any Securities of that series held by a non-consenting Holder) and rescind any acceleration with respect to the Securities of that series and its consequences (except if such rescission would conflict with any judgment of a court of competent jurisdiction). In the event of any Event of Default specified in Section 5.01(6), such Event of Default and all consequences thereof (excluding any resulting payment default, other than as a result of acceleration of the applicable series of Securities) shall be annulled, waived and rescinded, automatically and without any action by the Trustee or the Holders, if within 30 days after such Event of Default arose: (i) the indebtedness that is the basis for such Event of Default has been discharged; (ii) Holders thereof have rescinded or waived the acceleration, notice or action (as the case may be) giving rise to such Event of Default; or (iii) the default that is the basis for such Event of Default has been cured. </w:t>
      </w:r>
    </w:p>
    <w:p>
      <w:pPr>
        <w:pStyle w:val="TextBody"/>
        <w:bidi w:val="0"/>
        <w:spacing w:before="240" w:after="0"/>
        <w:jc w:val="left"/>
        <w:rPr>
          <w:rFonts w:ascii="Times New Roman" w:hAnsi="Times New Roman"/>
          <w:sz w:val="20"/>
        </w:rPr>
      </w:pPr>
      <w:r>
        <w:rPr>
          <w:rFonts w:ascii="Times New Roman" w:hAnsi="Times New Roman"/>
          <w:sz w:val="20"/>
        </w:rPr>
        <w:t xml:space="preserve">SECTION 5.03. </w:t>
      </w:r>
      <w:r>
        <w:rPr>
          <w:rFonts w:ascii="Times New Roman" w:hAnsi="Times New Roman"/>
          <w:i/>
          <w:sz w:val="20"/>
        </w:rPr>
        <w:t>Collection of Indebtedness and Suits for Enforcement by Trustee.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covenants that if </w:t>
      </w:r>
    </w:p>
    <w:p>
      <w:pPr>
        <w:pStyle w:val="TextBody"/>
        <w:bidi w:val="0"/>
        <w:spacing w:before="120" w:after="0"/>
        <w:jc w:val="left"/>
        <w:rPr>
          <w:rFonts w:ascii="Times New Roman" w:hAnsi="Times New Roman"/>
          <w:sz w:val="20"/>
        </w:rPr>
      </w:pPr>
      <w:r>
        <w:rPr>
          <w:rFonts w:ascii="Times New Roman" w:hAnsi="Times New Roman"/>
          <w:sz w:val="20"/>
        </w:rPr>
        <w:t xml:space="preserve">(1) default is made in the payment of any interest on or Additional Amounts payable in respect of any Security when such interest or Additional Amounts becomes due and payable and such default continues for a period of 30 days, or </w:t>
      </w:r>
    </w:p>
    <w:p>
      <w:pPr>
        <w:pStyle w:val="TextBody"/>
        <w:bidi w:val="0"/>
        <w:spacing w:before="120" w:after="0"/>
        <w:jc w:val="left"/>
        <w:rPr>
          <w:rFonts w:ascii="Times New Roman" w:hAnsi="Times New Roman"/>
          <w:sz w:val="20"/>
        </w:rPr>
      </w:pPr>
      <w:r>
        <w:rPr>
          <w:rFonts w:ascii="Times New Roman" w:hAnsi="Times New Roman"/>
          <w:sz w:val="20"/>
        </w:rPr>
        <w:t xml:space="preserve">(2) default is made in the payment of the principal of (or premium, if any, on) any Security at the Maturity thereof and such default continues for a period of 5 days,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will, upon demand of the Trustee, pay to it, for the benefit of the Holders of such Securities, the whole amount then due and payable on such Securities for principal and any premium and interest and, to the extent that payment of such interest shall be legally enforceable, interest on any overdue principal and premium and on any overdue interest, at the rate or rates prescribed therefor in such Securities, and, in addition thereto, such further amount as shall be sufficient to cover the costs and expenses of collection, including the reasonable compensation, expenses, disbursements and advances of the Trustee, its agents and counsel.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with respect to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 </w:t>
      </w:r>
    </w:p>
    <w:p>
      <w:pPr>
        <w:pStyle w:val="TextBody"/>
        <w:bidi w:val="0"/>
        <w:spacing w:before="240" w:after="0"/>
        <w:jc w:val="left"/>
        <w:rPr>
          <w:rFonts w:ascii="Times New Roman" w:hAnsi="Times New Roman"/>
          <w:sz w:val="20"/>
        </w:rPr>
      </w:pPr>
      <w:r>
        <w:rPr>
          <w:rFonts w:ascii="Times New Roman" w:hAnsi="Times New Roman"/>
          <w:sz w:val="20"/>
        </w:rPr>
        <w:t xml:space="preserve">SECTION 5.04. </w:t>
      </w:r>
      <w:r>
        <w:rPr>
          <w:rFonts w:ascii="Times New Roman" w:hAnsi="Times New Roman"/>
          <w:i/>
          <w:sz w:val="20"/>
        </w:rPr>
        <w:t>Trustee May File Proofs of Claim.</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In case of any receivership, insolvency, liquidation, bankruptcy, reorganization, arrangement, adjustment, composition or any other judicial proceeding relative to the Company, the Guarantor, their respective property or creditors, the Trustee (irrespective of whether the principal of the Securities shall then be due and payable as therein expressed or by declaration or otherwise and irrespective of whether the Trustee shall have made any demand on the Company or the Guarantor for the payment of overdue principal or interest) shall be entitled and empowered, by intervention in such proceeding or otherwise, (1) to file and prove a claim for the whole amount of principal and premium, if any, and interest owning and unpaid in respect of the Securities and to file such other papers or documents as may be necessary or advisable in order to have the claims of the Trustee (including any claim for the reasonable compensation, expenses, disbursements and advances of the Trustee, its agents and counsel) and of the Holders allowed in such judicial proceeding, and (2) to collect and receive any moneys or other property payable or deliverable on any such claims and to distribute the same; 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reasonable compensation, expenses, disbursements and advances of the Trustee, its agents and counsel, and any other amounts due the Trustee under Section 6.07. </w:t>
      </w:r>
    </w:p>
    <w:p>
      <w:pPr>
        <w:pStyle w:val="TextBody"/>
        <w:bidi w:val="0"/>
        <w:spacing w:before="240" w:after="0"/>
        <w:jc w:val="left"/>
        <w:rPr>
          <w:rFonts w:ascii="Times New Roman" w:hAnsi="Times New Roman"/>
          <w:sz w:val="20"/>
        </w:rPr>
      </w:pPr>
      <w:r>
        <w:rPr>
          <w:rFonts w:ascii="Times New Roman" w:hAnsi="Times New Roman"/>
          <w:sz w:val="20"/>
        </w:rPr>
        <w:t xml:space="preserve">No provision of this Indenture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Trustee may (but shall be under no obligation to unless directed in writing by the Holders), on behalf of the Holders, vote for the election of a trustee in bankruptcy or similar official and be a member of a creditors’ or other similar committee.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5.05. </w:t>
      </w:r>
      <w:r>
        <w:rPr>
          <w:rFonts w:ascii="Times New Roman" w:hAnsi="Times New Roman"/>
          <w:i/>
          <w:sz w:val="20"/>
        </w:rPr>
        <w:t>Trustee May Enforce Claims Without Possession of Securities.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All rights of action and claims under this Indenture, the Securities or any Guarantee may be prosecuted and enforced by the Trustee without the possession of any of the Securities or any Guarantee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Securities in respect of which such judgment has been recovered. </w:t>
      </w:r>
    </w:p>
    <w:p>
      <w:pPr>
        <w:pStyle w:val="TextBody"/>
        <w:bidi w:val="0"/>
        <w:spacing w:before="240" w:after="0"/>
        <w:jc w:val="left"/>
        <w:rPr>
          <w:rFonts w:ascii="Times New Roman" w:hAnsi="Times New Roman"/>
          <w:sz w:val="20"/>
        </w:rPr>
      </w:pPr>
      <w:r>
        <w:rPr>
          <w:rFonts w:ascii="Times New Roman" w:hAnsi="Times New Roman"/>
          <w:sz w:val="20"/>
        </w:rPr>
        <w:t xml:space="preserve">SECTION 5.06. </w:t>
      </w:r>
      <w:r>
        <w:rPr>
          <w:rFonts w:ascii="Times New Roman" w:hAnsi="Times New Roman"/>
          <w:i/>
          <w:sz w:val="20"/>
        </w:rPr>
        <w:t>Application of Money Collected.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Any money collected by the Trustee pursuant to this Article Five shall be applied in the following order, at the date or dates fixed by the Trustee and, in case of the distribution of such money on account of principal or any premium or interest, upon presentation of the Securities and the notation thereon of the payment if only partially paid and upon surrender thereof if fully paid: </w:t>
      </w:r>
    </w:p>
    <w:p>
      <w:pPr>
        <w:pStyle w:val="TextBody"/>
        <w:bidi w:val="0"/>
        <w:spacing w:before="240" w:after="0"/>
        <w:jc w:val="left"/>
        <w:rPr>
          <w:rFonts w:ascii="Times New Roman" w:hAnsi="Times New Roman"/>
          <w:sz w:val="20"/>
        </w:rPr>
      </w:pPr>
      <w:r>
        <w:rPr>
          <w:rFonts w:ascii="Times New Roman" w:hAnsi="Times New Roman"/>
          <w:sz w:val="20"/>
        </w:rPr>
        <w:t xml:space="preserve">FIRST: To the payment of all amounts due the Trustee, including its agents or attorneys, in connection with the Securities under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SECOND: To the payment of the amounts then due and unpaid for principal of and any premium and interest and any Additional Amounts payable on the Securities in respect of which or for the benefit of which such money has been collected, ratably, without preference or priority of any kind, according to the amounts due and payable on such Securities for principal and any premium and interest, respectively, and Additional Amounts, respectively; and </w:t>
      </w:r>
    </w:p>
    <w:p>
      <w:pPr>
        <w:pStyle w:val="TextBody"/>
        <w:bidi w:val="0"/>
        <w:spacing w:before="240" w:after="0"/>
        <w:jc w:val="left"/>
        <w:rPr>
          <w:rFonts w:ascii="Times New Roman" w:hAnsi="Times New Roman"/>
          <w:sz w:val="20"/>
        </w:rPr>
      </w:pPr>
      <w:r>
        <w:rPr>
          <w:rFonts w:ascii="Times New Roman" w:hAnsi="Times New Roman"/>
          <w:sz w:val="20"/>
        </w:rPr>
        <w:t xml:space="preserve">THIRD: To the payment of the remainder, if any, to the Company, its successors or assigns, or to whomever may be so lawfully entitled to receive the same, or as a court of competent jurisdiction may direct. </w:t>
      </w:r>
    </w:p>
    <w:p>
      <w:pPr>
        <w:pStyle w:val="TextBody"/>
        <w:bidi w:val="0"/>
        <w:spacing w:before="240" w:after="0"/>
        <w:jc w:val="left"/>
        <w:rPr>
          <w:rFonts w:ascii="Times New Roman" w:hAnsi="Times New Roman"/>
          <w:sz w:val="20"/>
        </w:rPr>
      </w:pPr>
      <w:r>
        <w:rPr>
          <w:rFonts w:ascii="Times New Roman" w:hAnsi="Times New Roman"/>
          <w:sz w:val="20"/>
        </w:rPr>
        <w:t xml:space="preserve">SECTION 5.07. </w:t>
      </w:r>
      <w:r>
        <w:rPr>
          <w:rFonts w:ascii="Times New Roman" w:hAnsi="Times New Roman"/>
          <w:i/>
          <w:sz w:val="20"/>
        </w:rPr>
        <w:t>Limitation on Suits.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No Holder of any Security of any series shall have any right to institute any proceeding, judicial or otherwise, with respect to this Indenture, the Securities or any Guarantee, or for the appointment of a receiver or trustee, or for any other remedy hereunder, unless </w:t>
      </w:r>
    </w:p>
    <w:p>
      <w:pPr>
        <w:pStyle w:val="TextBody"/>
        <w:bidi w:val="0"/>
        <w:spacing w:before="120" w:after="0"/>
        <w:jc w:val="left"/>
        <w:rPr>
          <w:rFonts w:ascii="Times New Roman" w:hAnsi="Times New Roman"/>
          <w:sz w:val="20"/>
        </w:rPr>
      </w:pPr>
      <w:r>
        <w:rPr>
          <w:rFonts w:ascii="Times New Roman" w:hAnsi="Times New Roman"/>
          <w:sz w:val="20"/>
        </w:rPr>
        <w:t xml:space="preserve">(1) such Holder has previously given the Trustee notice that an Event of Default is continuing; </w:t>
      </w:r>
    </w:p>
    <w:p>
      <w:pPr>
        <w:pStyle w:val="TextBody"/>
        <w:bidi w:val="0"/>
        <w:spacing w:before="120" w:after="0"/>
        <w:jc w:val="left"/>
        <w:rPr>
          <w:rFonts w:ascii="Times New Roman" w:hAnsi="Times New Roman"/>
          <w:sz w:val="20"/>
        </w:rPr>
      </w:pPr>
      <w:r>
        <w:rPr>
          <w:rFonts w:ascii="Times New Roman" w:hAnsi="Times New Roman"/>
          <w:sz w:val="20"/>
        </w:rPr>
        <w:t xml:space="preserve">(2) Holders of at least 25% in aggregate principal amount of the then Outstanding Securities of that series have requested the Trustee to pursue the remedy; </w:t>
      </w:r>
    </w:p>
    <w:p>
      <w:pPr>
        <w:pStyle w:val="TextBody"/>
        <w:bidi w:val="0"/>
        <w:spacing w:before="120" w:after="0"/>
        <w:jc w:val="left"/>
        <w:rPr>
          <w:rFonts w:ascii="Times New Roman" w:hAnsi="Times New Roman"/>
          <w:sz w:val="20"/>
        </w:rPr>
      </w:pPr>
      <w:r>
        <w:rPr>
          <w:rFonts w:ascii="Times New Roman" w:hAnsi="Times New Roman"/>
          <w:sz w:val="20"/>
        </w:rPr>
        <w:t xml:space="preserve">(3) Holders of the Securities of that series have offered the Trustee security and/or indemnity satisfactory to the Trustee against any loss, liability or expense; </w:t>
      </w:r>
    </w:p>
    <w:p>
      <w:pPr>
        <w:pStyle w:val="TextBody"/>
        <w:bidi w:val="0"/>
        <w:spacing w:before="120" w:after="0"/>
        <w:jc w:val="left"/>
        <w:rPr>
          <w:rFonts w:ascii="Times New Roman" w:hAnsi="Times New Roman"/>
          <w:sz w:val="20"/>
        </w:rPr>
      </w:pPr>
      <w:r>
        <w:rPr>
          <w:rFonts w:ascii="Times New Roman" w:hAnsi="Times New Roman"/>
          <w:sz w:val="20"/>
        </w:rPr>
        <w:t xml:space="preserve">(4) the Trustee has not complied with such request within 60 days after the receipt thereof and the offer of security or indemnity;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 Holders of a majority in aggregate principal amount of the then Outstanding Securities of that series have not given the Trustee a direction inconsistent with such request within such 60-day period; </w:t>
      </w:r>
    </w:p>
    <w:p>
      <w:pPr>
        <w:pStyle w:val="TextBody"/>
        <w:bidi w:val="0"/>
        <w:spacing w:before="240" w:after="0"/>
        <w:jc w:val="left"/>
        <w:rPr>
          <w:rFonts w:ascii="Times New Roman" w:hAnsi="Times New Roman"/>
          <w:sz w:val="20"/>
        </w:rPr>
      </w:pPr>
      <w:r>
        <w:rPr>
          <w:rFonts w:ascii="Times New Roman" w:hAnsi="Times New Roman"/>
          <w:sz w:val="20"/>
        </w:rPr>
        <w:t xml:space="preserve">it being understood and intended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of such Holders (it being understood that the Trustee does not have an affirmative duty to ascertain whether or not such actions or forbearances are unduly prejudicial to such Holders). </w:t>
      </w:r>
    </w:p>
    <w:p>
      <w:pPr>
        <w:pStyle w:val="TextBody"/>
        <w:bidi w:val="0"/>
        <w:spacing w:before="240" w:after="0"/>
        <w:jc w:val="left"/>
        <w:rPr>
          <w:rFonts w:ascii="Times New Roman" w:hAnsi="Times New Roman"/>
          <w:sz w:val="20"/>
        </w:rPr>
      </w:pPr>
      <w:r>
        <w:rPr>
          <w:rFonts w:ascii="Times New Roman" w:hAnsi="Times New Roman"/>
          <w:sz w:val="20"/>
        </w:rPr>
        <w:t xml:space="preserve">SECTION 5.08. </w:t>
      </w:r>
      <w:r>
        <w:rPr>
          <w:rFonts w:ascii="Times New Roman" w:hAnsi="Times New Roman"/>
          <w:i/>
          <w:sz w:val="20"/>
        </w:rPr>
        <w:t>Unconditional Right of Holders to Receive Principal, Premium and Interest.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any other provision in this Indenture, the Holder of any Security shall have the right, which is absolute and unconditional, to receive payment of the principal of and any premium and (subject to Section 3.07) interest on such Security on the respective Stated Maturities expressed in such Security (or, in the case of redemption, on the Redemption Date) and to institute suit for the enforcement of any such payment, and such rights shall not be impaired without the consent of such Holder. </w:t>
      </w:r>
    </w:p>
    <w:p>
      <w:pPr>
        <w:pStyle w:val="TextBody"/>
        <w:bidi w:val="0"/>
        <w:spacing w:before="240" w:after="0"/>
        <w:jc w:val="left"/>
        <w:rPr>
          <w:rFonts w:ascii="Times New Roman" w:hAnsi="Times New Roman"/>
          <w:sz w:val="20"/>
        </w:rPr>
      </w:pPr>
      <w:r>
        <w:rPr>
          <w:rFonts w:ascii="Times New Roman" w:hAnsi="Times New Roman"/>
          <w:sz w:val="20"/>
        </w:rPr>
        <w:t xml:space="preserve">SECTION 5.09. </w:t>
      </w:r>
      <w:r>
        <w:rPr>
          <w:rFonts w:ascii="Times New Roman" w:hAnsi="Times New Roman"/>
          <w:i/>
          <w:sz w:val="20"/>
        </w:rPr>
        <w:t>Restoration of Rights and Remedies.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Guarantor, the Trustee and the Holders shall be restored severally and respectively to their former positions hereunder and thereafter all rights and remedies of the Trustee and the Holders shall continue as though no such proceeding had been instituted. </w:t>
      </w:r>
    </w:p>
    <w:p>
      <w:pPr>
        <w:pStyle w:val="TextBody"/>
        <w:bidi w:val="0"/>
        <w:spacing w:before="240" w:after="0"/>
        <w:jc w:val="left"/>
        <w:rPr>
          <w:rFonts w:ascii="Times New Roman" w:hAnsi="Times New Roman"/>
          <w:sz w:val="20"/>
        </w:rPr>
      </w:pPr>
      <w:r>
        <w:rPr>
          <w:rFonts w:ascii="Times New Roman" w:hAnsi="Times New Roman"/>
          <w:sz w:val="20"/>
        </w:rPr>
        <w:t xml:space="preserve">SECTION 5.10. </w:t>
      </w:r>
      <w:r>
        <w:rPr>
          <w:rFonts w:ascii="Times New Roman" w:hAnsi="Times New Roman"/>
          <w:i/>
          <w:sz w:val="20"/>
        </w:rPr>
        <w:t>Rights and Remedies Cumulative.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Except as otherwise provided with respect to the replacement or payment of mutilated, destroyed, lost or stolen Securities in the last paragraph of Section 3.06,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 </w:t>
      </w:r>
    </w:p>
    <w:p>
      <w:pPr>
        <w:pStyle w:val="TextBody"/>
        <w:bidi w:val="0"/>
        <w:spacing w:before="240" w:after="0"/>
        <w:jc w:val="left"/>
        <w:rPr>
          <w:rFonts w:ascii="Times New Roman" w:hAnsi="Times New Roman"/>
          <w:sz w:val="20"/>
        </w:rPr>
      </w:pPr>
      <w:r>
        <w:rPr>
          <w:rFonts w:ascii="Times New Roman" w:hAnsi="Times New Roman"/>
          <w:sz w:val="20"/>
        </w:rPr>
        <w:t xml:space="preserve">SECTION 5.11. </w:t>
      </w:r>
      <w:r>
        <w:rPr>
          <w:rFonts w:ascii="Times New Roman" w:hAnsi="Times New Roman"/>
          <w:i/>
          <w:sz w:val="20"/>
        </w:rPr>
        <w:t>Delay or Omission Not Waiver.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Five or by law to the Trustee or to the Holders may be exercised from time to time, and as often as may be deemed expedient, by the Trustee or by the Holders, as the case may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5.12. </w:t>
      </w:r>
      <w:r>
        <w:rPr>
          <w:rFonts w:ascii="Times New Roman" w:hAnsi="Times New Roman"/>
          <w:i/>
          <w:sz w:val="20"/>
        </w:rPr>
        <w:t>Control by Holders.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a majority in principal amount of the Outstanding Securities of each affected series shall have the right to direct the time, method and place of conducting any proceeding for any remedy available to the Trustee, or exercising any trust or power conferred on the Trustee, with respect to the Securities of such series; </w:t>
      </w:r>
      <w:r>
        <w:rPr>
          <w:rFonts w:ascii="Times New Roman" w:hAnsi="Times New Roman"/>
          <w:i/>
          <w:sz w:val="20"/>
        </w:rPr>
        <w:t>provided</w:t>
      </w:r>
      <w:r>
        <w:rPr>
          <w:rFonts w:ascii="Times New Roman" w:hAnsi="Times New Roman"/>
          <w:sz w:val="20"/>
        </w:rPr>
        <w:t xml:space="preserve"> that: </w:t>
      </w:r>
    </w:p>
    <w:p>
      <w:pPr>
        <w:pStyle w:val="TextBody"/>
        <w:bidi w:val="0"/>
        <w:spacing w:before="120" w:after="0"/>
        <w:jc w:val="left"/>
        <w:rPr>
          <w:rFonts w:ascii="Times New Roman" w:hAnsi="Times New Roman"/>
          <w:sz w:val="20"/>
        </w:rPr>
      </w:pPr>
      <w:r>
        <w:rPr>
          <w:rFonts w:ascii="Times New Roman" w:hAnsi="Times New Roman"/>
          <w:sz w:val="20"/>
        </w:rPr>
        <w:t xml:space="preserve">(1) The Trustee may refuse to follow any such direction that conflicts with any rule of law or with this Indenture or that the Trustee determines is unduly prejudicial to the rights of other Holders of the affected series or would involve the Trustee in personal liability; and </w:t>
      </w:r>
    </w:p>
    <w:p>
      <w:pPr>
        <w:pStyle w:val="TextBody"/>
        <w:bidi w:val="0"/>
        <w:spacing w:before="120" w:after="0"/>
        <w:jc w:val="left"/>
        <w:rPr>
          <w:rFonts w:ascii="Times New Roman" w:hAnsi="Times New Roman"/>
          <w:sz w:val="20"/>
        </w:rPr>
      </w:pPr>
      <w:r>
        <w:rPr>
          <w:rFonts w:ascii="Times New Roman" w:hAnsi="Times New Roman"/>
          <w:sz w:val="20"/>
        </w:rPr>
        <w:t xml:space="preserve">(2) the Trustee may take any other action deemed proper by the Trustee which is not inconsistent with such direction. </w:t>
      </w:r>
    </w:p>
    <w:p>
      <w:pPr>
        <w:pStyle w:val="TextBody"/>
        <w:bidi w:val="0"/>
        <w:spacing w:before="240" w:after="0"/>
        <w:jc w:val="left"/>
        <w:rPr>
          <w:rFonts w:ascii="Times New Roman" w:hAnsi="Times New Roman"/>
          <w:sz w:val="20"/>
        </w:rPr>
      </w:pPr>
      <w:r>
        <w:rPr>
          <w:rFonts w:ascii="Times New Roman" w:hAnsi="Times New Roman"/>
          <w:sz w:val="20"/>
        </w:rPr>
        <w:t xml:space="preserve">SECTION 5.13. </w:t>
      </w:r>
      <w:r>
        <w:rPr>
          <w:rFonts w:ascii="Times New Roman" w:hAnsi="Times New Roman"/>
          <w:i/>
          <w:sz w:val="20"/>
        </w:rPr>
        <w:t>Waiver of Past Defaults.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not less than a majority in principal amount of the Outstanding Securities of each affected series may on behalf of the Holders of all the Securities of such series waive any past default hereunder with respect to such series and its consequences, except a default: </w:t>
      </w:r>
    </w:p>
    <w:p>
      <w:pPr>
        <w:pStyle w:val="TextBody"/>
        <w:bidi w:val="0"/>
        <w:spacing w:before="120" w:after="0"/>
        <w:jc w:val="left"/>
        <w:rPr>
          <w:rFonts w:ascii="Times New Roman" w:hAnsi="Times New Roman"/>
          <w:sz w:val="20"/>
        </w:rPr>
      </w:pPr>
      <w:r>
        <w:rPr>
          <w:rFonts w:ascii="Times New Roman" w:hAnsi="Times New Roman"/>
          <w:sz w:val="20"/>
        </w:rPr>
        <w:t xml:space="preserve">(1) in the payment of the principal of or any premium or interest on any Security of such series, or </w:t>
      </w:r>
    </w:p>
    <w:p>
      <w:pPr>
        <w:pStyle w:val="TextBody"/>
        <w:bidi w:val="0"/>
        <w:spacing w:before="120" w:after="0"/>
        <w:jc w:val="left"/>
        <w:rPr>
          <w:rFonts w:ascii="Times New Roman" w:hAnsi="Times New Roman"/>
          <w:sz w:val="20"/>
        </w:rPr>
      </w:pPr>
      <w:r>
        <w:rPr>
          <w:rFonts w:ascii="Times New Roman" w:hAnsi="Times New Roman"/>
          <w:sz w:val="20"/>
        </w:rPr>
        <w:t xml:space="preserve">(2) in respect of a covenant or provision hereof which under Article Nine cannot be modified or amended without the consent of the Holder of each Outstanding Security of such affected series . </w:t>
      </w:r>
    </w:p>
    <w:p>
      <w:pPr>
        <w:pStyle w:val="TextBody"/>
        <w:bidi w:val="0"/>
        <w:spacing w:before="240" w:after="0"/>
        <w:jc w:val="left"/>
        <w:rPr>
          <w:rFonts w:ascii="Times New Roman" w:hAnsi="Times New Roman"/>
          <w:sz w:val="20"/>
        </w:rPr>
      </w:pPr>
      <w:r>
        <w:rPr>
          <w:rFonts w:ascii="Times New Roman" w:hAnsi="Times New Roman"/>
          <w:sz w:val="20"/>
        </w:rPr>
        <w:t xml:space="preserve">Upon any such waiver, such default shall cease to exist, and any Event of Default arising therefrom shall be deemed to have been cured, for every purpose of this Indenture; but no such waiver shall extend to any subsequent or other default or impair any right consequent thereon. </w:t>
      </w:r>
    </w:p>
    <w:p>
      <w:pPr>
        <w:pStyle w:val="TextBody"/>
        <w:bidi w:val="0"/>
        <w:spacing w:before="240" w:after="0"/>
        <w:jc w:val="left"/>
        <w:rPr>
          <w:rFonts w:ascii="Times New Roman" w:hAnsi="Times New Roman"/>
          <w:sz w:val="20"/>
        </w:rPr>
      </w:pPr>
      <w:r>
        <w:rPr>
          <w:rFonts w:ascii="Times New Roman" w:hAnsi="Times New Roman"/>
          <w:sz w:val="20"/>
        </w:rPr>
        <w:t xml:space="preserve">SECTION 5.14. </w:t>
      </w:r>
      <w:r>
        <w:rPr>
          <w:rFonts w:ascii="Times New Roman" w:hAnsi="Times New Roman"/>
          <w:i/>
          <w:sz w:val="20"/>
        </w:rPr>
        <w:t>Undertaking for Costs.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In any suit for the enforcement of any right or remedy under this Indenture, or in any suit against the Trustee for any action taken, suffered or omitted by it as Trustee, a court may require any party litigant in such suit to file an undertaking to pay the costs of such suit, and may assess costs against any such party litigant, in the manner and to the extent provided in the Trust Indenture Act; </w:t>
      </w:r>
      <w:r>
        <w:rPr>
          <w:rFonts w:ascii="Times New Roman" w:hAnsi="Times New Roman"/>
          <w:i/>
          <w:sz w:val="20"/>
        </w:rPr>
        <w:t>provided</w:t>
      </w:r>
      <w:r>
        <w:rPr>
          <w:rFonts w:ascii="Times New Roman" w:hAnsi="Times New Roman"/>
          <w:sz w:val="20"/>
        </w:rPr>
        <w:t xml:space="preserve"> that neither this Section 5.14 nor the Trust Indenture Act shall be deemed to authorize any court to require such an undertaking or to make such an assessment in any suit instituted by the Trustee or to any suit instituted by any Holder, or group of Holders, holding in the aggregate more than 10% in principal amount of the Outstanding Securities of any series, or to any suit instituted by any Holder for the enforcement of the payment of the principal of (or premium, if any) or interest on any Security on or after the Stated Maturity or Maturities expressed in such Security (or, in the case of redemption, on or after the Redemption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5.15. </w:t>
      </w:r>
      <w:r>
        <w:rPr>
          <w:rFonts w:ascii="Times New Roman" w:hAnsi="Times New Roman"/>
          <w:i/>
          <w:sz w:val="20"/>
        </w:rPr>
        <w:t>Waiver of Usury, Stay or Extension Laws.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Each of the Company and the Guarantor covenants (to the extent that it may lawfully do so) that it will not at any time insist upon, or plead, or in any manner whatsoever claim or take the benefit or advantage of, any usury, stay or extension law wherever enacted, now or at any time hereafter in force, which may affect the covenants or the performance of this Indenture; and the Company and the Guarantor (to the extent that each may lawfully do so) hereby each expressly waives all benefit or advantage of any such law and covenants that it will not hinder, delay or impede the execution of any power herein granted to the Trustee, but will suffer and permit the execution of every such power as though no such law had been enacted.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SIX </w:t>
      </w:r>
    </w:p>
    <w:p>
      <w:pPr>
        <w:pStyle w:val="TextBody"/>
        <w:bidi w:val="0"/>
        <w:spacing w:before="240" w:after="0"/>
        <w:jc w:val="center"/>
        <w:rPr>
          <w:rFonts w:ascii="Times New Roman" w:hAnsi="Times New Roman"/>
          <w:sz w:val="20"/>
        </w:rPr>
      </w:pPr>
      <w:r>
        <w:rPr>
          <w:rFonts w:ascii="Times New Roman" w:hAnsi="Times New Roman"/>
          <w:sz w:val="20"/>
        </w:rPr>
        <w:t xml:space="preserve">THE TRUSTEE </w:t>
      </w:r>
    </w:p>
    <w:p>
      <w:pPr>
        <w:pStyle w:val="TextBody"/>
        <w:bidi w:val="0"/>
        <w:spacing w:before="240" w:after="0"/>
        <w:jc w:val="left"/>
        <w:rPr>
          <w:rFonts w:ascii="Times New Roman" w:hAnsi="Times New Roman"/>
          <w:sz w:val="20"/>
        </w:rPr>
      </w:pPr>
      <w:r>
        <w:rPr>
          <w:rFonts w:ascii="Times New Roman" w:hAnsi="Times New Roman"/>
          <w:sz w:val="20"/>
        </w:rPr>
        <w:t xml:space="preserve">SECTION 6.01. </w:t>
      </w:r>
      <w:r>
        <w:rPr>
          <w:rFonts w:ascii="Times New Roman" w:hAnsi="Times New Roman"/>
          <w:i/>
          <w:sz w:val="20"/>
        </w:rPr>
        <w:t>Certain Duties and Responsibilities.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(1) If an Event of Default has occurred and is continuing, the Trustee shall exercise such of the rights and powers vested in it by this Indenture, and use the same degree of care and skill in its exercise, as a prudent person would exercise or use under the circumstances in the conduct of such person’s own affairs. </w:t>
      </w:r>
    </w:p>
    <w:p>
      <w:pPr>
        <w:pStyle w:val="TextBody"/>
        <w:bidi w:val="0"/>
        <w:spacing w:before="120" w:after="0"/>
        <w:jc w:val="left"/>
        <w:rPr>
          <w:rFonts w:ascii="Times New Roman" w:hAnsi="Times New Roman"/>
          <w:sz w:val="20"/>
        </w:rPr>
      </w:pPr>
      <w:r>
        <w:rPr>
          <w:rFonts w:ascii="Times New Roman" w:hAnsi="Times New Roman"/>
          <w:sz w:val="20"/>
        </w:rPr>
        <w:t xml:space="preserve">(2) Except during the continuance of an Event of Default: </w:t>
      </w:r>
    </w:p>
    <w:p>
      <w:pPr>
        <w:pStyle w:val="TextBody"/>
        <w:bidi w:val="0"/>
        <w:spacing w:before="120" w:after="0"/>
        <w:jc w:val="left"/>
        <w:rPr>
          <w:rFonts w:ascii="Times New Roman" w:hAnsi="Times New Roman"/>
          <w:sz w:val="20"/>
        </w:rPr>
      </w:pPr>
      <w:r>
        <w:rPr>
          <w:rFonts w:ascii="Times New Roman" w:hAnsi="Times New Roman"/>
          <w:sz w:val="20"/>
        </w:rPr>
        <w:t xml:space="preserve">(i) the duties of the Trustee shall be determined solely by the express provisions of this Indenture, and the Trustee need perform only those duties that are specifically set forth in this Indenture and no others, and no implied covenants or obligations shall be read into this Indenture against the Trustee; and </w:t>
      </w:r>
    </w:p>
    <w:p>
      <w:pPr>
        <w:pStyle w:val="TextBody"/>
        <w:bidi w:val="0"/>
        <w:spacing w:before="120" w:after="0"/>
        <w:jc w:val="left"/>
        <w:rPr>
          <w:rFonts w:ascii="Times New Roman" w:hAnsi="Times New Roman"/>
          <w:sz w:val="20"/>
        </w:rPr>
      </w:pPr>
      <w:r>
        <w:rPr>
          <w:rFonts w:ascii="Times New Roman" w:hAnsi="Times New Roman"/>
          <w:sz w:val="20"/>
        </w:rPr>
        <w:t xml:space="preserve">(ii) in the absence of bad faith on its part, the Trustee may conclusively rely, as to the truth of the statements and the correctness of the opinions expressed therein, upon certificates or opinions furnished to the Trustee and conforming to the requirements of this Indenture. However, in the case of any such certificates or opinions which by any provision hereof are specifically required to be furnished to the Trustee, the Trustee shall examine the certificates and opinions to determine whether or not they conform to the requirements of this Indenture (but need not confirm or investigate the accuracy of mathematical calculations or other facts stated therein). </w:t>
      </w:r>
    </w:p>
    <w:p>
      <w:pPr>
        <w:pStyle w:val="TextBody"/>
        <w:bidi w:val="0"/>
        <w:spacing w:before="120" w:after="0"/>
        <w:jc w:val="left"/>
        <w:rPr>
          <w:rFonts w:ascii="Times New Roman" w:hAnsi="Times New Roman"/>
          <w:sz w:val="20"/>
        </w:rPr>
      </w:pPr>
      <w:r>
        <w:rPr>
          <w:rFonts w:ascii="Times New Roman" w:hAnsi="Times New Roman"/>
          <w:sz w:val="20"/>
        </w:rPr>
        <w:t xml:space="preserve">(3) The Trustee may not be relieved from liabilities for its own negligent action, its own negligent failure to act, or its own willful misconduct, except that: </w:t>
      </w:r>
    </w:p>
    <w:p>
      <w:pPr>
        <w:pStyle w:val="TextBody"/>
        <w:bidi w:val="0"/>
        <w:spacing w:before="120" w:after="0"/>
        <w:jc w:val="left"/>
        <w:rPr>
          <w:rFonts w:ascii="Times New Roman" w:hAnsi="Times New Roman"/>
          <w:sz w:val="20"/>
        </w:rPr>
      </w:pPr>
      <w:r>
        <w:rPr>
          <w:rFonts w:ascii="Times New Roman" w:hAnsi="Times New Roman"/>
          <w:sz w:val="20"/>
        </w:rPr>
        <w:t xml:space="preserve">(i) this paragraph does not limit the effect of paragraph (2) of this Section 6.01; </w:t>
      </w:r>
    </w:p>
    <w:p>
      <w:pPr>
        <w:pStyle w:val="TextBody"/>
        <w:bidi w:val="0"/>
        <w:spacing w:before="120" w:after="0"/>
        <w:jc w:val="left"/>
        <w:rPr>
          <w:rFonts w:ascii="Times New Roman" w:hAnsi="Times New Roman"/>
          <w:sz w:val="20"/>
        </w:rPr>
      </w:pPr>
      <w:r>
        <w:rPr>
          <w:rFonts w:ascii="Times New Roman" w:hAnsi="Times New Roman"/>
          <w:sz w:val="20"/>
        </w:rPr>
        <w:t xml:space="preserve">(ii) the Trustee shall not be liable for any error of judgment made in good faith by a Responsible Officer, unless it is proved in a court of competent jurisdiction that the Trustee was negligent in ascertaining the pertinent facts;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the Trustee shall not be liable with respect to any action it takes or omits to take in good faith in accordance with a direction received by it pursuant to Section 5.12. </w:t>
      </w:r>
    </w:p>
    <w:p>
      <w:pPr>
        <w:pStyle w:val="TextBody"/>
        <w:bidi w:val="0"/>
        <w:spacing w:before="120" w:after="0"/>
        <w:jc w:val="left"/>
        <w:rPr>
          <w:rFonts w:ascii="Times New Roman" w:hAnsi="Times New Roman"/>
          <w:sz w:val="20"/>
        </w:rPr>
      </w:pPr>
      <w:r>
        <w:rPr>
          <w:rFonts w:ascii="Times New Roman" w:hAnsi="Times New Roman"/>
          <w:sz w:val="20"/>
        </w:rPr>
        <w:t xml:space="preserve">(4) Whether or not therein expressly so provided, every provision of this Indenture that in any way relates to the Trustee is subject to paragraphs (1), (2) and (3) of this Section 6.01. </w:t>
      </w:r>
    </w:p>
    <w:p>
      <w:pPr>
        <w:pStyle w:val="TextBody"/>
        <w:bidi w:val="0"/>
        <w:spacing w:before="120" w:after="0"/>
        <w:jc w:val="left"/>
        <w:rPr>
          <w:rFonts w:ascii="Times New Roman" w:hAnsi="Times New Roman"/>
          <w:sz w:val="20"/>
        </w:rPr>
      </w:pPr>
      <w:r>
        <w:rPr>
          <w:rFonts w:ascii="Times New Roman" w:hAnsi="Times New Roman"/>
          <w:sz w:val="20"/>
        </w:rPr>
        <w:t xml:space="preserve">(5) None of the provisions of this Indenture shall require the Trustee to expend or risk its own funds or otherwise to incur any liability, financial or otherwise, in the performance of any of its duties hereunder, or in the exercise of any of its rights or powers if it shall have reasonable grounds for believing that repayment of such funds or indemnity satisfactory to it against such risk or liability is not assured to it. </w:t>
      </w:r>
    </w:p>
    <w:p>
      <w:pPr>
        <w:pStyle w:val="TextBody"/>
        <w:bidi w:val="0"/>
        <w:spacing w:before="120" w:after="0"/>
        <w:jc w:val="left"/>
        <w:rPr>
          <w:rFonts w:ascii="Times New Roman" w:hAnsi="Times New Roman"/>
          <w:sz w:val="20"/>
        </w:rPr>
      </w:pPr>
      <w:r>
        <w:rPr>
          <w:rFonts w:ascii="Times New Roman" w:hAnsi="Times New Roman"/>
          <w:sz w:val="20"/>
        </w:rPr>
        <w:t xml:space="preserve">(6) The Trustee shall not be liable for interest on any money received by it except as the Trustee may agree in writing with the Company or the Guarantor. Money held in trust by the Trustee need not be segregated from other funds except to the extent required by law. </w:t>
      </w:r>
    </w:p>
    <w:p>
      <w:pPr>
        <w:pStyle w:val="TextBody"/>
        <w:bidi w:val="0"/>
        <w:spacing w:before="240" w:after="0"/>
        <w:jc w:val="left"/>
        <w:rPr>
          <w:rFonts w:ascii="Times New Roman" w:hAnsi="Times New Roman"/>
          <w:sz w:val="20"/>
        </w:rPr>
      </w:pPr>
      <w:r>
        <w:rPr>
          <w:rFonts w:ascii="Times New Roman" w:hAnsi="Times New Roman"/>
          <w:sz w:val="20"/>
        </w:rPr>
        <w:t xml:space="preserve">SECTION 6.02. </w:t>
      </w:r>
      <w:r>
        <w:rPr>
          <w:rFonts w:ascii="Times New Roman" w:hAnsi="Times New Roman"/>
          <w:i/>
          <w:sz w:val="20"/>
        </w:rPr>
        <w:t>Notice of Defaults.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a default occurs hereunder with respect to Securities of any series and written notice of such default is provided to a Responsible Officer of the Trustee, the Trustee shall give the Holders of Securities of such series notice of such default within 90 days after such written notice is received by such Responsible Officer;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in the case of any default of the character specified in Section 5.01(8) with respect to Securities of such series, no such notice to Holders shall be given until at least 30 days after the occurrence thereof. For the purpose of this Section 6.02, the term “default” means any event which is, or after notice or lapse of time or both would become, an Event of Default with respect to Securities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SECTION 6.03. </w:t>
      </w:r>
      <w:r>
        <w:rPr>
          <w:rFonts w:ascii="Times New Roman" w:hAnsi="Times New Roman"/>
          <w:i/>
          <w:sz w:val="20"/>
        </w:rPr>
        <w:t>Certain Rights of Trustee.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provisions of Section 6.01: </w:t>
      </w:r>
    </w:p>
    <w:p>
      <w:pPr>
        <w:pStyle w:val="TextBody"/>
        <w:bidi w:val="0"/>
        <w:spacing w:before="120" w:after="0"/>
        <w:jc w:val="left"/>
        <w:rPr>
          <w:rFonts w:ascii="Times New Roman" w:hAnsi="Times New Roman"/>
          <w:sz w:val="20"/>
        </w:rPr>
      </w:pPr>
      <w:r>
        <w:rPr>
          <w:rFonts w:ascii="Times New Roman" w:hAnsi="Times New Roman"/>
          <w:sz w:val="20"/>
        </w:rPr>
        <w:t xml:space="preserve">(1) The Trustee may conclusively rely upon any document believed by it to be genuine and to have been signed or presented by the proper Person. The Trustee need not investigate any fact or matter stated in the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or the Guarantor, personally or by agent or attorney at the sole cost of the Company or the Guarantor, as the case may be, and shall incur no liability or additional liability of any kind by reason of such inquiry or investigation. </w:t>
      </w:r>
    </w:p>
    <w:p>
      <w:pPr>
        <w:pStyle w:val="TextBody"/>
        <w:bidi w:val="0"/>
        <w:spacing w:before="120" w:after="0"/>
        <w:jc w:val="left"/>
        <w:rPr>
          <w:rFonts w:ascii="Times New Roman" w:hAnsi="Times New Roman"/>
          <w:sz w:val="20"/>
        </w:rPr>
      </w:pPr>
      <w:r>
        <w:rPr>
          <w:rFonts w:ascii="Times New Roman" w:hAnsi="Times New Roman"/>
          <w:sz w:val="20"/>
        </w:rPr>
        <w:t xml:space="preserve">(2) Before the Trustee acts or refrains from acting, it may require an Officer’s Certificate or an Opinion of Counsel or both subject to the other provisions of this Indenture. The Trustee shall not be liable for any action it takes or omits to take in good faith in reliance on such Officer’s Certificate or Opinion of Counsel. The Trustee may consult with counsel of its selection and the advice of such counsel or any Opinion of Counsel shall be full and complete authorization and protection from liability in respect of any action taken, suffered or omitted by it hereunder in good faith and in reliance thereon.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The Trustee may act through its attorneys and agents and shall not be responsible for the misconduct or negligence of any agent or attorney appointed with due care. </w:t>
      </w:r>
    </w:p>
    <w:p>
      <w:pPr>
        <w:pStyle w:val="TextBody"/>
        <w:bidi w:val="0"/>
        <w:spacing w:before="120" w:after="0"/>
        <w:jc w:val="left"/>
        <w:rPr>
          <w:rFonts w:ascii="Times New Roman" w:hAnsi="Times New Roman"/>
          <w:sz w:val="20"/>
        </w:rPr>
      </w:pPr>
      <w:r>
        <w:rPr>
          <w:rFonts w:ascii="Times New Roman" w:hAnsi="Times New Roman"/>
          <w:sz w:val="20"/>
        </w:rPr>
        <w:t xml:space="preserve">(4) The Trustee shall not be liable for any action it takes or omits to take in good faith that it believes to be authorized or within the rights or powers conferred upon it by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(5) Unless otherwise specifically provided in this Indenture, any demand, request, direction or notice from the Company or the Guarantor shall be sufficient if signed by an Officer of the Company or the Guarantor, as the case may be. The Trustee shall not have any duty to inquire as to the performance of the Company’s or the Guarantor’s covenants herein. </w:t>
      </w:r>
    </w:p>
    <w:p>
      <w:pPr>
        <w:pStyle w:val="TextBody"/>
        <w:bidi w:val="0"/>
        <w:spacing w:before="120" w:after="0"/>
        <w:jc w:val="left"/>
        <w:rPr>
          <w:rFonts w:ascii="Times New Roman" w:hAnsi="Times New Roman"/>
          <w:sz w:val="20"/>
        </w:rPr>
      </w:pPr>
      <w:r>
        <w:rPr>
          <w:rFonts w:ascii="Times New Roman" w:hAnsi="Times New Roman"/>
          <w:sz w:val="20"/>
        </w:rPr>
        <w:t xml:space="preserve">(6) The Trustee shall not be under any obligation to exercise any of its rights or powers under this Indenture at the request or direction of any of the Holders of the Securities unless it receives indemnity and/or security satisfactory to it against any loss, liability or expense which might be incurred by it in compliance with such request or direction. </w:t>
      </w:r>
    </w:p>
    <w:p>
      <w:pPr>
        <w:pStyle w:val="TextBody"/>
        <w:bidi w:val="0"/>
        <w:spacing w:before="120" w:after="0"/>
        <w:jc w:val="left"/>
        <w:rPr>
          <w:rFonts w:ascii="Times New Roman" w:hAnsi="Times New Roman"/>
          <w:sz w:val="20"/>
        </w:rPr>
      </w:pPr>
      <w:r>
        <w:rPr>
          <w:rFonts w:ascii="Times New Roman" w:hAnsi="Times New Roman"/>
          <w:sz w:val="20"/>
        </w:rPr>
        <w:t xml:space="preserve">(7) In no event shall the Trustee be responsible or liable for special, indirect, punitive or consequential loss or damage of any kind whatsoever (including, but not limited to, loss of profit) irrespective of whether the Trustee has been advised of the likelihood of such loss or damage and regardless of the form of action. </w:t>
      </w:r>
    </w:p>
    <w:p>
      <w:pPr>
        <w:pStyle w:val="TextBody"/>
        <w:bidi w:val="0"/>
        <w:spacing w:before="120" w:after="0"/>
        <w:jc w:val="left"/>
        <w:rPr>
          <w:rFonts w:ascii="Times New Roman" w:hAnsi="Times New Roman"/>
          <w:sz w:val="20"/>
        </w:rPr>
      </w:pPr>
      <w:r>
        <w:rPr>
          <w:rFonts w:ascii="Times New Roman" w:hAnsi="Times New Roman"/>
          <w:sz w:val="20"/>
        </w:rPr>
        <w:t xml:space="preserve">(8) The rights, privileges, protections, immunities and benefits given to the Trustee, including its right to be indemnified, are extended to, and shall be enforceable by, the Trustee in each of its capacities hereunder, and by each agent, custodian and other Person employed to act hereunder. </w:t>
      </w:r>
    </w:p>
    <w:p>
      <w:pPr>
        <w:pStyle w:val="TextBody"/>
        <w:bidi w:val="0"/>
        <w:spacing w:before="120" w:after="0"/>
        <w:jc w:val="left"/>
        <w:rPr>
          <w:rFonts w:ascii="Times New Roman" w:hAnsi="Times New Roman"/>
          <w:sz w:val="20"/>
        </w:rPr>
      </w:pPr>
      <w:r>
        <w:rPr>
          <w:rFonts w:ascii="Times New Roman" w:hAnsi="Times New Roman"/>
          <w:sz w:val="20"/>
        </w:rPr>
        <w:t xml:space="preserve">(9) The Trustee shall not be required to give any bond or surety in respect of the performance of its powers or duties. </w:t>
      </w:r>
    </w:p>
    <w:p>
      <w:pPr>
        <w:pStyle w:val="TextBody"/>
        <w:bidi w:val="0"/>
        <w:spacing w:before="120" w:after="0"/>
        <w:jc w:val="left"/>
        <w:rPr>
          <w:rFonts w:ascii="Times New Roman" w:hAnsi="Times New Roman"/>
          <w:sz w:val="20"/>
        </w:rPr>
      </w:pPr>
      <w:r>
        <w:rPr>
          <w:rFonts w:ascii="Times New Roman" w:hAnsi="Times New Roman"/>
          <w:sz w:val="20"/>
        </w:rPr>
        <w:t xml:space="preserve">(10) In no event shall the Trustee be responsible or liable for any failure or delay in the performance of its obligations hereunder arising out of or caused by, directly or indirectly, forces beyond its control, including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 </w:t>
      </w:r>
    </w:p>
    <w:p>
      <w:pPr>
        <w:pStyle w:val="TextBody"/>
        <w:bidi w:val="0"/>
        <w:spacing w:before="120" w:after="0"/>
        <w:jc w:val="left"/>
        <w:rPr>
          <w:rFonts w:ascii="Times New Roman" w:hAnsi="Times New Roman"/>
          <w:sz w:val="20"/>
        </w:rPr>
      </w:pPr>
      <w:r>
        <w:rPr>
          <w:rFonts w:ascii="Times New Roman" w:hAnsi="Times New Roman"/>
          <w:sz w:val="20"/>
        </w:rPr>
        <w:t xml:space="preserve">(11) The Trustee may request that the Company or the Guarantor deliver an Officer’s Certificate setting forth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 </w:t>
      </w:r>
    </w:p>
    <w:p>
      <w:pPr>
        <w:pStyle w:val="TextBody"/>
        <w:bidi w:val="0"/>
        <w:spacing w:before="120" w:after="0"/>
        <w:jc w:val="left"/>
        <w:rPr>
          <w:rFonts w:ascii="Times New Roman" w:hAnsi="Times New Roman"/>
          <w:sz w:val="20"/>
        </w:rPr>
      </w:pPr>
      <w:r>
        <w:rPr>
          <w:rFonts w:ascii="Times New Roman" w:hAnsi="Times New Roman"/>
          <w:sz w:val="20"/>
        </w:rPr>
        <w:t xml:space="preserve">(12) The permissive rights of the Trustee enumerated herein shall not be construed as duties.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(13) The Trustee shall not be deemed to have notice of any Default or Event of Default unless written notice of any event which is in fact a Default or Event of Default is received by a Responsible Officer of the Trustee at the Corporate Trust Office, and such notice references the Securities and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6.04. </w:t>
      </w:r>
      <w:r>
        <w:rPr>
          <w:rFonts w:ascii="Times New Roman" w:hAnsi="Times New Roman"/>
          <w:i/>
          <w:sz w:val="20"/>
        </w:rPr>
        <w:t>Not Responsible for Recitals or Issuance of Securities.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recitals contained herein and in the Securities and the Guarantees, except the Trustee’s certificates of authentication, shall be taken as the statements of the Company and the Guarantor, and neither the Trustee nor any Authenticating Agent assumes any responsibility for their correctness. The Trustee makes no representations as to the validity or sufficiency of this Indenture, the Securities or the Guarantees. Neither the Trustee nor any Authenticating Agent shall be accountable for the use or application by the Company of Securities or the proceeds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6.05. </w:t>
      </w:r>
      <w:r>
        <w:rPr>
          <w:rFonts w:ascii="Times New Roman" w:hAnsi="Times New Roman"/>
          <w:i/>
          <w:sz w:val="20"/>
        </w:rPr>
        <w:t>May Hold Securities.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Trustee, any Authenticating Agent, any Paying Agent, any Security Registrar or any other agent of the Company or the Guarantor, in its individual or any other capacity, may become the owner or pledgee of Securities and, subject to Sections 6.08 and 6.13, may otherwise deal with the Company or the Guarantor with the same rights it would have if it were not Trustee, Authenticating Agent, Paying Agent, Security Registrar or such other agent. </w:t>
      </w:r>
    </w:p>
    <w:p>
      <w:pPr>
        <w:pStyle w:val="TextBody"/>
        <w:bidi w:val="0"/>
        <w:spacing w:before="240" w:after="0"/>
        <w:jc w:val="left"/>
        <w:rPr>
          <w:rFonts w:ascii="Times New Roman" w:hAnsi="Times New Roman"/>
          <w:sz w:val="20"/>
        </w:rPr>
      </w:pPr>
      <w:r>
        <w:rPr>
          <w:rFonts w:ascii="Times New Roman" w:hAnsi="Times New Roman"/>
          <w:sz w:val="20"/>
        </w:rPr>
        <w:t xml:space="preserve">SECTION 6.06. </w:t>
      </w:r>
      <w:r>
        <w:rPr>
          <w:rFonts w:ascii="Times New Roman" w:hAnsi="Times New Roman"/>
          <w:i/>
          <w:sz w:val="20"/>
        </w:rPr>
        <w:t>Money Held in Trust.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Money held by the Trustee in trust hereunder need not be segregated from other funds except to the extent required by law. The Trustee shall be under no liability for interest on any money received by it hereunder except as otherwise agreed in writing with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6.07. </w:t>
      </w:r>
      <w:r>
        <w:rPr>
          <w:rFonts w:ascii="Times New Roman" w:hAnsi="Times New Roman"/>
          <w:i/>
          <w:sz w:val="20"/>
        </w:rPr>
        <w:t>Compensation and Reimbursement.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(1) Each of the Company and the Guarantor agrees (i) to pay to the Trustee from time to time such compensation as the Company, the Guarantor and the Trustee shall, from time to time, agree in writing for all services rendered by it hereunder (which compensation shall not be limited by any provision of law in regard to the compensation of a trustee of an express trust); (ii) except as otherwise expressly provided herein, to reimburse the Trustee upon its request for all reasonable expenses, disbursements and advances incurred or made by the Trustee in accordance with any provision of this Indenture (including the reasonable compensation and the expenses and disbursements of its agents and counsel), except any such expense, disbursement or advance as may be attributable to its negligence or willful misconduct; and (iii) to jointly and severally indemnify the Trustee for, and to hold it harmless against, any loss, liability or expense (including, but not limited to, the reasonable compensation and the expenses and disbursements of its agents and counsel, and taxes levied other than taxes (including income, capital, franchise taxes) levied because of a connection between the Trustee and the jurisdiction levying the tax other than a connection arising solely as a result of the Trustee performing its obligations under this Indenture)) incurred without negligence or willful misconduct on its part, arising out of or in connection with the acceptance or administration of this Indenture and its duties under this Indenture and the Securities, including the costs and expenses of defending itself against any claim or liability in connection with the exercise or performance of any of its powers or duties under the Indenture and the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To secure the Company’s and the Guarantor’s payment obligations in this Section 6.07, the Trustee will have a lien prior to the Securities on all money or property held or collected by the Trustee, in its capacity as Trustee, except money or property held in trust to pay principal of, and interest on particular Securities. </w:t>
      </w:r>
    </w:p>
    <w:p>
      <w:pPr>
        <w:pStyle w:val="TextBody"/>
        <w:bidi w:val="0"/>
        <w:spacing w:before="120" w:after="0"/>
        <w:jc w:val="left"/>
        <w:rPr>
          <w:rFonts w:ascii="Times New Roman" w:hAnsi="Times New Roman"/>
          <w:sz w:val="20"/>
        </w:rPr>
      </w:pPr>
      <w:r>
        <w:rPr>
          <w:rFonts w:ascii="Times New Roman" w:hAnsi="Times New Roman"/>
          <w:sz w:val="20"/>
        </w:rPr>
        <w:t xml:space="preserve">(3) The obligations of the Company and the Guarantor under this Section 6.07 shall survive the payment of the Securities, the satisfaction and discharge of the Indenture and the resignation or removal of the Trustee. </w:t>
      </w:r>
    </w:p>
    <w:p>
      <w:pPr>
        <w:pStyle w:val="TextBody"/>
        <w:bidi w:val="0"/>
        <w:spacing w:before="120" w:after="0"/>
        <w:jc w:val="left"/>
        <w:rPr>
          <w:rFonts w:ascii="Times New Roman" w:hAnsi="Times New Roman"/>
          <w:sz w:val="20"/>
        </w:rPr>
      </w:pPr>
      <w:r>
        <w:rPr>
          <w:rFonts w:ascii="Times New Roman" w:hAnsi="Times New Roman"/>
          <w:sz w:val="20"/>
        </w:rPr>
        <w:t xml:space="preserve">(4) When the Trustee incurs expenses or renders services in connection with an Event of Default specified in Section 5.01(7) or Section 5.01(8), the expenses (including the reasonable charges and expenses of its counsel) and the compensation for the services are intended to constitute expenses of administration under any applicable bankruptcy, insolvency or other similar law. </w:t>
      </w:r>
    </w:p>
    <w:p>
      <w:pPr>
        <w:pStyle w:val="TextBody"/>
        <w:bidi w:val="0"/>
        <w:spacing w:before="240" w:after="0"/>
        <w:jc w:val="left"/>
        <w:rPr>
          <w:rFonts w:ascii="Times New Roman" w:hAnsi="Times New Roman"/>
          <w:sz w:val="20"/>
        </w:rPr>
      </w:pPr>
      <w:r>
        <w:rPr>
          <w:rFonts w:ascii="Times New Roman" w:hAnsi="Times New Roman"/>
          <w:sz w:val="20"/>
        </w:rPr>
        <w:t xml:space="preserve">SECTION 6.08. </w:t>
      </w:r>
      <w:r>
        <w:rPr>
          <w:rFonts w:ascii="Times New Roman" w:hAnsi="Times New Roman"/>
          <w:i/>
          <w:sz w:val="20"/>
        </w:rPr>
        <w:t>Disqualification; Conflicting Interests.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the Trustee has or shall acquire a conflicting interest within the meaning of the Trust Indenture Act, the Trustee shall either eliminate such interest or resign, to the extent and in the manner provided by, and subject to the provisions of, the Trust Indenture Act and this Indenture. To the extent permitted by the Trust Indenture Act, the Trustee shall not be deemed to have a conflicting interest by virtue of being a trustee under this Indenture with respect to Securities of more than one series. </w:t>
      </w:r>
    </w:p>
    <w:p>
      <w:pPr>
        <w:pStyle w:val="TextBody"/>
        <w:bidi w:val="0"/>
        <w:spacing w:before="240" w:after="0"/>
        <w:jc w:val="left"/>
        <w:rPr>
          <w:rFonts w:ascii="Times New Roman" w:hAnsi="Times New Roman"/>
          <w:sz w:val="20"/>
        </w:rPr>
      </w:pPr>
      <w:r>
        <w:rPr>
          <w:rFonts w:ascii="Times New Roman" w:hAnsi="Times New Roman"/>
          <w:sz w:val="20"/>
        </w:rPr>
        <w:t xml:space="preserve">SECTION 6.09. </w:t>
      </w:r>
      <w:r>
        <w:rPr>
          <w:rFonts w:ascii="Times New Roman" w:hAnsi="Times New Roman"/>
          <w:i/>
          <w:sz w:val="20"/>
        </w:rPr>
        <w:t>Corporate Trustee Required; Eligibility.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There shall at all times be one (and only one) Trustee hereunder with respect to the Securities of each series, which may be Trustee hereunder for Securities of one or more other series. Each Trustee shall be a Person that is eligible pursuant to the Trust Indenture Act to act as such and has a combined capital and surplus of at least $50,000,000 and is a corporation organized and doing business under the laws of the United States of America or of any state thereof that is authorized under such laws to exercise corporate trustee power. If any such Person publishes reports of condition at least annually, pursuant to law or to the requirements of its supervising or examining authority, then for the purposes of this Section 6.09 and to the extent permitted by the Trust Indenture Act, the combined capital and surplus of such Person shall be deemed to be its combined capital and surplus as set forth in its most recent report of condition so published. If at any time the Trustee with respect to the Securities of any series shall cease to be eligible in accordance with the provisions of this Section 6.09, it shall resign immediately in the manner and with the effect hereinafter specified in this Article Six. </w:t>
      </w:r>
    </w:p>
    <w:p>
      <w:pPr>
        <w:pStyle w:val="TextBody"/>
        <w:bidi w:val="0"/>
        <w:spacing w:before="240" w:after="0"/>
        <w:jc w:val="left"/>
        <w:rPr>
          <w:rFonts w:ascii="Times New Roman" w:hAnsi="Times New Roman"/>
          <w:sz w:val="20"/>
        </w:rPr>
      </w:pPr>
      <w:r>
        <w:rPr>
          <w:rFonts w:ascii="Times New Roman" w:hAnsi="Times New Roman"/>
          <w:sz w:val="20"/>
        </w:rPr>
        <w:t xml:space="preserve">SECTION 6.10. </w:t>
      </w:r>
      <w:r>
        <w:rPr>
          <w:rFonts w:ascii="Times New Roman" w:hAnsi="Times New Roman"/>
          <w:i/>
          <w:sz w:val="20"/>
        </w:rPr>
        <w:t>Resignation and Removal; Appointment of Successor.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No resignation or removal of the Trustee and no appointment of a successor Trustee pursuant to this Article Six shall become effective until the acceptance of appointment by the successor Trustee in accordance with the applicable requirements of Section 6.11.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Trustee may resign at any time with respect to the Securities of one or more series by giving written notice thereof to the Company at least 30 days prior to such resignation. If an instrument of acceptance by a successor Trustee shall not have been delivered to the Trustee within 30 days after the giving of such notice of resignation, the resigning Trustee may petition any court of competent jurisdiction for the appointment of a successor Trustee. </w:t>
      </w:r>
    </w:p>
    <w:p>
      <w:pPr>
        <w:pStyle w:val="TextBody"/>
        <w:bidi w:val="0"/>
        <w:spacing w:before="240" w:after="0"/>
        <w:jc w:val="left"/>
        <w:rPr>
          <w:rFonts w:ascii="Times New Roman" w:hAnsi="Times New Roman"/>
          <w:sz w:val="20"/>
        </w:rPr>
      </w:pPr>
      <w:r>
        <w:rPr>
          <w:rFonts w:ascii="Times New Roman" w:hAnsi="Times New Roman"/>
          <w:sz w:val="20"/>
        </w:rPr>
        <w:t xml:space="preserve">The Trustee may be removed at any time with respect to the Securities of any series by Act of the Holders of a majority in principal amount of the Outstanding Securities of such series, with written notice of such action delivered to the Trustee and to the Company and the Guarantor 30 days prior to the Trustee’s removal. </w:t>
      </w:r>
    </w:p>
    <w:p>
      <w:pPr>
        <w:pStyle w:val="TextBody"/>
        <w:bidi w:val="0"/>
        <w:spacing w:before="240" w:after="0"/>
        <w:jc w:val="left"/>
        <w:rPr>
          <w:rFonts w:ascii="Times New Roman" w:hAnsi="Times New Roman"/>
          <w:sz w:val="20"/>
        </w:rPr>
      </w:pPr>
      <w:r>
        <w:rPr>
          <w:rFonts w:ascii="Times New Roman" w:hAnsi="Times New Roman"/>
          <w:sz w:val="20"/>
        </w:rPr>
        <w:t xml:space="preserve">If at any time: </w:t>
      </w:r>
    </w:p>
    <w:p>
      <w:pPr>
        <w:pStyle w:val="TextBody"/>
        <w:bidi w:val="0"/>
        <w:spacing w:before="120" w:after="0"/>
        <w:jc w:val="left"/>
        <w:rPr>
          <w:rFonts w:ascii="Times New Roman" w:hAnsi="Times New Roman"/>
          <w:sz w:val="20"/>
        </w:rPr>
      </w:pPr>
      <w:r>
        <w:rPr>
          <w:rFonts w:ascii="Times New Roman" w:hAnsi="Times New Roman"/>
          <w:sz w:val="20"/>
        </w:rPr>
        <w:t xml:space="preserve">(1) the Trustee shall fail to comply with Section 6.08 after written request therefor by the Company and the Guarantor or by any Holder who has been a bona fide Holder of a Security for at least six months, or </w:t>
      </w:r>
    </w:p>
    <w:p>
      <w:pPr>
        <w:pStyle w:val="TextBody"/>
        <w:bidi w:val="0"/>
        <w:spacing w:before="120" w:after="0"/>
        <w:jc w:val="left"/>
        <w:rPr>
          <w:rFonts w:ascii="Times New Roman" w:hAnsi="Times New Roman"/>
          <w:sz w:val="20"/>
        </w:rPr>
      </w:pPr>
      <w:r>
        <w:rPr>
          <w:rFonts w:ascii="Times New Roman" w:hAnsi="Times New Roman"/>
          <w:sz w:val="20"/>
        </w:rPr>
        <w:t xml:space="preserve">(2) the Trustee shall cease to be eligible under Section 6.09 and shall fail to resign after written request therefor by the Company and the Guarantor or by any such Holder, or </w:t>
      </w:r>
    </w:p>
    <w:p>
      <w:pPr>
        <w:pStyle w:val="TextBody"/>
        <w:bidi w:val="0"/>
        <w:spacing w:before="120" w:after="0"/>
        <w:jc w:val="left"/>
        <w:rPr>
          <w:rFonts w:ascii="Times New Roman" w:hAnsi="Times New Roman"/>
          <w:sz w:val="20"/>
        </w:rPr>
      </w:pPr>
      <w:r>
        <w:rPr>
          <w:rFonts w:ascii="Times New Roman" w:hAnsi="Times New Roman"/>
          <w:sz w:val="20"/>
        </w:rPr>
        <w:t xml:space="preserve">(3) 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 </w:t>
      </w:r>
    </w:p>
    <w:p>
      <w:pPr>
        <w:pStyle w:val="TextBody"/>
        <w:bidi w:val="0"/>
        <w:spacing w:before="240" w:after="0"/>
        <w:jc w:val="left"/>
        <w:rPr>
          <w:rFonts w:ascii="Times New Roman" w:hAnsi="Times New Roman"/>
          <w:sz w:val="20"/>
        </w:rPr>
      </w:pPr>
      <w:r>
        <w:rPr>
          <w:rFonts w:ascii="Times New Roman" w:hAnsi="Times New Roman"/>
          <w:sz w:val="20"/>
        </w:rPr>
        <w:t xml:space="preserve">then, in any such case, (A) the Company and the Guarantor by or pursuant to a Board Resolution may remove the Trustee with respect to all Securities or the Securities of any series upon providing 30 days’ written notice to the Trustee, or (B) subject to Section 5.14, any Holder who has been a bona fide Holder of a Security of any series for at least six months may, on behalf of himself and all others similarly situated, petition any court of competent jurisdiction for the removal of the Trustee with respect to all Securities of such series and the appointment of a successor Trustee or Trustees with respect thereto. </w:t>
      </w:r>
    </w:p>
    <w:p>
      <w:pPr>
        <w:pStyle w:val="TextBody"/>
        <w:bidi w:val="0"/>
        <w:spacing w:before="240" w:after="0"/>
        <w:jc w:val="left"/>
        <w:rPr>
          <w:rFonts w:ascii="Times New Roman" w:hAnsi="Times New Roman"/>
          <w:sz w:val="20"/>
        </w:rPr>
      </w:pPr>
      <w:r>
        <w:rPr>
          <w:rFonts w:ascii="Times New Roman" w:hAnsi="Times New Roman"/>
          <w:sz w:val="20"/>
        </w:rPr>
        <w:t xml:space="preserve">If the Trustee shall resign, be removed or become incapable of acting, or if a vacancy shall occur in the office of Trustee for any cause, with respect to the Securities of one or more series, the Company and the Guarantor, by a Board Resolution, shall promptly appoint a successor Trustee or Trustees with respect to the Securities of that or those series (it being understood that any such successor Trustee may be appointed with respect to the Securities of one or more or all of such series and that at any time there shall be only one Trustee with respect to the Securities of any particular series) and shall comply with the applicable requirements of Section 6.11. If, within one year after such resignation, removal or incapability, or the occurrence of such vacancy, a successor Trustee with respect to the Securities of any series shall be appointed by Act of the Holders of a majority in principal amount of the Outstanding Securities of such series delivered to the Company, the Guarantor and the retiring Trustee, the successor Trustee so appointed shall, forthwith upon its acceptance of such appointment in accordance with the applicable requirements of Section 6.11, become the successor Trustee with respect to the Securities of such series and to that extent supersede the successor Trustee appointed by the Company and the Guarantor. If no successor Trustee with respect to the Securities of any series shall have been so appointed by the Company and the Guarantor or the Holders and accepted appointment in the manner required by Section 6.11, subject to Section 5.14, any Holder who has been a bona fide Holder of a Security of such series for at least six months may, on behalf of himself and all others similarly situated, or the retiring Trustee, at the expense of the Company, may petition any court of competent jurisdiction for the appointment of a successor Trustee with respect to the Securities of such series.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shall give written notice of each resignation and each removal of the Trustee with respect to the Securities of any series and each appointment of a successor Trustee with respect to the Securities of any series to all Holders of Securities of such series in the manner provided in Section 1.06. Each notice of such appointment shall include the name of the successor Trustee with respect to the Securities of such series and the address of its Corporate Trust Office. Notices of resignation, removal and appointment may be combined into a single notice. </w:t>
      </w:r>
    </w:p>
    <w:p>
      <w:pPr>
        <w:pStyle w:val="TextBody"/>
        <w:bidi w:val="0"/>
        <w:spacing w:before="240" w:after="0"/>
        <w:jc w:val="left"/>
        <w:rPr>
          <w:rFonts w:ascii="Times New Roman" w:hAnsi="Times New Roman"/>
          <w:sz w:val="20"/>
        </w:rPr>
      </w:pPr>
      <w:r>
        <w:rPr>
          <w:rFonts w:ascii="Times New Roman" w:hAnsi="Times New Roman"/>
          <w:sz w:val="20"/>
        </w:rPr>
        <w:t xml:space="preserve">SECTION 6.11. </w:t>
      </w:r>
      <w:r>
        <w:rPr>
          <w:rFonts w:ascii="Times New Roman" w:hAnsi="Times New Roman"/>
          <w:i/>
          <w:sz w:val="20"/>
        </w:rPr>
        <w:t>Acceptance of Appointment by Successor.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In case of the appointment hereunder of a successor Trustee with respect to all Securities, every such successor Trustee so appointed shall execute, acknowledge and deliver to the Company and the Guarantor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the Guarantor or the successor Trustee, such retiring Trustee shall, upon payment of its outstanding fees (including, but not limited to, reasonable attorney’s fees and expenses), execute and deliver an instrument (in form and substance reasonably satisfactory to the parties executing the same) transferring to such successor Trustee all the rights, powers and trusts of the retiring Trustee and shall duly assign, transfer and deliver to such successor Trustee all property and money held by such retiring Trustee hereunder. </w:t>
      </w:r>
    </w:p>
    <w:p>
      <w:pPr>
        <w:pStyle w:val="TextBody"/>
        <w:bidi w:val="0"/>
        <w:spacing w:before="240" w:after="0"/>
        <w:jc w:val="left"/>
        <w:rPr>
          <w:rFonts w:ascii="Times New Roman" w:hAnsi="Times New Roman"/>
          <w:sz w:val="20"/>
        </w:rPr>
      </w:pPr>
      <w:r>
        <w:rPr>
          <w:rFonts w:ascii="Times New Roman" w:hAnsi="Times New Roman"/>
          <w:sz w:val="20"/>
        </w:rPr>
        <w:t xml:space="preserve">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(in form and substance reasonably satisfactory to the parties executing the same)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the request of the Company, the Guarantor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Upon request of any such successor Trustee, the Company shall execute any and all instruments for more fully and certainly vesting in and confirming to such successor Trustee all such rights, powers and trusts referred to in the first or second preceding paragraph,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No successor Trustee shall accept its appointment unless at the time of such acceptance such successor Trustee shall be qualified and eligible under this Article Six. </w:t>
      </w:r>
    </w:p>
    <w:p>
      <w:pPr>
        <w:pStyle w:val="TextBody"/>
        <w:bidi w:val="0"/>
        <w:spacing w:before="240" w:after="0"/>
        <w:jc w:val="left"/>
        <w:rPr>
          <w:rFonts w:ascii="Times New Roman" w:hAnsi="Times New Roman"/>
          <w:sz w:val="20"/>
        </w:rPr>
      </w:pPr>
      <w:r>
        <w:rPr>
          <w:rFonts w:ascii="Times New Roman" w:hAnsi="Times New Roman"/>
          <w:sz w:val="20"/>
        </w:rPr>
        <w:t xml:space="preserve">SECTION 6.12. </w:t>
      </w:r>
      <w:r>
        <w:rPr>
          <w:rFonts w:ascii="Times New Roman" w:hAnsi="Times New Roman"/>
          <w:i/>
          <w:sz w:val="20"/>
        </w:rPr>
        <w:t>Merger, Conversion, Consolidation or Succession to Business.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Any corporation into which the Trustee may be merged or converted or with which it may be consolidated, or any corporation resulting from any merger, conversion or consolidation to which the Trustee shall be a party, or any corporation succeeding to all or substantially all the corporate trust business of the Trustee, shall be the successor of the Trustee hereunder, provided such corporation shall be otherwise qualified and eligible under this Article Six, without the execution or filing of any paper or any further act on the part of any of the parties hereto.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 </w:t>
      </w:r>
    </w:p>
    <w:p>
      <w:pPr>
        <w:pStyle w:val="TextBody"/>
        <w:bidi w:val="0"/>
        <w:spacing w:before="240" w:after="0"/>
        <w:jc w:val="left"/>
        <w:rPr>
          <w:rFonts w:ascii="Times New Roman" w:hAnsi="Times New Roman"/>
          <w:sz w:val="20"/>
        </w:rPr>
      </w:pPr>
      <w:r>
        <w:rPr>
          <w:rFonts w:ascii="Times New Roman" w:hAnsi="Times New Roman"/>
          <w:sz w:val="20"/>
        </w:rPr>
        <w:t xml:space="preserve">SECTION 6.13. </w:t>
      </w:r>
      <w:r>
        <w:rPr>
          <w:rFonts w:ascii="Times New Roman" w:hAnsi="Times New Roman"/>
          <w:i/>
          <w:sz w:val="20"/>
        </w:rPr>
        <w:t>Preferential Collection of Claims Against Company or the Guarantor.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and when the Trustee shall be or become a creditor of the Company or the Guarantor or any other obligor upon the Securities, the Trustee shall be subject to the provisions of the Trust Indenture Act regarding the collection of claims against the Company or the Guarantor or any such other obligor. </w:t>
      </w:r>
    </w:p>
    <w:p>
      <w:pPr>
        <w:pStyle w:val="TextBody"/>
        <w:bidi w:val="0"/>
        <w:spacing w:before="240" w:after="0"/>
        <w:jc w:val="left"/>
        <w:rPr>
          <w:rFonts w:ascii="Times New Roman" w:hAnsi="Times New Roman"/>
          <w:sz w:val="20"/>
        </w:rPr>
      </w:pPr>
      <w:r>
        <w:rPr>
          <w:rFonts w:ascii="Times New Roman" w:hAnsi="Times New Roman"/>
          <w:sz w:val="20"/>
        </w:rPr>
        <w:t xml:space="preserve">SECTION 6.14. </w:t>
      </w:r>
      <w:r>
        <w:rPr>
          <w:rFonts w:ascii="Times New Roman" w:hAnsi="Times New Roman"/>
          <w:i/>
          <w:sz w:val="20"/>
        </w:rPr>
        <w:t>Appointment of Authenticating Agent.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Trustee may appoint an Authenticating Agent or Agents with respect to one or more series of Securities which shall be authorized to act on behalf of the Trustee to authenticate Securities of such series issued upon original issue and upon exchange, registration of transfer, or partial redemption thereof or pursuant to Section 3.06, and Securities so authenticated shall be entitled to the benefits of this Indenture and shall be valid and obligatory for all purposes as if authenticated by the Trustee hereunder. Wherever reference is made in this Indenture to the authentication and delivery of Securities by the Trustee or the Trustee’s certificate of authentication, such reference shall be deemed to include authentication and delivery on behalf of the Trustee by an Authenticating Agent and a certificate of authentication executed on behalf of the Trustee by an Authenticating Agent. Each Authenticating Agent shall be acceptable to the Company and the Guarantor and shall at all times be a Person organized and doing business under the laws of the United States of America, any State thereof or the District of Columbia, authorized under such laws to act as Authenticating Agent, having a combined capital and surplus of not less than $50,000,000 and subject to supervision or examination by U.S. federal or state authority. If such Authenticating Agent publishes reports of condition at least annually, pursuant to law or to the requirements of said supervising or examining authority, then for the purposes of this Section 6.14, the combined capital and surplus of such Authenticating Agent shall be deemed to be its combined capital and surplus as set forth in its most recent report of condition so published. If at any time an Authenticating Agent shall cease to be eligible in accordance with the provisions of this Section 6.14, such Authenticating Agent shall resign immediately in the manner and with the effect specified in this Section 6.14.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Person into which an Authenticating Agent may be merged or converted or with which it may be consolidated, or any Person resulting from any merger, conversion or consolidation to which such Authenticating Agent shall be a party, or any Person succeeding to the corporate agency or corporate trust business of an Authenticating Agent, shall continue to be an Authenticating Agent, provided such Person shall be otherwise eligible under this Section 6.14, without the execution or filing of any paper or any further act on the part of the Trustee or the Authenticating Agent. </w:t>
      </w:r>
    </w:p>
    <w:p>
      <w:pPr>
        <w:pStyle w:val="TextBody"/>
        <w:bidi w:val="0"/>
        <w:spacing w:before="240" w:after="0"/>
        <w:jc w:val="left"/>
        <w:rPr>
          <w:rFonts w:ascii="Times New Roman" w:hAnsi="Times New Roman"/>
          <w:sz w:val="20"/>
        </w:rPr>
      </w:pPr>
      <w:r>
        <w:rPr>
          <w:rFonts w:ascii="Times New Roman" w:hAnsi="Times New Roman"/>
          <w:sz w:val="20"/>
        </w:rPr>
        <w:t xml:space="preserve">An Authenticating Agent may resign at any time by giving written notice thereof to the Trustee for such series and to the Company and the Guarantor. The Trustee for any series of Securities may at any time terminate the agency of an Authenticating Agent by giving written notice thereof to such Authenticating Agent and to the Company and the Guarantor. Upon receiving such a notice of resignation or upon such a termination, or in case at any time such Authenticating Agent shall cease to be eligible in accordance with the provisions of this Section 6.14, the Trustee for such series may appoint a successor Authenticating Agent which shall be acceptable to the Company and shall give notice of such appointment in the manner provided in Section 1.06 to all Holders of Securities of the series with respect to which such Authenticating Agent will serve, as their names and addresses appear in the Security Register. Any successor Authenticating Agent upon acceptance of its appointment hereunder shall become vested with all the rights, powers and duties of its predecessor hereunder, with like effect as if originally named as an Authenticating Agent. No successor Authenticating Agent shall be appointed unless eligible under the provisions of this Section 6.14. </w:t>
      </w:r>
    </w:p>
    <w:p>
      <w:pPr>
        <w:pStyle w:val="TextBody"/>
        <w:bidi w:val="0"/>
        <w:spacing w:before="240" w:after="0"/>
        <w:jc w:val="left"/>
        <w:rPr>
          <w:rFonts w:ascii="Times New Roman" w:hAnsi="Times New Roman"/>
          <w:sz w:val="20"/>
        </w:rPr>
      </w:pPr>
      <w:r>
        <w:rPr>
          <w:rFonts w:ascii="Times New Roman" w:hAnsi="Times New Roman"/>
          <w:sz w:val="20"/>
        </w:rPr>
        <w:t xml:space="preserve">The Company agrees to pay to each Authenticating Agent from time to time such reasonable compensation for its services under this Section 6.14 as the Company and the Authenticating Agent shall from time to time agree in writing. </w:t>
      </w:r>
    </w:p>
    <w:p>
      <w:pPr>
        <w:pStyle w:val="TextBody"/>
        <w:bidi w:val="0"/>
        <w:spacing w:before="240" w:after="0"/>
        <w:jc w:val="left"/>
        <w:rPr>
          <w:rFonts w:ascii="Times New Roman" w:hAnsi="Times New Roman"/>
          <w:sz w:val="20"/>
        </w:rPr>
      </w:pPr>
      <w:r>
        <w:rPr>
          <w:rFonts w:ascii="Times New Roman" w:hAnsi="Times New Roman"/>
          <w:sz w:val="20"/>
        </w:rPr>
        <w:t xml:space="preserve">If an appointment with respect to one or more series is made pursuant to this Section 6.14, the Securities of such series may have endorsed thereon, in addition to the Trustee’s certificate of authentication, an alternative certificate of authentication in the following form: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is one of the Securities of the series designated therein referred to in the within-mentioned Indenture.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68"/>
        <w:gridCol w:w="60"/>
        <w:gridCol w:w="3654"/>
      </w:tblGrid>
      <w:tr>
        <w:trPr/>
        <w:tc>
          <w:tcPr>
            <w:tcW w:w="36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THE BANK OF NEW YORK MELLON</w:t>
            </w:r>
          </w:p>
        </w:tc>
      </w:tr>
      <w:tr>
        <w:trPr/>
        <w:tc>
          <w:tcPr>
            <w:tcW w:w="4082" w:type="dxa"/>
            <w:gridSpan w:val="3"/>
            <w:tcBorders/>
          </w:tcPr>
          <w:p>
            <w:pPr>
              <w:pStyle w:val="TableContents"/>
              <w:bidi w:val="0"/>
              <w:spacing w:before="0" w:after="283"/>
              <w:jc w:val="left"/>
              <w:rPr>
                <w:i/>
              </w:rPr>
            </w:pPr>
            <w:r>
              <w:rPr>
                <w:i/>
              </w:rPr>
              <w:t>As Trustee</w:t>
            </w:r>
          </w:p>
        </w:tc>
      </w:tr>
      <w:tr>
        <w:trPr>
          <w:trHeight w:val="240" w:hRule="atLeast"/>
        </w:trPr>
        <w:tc>
          <w:tcPr>
            <w:tcW w:w="368" w:type="dxa"/>
            <w:tcBorders/>
            <w:vAlign w:val="center"/>
          </w:tcPr>
          <w:p>
            <w:pPr>
              <w:pStyle w:val="TableContents"/>
              <w:bidi w:val="0"/>
              <w:spacing w:before="0" w:after="283"/>
              <w:jc w:val="left"/>
              <w:rPr>
                <w:sz w:val="4"/>
                <w:szCs w:val="4"/>
              </w:rPr>
            </w:pPr>
            <w:r>
              <w:rPr>
                <w:sz w:val="4"/>
                <w:szCs w:val="4"/>
              </w:rPr>
            </w:r>
          </w:p>
        </w:tc>
        <w:tc>
          <w:tcPr>
            <w:tcW w:w="3714" w:type="dxa"/>
            <w:gridSpan w:val="2"/>
            <w:tcBorders/>
            <w:vAlign w:val="center"/>
          </w:tcPr>
          <w:p>
            <w:pPr>
              <w:pStyle w:val="TableContents"/>
              <w:bidi w:val="0"/>
              <w:spacing w:before="0" w:after="283"/>
              <w:jc w:val="left"/>
              <w:rPr>
                <w:sz w:val="4"/>
                <w:szCs w:val="4"/>
              </w:rPr>
            </w:pPr>
            <w:r>
              <w:rPr>
                <w:sz w:val="4"/>
                <w:szCs w:val="4"/>
              </w:rPr>
            </w:r>
          </w:p>
        </w:tc>
      </w:tr>
      <w:tr>
        <w:trPr/>
        <w:tc>
          <w:tcPr>
            <w:tcW w:w="36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4" w:type="dxa"/>
            <w:tcBorders/>
          </w:tcPr>
          <w:p>
            <w:pPr>
              <w:pStyle w:val="TableContents"/>
              <w:bidi w:val="0"/>
              <w:spacing w:before="0" w:after="283"/>
              <w:jc w:val="left"/>
              <w:rPr/>
            </w:pPr>
            <w:r>
              <w:rPr/>
              <w:t>[</w:t>
            </w:r>
            <w:r>
              <w:rPr>
                <w:u w:val="single"/>
              </w:rPr>
              <w:t>                   </w:t>
            </w:r>
            <w:r>
              <w:rPr/>
              <w:t>]</w:t>
            </w:r>
          </w:p>
        </w:tc>
      </w:tr>
      <w:tr>
        <w:trPr/>
        <w:tc>
          <w:tcPr>
            <w:tcW w:w="36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4" w:type="dxa"/>
            <w:tcBorders/>
          </w:tcPr>
          <w:p>
            <w:pPr>
              <w:pStyle w:val="TableContents"/>
              <w:bidi w:val="0"/>
              <w:spacing w:before="0" w:after="283"/>
              <w:jc w:val="left"/>
              <w:rPr>
                <w:i/>
              </w:rPr>
            </w:pPr>
            <w:r>
              <w:rPr>
                <w:i/>
              </w:rPr>
              <w:t>As Authenticating Agent</w:t>
            </w:r>
          </w:p>
        </w:tc>
      </w:tr>
      <w:tr>
        <w:trPr>
          <w:trHeight w:val="240" w:hRule="atLeast"/>
        </w:trPr>
        <w:tc>
          <w:tcPr>
            <w:tcW w:w="368" w:type="dxa"/>
            <w:tcBorders/>
            <w:vAlign w:val="center"/>
          </w:tcPr>
          <w:p>
            <w:pPr>
              <w:pStyle w:val="TableContents"/>
              <w:bidi w:val="0"/>
              <w:spacing w:before="0" w:after="283"/>
              <w:jc w:val="left"/>
              <w:rPr>
                <w:sz w:val="4"/>
                <w:szCs w:val="4"/>
              </w:rPr>
            </w:pPr>
            <w:r>
              <w:rPr>
                <w:sz w:val="4"/>
                <w:szCs w:val="4"/>
              </w:rPr>
            </w:r>
          </w:p>
        </w:tc>
        <w:tc>
          <w:tcPr>
            <w:tcW w:w="3714" w:type="dxa"/>
            <w:gridSpan w:val="2"/>
            <w:tcBorders/>
            <w:vAlign w:val="center"/>
          </w:tcPr>
          <w:p>
            <w:pPr>
              <w:pStyle w:val="TableContents"/>
              <w:bidi w:val="0"/>
              <w:spacing w:before="0" w:after="283"/>
              <w:jc w:val="left"/>
              <w:rPr>
                <w:sz w:val="4"/>
                <w:szCs w:val="4"/>
              </w:rPr>
            </w:pPr>
            <w:r>
              <w:rPr>
                <w:sz w:val="4"/>
                <w:szCs w:val="4"/>
              </w:rPr>
            </w:r>
          </w:p>
        </w:tc>
      </w:tr>
      <w:tr>
        <w:trPr/>
        <w:tc>
          <w:tcPr>
            <w:tcW w:w="36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4" w:type="dxa"/>
            <w:tcBorders/>
          </w:tcPr>
          <w:p>
            <w:pPr>
              <w:pStyle w:val="TableContents"/>
              <w:bidi w:val="0"/>
              <w:spacing w:before="0" w:after="283"/>
              <w:jc w:val="left"/>
              <w:rPr/>
            </w:pPr>
            <w:r>
              <w:rPr/>
              <w:t>[</w:t>
            </w:r>
            <w:r>
              <w:rPr>
                <w:u w:val="single"/>
              </w:rPr>
              <w:t>                   </w:t>
            </w:r>
            <w:r>
              <w:rPr/>
              <w:t>]</w:t>
            </w:r>
          </w:p>
        </w:tc>
      </w:tr>
      <w:tr>
        <w:trPr/>
        <w:tc>
          <w:tcPr>
            <w:tcW w:w="36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4" w:type="dxa"/>
            <w:tcBorders/>
          </w:tcPr>
          <w:p>
            <w:pPr>
              <w:pStyle w:val="TableContents"/>
              <w:bidi w:val="0"/>
              <w:spacing w:before="0" w:after="283"/>
              <w:jc w:val="left"/>
              <w:rPr>
                <w:i/>
              </w:rPr>
            </w:pPr>
            <w:r>
              <w:rPr>
                <w:i/>
              </w:rPr>
              <w:t>Authorized Signatory</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ARTICLE SEVEN </w:t>
      </w:r>
    </w:p>
    <w:p>
      <w:pPr>
        <w:pStyle w:val="TextBody"/>
        <w:bidi w:val="0"/>
        <w:spacing w:before="240" w:after="0"/>
        <w:jc w:val="center"/>
        <w:rPr>
          <w:rFonts w:ascii="Times New Roman" w:hAnsi="Times New Roman"/>
          <w:sz w:val="20"/>
        </w:rPr>
      </w:pPr>
      <w:r>
        <w:rPr>
          <w:rFonts w:ascii="Times New Roman" w:hAnsi="Times New Roman"/>
          <w:sz w:val="20"/>
        </w:rPr>
        <w:t xml:space="preserve">HOLDERS’ LISTS AND REPORTS BY TRUSTEE AND </w:t>
      </w:r>
    </w:p>
    <w:p>
      <w:pPr>
        <w:pStyle w:val="TextBody"/>
        <w:bidi w:val="0"/>
        <w:spacing w:before="0" w:after="0"/>
        <w:jc w:val="center"/>
        <w:rPr>
          <w:rFonts w:ascii="Times New Roman" w:hAnsi="Times New Roman"/>
          <w:sz w:val="20"/>
        </w:rPr>
      </w:pPr>
      <w:r>
        <w:rPr>
          <w:rFonts w:ascii="Times New Roman" w:hAnsi="Times New Roman"/>
          <w:sz w:val="20"/>
        </w:rPr>
        <w:t xml:space="preserve">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7.01. </w:t>
      </w:r>
      <w:r>
        <w:rPr>
          <w:rFonts w:ascii="Times New Roman" w:hAnsi="Times New Roman"/>
          <w:i/>
          <w:sz w:val="20"/>
        </w:rPr>
        <w:t>Company and Guarantor to Furnish Trustee Names and Addresses of Holders.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will furnish or cause to be furnished to the Trustee </w:t>
      </w:r>
    </w:p>
    <w:p>
      <w:pPr>
        <w:pStyle w:val="TextBody"/>
        <w:bidi w:val="0"/>
        <w:spacing w:before="120" w:after="0"/>
        <w:jc w:val="left"/>
        <w:rPr>
          <w:rFonts w:ascii="Times New Roman" w:hAnsi="Times New Roman"/>
          <w:sz w:val="20"/>
        </w:rPr>
      </w:pPr>
      <w:r>
        <w:rPr>
          <w:rFonts w:ascii="Times New Roman" w:hAnsi="Times New Roman"/>
          <w:sz w:val="20"/>
        </w:rPr>
        <w:t xml:space="preserve">(1) semi-annually, not later than 15 days after each Regular Record Date for Securities of each series at the time Outstanding, a list, in such form as the Trustee may reasonably require, of the names and addresses of the Holders of Securities of each series as of such Regular Record Date, and </w:t>
      </w:r>
    </w:p>
    <w:p>
      <w:pPr>
        <w:pStyle w:val="TextBody"/>
        <w:bidi w:val="0"/>
        <w:spacing w:before="120" w:after="0"/>
        <w:jc w:val="left"/>
        <w:rPr>
          <w:rFonts w:ascii="Times New Roman" w:hAnsi="Times New Roman"/>
          <w:sz w:val="20"/>
        </w:rPr>
      </w:pPr>
      <w:r>
        <w:rPr>
          <w:rFonts w:ascii="Times New Roman" w:hAnsi="Times New Roman"/>
          <w:sz w:val="20"/>
        </w:rPr>
        <w:t xml:space="preserve">(2) at such other times as the Trustee may request in writing, within 30 days after the receipt by the Company of any such request, a list of similar form and content as of a date not more than 15 days prior to the time such list is furnished, </w:t>
      </w:r>
    </w:p>
    <w:p>
      <w:pPr>
        <w:pStyle w:val="TextBody"/>
        <w:bidi w:val="0"/>
        <w:spacing w:before="240" w:after="0"/>
        <w:jc w:val="left"/>
        <w:rPr>
          <w:rFonts w:ascii="Times New Roman" w:hAnsi="Times New Roman"/>
          <w:sz w:val="20"/>
        </w:rPr>
      </w:pPr>
      <w:r>
        <w:rPr>
          <w:rFonts w:ascii="Times New Roman" w:hAnsi="Times New Roman"/>
          <w:sz w:val="20"/>
        </w:rPr>
        <w:t xml:space="preserve">excluding from any such list names and addresses received by the Trustee in its capacity as Security Registrar. For so long as the Trustee acts as Security Registrar, the Company’s obligation to deliver reports shall conclusively be deemed satisfied. </w:t>
      </w:r>
    </w:p>
    <w:p>
      <w:pPr>
        <w:pStyle w:val="TextBody"/>
        <w:bidi w:val="0"/>
        <w:spacing w:before="240" w:after="0"/>
        <w:jc w:val="left"/>
        <w:rPr>
          <w:rFonts w:ascii="Times New Roman" w:hAnsi="Times New Roman"/>
          <w:sz w:val="20"/>
        </w:rPr>
      </w:pPr>
      <w:r>
        <w:rPr>
          <w:rFonts w:ascii="Times New Roman" w:hAnsi="Times New Roman"/>
          <w:sz w:val="20"/>
        </w:rPr>
        <w:t xml:space="preserve">SECTION 7.02. </w:t>
      </w:r>
      <w:r>
        <w:rPr>
          <w:rFonts w:ascii="Times New Roman" w:hAnsi="Times New Roman"/>
          <w:i/>
          <w:sz w:val="20"/>
        </w:rPr>
        <w:t>Preservation of Information; Communications to Holders.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Trustee shall preserve, in as current a form as is reasonably practicable, the names and addresses of Holders contained in the most recent list furnished to the Trustee as provided in Section 7.01 and the names and addresses of Holders received by the Trustee in its capacity as Security Registrar. The Trustee shall otherwise comply with Trust Indenture Act Section 312(a). If the Trustee is not the Security Registrar, the Company shall furnish to the Trustee at least two Business Days before each interest payment date and at such other times as the Trustee may request in writing, a list in such form and as of such date as the Trustee may reasonably require of the names and addresses of the Holders of Securities and the Company shall otherwise comply with Trust Indenture Act Section 312(a).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Trustee may destroy any list furnished to it as provided in Section 7.01 upon receipt of a new list so furnished. </w:t>
      </w:r>
    </w:p>
    <w:p>
      <w:pPr>
        <w:pStyle w:val="TextBody"/>
        <w:bidi w:val="0"/>
        <w:spacing w:before="240" w:after="0"/>
        <w:jc w:val="left"/>
        <w:rPr>
          <w:rFonts w:ascii="Times New Roman" w:hAnsi="Times New Roman"/>
          <w:sz w:val="20"/>
        </w:rPr>
      </w:pPr>
      <w:r>
        <w:rPr>
          <w:rFonts w:ascii="Times New Roman" w:hAnsi="Times New Roman"/>
          <w:sz w:val="20"/>
        </w:rPr>
        <w:t xml:space="preserve">The rights of Holders to communicate with other Holders with respect to their rights under this Indenture or under the Securities, and the corresponding rights and privileges of the Trustee, shall be as provided by the Trust Indenture Act. </w:t>
      </w:r>
    </w:p>
    <w:p>
      <w:pPr>
        <w:pStyle w:val="TextBody"/>
        <w:bidi w:val="0"/>
        <w:spacing w:before="240" w:after="0"/>
        <w:jc w:val="left"/>
        <w:rPr>
          <w:rFonts w:ascii="Times New Roman" w:hAnsi="Times New Roman"/>
          <w:sz w:val="20"/>
        </w:rPr>
      </w:pPr>
      <w:r>
        <w:rPr>
          <w:rFonts w:ascii="Times New Roman" w:hAnsi="Times New Roman"/>
          <w:sz w:val="20"/>
        </w:rPr>
        <w:t xml:space="preserve">Every Holder of Securities, by receiving and holding the same, agrees with the Company, the Guarantor and the Trustee that none of the Company, the Guarantor, the Trustee or any agent of any of them shall be held accountable by reason of any disclosure of information as to names and addresses of Holders made pursuant to the Trust Indenture Act. </w:t>
      </w:r>
    </w:p>
    <w:p>
      <w:pPr>
        <w:pStyle w:val="TextBody"/>
        <w:bidi w:val="0"/>
        <w:spacing w:before="240" w:after="0"/>
        <w:jc w:val="left"/>
        <w:rPr>
          <w:rFonts w:ascii="Times New Roman" w:hAnsi="Times New Roman"/>
          <w:sz w:val="20"/>
        </w:rPr>
      </w:pPr>
      <w:r>
        <w:rPr>
          <w:rFonts w:ascii="Times New Roman" w:hAnsi="Times New Roman"/>
          <w:sz w:val="20"/>
        </w:rPr>
        <w:t xml:space="preserve">SECTION 7.03. </w:t>
      </w:r>
      <w:r>
        <w:rPr>
          <w:rFonts w:ascii="Times New Roman" w:hAnsi="Times New Roman"/>
          <w:i/>
          <w:sz w:val="20"/>
        </w:rPr>
        <w:t>Reports by Trustee.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Trustee shall transmit to Holders such reports concerning the Trustee and its actions under this Indenture as may be required pursuant to the Trust Indenture Act at the times and in the manner provided pursuant thereto. Reports so required to be transmitted at stated intervals of not more than 12 months shall be transmitted within 60 days after April 15 of each year commencing with the first April 15 after the first date of issuance of Securities. </w:t>
      </w:r>
    </w:p>
    <w:p>
      <w:pPr>
        <w:pStyle w:val="TextBody"/>
        <w:bidi w:val="0"/>
        <w:spacing w:before="240" w:after="0"/>
        <w:jc w:val="left"/>
        <w:rPr>
          <w:rFonts w:ascii="Times New Roman" w:hAnsi="Times New Roman"/>
          <w:sz w:val="20"/>
        </w:rPr>
      </w:pPr>
      <w:r>
        <w:rPr>
          <w:rFonts w:ascii="Times New Roman" w:hAnsi="Times New Roman"/>
          <w:sz w:val="20"/>
        </w:rPr>
        <w:t xml:space="preserve">A copy of each such report shall, at the time of such transmission to Holders, be filed by the Trustee with each stock exchange upon which any Securities are listed, with the Commission and with the Company and the Guarantor. The Company or the Guarantor will notify the Trustee when any Securities are listed on any stock exchange or of any delisting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7.04. </w:t>
      </w:r>
      <w:r>
        <w:rPr>
          <w:rFonts w:ascii="Times New Roman" w:hAnsi="Times New Roman"/>
          <w:i/>
          <w:sz w:val="20"/>
        </w:rPr>
        <w:t>Reports by the Guarantor.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Guarantor shall, if the Guarantor is subject to the reporting requirements of either Section 13 or 15(d) of the Exchange Act, either (a) file with the Commission or (b) deliver to the Trustee such annual reports and information, documents and other reports as are specified in Sections 13 and 15(d) of the Exchange Act and applicable to foreign private issuers subject to such Sections within the time periods prescribed for foreign private issuers. </w:t>
      </w:r>
    </w:p>
    <w:p>
      <w:pPr>
        <w:pStyle w:val="TextBody"/>
        <w:bidi w:val="0"/>
        <w:spacing w:before="240" w:after="0"/>
        <w:jc w:val="left"/>
        <w:rPr>
          <w:rFonts w:ascii="Times New Roman" w:hAnsi="Times New Roman"/>
          <w:sz w:val="20"/>
        </w:rPr>
      </w:pPr>
      <w:r>
        <w:rPr>
          <w:rFonts w:ascii="Times New Roman" w:hAnsi="Times New Roman"/>
          <w:sz w:val="20"/>
        </w:rPr>
        <w:t>If at any time, the Guarantor is not subject to the periodic reporting requirements of the Exchange Act but continues to be required to file periodic reports with the Netherlands Authority for Financial Markets (</w:t>
      </w:r>
      <w:r>
        <w:rPr>
          <w:rFonts w:ascii="Times New Roman" w:hAnsi="Times New Roman"/>
          <w:i/>
          <w:sz w:val="20"/>
        </w:rPr>
        <w:t>Autoriteit Financiële Markten</w:t>
      </w:r>
      <w:r>
        <w:rPr>
          <w:rFonts w:ascii="Times New Roman" w:hAnsi="Times New Roman"/>
          <w:sz w:val="20"/>
        </w:rPr>
        <w:t>) pursuant to Section 2:394 of the Dutch Civil Code, in conjunction with the Dutch Financial Supervision Act (</w:t>
      </w:r>
      <w:r>
        <w:rPr>
          <w:rFonts w:ascii="Times New Roman" w:hAnsi="Times New Roman"/>
          <w:i/>
          <w:sz w:val="20"/>
        </w:rPr>
        <w:t>Wet op het financieel toezicht</w:t>
      </w:r>
      <w:r>
        <w:rPr>
          <w:rFonts w:ascii="Times New Roman" w:hAnsi="Times New Roman"/>
          <w:sz w:val="20"/>
        </w:rPr>
        <w:t xml:space="preserve">) or with any other regulatory authority of a member state of the European Union or the United Kingdom pursuant to laws and regulations then applicable to the Guarantor, the Guarantor shall either (a) file with such regulatory authority or (b) deliver to the Trustee such annual reports and information, documents and other reports as are required to be filed by the Guarantor under such laws and regulations. </w:t>
      </w:r>
    </w:p>
    <w:p>
      <w:pPr>
        <w:pStyle w:val="TextBody"/>
        <w:bidi w:val="0"/>
        <w:spacing w:before="240" w:after="0"/>
        <w:jc w:val="left"/>
        <w:rPr>
          <w:rFonts w:ascii="Times New Roman" w:hAnsi="Times New Roman"/>
          <w:sz w:val="20"/>
        </w:rPr>
      </w:pPr>
      <w:r>
        <w:rPr>
          <w:rFonts w:ascii="Times New Roman" w:hAnsi="Times New Roman"/>
          <w:sz w:val="20"/>
        </w:rPr>
        <w:t xml:space="preserve">Delivery of such reports, information and documents to the Trustee is for informational purposes only and the Trustee’s receipt of such shall not constitute actual or constructive notice or knowledge of any information contained therein or determinable from information contained therein, including the Company’s compliance with any of its covenants pursuant to Article Ten (as to which the Trustee is entitled to rely exclusively on Officer’s Certificates).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EIGHT </w:t>
      </w:r>
    </w:p>
    <w:p>
      <w:pPr>
        <w:pStyle w:val="TextBody"/>
        <w:bidi w:val="0"/>
        <w:spacing w:before="240" w:after="0"/>
        <w:jc w:val="center"/>
        <w:rPr>
          <w:rFonts w:ascii="Times New Roman" w:hAnsi="Times New Roman"/>
          <w:sz w:val="20"/>
        </w:rPr>
      </w:pPr>
      <w:r>
        <w:rPr>
          <w:rFonts w:ascii="Times New Roman" w:hAnsi="Times New Roman"/>
          <w:sz w:val="20"/>
        </w:rPr>
        <w:t xml:space="preserve">CONSOLIDATION, MERGER AND SALE OF ASSETS; SUBSTITUTION </w:t>
      </w:r>
    </w:p>
    <w:p>
      <w:pPr>
        <w:pStyle w:val="TextBody"/>
        <w:bidi w:val="0"/>
        <w:spacing w:before="240" w:after="0"/>
        <w:jc w:val="left"/>
        <w:rPr>
          <w:rFonts w:ascii="Times New Roman" w:hAnsi="Times New Roman"/>
          <w:sz w:val="20"/>
        </w:rPr>
      </w:pPr>
      <w:r>
        <w:rPr>
          <w:rFonts w:ascii="Times New Roman" w:hAnsi="Times New Roman"/>
          <w:sz w:val="20"/>
        </w:rPr>
        <w:t xml:space="preserve">SECTION 8.01. </w:t>
      </w:r>
      <w:r>
        <w:rPr>
          <w:rFonts w:ascii="Times New Roman" w:hAnsi="Times New Roman"/>
          <w:i/>
          <w:sz w:val="20"/>
        </w:rPr>
        <w:t>Company and Guarantor May Consolidate, Etc., Only on Certain Terms.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and the Guarantor are generally permitted to consolidate or amalgamate with or merge with or into, or sell, transfer, or lease or convey all or substantially all of their properties and assets to another Person. However, neither the Company nor the Guarantor shall consolidate or amalgamate with or merge into any other Person, or convey, transfer or lease all or substantially all of its assets to any other Person, unless: </w:t>
      </w:r>
    </w:p>
    <w:p>
      <w:pPr>
        <w:pStyle w:val="TextBody"/>
        <w:bidi w:val="0"/>
        <w:spacing w:before="240" w:after="0"/>
        <w:jc w:val="left"/>
        <w:rPr>
          <w:rFonts w:ascii="Times New Roman" w:hAnsi="Times New Roman"/>
          <w:sz w:val="20"/>
        </w:rPr>
      </w:pPr>
      <w:r>
        <w:rPr>
          <w:rFonts w:ascii="Times New Roman" w:hAnsi="Times New Roman"/>
          <w:sz w:val="20"/>
        </w:rPr>
        <w:t xml:space="preserve">(1) When the Company or the Guarantor merges or consolidates out of existence or sells or leases its respective properties and assets substantially as an entirety, the other company or firm must be organized under the laws of the United States of America, any state thereof, the District of Columbia, or any territory thereof, the U.K., Canada or any province thereof, Japan, Switzerland, or any member state of the European Union or any political subdivision thereof; </w:t>
      </w:r>
    </w:p>
    <w:p>
      <w:pPr>
        <w:pStyle w:val="TextBody"/>
        <w:bidi w:val="0"/>
        <w:spacing w:before="240" w:after="0"/>
        <w:jc w:val="left"/>
        <w:rPr>
          <w:rFonts w:ascii="Times New Roman" w:hAnsi="Times New Roman"/>
          <w:sz w:val="20"/>
        </w:rPr>
      </w:pPr>
      <w:r>
        <w:rPr>
          <w:rFonts w:ascii="Times New Roman" w:hAnsi="Times New Roman"/>
          <w:sz w:val="20"/>
        </w:rPr>
        <w:t xml:space="preserve">(2) The Person the Company or the Guarantor merges with or into, or consolidates out of existence with, or sells or leases its properties or assets substantially as an entirety to, shall by an indenture supplemental to the Indenture, executed and delivered to the Trustee, (i) (a) in the case of the Guarantor, expressly guarantee, or (b) in the case of the Company, expressly assume, the due and punctual payment of the principal of and any premium and interest on all Securities, and (ii) expressly assume the performance or observance of every covenant of the Indenture on the part of the Company or the Guarantor, as the case may be, to be performed or observed; </w:t>
      </w:r>
    </w:p>
    <w:p>
      <w:pPr>
        <w:pStyle w:val="TextBody"/>
        <w:bidi w:val="0"/>
        <w:spacing w:before="240" w:after="0"/>
        <w:jc w:val="left"/>
        <w:rPr>
          <w:rFonts w:ascii="Times New Roman" w:hAnsi="Times New Roman"/>
          <w:sz w:val="20"/>
        </w:rPr>
      </w:pPr>
      <w:r>
        <w:rPr>
          <w:rFonts w:ascii="Times New Roman" w:hAnsi="Times New Roman"/>
          <w:sz w:val="20"/>
        </w:rPr>
        <w:t xml:space="preserve">(3) The consolidation, merger or sale of assets must not cause a default on the Securities, and the Company and the Guarantor must not already be in default (unless the merger or other transaction would cure the default). For purposes of this no-default test, a default would include an Event of Default that has occurred and not been cured. A default for this purpose would also include any event that would be an Event of Default if the requirements for giving the Company default notice or the Company’s default having to exist for a specific period of time were disregarded. </w:t>
      </w:r>
    </w:p>
    <w:p>
      <w:pPr>
        <w:pStyle w:val="TextBody"/>
        <w:bidi w:val="0"/>
        <w:spacing w:before="240" w:after="0"/>
        <w:jc w:val="left"/>
        <w:rPr>
          <w:rFonts w:ascii="Times New Roman" w:hAnsi="Times New Roman"/>
          <w:sz w:val="20"/>
        </w:rPr>
      </w:pPr>
      <w:r>
        <w:rPr>
          <w:rFonts w:ascii="Times New Roman" w:hAnsi="Times New Roman"/>
          <w:sz w:val="20"/>
        </w:rPr>
        <w:t xml:space="preserve">This Section 8.01 shall not restrict any transaction other than a consolidation, amalgamation, merger, conveyance or lease as specified above. </w:t>
      </w:r>
    </w:p>
    <w:p>
      <w:pPr>
        <w:pStyle w:val="TextBody"/>
        <w:bidi w:val="0"/>
        <w:spacing w:before="240" w:after="0"/>
        <w:jc w:val="left"/>
        <w:rPr>
          <w:rFonts w:ascii="Times New Roman" w:hAnsi="Times New Roman"/>
          <w:sz w:val="20"/>
        </w:rPr>
      </w:pPr>
      <w:r>
        <w:rPr>
          <w:rFonts w:ascii="Times New Roman" w:hAnsi="Times New Roman"/>
          <w:sz w:val="20"/>
        </w:rPr>
        <w:t xml:space="preserve">SECTION 8.02. </w:t>
      </w:r>
      <w:r>
        <w:rPr>
          <w:rFonts w:ascii="Times New Roman" w:hAnsi="Times New Roman"/>
          <w:i/>
          <w:sz w:val="20"/>
        </w:rPr>
        <w:t>Successor Substituted.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the Company or the Guarantor amalgamates or consolidates with or merges with or into any other Person, or sells, transfers, or leases or conveys all or substantially all of their respective properties and assets to another Person, in each case pursuant to Section 8.01, the successor Person in any such transaction shall succeed to, and be substituted for, and may exercise every right and power of, the Company or the Guarantor, as the case may be, under this Indenture and the Securities, and the Company, as the predecessor Person, except in the case of a lease, shall be released from all of its obligations under this Indenture and the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8.03. </w:t>
      </w:r>
      <w:r>
        <w:rPr>
          <w:rFonts w:ascii="Times New Roman" w:hAnsi="Times New Roman"/>
          <w:i/>
          <w:sz w:val="20"/>
        </w:rPr>
        <w:t>Substitution by Guarantor.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may at any time, without the consent of the Holders of the Securities of the relevant series, substitute for itself as principal debtor under the Securities the Guarantor as issuer, provided that no Event of Default has occurred in respect of the Securities of that series and no payment in respect of such Securities is at the relevant time overdue. The substitution shall be made by an indenture supplemental to this Indenture and may take place only if: </w:t>
      </w:r>
    </w:p>
    <w:p>
      <w:pPr>
        <w:pStyle w:val="TextBody"/>
        <w:bidi w:val="0"/>
        <w:spacing w:before="120" w:after="0"/>
        <w:jc w:val="left"/>
        <w:rPr>
          <w:rFonts w:ascii="Times New Roman" w:hAnsi="Times New Roman"/>
          <w:sz w:val="20"/>
        </w:rPr>
      </w:pPr>
      <w:r>
        <w:rPr>
          <w:rFonts w:ascii="Times New Roman" w:hAnsi="Times New Roman"/>
          <w:sz w:val="20"/>
        </w:rPr>
        <w:t xml:space="preserve">(1) the Guarantor agrees, in the indenture supplemental to this Indenture, to indemnify each holder of the Securities of the relevant series against (A) any tax, duty, assessment or governmental charge which is imposed on such holder by (or by any subdivision or authority having power to tax in or of) the United States of America, the Netherlands or the United Kingdom with respect to any Security that would not have been so imposed had the substitution not been made and (B) any cost or expense relating to the substitution; </w:t>
      </w:r>
    </w:p>
    <w:p>
      <w:pPr>
        <w:pStyle w:val="TextBody"/>
        <w:bidi w:val="0"/>
        <w:spacing w:before="120" w:after="0"/>
        <w:jc w:val="left"/>
        <w:rPr>
          <w:rFonts w:ascii="Times New Roman" w:hAnsi="Times New Roman"/>
          <w:sz w:val="20"/>
        </w:rPr>
      </w:pPr>
      <w:r>
        <w:rPr>
          <w:rFonts w:ascii="Times New Roman" w:hAnsi="Times New Roman"/>
          <w:sz w:val="20"/>
        </w:rPr>
        <w:t xml:space="preserve">(2) all the provisions set forth in this Indenture with respect to the Company shall apply to the Securities of that series following the substitution as if such Securities were originally issued by the Guarantor; </w:t>
      </w:r>
    </w:p>
    <w:p>
      <w:pPr>
        <w:pStyle w:val="TextBody"/>
        <w:bidi w:val="0"/>
        <w:spacing w:before="120" w:after="0"/>
        <w:jc w:val="left"/>
        <w:rPr>
          <w:rFonts w:ascii="Times New Roman" w:hAnsi="Times New Roman"/>
          <w:sz w:val="20"/>
        </w:rPr>
      </w:pPr>
      <w:r>
        <w:rPr>
          <w:rFonts w:ascii="Times New Roman" w:hAnsi="Times New Roman"/>
          <w:sz w:val="20"/>
        </w:rPr>
        <w:t xml:space="preserve">(3) all actions, conditions and things required to be taken, fulfilled and done (including the obtaining of any necessary consents) to ensure that (A) the indenture supplemental to this Indenture and the Securities of the relevant series, and such other documentation as may be necessary to be executed by the Guarantor to effect the substitution represent valid, legally binding and enforceable obligations of the Guarantor and (B) the indenture supplemental to this Indenture and such other documentation as may be necessary to be executed by the Company to effect the substitution represent valid, legally binding and enforceable obligations of the Company have been taken, fulfilled and done and are in full force and effect (such documents in Clause (A) and Clause (B) together, the “Substitution by Guarantor Documents”); </w:t>
      </w:r>
    </w:p>
    <w:p>
      <w:pPr>
        <w:pStyle w:val="TextBody"/>
        <w:bidi w:val="0"/>
        <w:spacing w:before="120" w:after="0"/>
        <w:jc w:val="left"/>
        <w:rPr>
          <w:rFonts w:ascii="Times New Roman" w:hAnsi="Times New Roman"/>
          <w:sz w:val="20"/>
        </w:rPr>
      </w:pPr>
      <w:r>
        <w:rPr>
          <w:rFonts w:ascii="Times New Roman" w:hAnsi="Times New Roman"/>
          <w:sz w:val="20"/>
        </w:rPr>
        <w:t xml:space="preserve">(4) legal opinions, subject to customary assumptions and qualifications, addressed to the Trustee shall have been delivered to it from lawyers or firms of lawyers with leading securities practices in the Netherlands as to the due authorization, execution and delivery of the Substitution by Guarantor Documents by the Guarantor and in the United States of America as to the validity, legally binding effect and enforceability of the Substitution by Guarantor Documents, as well as an Officer’s Certificate as to compliance with the provisions set forth in this Section 8.03; and </w:t>
      </w:r>
    </w:p>
    <w:p>
      <w:pPr>
        <w:pStyle w:val="TextBody"/>
        <w:bidi w:val="0"/>
        <w:spacing w:before="120" w:after="0"/>
        <w:jc w:val="left"/>
        <w:rPr>
          <w:rFonts w:ascii="Times New Roman" w:hAnsi="Times New Roman"/>
          <w:sz w:val="20"/>
        </w:rPr>
      </w:pPr>
      <w:r>
        <w:rPr>
          <w:rFonts w:ascii="Times New Roman" w:hAnsi="Times New Roman"/>
          <w:sz w:val="20"/>
        </w:rPr>
        <w:t xml:space="preserve">(5) the Company shall have given at least 14 days’ prior notice of such substitution to the Trustee and the Holders of the Securities of the relevant series. </w:t>
      </w:r>
    </w:p>
    <w:p>
      <w:pPr>
        <w:pStyle w:val="TextBody"/>
        <w:bidi w:val="0"/>
        <w:spacing w:before="240" w:after="0"/>
        <w:jc w:val="left"/>
        <w:rPr>
          <w:rFonts w:ascii="Times New Roman" w:hAnsi="Times New Roman"/>
          <w:sz w:val="20"/>
        </w:rPr>
      </w:pPr>
      <w:r>
        <w:rPr>
          <w:rFonts w:ascii="Times New Roman" w:hAnsi="Times New Roman"/>
          <w:sz w:val="20"/>
        </w:rPr>
        <w:t xml:space="preserve">Upon the execution of the indenture supplemental to this Indenture by all parties thereto and the satisfaction of the other conditions set out herein and the indenture supplemental to this Indenture, (i) the Guarantor shall succeed to and be substituted for the Company under the Securities of the relevant series and the Indenture with the same effect as if it had been named as the Company therein, and (ii) the Guarantee with respect to the Securities of the relevant series shall terminate without any requirement that any action be taken by the Company, the Guarantor or the Trustee. For the avoidance of doubt, following substitution in accordance herewith, the Company shall cease to be the issuer under the Securities of that series and shall be relieved of all of its obligations and covenants under this Indenture and the Securities of such series as the issuer of such Securities, and any such substitution shall not, of itself, trigger an Event of Default or constitute an event set forth in Section 8.01.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Following substitution, references in Article Five to obligations under the Securities shall be deemed to include obligations under the indenture supplemental to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8.04. </w:t>
      </w:r>
      <w:r>
        <w:rPr>
          <w:rFonts w:ascii="Times New Roman" w:hAnsi="Times New Roman"/>
          <w:i/>
          <w:sz w:val="20"/>
        </w:rPr>
        <w:t>Substitution by Treasury Subsidiary.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or any previous substituted company, may at any time, without the consent of the Holders of the Securities of the relevant series, substitute for itself as principal debtor under the Securities of that series any company (the “Substitute”) that is a Treasury Subsidiary, </w:t>
      </w:r>
      <w:r>
        <w:rPr>
          <w:rFonts w:ascii="Times New Roman" w:hAnsi="Times New Roman"/>
          <w:i/>
          <w:sz w:val="20"/>
        </w:rPr>
        <w:t>provided</w:t>
      </w:r>
      <w:r>
        <w:rPr>
          <w:rFonts w:ascii="Times New Roman" w:hAnsi="Times New Roman"/>
          <w:sz w:val="20"/>
        </w:rPr>
        <w:t xml:space="preserve"> that no Event of Default has occurred in respect of the Securities of that series and no payment in respect of such Securities is at the relevant time overdue. The substitution shall be made by an indenture supplemental to this Indenture and may take place only if: </w:t>
      </w:r>
    </w:p>
    <w:p>
      <w:pPr>
        <w:pStyle w:val="TextBody"/>
        <w:bidi w:val="0"/>
        <w:spacing w:before="120" w:after="0"/>
        <w:jc w:val="left"/>
        <w:rPr>
          <w:rFonts w:ascii="Times New Roman" w:hAnsi="Times New Roman"/>
          <w:sz w:val="20"/>
        </w:rPr>
      </w:pPr>
      <w:r>
        <w:rPr>
          <w:rFonts w:ascii="Times New Roman" w:hAnsi="Times New Roman"/>
          <w:sz w:val="20"/>
        </w:rPr>
        <w:t xml:space="preserve">(1) the Substitute, failing which, the Guarantor, agrees in the indenture supplemental to this Indenture to indemnify each Holder of the Securities of the relevant series against (A) any tax, duty, assessment or governmental charge that is imposed on such holder by (or by any subdivision or authority having the power to tax in or of) the jurisdiction of the country of the Substitute’s residence for tax purposes and, if different, of its incorporation with respect to any Security that would not have been so imposed had the substitution not been made, and (B) any cost or expense, relating to the substitution; </w:t>
      </w:r>
    </w:p>
    <w:p>
      <w:pPr>
        <w:pStyle w:val="TextBody"/>
        <w:bidi w:val="0"/>
        <w:spacing w:before="120" w:after="0"/>
        <w:jc w:val="left"/>
        <w:rPr>
          <w:rFonts w:ascii="Times New Roman" w:hAnsi="Times New Roman"/>
          <w:sz w:val="20"/>
        </w:rPr>
      </w:pPr>
      <w:r>
        <w:rPr>
          <w:rFonts w:ascii="Times New Roman" w:hAnsi="Times New Roman"/>
          <w:sz w:val="20"/>
        </w:rPr>
        <w:t xml:space="preserve">(2) all the provisions set forth in the Indenture with respect to the Company and the Guarantor shall apply to the Securities of the relevant series following the substitution as if such Securities were originally issued by the Substitute and guaranteed by the Guarantor; </w:t>
      </w:r>
    </w:p>
    <w:p>
      <w:pPr>
        <w:pStyle w:val="TextBody"/>
        <w:bidi w:val="0"/>
        <w:spacing w:before="120" w:after="0"/>
        <w:jc w:val="left"/>
        <w:rPr>
          <w:rFonts w:ascii="Times New Roman" w:hAnsi="Times New Roman"/>
          <w:sz w:val="20"/>
        </w:rPr>
      </w:pPr>
      <w:r>
        <w:rPr>
          <w:rFonts w:ascii="Times New Roman" w:hAnsi="Times New Roman"/>
          <w:sz w:val="20"/>
        </w:rPr>
        <w:t xml:space="preserve">(3) the obligations of the Substitute under the indenture supplemental to this Indenture and the Securities of the relevant series shall be irrevocably and unconditionally guaranteed by the Guarantor (on substantially the same terms as the Guarantees) by means of the indenture supplemental to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(4) (A) all actions, conditions and things required to be taken, fulfilled and done (including the obtaining of any necessary consents) to ensure that the indenture supplemental to this Indenture, the Securities of the relevant series and such other documentation as may be necessary to be executed by the Substitute and the original issuer to effect the substitution represent valid, legally binding and enforceable obligations of the Substitute and, (B) the indenture supplemental to this Indenture and such other documentation as may be necessary to be executed by the Guarantor to effect the substitution represent valid, legally binding and enforceable obligations of the Guarantor have been taken, fulfilled and done and are in full force and effect (such documents in Clause (A) and Clause (B) together, the “Substitution by Treasury Subsidiary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 in order to effect the substitution, the Substitute shall have become party to the Indenture, with any appropriate consequential amendments, as if it had been an original party to it; </w:t>
      </w:r>
    </w:p>
    <w:p>
      <w:pPr>
        <w:pStyle w:val="TextBody"/>
        <w:bidi w:val="0"/>
        <w:spacing w:before="120" w:after="0"/>
        <w:jc w:val="left"/>
        <w:rPr>
          <w:rFonts w:ascii="Times New Roman" w:hAnsi="Times New Roman"/>
          <w:sz w:val="20"/>
        </w:rPr>
      </w:pPr>
      <w:r>
        <w:rPr>
          <w:rFonts w:ascii="Times New Roman" w:hAnsi="Times New Roman"/>
          <w:sz w:val="20"/>
        </w:rPr>
        <w:t xml:space="preserve">(6) legal opinions, subject to customary assumptions and qualifications, addressed to the Trustee shall have been delivered to it from lawyers or firms of lawyers with leading securities practices in the Netherlands as to the due authorization, execution and delivery of the Substitution by Treasury Subsidiary Documents by the Guarantor, in the jurisdiction of incorporation of the Substitute as to the due authorization, execution and delivery of the Substitution by Treasury Subsidiary Documents by the Substitute and in the United States of America as to the validity, legally binding effect and enforceability of the Substitution by Treasury Subsidiary Documents, as well as an Officer’s Certificate as to compliance with the provisions set forth in this Section 8.04; and </w:t>
      </w:r>
    </w:p>
    <w:p>
      <w:pPr>
        <w:pStyle w:val="TextBody"/>
        <w:bidi w:val="0"/>
        <w:spacing w:before="120" w:after="0"/>
        <w:jc w:val="left"/>
        <w:rPr>
          <w:rFonts w:ascii="Times New Roman" w:hAnsi="Times New Roman"/>
          <w:sz w:val="20"/>
        </w:rPr>
      </w:pPr>
      <w:r>
        <w:rPr>
          <w:rFonts w:ascii="Times New Roman" w:hAnsi="Times New Roman"/>
          <w:sz w:val="20"/>
        </w:rPr>
        <w:t xml:space="preserve">(7) the Company shall have given at least 14 days’ prior notice of such substitution to the Trustee and the Holders of the Securities of the relevant series. </w:t>
      </w:r>
    </w:p>
    <w:p>
      <w:pPr>
        <w:pStyle w:val="TextBody"/>
        <w:bidi w:val="0"/>
        <w:spacing w:before="240" w:after="0"/>
        <w:jc w:val="left"/>
        <w:rPr>
          <w:rFonts w:ascii="Times New Roman" w:hAnsi="Times New Roman"/>
          <w:sz w:val="20"/>
        </w:rPr>
      </w:pPr>
      <w:r>
        <w:rPr>
          <w:rFonts w:ascii="Times New Roman" w:hAnsi="Times New Roman"/>
          <w:sz w:val="20"/>
        </w:rPr>
        <w:t xml:space="preserve">Upon the execution of the indenture supplemental to this Indenture by all parties thereto and the satisfaction of the other conditions set out herein and the indenture supplemental to this Indenture, the Substitute shall succeed to and be substituted for the Company under the Securities of the relevant series and the Indenture with the same effect as if it had been named as the issuer herein and the Guarantor shall continue to be the Guarantor of the Securities that series. For the avoidance of doubt, following substitution in accordance herewith, the original issuer shall cease to be the issuer under the Securities of the relevant series and any such substitution shall not, of itself, trigger an Event of Default or constitute an event set forth in Section 8.01. </w:t>
      </w:r>
    </w:p>
    <w:p>
      <w:pPr>
        <w:pStyle w:val="TextBody"/>
        <w:bidi w:val="0"/>
        <w:spacing w:before="240" w:after="0"/>
        <w:jc w:val="left"/>
        <w:rPr>
          <w:rFonts w:ascii="Times New Roman" w:hAnsi="Times New Roman"/>
          <w:sz w:val="20"/>
        </w:rPr>
      </w:pPr>
      <w:r>
        <w:rPr>
          <w:rFonts w:ascii="Times New Roman" w:hAnsi="Times New Roman"/>
          <w:sz w:val="20"/>
        </w:rPr>
        <w:t xml:space="preserve">Following substitution, references in Article Five to obligations under the Securities of the relevant series shall be deemed to include obligations under the indenture supplemental to this Indenture, and where the indenture supplemental to this Indenture contains a guarantee, the events listed in Article Five shall be deemed to include that guarantee not being (or being claimed by the Guarantor not to be) in full force and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8.05. </w:t>
      </w:r>
      <w:r>
        <w:rPr>
          <w:rFonts w:ascii="Times New Roman" w:hAnsi="Times New Roman"/>
          <w:i/>
          <w:sz w:val="20"/>
        </w:rPr>
        <w:t>Holders</w:t>
      </w:r>
      <w:r>
        <w:rPr>
          <w:rFonts w:ascii="Times New Roman" w:hAnsi="Times New Roman"/>
          <w:sz w:val="20"/>
        </w:rPr>
        <w:t xml:space="preserve">’ </w:t>
      </w:r>
      <w:r>
        <w:rPr>
          <w:rFonts w:ascii="Times New Roman" w:hAnsi="Times New Roman"/>
          <w:i/>
          <w:sz w:val="20"/>
        </w:rPr>
        <w:t>Consent Regarding Substitution.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By acquiring an interest in any Securities, each Holder or beneficial owner of the Securities is deemed to irrevocably: (i) consent in advance to the substitution of the Company, the Guarantor or any Treasury Subsidiary, as the case may be, as issuer by the Guarantor or a Treasury Subsidiary, as the case may be, to the extent carried out pursuant to, and in compliance with the Indenture; (ii) following any such substitution, consent to the release of the Company, or any Treasury Subsidiary, as the case may be, which has been so substituted as issuer from any and all obligations in respect of the Securities and any relevant agreements (other than as set out in any agreements relating to the relevant substitution) and are deemed to have accepted such substitution and the consequences thereof. Any substitution shall be effected without cost or charge to the holders of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the event the jurisdiction of incorporation of the substitute obligor is not the United States of America or the Netherlands, as the case may be, such substitute obligor will also agree to be bound to the obligations set forth in Section 10.08 but shall substitute the successor’s or substitute obligor’s jurisdiction of incorporation for the United States of America or the Netherlands, as the case may be.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NINE </w:t>
      </w:r>
    </w:p>
    <w:p>
      <w:pPr>
        <w:pStyle w:val="TextBody"/>
        <w:bidi w:val="0"/>
        <w:spacing w:before="240" w:after="0"/>
        <w:jc w:val="center"/>
        <w:rPr>
          <w:rFonts w:ascii="Times New Roman" w:hAnsi="Times New Roman"/>
          <w:sz w:val="20"/>
        </w:rPr>
      </w:pPr>
      <w:r>
        <w:rPr>
          <w:rFonts w:ascii="Times New Roman" w:hAnsi="Times New Roman"/>
          <w:sz w:val="20"/>
        </w:rPr>
        <w:t xml:space="preserve">SUPPLEMENTAL INDENTURES </w:t>
      </w:r>
    </w:p>
    <w:p>
      <w:pPr>
        <w:pStyle w:val="TextBody"/>
        <w:bidi w:val="0"/>
        <w:spacing w:before="240" w:after="0"/>
        <w:jc w:val="left"/>
        <w:rPr>
          <w:rFonts w:ascii="Times New Roman" w:hAnsi="Times New Roman"/>
          <w:sz w:val="20"/>
        </w:rPr>
      </w:pPr>
      <w:r>
        <w:rPr>
          <w:rFonts w:ascii="Times New Roman" w:hAnsi="Times New Roman"/>
          <w:sz w:val="20"/>
        </w:rPr>
        <w:t xml:space="preserve">SECTION 9.01. </w:t>
      </w:r>
      <w:r>
        <w:rPr>
          <w:rFonts w:ascii="Times New Roman" w:hAnsi="Times New Roman"/>
          <w:i/>
          <w:sz w:val="20"/>
        </w:rPr>
        <w:t>Supplemental Indentures Without Consent of Holders.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Without the consent of any Holders, the Company (when authorized by a Board Resolution), the Guarantor and the Trustee, at any time and from time to time, may enter into one or more indentures supplemental hereto, in form satisfactory to the Trustee, for any of the following purposes: </w:t>
      </w:r>
    </w:p>
    <w:p>
      <w:pPr>
        <w:pStyle w:val="TextBody"/>
        <w:bidi w:val="0"/>
        <w:spacing w:before="120" w:after="0"/>
        <w:jc w:val="left"/>
        <w:rPr>
          <w:rFonts w:ascii="Times New Roman" w:hAnsi="Times New Roman"/>
          <w:sz w:val="20"/>
        </w:rPr>
      </w:pPr>
      <w:r>
        <w:rPr>
          <w:rFonts w:ascii="Times New Roman" w:hAnsi="Times New Roman"/>
          <w:sz w:val="20"/>
        </w:rPr>
        <w:t xml:space="preserve">(1) to cure any ambiguity, omission, mistake, defect or inconsistency that does not materially adversely affect the rights of the Holders; </w:t>
      </w:r>
    </w:p>
    <w:p>
      <w:pPr>
        <w:pStyle w:val="TextBody"/>
        <w:bidi w:val="0"/>
        <w:spacing w:before="120" w:after="0"/>
        <w:jc w:val="left"/>
        <w:rPr>
          <w:rFonts w:ascii="Times New Roman" w:hAnsi="Times New Roman"/>
          <w:sz w:val="20"/>
        </w:rPr>
      </w:pPr>
      <w:r>
        <w:rPr>
          <w:rFonts w:ascii="Times New Roman" w:hAnsi="Times New Roman"/>
          <w:sz w:val="20"/>
        </w:rPr>
        <w:t xml:space="preserve">(2) to provide for uncertificated Securities in addition to or in place of certificated Securities; </w:t>
      </w:r>
    </w:p>
    <w:p>
      <w:pPr>
        <w:pStyle w:val="TextBody"/>
        <w:bidi w:val="0"/>
        <w:spacing w:before="120" w:after="0"/>
        <w:jc w:val="left"/>
        <w:rPr>
          <w:rFonts w:ascii="Times New Roman" w:hAnsi="Times New Roman"/>
          <w:sz w:val="20"/>
        </w:rPr>
      </w:pPr>
      <w:r>
        <w:rPr>
          <w:rFonts w:ascii="Times New Roman" w:hAnsi="Times New Roman"/>
          <w:sz w:val="20"/>
        </w:rPr>
        <w:t xml:space="preserve">(3) to comply with Article Eight; </w:t>
      </w:r>
    </w:p>
    <w:p>
      <w:pPr>
        <w:pStyle w:val="TextBody"/>
        <w:bidi w:val="0"/>
        <w:spacing w:before="120" w:after="0"/>
        <w:jc w:val="left"/>
        <w:rPr>
          <w:rFonts w:ascii="Times New Roman" w:hAnsi="Times New Roman"/>
          <w:sz w:val="20"/>
        </w:rPr>
      </w:pPr>
      <w:r>
        <w:rPr>
          <w:rFonts w:ascii="Times New Roman" w:hAnsi="Times New Roman"/>
          <w:sz w:val="20"/>
        </w:rPr>
        <w:t xml:space="preserve">(4) to provide for the assumption of the Company’s or the Guarantor’s obligations to the Holders; </w:t>
      </w:r>
    </w:p>
    <w:p>
      <w:pPr>
        <w:pStyle w:val="TextBody"/>
        <w:bidi w:val="0"/>
        <w:spacing w:before="120" w:after="0"/>
        <w:jc w:val="left"/>
        <w:rPr>
          <w:rFonts w:ascii="Times New Roman" w:hAnsi="Times New Roman"/>
          <w:sz w:val="20"/>
        </w:rPr>
      </w:pPr>
      <w:r>
        <w:rPr>
          <w:rFonts w:ascii="Times New Roman" w:hAnsi="Times New Roman"/>
          <w:sz w:val="20"/>
        </w:rPr>
        <w:t xml:space="preserve">(5) to make any change that would provide any additional rights or benefits to the Holders or that, as determined in good faith by the Company and conclusively evidenced by an Officer’s Certificate, does not materially adversely affect the legal rights under this Indenture of any such Holder; </w:t>
      </w:r>
    </w:p>
    <w:p>
      <w:pPr>
        <w:pStyle w:val="TextBody"/>
        <w:bidi w:val="0"/>
        <w:spacing w:before="120" w:after="0"/>
        <w:jc w:val="left"/>
        <w:rPr>
          <w:rFonts w:ascii="Times New Roman" w:hAnsi="Times New Roman"/>
          <w:sz w:val="20"/>
        </w:rPr>
      </w:pPr>
      <w:r>
        <w:rPr>
          <w:rFonts w:ascii="Times New Roman" w:hAnsi="Times New Roman"/>
          <w:sz w:val="20"/>
        </w:rPr>
        <w:t xml:space="preserve">(6) to add covenants for the benefit of the Holders or to surrender any right or power conferred upon the Company or the Guarantor; </w:t>
      </w:r>
    </w:p>
    <w:p>
      <w:pPr>
        <w:pStyle w:val="TextBody"/>
        <w:bidi w:val="0"/>
        <w:spacing w:before="120" w:after="0"/>
        <w:jc w:val="left"/>
        <w:rPr>
          <w:rFonts w:ascii="Times New Roman" w:hAnsi="Times New Roman"/>
          <w:sz w:val="20"/>
        </w:rPr>
      </w:pPr>
      <w:r>
        <w:rPr>
          <w:rFonts w:ascii="Times New Roman" w:hAnsi="Times New Roman"/>
          <w:sz w:val="20"/>
        </w:rPr>
        <w:t xml:space="preserve">(7) to comply with requirement of the Commission in order to effect or maintain the qualification of this Indenture under the Trust Indenture Act; </w:t>
      </w:r>
    </w:p>
    <w:p>
      <w:pPr>
        <w:pStyle w:val="TextBody"/>
        <w:bidi w:val="0"/>
        <w:spacing w:before="120" w:after="0"/>
        <w:jc w:val="left"/>
        <w:rPr>
          <w:rFonts w:ascii="Times New Roman" w:hAnsi="Times New Roman"/>
          <w:sz w:val="20"/>
        </w:rPr>
      </w:pPr>
      <w:r>
        <w:rPr>
          <w:rFonts w:ascii="Times New Roman" w:hAnsi="Times New Roman"/>
          <w:sz w:val="20"/>
        </w:rPr>
        <w:t xml:space="preserve">(8) to evidence and provide for a successor to the Company or the Guarantor and the assumption by any such successor of the covenants under this Indenture and the Securities; </w:t>
      </w:r>
    </w:p>
    <w:p>
      <w:pPr>
        <w:pStyle w:val="TextBody"/>
        <w:bidi w:val="0"/>
        <w:spacing w:before="120" w:after="0"/>
        <w:jc w:val="left"/>
        <w:rPr>
          <w:rFonts w:ascii="Times New Roman" w:hAnsi="Times New Roman"/>
          <w:sz w:val="20"/>
        </w:rPr>
      </w:pPr>
      <w:r>
        <w:rPr>
          <w:rFonts w:ascii="Times New Roman" w:hAnsi="Times New Roman"/>
          <w:sz w:val="20"/>
        </w:rPr>
        <w:t xml:space="preserve">(9) to conform the text of this Indenture, any Guarantee or the forms or terms such series of Securities issued hereunder to any provision of the “Description of Notes and Guarantees” section of the relevant offering document of such series to the extent that such provision in such “Description of Notes and Guarantees” was intended to be a verbatim recitation of a provision of this Indenture, as provided in an Officer’s Certificate;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(10) to secure the Securities; </w:t>
      </w:r>
    </w:p>
    <w:p>
      <w:pPr>
        <w:pStyle w:val="TextBody"/>
        <w:bidi w:val="0"/>
        <w:spacing w:before="120" w:after="0"/>
        <w:jc w:val="left"/>
        <w:rPr>
          <w:rFonts w:ascii="Times New Roman" w:hAnsi="Times New Roman"/>
          <w:sz w:val="20"/>
        </w:rPr>
      </w:pPr>
      <w:r>
        <w:rPr>
          <w:rFonts w:ascii="Times New Roman" w:hAnsi="Times New Roman"/>
          <w:sz w:val="20"/>
        </w:rPr>
        <w:t xml:space="preserve">(11) to establish the form or terms of Securities of any series or any associated Guarantees as permitted by Sections 2.01 and 3.01; </w:t>
      </w:r>
    </w:p>
    <w:p>
      <w:pPr>
        <w:pStyle w:val="TextBody"/>
        <w:bidi w:val="0"/>
        <w:spacing w:before="120" w:after="0"/>
        <w:jc w:val="left"/>
        <w:rPr>
          <w:rFonts w:ascii="Times New Roman" w:hAnsi="Times New Roman"/>
          <w:sz w:val="20"/>
        </w:rPr>
      </w:pPr>
      <w:r>
        <w:rPr>
          <w:rFonts w:ascii="Times New Roman" w:hAnsi="Times New Roman"/>
          <w:sz w:val="20"/>
        </w:rPr>
        <w:t xml:space="preserve">(12) 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pursuant to the requirements of Section 6.11; </w:t>
      </w:r>
    </w:p>
    <w:p>
      <w:pPr>
        <w:pStyle w:val="TextBody"/>
        <w:bidi w:val="0"/>
        <w:spacing w:before="120" w:after="0"/>
        <w:jc w:val="left"/>
        <w:rPr>
          <w:rFonts w:ascii="Times New Roman" w:hAnsi="Times New Roman"/>
          <w:sz w:val="20"/>
        </w:rPr>
      </w:pPr>
      <w:r>
        <w:rPr>
          <w:rFonts w:ascii="Times New Roman" w:hAnsi="Times New Roman"/>
          <w:sz w:val="20"/>
        </w:rPr>
        <w:t xml:space="preserve">(13) to add to, change or eliminate any of the provisions of this Indenture to such extent as shall be necessary to comply with the rules or regulations on any securities exchange or automated quotation system on which any of the Securities may be listed or traded; </w:t>
      </w:r>
    </w:p>
    <w:p>
      <w:pPr>
        <w:pStyle w:val="TextBody"/>
        <w:bidi w:val="0"/>
        <w:spacing w:before="120" w:after="0"/>
        <w:jc w:val="left"/>
        <w:rPr>
          <w:rFonts w:ascii="Times New Roman" w:hAnsi="Times New Roman"/>
          <w:sz w:val="20"/>
        </w:rPr>
      </w:pPr>
      <w:r>
        <w:rPr>
          <w:rFonts w:ascii="Times New Roman" w:hAnsi="Times New Roman"/>
          <w:sz w:val="20"/>
        </w:rPr>
        <w:t xml:space="preserve">(14) to eliminate any conflict between the terms hereof and the Trust Indenture Act or to make any other provisions with respect to matters or questions arising under this Indenture; </w:t>
      </w:r>
      <w:r>
        <w:rPr>
          <w:rFonts w:ascii="Times New Roman" w:hAnsi="Times New Roman"/>
          <w:i/>
          <w:sz w:val="20"/>
        </w:rPr>
        <w:t>provided</w:t>
      </w:r>
      <w:r>
        <w:rPr>
          <w:rFonts w:ascii="Times New Roman" w:hAnsi="Times New Roman"/>
          <w:sz w:val="20"/>
        </w:rPr>
        <w:t xml:space="preserve"> that such action pursuant to this Clause (14) shall not adversely affect the interests of the Holders of Securities of any series in any material respect, as determined in good faith by the Company and conclusively evidenced by an Officer’s Certificate; or </w:t>
      </w:r>
    </w:p>
    <w:p>
      <w:pPr>
        <w:pStyle w:val="TextBody"/>
        <w:bidi w:val="0"/>
        <w:spacing w:before="120" w:after="0"/>
        <w:jc w:val="left"/>
        <w:rPr>
          <w:rFonts w:ascii="Times New Roman" w:hAnsi="Times New Roman"/>
          <w:sz w:val="20"/>
        </w:rPr>
      </w:pPr>
      <w:r>
        <w:rPr>
          <w:rFonts w:ascii="Times New Roman" w:hAnsi="Times New Roman"/>
          <w:sz w:val="20"/>
        </w:rPr>
        <w:t xml:space="preserve">(15) to supplement any of the provisions of the Indenture to such extent as shall be necessary to permit or facilitate the defeasance and discharge of any series of Securities pursuant to Articles Four and Fourteen; </w:t>
      </w:r>
      <w:r>
        <w:rPr>
          <w:rFonts w:ascii="Times New Roman" w:hAnsi="Times New Roman"/>
          <w:i/>
          <w:sz w:val="20"/>
        </w:rPr>
        <w:t>provided</w:t>
      </w:r>
      <w:r>
        <w:rPr>
          <w:rFonts w:ascii="Times New Roman" w:hAnsi="Times New Roman"/>
          <w:sz w:val="20"/>
        </w:rPr>
        <w:t xml:space="preserve"> that any such action shall not adversely affect the interests of the Holders of such series or any other series of Securities in any material respect, as determined in good faith by the Company and conclusively evidenced by an Officer’s Certificate. </w:t>
      </w:r>
    </w:p>
    <w:p>
      <w:pPr>
        <w:pStyle w:val="TextBody"/>
        <w:bidi w:val="0"/>
        <w:spacing w:before="240" w:after="0"/>
        <w:jc w:val="left"/>
        <w:rPr>
          <w:rFonts w:ascii="Times New Roman" w:hAnsi="Times New Roman"/>
          <w:sz w:val="20"/>
        </w:rPr>
      </w:pPr>
      <w:r>
        <w:rPr>
          <w:rFonts w:ascii="Times New Roman" w:hAnsi="Times New Roman"/>
          <w:sz w:val="20"/>
        </w:rPr>
        <w:t xml:space="preserve">SECTION 9.02. </w:t>
      </w:r>
      <w:r>
        <w:rPr>
          <w:rFonts w:ascii="Times New Roman" w:hAnsi="Times New Roman"/>
          <w:i/>
          <w:sz w:val="20"/>
        </w:rPr>
        <w:t>Supplemental Indentures With Consent of Holders.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With the consent of the Holders of not less than a majority in principal amount of the Outstanding Securities of any series affected by such supplemental indenture, by Act of said Holders delivered to the Company, the Guarantor and the Trustee, the Company, when authorized by a Board Resolution, the Guarantor and the Trustee may enter into an indenture or indentures supplemental hereto for the purpose of adding any provisions to or changing in any manner or eliminating any of the provisions of this Indenture or of modifying in any manner the rights of the Holders of Securities of such series under this Indenture;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 such supplemental indenture shall, without the consent of the Holder of each Outstanding Security affected thereby, </w:t>
      </w:r>
    </w:p>
    <w:p>
      <w:pPr>
        <w:pStyle w:val="TextBody"/>
        <w:bidi w:val="0"/>
        <w:spacing w:before="120" w:after="0"/>
        <w:jc w:val="left"/>
        <w:rPr>
          <w:rFonts w:ascii="Times New Roman" w:hAnsi="Times New Roman"/>
          <w:sz w:val="20"/>
        </w:rPr>
      </w:pPr>
      <w:r>
        <w:rPr>
          <w:rFonts w:ascii="Times New Roman" w:hAnsi="Times New Roman"/>
          <w:sz w:val="20"/>
        </w:rPr>
        <w:t xml:space="preserve">(1) reduce the principal amount of or change the fixed final maturity of any series of Securities or alter or waive the provisions with respect to the redemption of such series of Securities; </w:t>
      </w:r>
    </w:p>
    <w:p>
      <w:pPr>
        <w:pStyle w:val="TextBody"/>
        <w:bidi w:val="0"/>
        <w:spacing w:before="120" w:after="0"/>
        <w:jc w:val="left"/>
        <w:rPr>
          <w:rFonts w:ascii="Times New Roman" w:hAnsi="Times New Roman"/>
          <w:sz w:val="20"/>
        </w:rPr>
      </w:pPr>
      <w:r>
        <w:rPr>
          <w:rFonts w:ascii="Times New Roman" w:hAnsi="Times New Roman"/>
          <w:sz w:val="20"/>
        </w:rPr>
        <w:t xml:space="preserve">(2) reduce the rate of or change the time for payment of interest on any series of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waive a default in the payment of principal of or premium, if any, or interest on any series of Securities (except a rescission of acceleration of the Securities of such series by the Holders of at least a majority in aggregate principal amount of such series of Securities and a waiver of the payment default that resulted from such acceleration) or in respect of a covenant or provision contained in this Indenture which cannot be amended or modified without the consent of all affected Holders; </w:t>
      </w:r>
    </w:p>
    <w:p>
      <w:pPr>
        <w:pStyle w:val="TextBody"/>
        <w:bidi w:val="0"/>
        <w:spacing w:before="120" w:after="0"/>
        <w:jc w:val="left"/>
        <w:rPr>
          <w:rFonts w:ascii="Times New Roman" w:hAnsi="Times New Roman"/>
          <w:sz w:val="20"/>
        </w:rPr>
      </w:pPr>
      <w:r>
        <w:rPr>
          <w:rFonts w:ascii="Times New Roman" w:hAnsi="Times New Roman"/>
          <w:sz w:val="20"/>
        </w:rPr>
        <w:t xml:space="preserve">(4) make any Security payable in money other than that stated therein; </w:t>
      </w:r>
    </w:p>
    <w:p>
      <w:pPr>
        <w:pStyle w:val="TextBody"/>
        <w:bidi w:val="0"/>
        <w:spacing w:before="120" w:after="0"/>
        <w:jc w:val="left"/>
        <w:rPr>
          <w:rFonts w:ascii="Times New Roman" w:hAnsi="Times New Roman"/>
          <w:sz w:val="20"/>
        </w:rPr>
      </w:pPr>
      <w:r>
        <w:rPr>
          <w:rFonts w:ascii="Times New Roman" w:hAnsi="Times New Roman"/>
          <w:sz w:val="20"/>
        </w:rPr>
        <w:t xml:space="preserve">(5) make any change in the provisions of this Indenture relating to waivers of past defaults or the rights of Holders to receive payments of principal of or premium, if any, or interest on the Securities; </w:t>
      </w:r>
    </w:p>
    <w:p>
      <w:pPr>
        <w:pStyle w:val="TextBody"/>
        <w:bidi w:val="0"/>
        <w:spacing w:before="120" w:after="0"/>
        <w:jc w:val="left"/>
        <w:rPr>
          <w:rFonts w:ascii="Times New Roman" w:hAnsi="Times New Roman"/>
          <w:sz w:val="20"/>
        </w:rPr>
      </w:pPr>
      <w:r>
        <w:rPr>
          <w:rFonts w:ascii="Times New Roman" w:hAnsi="Times New Roman"/>
          <w:sz w:val="20"/>
        </w:rPr>
        <w:t xml:space="preserve">(6) make any change in these amendment and waiver provisions; </w:t>
      </w:r>
    </w:p>
    <w:p>
      <w:pPr>
        <w:pStyle w:val="TextBody"/>
        <w:bidi w:val="0"/>
        <w:spacing w:before="120" w:after="0"/>
        <w:jc w:val="left"/>
        <w:rPr>
          <w:rFonts w:ascii="Times New Roman" w:hAnsi="Times New Roman"/>
          <w:sz w:val="20"/>
        </w:rPr>
      </w:pPr>
      <w:r>
        <w:rPr>
          <w:rFonts w:ascii="Times New Roman" w:hAnsi="Times New Roman"/>
          <w:sz w:val="20"/>
        </w:rPr>
        <w:t xml:space="preserve">(7) release the Guarantor from any of its obligations under its Guarantee or this Indenture, except in accordance with the terms of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(8) impair the right of any Holder to receive payment of principal of, or interest on such Holder’s Securities on or after the due dates therefor or to institute suit for the enforcement of any payment on or with respect to such Holder’s Securities; and </w:t>
      </w:r>
    </w:p>
    <w:p>
      <w:pPr>
        <w:pStyle w:val="TextBody"/>
        <w:bidi w:val="0"/>
        <w:spacing w:before="120" w:after="0"/>
        <w:jc w:val="left"/>
        <w:rPr>
          <w:rFonts w:ascii="Times New Roman" w:hAnsi="Times New Roman"/>
          <w:sz w:val="20"/>
        </w:rPr>
      </w:pPr>
      <w:r>
        <w:rPr>
          <w:rFonts w:ascii="Times New Roman" w:hAnsi="Times New Roman"/>
          <w:sz w:val="20"/>
        </w:rPr>
        <w:t xml:space="preserve">(9) make any change to the ranking of a series of Securities or the Guarantee that would materially adversely affect the rights of Holders of the Securities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A supplemental indenture which changes or eliminates any covenant or other provision of this Indenture which has expressly been included solely for the benefit of one or more particular series of Securities, or which modifies the rights of the Holders of Securities of such series with respect to such covenant or other provision, shall be deemed not to affect the rights under this Indenture of the Holders of Securities of any other series. </w:t>
      </w:r>
    </w:p>
    <w:p>
      <w:pPr>
        <w:pStyle w:val="TextBody"/>
        <w:bidi w:val="0"/>
        <w:spacing w:before="240" w:after="0"/>
        <w:jc w:val="left"/>
        <w:rPr>
          <w:rFonts w:ascii="Times New Roman" w:hAnsi="Times New Roman"/>
          <w:sz w:val="20"/>
        </w:rPr>
      </w:pPr>
      <w:r>
        <w:rPr>
          <w:rFonts w:ascii="Times New Roman" w:hAnsi="Times New Roman"/>
          <w:sz w:val="20"/>
        </w:rPr>
        <w:t xml:space="preserve">It shall not be necessary for any Act of Holders under this Section 9.02 to approve the particular form of any proposed supplemental indenture, but it shall be sufficient if such Act shall approve the substance thereof.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but shall not be obligated to, fix a record date for the purpose of determining the Persons entitled to consent to any indenture supplemental hereto. If a record date is fixed, the Holders on such record date, or their duly designated proxies, and only such Persons, shall be entitled to consent to such supplemental indenture, whether or not such Holders remain Holders after such record date; </w:t>
      </w:r>
      <w:r>
        <w:rPr>
          <w:rFonts w:ascii="Times New Roman" w:hAnsi="Times New Roman"/>
          <w:i/>
          <w:sz w:val="20"/>
        </w:rPr>
        <w:t>provided</w:t>
      </w:r>
      <w:r>
        <w:rPr>
          <w:rFonts w:ascii="Times New Roman" w:hAnsi="Times New Roman"/>
          <w:sz w:val="20"/>
        </w:rPr>
        <w:t xml:space="preserve"> that, unless such consent shall have become effective by virtue of the requisite percentage having been obtained prior to the date which is 90 days after such record date, any such consent previously given shall automatically and without further action by any Holder be cancelled and of no further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9.03. </w:t>
      </w:r>
      <w:r>
        <w:rPr>
          <w:rFonts w:ascii="Times New Roman" w:hAnsi="Times New Roman"/>
          <w:i/>
          <w:sz w:val="20"/>
        </w:rPr>
        <w:t>Execution of Supplemental Indentures.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In executing, or accepting the additional trusts created by, any supplemental indenture permitted by this Article Nine or the modifications thereby of the trusts created by this Indenture, the Trustee shall receive, and (subject to Section 6.01) shall be fully protected in relying upon, an Opinion of Counsel and an Officer’s Certificate stating that the execution of such supplemental indenture is authorized or permitted by this Indenture. The Trustee may, but shall not be obligated to, enter into any such supplemental indenture which adversely affects the Trustee’s own rights, duties or immunities under this Indenture or otherwise. </w:t>
      </w:r>
    </w:p>
    <w:p>
      <w:pPr>
        <w:pStyle w:val="TextBody"/>
        <w:bidi w:val="0"/>
        <w:spacing w:before="240" w:after="0"/>
        <w:jc w:val="left"/>
        <w:rPr>
          <w:rFonts w:ascii="Times New Roman" w:hAnsi="Times New Roman"/>
          <w:sz w:val="20"/>
        </w:rPr>
      </w:pPr>
      <w:r>
        <w:rPr>
          <w:rFonts w:ascii="Times New Roman" w:hAnsi="Times New Roman"/>
          <w:sz w:val="20"/>
        </w:rPr>
        <w:t xml:space="preserve">SECTION 9.04. </w:t>
      </w:r>
      <w:r>
        <w:rPr>
          <w:rFonts w:ascii="Times New Roman" w:hAnsi="Times New Roman"/>
          <w:i/>
          <w:sz w:val="20"/>
        </w:rPr>
        <w:t>Effect of Supplemental Indentures.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Upon the execution of any supplemental indenture under this Article Nine, this Indenture shall be modified in accordance therewith, and such supplemental indenture shall form a part of this Indenture for all purposes; and every Holder of Securities theretofore or thereafter authenticated and delivered hereunder shall be bound thereby. </w:t>
      </w:r>
    </w:p>
    <w:p>
      <w:pPr>
        <w:pStyle w:val="TextBody"/>
        <w:bidi w:val="0"/>
        <w:spacing w:before="240" w:after="0"/>
        <w:jc w:val="left"/>
        <w:rPr>
          <w:rFonts w:ascii="Times New Roman" w:hAnsi="Times New Roman"/>
          <w:sz w:val="20"/>
        </w:rPr>
      </w:pPr>
      <w:r>
        <w:rPr>
          <w:rFonts w:ascii="Times New Roman" w:hAnsi="Times New Roman"/>
          <w:sz w:val="20"/>
        </w:rPr>
        <w:t xml:space="preserve">SECTION 9.05. </w:t>
      </w:r>
      <w:r>
        <w:rPr>
          <w:rFonts w:ascii="Times New Roman" w:hAnsi="Times New Roman"/>
          <w:i/>
          <w:sz w:val="20"/>
        </w:rPr>
        <w:t>Conformity with Trust Indenture Act.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Every supplemental indenture executed pursuant to this Article shall conform to the requirements of the Trust Indenture Act. </w:t>
      </w:r>
    </w:p>
    <w:p>
      <w:pPr>
        <w:pStyle w:val="TextBody"/>
        <w:bidi w:val="0"/>
        <w:spacing w:before="240" w:after="0"/>
        <w:jc w:val="left"/>
        <w:rPr>
          <w:rFonts w:ascii="Times New Roman" w:hAnsi="Times New Roman"/>
          <w:sz w:val="20"/>
        </w:rPr>
      </w:pPr>
      <w:r>
        <w:rPr>
          <w:rFonts w:ascii="Times New Roman" w:hAnsi="Times New Roman"/>
          <w:sz w:val="20"/>
        </w:rPr>
        <w:t xml:space="preserve">Whenever this Indenture refers to a provision of the Trust Indenture Act, the provision is incorporated by reference in and made a part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All terms used in this Indenture that are defined by the Trust Indenture Act, defined by Trust Indenture Act reference to another statute or defined by Commission rule under the Trust Indenture Act have the meanings assigned to them. </w:t>
      </w:r>
    </w:p>
    <w:p>
      <w:pPr>
        <w:pStyle w:val="TextBody"/>
        <w:bidi w:val="0"/>
        <w:spacing w:before="240" w:after="0"/>
        <w:jc w:val="left"/>
        <w:rPr>
          <w:rFonts w:ascii="Times New Roman" w:hAnsi="Times New Roman"/>
          <w:sz w:val="20"/>
        </w:rPr>
      </w:pPr>
      <w:r>
        <w:rPr>
          <w:rFonts w:ascii="Times New Roman" w:hAnsi="Times New Roman"/>
          <w:sz w:val="20"/>
        </w:rPr>
        <w:t xml:space="preserve">SECTION 9.06. </w:t>
      </w:r>
      <w:r>
        <w:rPr>
          <w:rFonts w:ascii="Times New Roman" w:hAnsi="Times New Roman"/>
          <w:i/>
          <w:sz w:val="20"/>
        </w:rPr>
        <w:t>Reference in Securities to Supplemental Indentures.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Securities of any series authenticated and delivered after the execution of any supplemental indenture pursuant to this Article Nine may, and shall if required by the Trustee, bear a notation in form approved by the Trustee as to any matter provided for in such supplemental indenture. If the Company shall so determine, new Securities of any series so modified as to conform, in the opinion of the Trustee and the Company, to any such supplemental indenture may be prepared and executed by the Company and may be authenticated and delivered by the Trustee in exchange for Outstanding Securities of such series.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TEN </w:t>
      </w:r>
    </w:p>
    <w:p>
      <w:pPr>
        <w:pStyle w:val="TextBody"/>
        <w:bidi w:val="0"/>
        <w:spacing w:before="240" w:after="0"/>
        <w:jc w:val="center"/>
        <w:rPr>
          <w:rFonts w:ascii="Times New Roman" w:hAnsi="Times New Roman"/>
          <w:sz w:val="20"/>
        </w:rPr>
      </w:pPr>
      <w:r>
        <w:rPr>
          <w:rFonts w:ascii="Times New Roman" w:hAnsi="Times New Roman"/>
          <w:sz w:val="20"/>
        </w:rPr>
        <w:t xml:space="preserve">COVENANTS </w:t>
      </w:r>
    </w:p>
    <w:p>
      <w:pPr>
        <w:pStyle w:val="TextBody"/>
        <w:bidi w:val="0"/>
        <w:spacing w:before="240" w:after="0"/>
        <w:jc w:val="left"/>
        <w:rPr>
          <w:rFonts w:ascii="Times New Roman" w:hAnsi="Times New Roman"/>
          <w:sz w:val="20"/>
        </w:rPr>
      </w:pPr>
      <w:r>
        <w:rPr>
          <w:rFonts w:ascii="Times New Roman" w:hAnsi="Times New Roman"/>
          <w:sz w:val="20"/>
        </w:rPr>
        <w:t xml:space="preserve">SECTION 10.01. </w:t>
      </w:r>
      <w:r>
        <w:rPr>
          <w:rFonts w:ascii="Times New Roman" w:hAnsi="Times New Roman"/>
          <w:i/>
          <w:sz w:val="20"/>
        </w:rPr>
        <w:t>Payment of Principal, Premium and Interest.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covenants and agrees for the benefit of each series of Securities that it will duly and punctually pay the principal of and any premium and interest on the Securities of that series in accordance with the terms of the Securities and this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10.02. </w:t>
      </w:r>
      <w:r>
        <w:rPr>
          <w:rFonts w:ascii="Times New Roman" w:hAnsi="Times New Roman"/>
          <w:i/>
          <w:sz w:val="20"/>
        </w:rPr>
        <w:t>Maintenance of Office or Agency by Company.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will maintain in each Place of Payment for any series of Securities an office or agency where Securities of that series may be presented or surrendered for payment, where Securities of that series may be surrendered for registration of transfer or exchange and where notices and demands to or upon the Company in respect of the Securities of that series and this Indenture may be served.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 and the Company hereby appoints the Trustee as its agent to receive all such presentations, surrenders, notices and demands.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also from time to time designate one or more other offices or agencies where the Securities of one or more series may be presented or surrendered for any or all such purposes and may from time to time rescind such designations;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 such designation or rescission shall in any manner relieve the Company of its obligation to maintain an office or agency in each Place of Payment for Securities of any series for such purposes. The Company will give prompt written notice to the Trustee of any such designation or rescission and of any change in the location of any such other office or agency.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any Global Security, and except as otherwise may be specified for such Global Security as contemplated by Section 3.01, the Corporate Trust Office of the Trustee or any Paying Agent shall be the Place of Payment where such Global Security may be presented or surrendered for payment or for registration of transfer or exchange, or where successor Securities may be delivered in exchange therefor;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any such payment, presentation, surrender or delivery effected pursuant to the applicable procedures of the Depositary for such Global Security shall be deemed to have been effected at the Place of Payment for such Global Security in accordance with the provisions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10.03. </w:t>
      </w:r>
      <w:r>
        <w:rPr>
          <w:rFonts w:ascii="Times New Roman" w:hAnsi="Times New Roman"/>
          <w:i/>
          <w:sz w:val="20"/>
        </w:rPr>
        <w:t>Money for Securities Payments to Be Held in Trust.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the Company or the Guarantor shall at any time act as its own Paying Agent with respect to any series of Securities, it will, on or before each due date of the principal of or any premium or interest on any of the Securities of that series, segregate and hold in trust for the benefit of the Persons entitled thereto a sum sufficient to pay the principal and any premium and interest so becoming due until such sums shall be paid to such Persons or otherwise disposed of as herein provided and will promptly notify the Trustee of its action or failure so to act. </w:t>
      </w:r>
    </w:p>
    <w:p>
      <w:pPr>
        <w:pStyle w:val="TextBody"/>
        <w:bidi w:val="0"/>
        <w:spacing w:before="240" w:after="0"/>
        <w:jc w:val="left"/>
        <w:rPr>
          <w:rFonts w:ascii="Times New Roman" w:hAnsi="Times New Roman"/>
          <w:sz w:val="20"/>
        </w:rPr>
      </w:pPr>
      <w:r>
        <w:rPr>
          <w:rFonts w:ascii="Times New Roman" w:hAnsi="Times New Roman"/>
          <w:sz w:val="20"/>
        </w:rPr>
        <w:t xml:space="preserve">Whenever the Company shall have one or more Paying Agents for any series of Securities, it will, prior to each due date of the principal of or any premium or interest on any Securities of that series, deposit with a Paying Agent a sum sufficient to pay such amount, such sum to be held as provided by the Trust Indenture Act, and (unless such Paying Agent is the Trustee) the Company will promptly notify the Trustee of its action or failure so to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will cause each Paying Agent for any series of Securities other than the Trustee to execute and deliver to the Trustee an instrument in which such Paying Agent shall agree with the Trustee, subject to the provisions of this Section 10.03, that such Paying Agent will (1) comply with the provisions of the Trust Indenture Act applicable to it as a Paying Agent and (2) during the continuance of any default by the Company or the Guarantor (or any other obligor upon the Securities of that series) in the making of any payment in respect of the Securities of that series, upon the written request of the Trustee, forthwith pay to the Trustee all sums held in trust by such Paying Agent for payment in respect of the Securities of that series.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at any time, for the purpose of obtaining the satisfaction and discharge of this Indenture or for any other purpose, pay, or by Company Order, direct any Paying Agent to pay, to the Trustee all sums held in trust by the Company or such Paying Agent, such sums to be held by the Trustee upon the same trusts as those upon which such sums were held by the Company or such Paying Agent; and, upon such payment by any Paying Agent to the Trustee, such Paying Agent shall be released from all further liability with respect to such money. </w:t>
      </w:r>
    </w:p>
    <w:p>
      <w:pPr>
        <w:pStyle w:val="TextBody"/>
        <w:bidi w:val="0"/>
        <w:spacing w:before="240" w:after="0"/>
        <w:jc w:val="left"/>
        <w:rPr>
          <w:rFonts w:ascii="Times New Roman" w:hAnsi="Times New Roman"/>
          <w:sz w:val="20"/>
        </w:rPr>
      </w:pPr>
      <w:r>
        <w:rPr>
          <w:rFonts w:ascii="Times New Roman" w:hAnsi="Times New Roman"/>
          <w:sz w:val="20"/>
        </w:rPr>
        <w:t xml:space="preserve">Any money deposited with the Trustee or any Paying Agent, or then held by the Company, in trust for the payment of the principal of or any premium or interest on any Security of any series and remaining unclaimed for two years after such principal, premium or interest has become due and payable shall be paid to the Company on Company Request, or (if then held by the Company) shall be discharged from such trust; and the Holder of such Security shall thereafter, as an unsecured general creditor, look only to the Company for payment thereof, and all liability of the Trustee or such Paying Agent with respect to such trust money, and all liability of the Company as trustee thereof, shall thereupon cease;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Trustee or such Paying Agent, before being required to make any such repayment, may at the expense of the Company cause to be published once, in a newspaper published in the English language, customarily published on each Business Day and of general circulation in New York, New York, notice that such money remains unclaimed and that, after a date specified therein, which shall not be less than 30 days from the date of such publication, any unclaimed balance of such money then remaining will be repaid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10.04. </w:t>
      </w:r>
      <w:r>
        <w:rPr>
          <w:rFonts w:ascii="Times New Roman" w:hAnsi="Times New Roman"/>
          <w:i/>
          <w:sz w:val="20"/>
        </w:rPr>
        <w:t>Statement by Officers as to Default.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shall deliver to the Trustee, within 90 days after the end of each fiscal year ending after the date hereof, a certificate from the principal executive officer, principal financial officer or principal accounting officer stating that a review of the activities of the Company during the preceding fiscal year has been made under the supervision of the signing Officer with a view to determining whether the Company has kept, observed, performed and fulfilled its obligations under this Indenture, and further stating, as to such Officer signing such certificate, that to the best of his or her knowledge the Company has kept, observed, performed and fulfilled each and every condition and covenant contained in this Indenture and is not in default in the performance or observance of any of the terms, provisions, covenants and conditions of this Indenture (or, if any such default shall have occurred, describing all such defaults of which he or she may have knowledge and what action the Company is taking or proposes to take with respect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When any default has occurred and is continuing under this Indenture, the Company shall promptly (which shall be no more than five (5) Business Days) deliver to the Trustee by registered or certified mail or by electronic transmission an Officer’s Certificate specifying such event and what action the Company proposes to take with respect thereto. </w:t>
      </w:r>
    </w:p>
    <w:p>
      <w:pPr>
        <w:pStyle w:val="TextBody"/>
        <w:bidi w:val="0"/>
        <w:spacing w:before="240" w:after="0"/>
        <w:jc w:val="left"/>
        <w:rPr>
          <w:rFonts w:ascii="Times New Roman" w:hAnsi="Times New Roman"/>
          <w:sz w:val="20"/>
        </w:rPr>
      </w:pPr>
      <w:r>
        <w:rPr>
          <w:rFonts w:ascii="Times New Roman" w:hAnsi="Times New Roman"/>
          <w:sz w:val="20"/>
        </w:rPr>
        <w:t xml:space="preserve">SECTION 10.05. </w:t>
      </w:r>
      <w:r>
        <w:rPr>
          <w:rFonts w:ascii="Times New Roman" w:hAnsi="Times New Roman"/>
          <w:i/>
          <w:sz w:val="20"/>
        </w:rPr>
        <w:t>Existence.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Subject to Article Eight, the Company will do or cause to be done all things necessary to preserve and keep in full force and effect its existence, rights (charter and statutory) and franchises;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Company shall not be required to preserve any such right or franchise if its Board of Directors shall determine that the preservation thereof is no longer desirable in the conduct of the business of the Company and that the loss thereof is not materially disadvantageous to the Holders of Outstanding Securities. </w:t>
      </w:r>
    </w:p>
    <w:p>
      <w:pPr>
        <w:pStyle w:val="TextBody"/>
        <w:bidi w:val="0"/>
        <w:spacing w:before="240" w:after="0"/>
        <w:jc w:val="left"/>
        <w:rPr>
          <w:rFonts w:ascii="Times New Roman" w:hAnsi="Times New Roman"/>
          <w:sz w:val="20"/>
        </w:rPr>
      </w:pPr>
      <w:r>
        <w:rPr>
          <w:rFonts w:ascii="Times New Roman" w:hAnsi="Times New Roman"/>
          <w:sz w:val="20"/>
        </w:rPr>
        <w:t xml:space="preserve">SECTION 10.06. </w:t>
      </w:r>
      <w:r>
        <w:rPr>
          <w:rFonts w:ascii="Times New Roman" w:hAnsi="Times New Roman"/>
          <w:i/>
          <w:sz w:val="20"/>
        </w:rPr>
        <w:t>Payment of Taxes and Other Claims.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will pay or discharge or cause to be paid or discharged, before the same shall become delinquent, (1) all material taxes, assessments and governmental charges levied or imposed upon the Company or any of its Subsidiaries or upon the income, profits or property or the income, profits or property of the Company or any of its Subsidiaries, and (2) all material lawful claims for labor, materials and supplies which, if unpaid, might by law become a lien upon the property of the Company or any of its Subsidiaries;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Company shall not be required to pay or discharge or cause to be paid or discharged any such tax, assessment, charge or claim whose amount, applicability or validity is being contested in good faith by appropriate proceedings. </w:t>
      </w:r>
    </w:p>
    <w:p>
      <w:pPr>
        <w:pStyle w:val="TextBody"/>
        <w:bidi w:val="0"/>
        <w:spacing w:before="240" w:after="0"/>
        <w:jc w:val="left"/>
        <w:rPr>
          <w:rFonts w:ascii="Times New Roman" w:hAnsi="Times New Roman"/>
          <w:sz w:val="20"/>
        </w:rPr>
      </w:pPr>
      <w:r>
        <w:rPr>
          <w:rFonts w:ascii="Times New Roman" w:hAnsi="Times New Roman"/>
          <w:sz w:val="20"/>
        </w:rPr>
        <w:t xml:space="preserve">SECTION 10.07. </w:t>
      </w:r>
      <w:r>
        <w:rPr>
          <w:rFonts w:ascii="Times New Roman" w:hAnsi="Times New Roman"/>
          <w:i/>
          <w:sz w:val="20"/>
        </w:rPr>
        <w:t>Waiver of Certain Covenants.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Except as otherwise specified as contemplated by Section 3.01 for Securities of a specific series, the Company may, with respect to the Securities of any series, omit in any particular instance to comply with any term, provision or condition set forth in any covenant provided pursuant to Section 3.01(21), 9.01(6) or 9.01(11) for the benefit of the Holders of such series, in Article Eight, or in Sections 10.05 and 10.06, if before the time for such compliance the Holders of at least a majority in principal amount of the Outstanding Securities of such affected series shall, by Act of such Holders, either waive such compliance in such instance or generally waive compliance with such term, provision or condition, but no such waiver shall extend to or affect such term, provision or condition except to the extent so expressly waived, and, until such waiver shall become effective, the obligations of the Company and the duties of the Trustee in respect of any such term, provision or condition shall remain in full force and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10.08. </w:t>
      </w:r>
      <w:r>
        <w:rPr>
          <w:rFonts w:ascii="Times New Roman" w:hAnsi="Times New Roman"/>
          <w:i/>
          <w:sz w:val="20"/>
        </w:rPr>
        <w:t>Additional Amounts.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any Securities of a series provide for the payment of Additional Amounts, the Company or the Guarantor, as applicable, will pay to the Holder of any Security of such series or any coupon appertaining thereto Additional Amounts as may be specified as contemplated by Section 3.01. Whenever in this Indenture there is mentioned, in any context except in the case of Section 5.02, the payment of principal (and premium, if any), the Redemption Price, if any, interest or any other amount payable under or with respect to any Security of any series, such mention shall be deemed to include mention of the payment of Additional Amounts provided by the terms of such series established pursuant to Section 3.01 to the extent that, in such context, Additional Amounts are, were or would be payable in respect thereof pursuant to such terms.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Except as otherwise specified as contemplated by Section 3.01, if the Securities of a series provide for the payment of Additional Amounts, at least 10 days prior to the first Interest Payment Date with respect to that series of Securities (or if the Securities of that series will not bear interest prior to Maturity, the first day on which a payment of principal and any premium is made), and at least 10 days prior to each date of payment of principal and any premium or interest if there has been any change with respect to the matters set forth in the below-mentioned Officer’s Certificate, the Company or the Guarantor, as applicable, will furnish the Trustee and the Company’s principal Paying Agent or Paying Agents, if other than the Trustee, with an Officer’s Certificate instructing the Trustee and such Paying Agent or Paying Agents if such payment of principal of and any premium or interest on the Securities of that series shall be made to Holders of Securities of that series or any related coupons subject to withholding for or on account of any tax, assessment or other governmental charge described in the Securities of or within the series unless such withholding arises solely because of a connection between the Trustee and the Relevant Jurisdiction other than a connection arising solely as a result of the Trustee performing its obligations under this Indenture, in which case the remaining sentences of this paragraph shall not apply. If any such withholding shall be required, then such Officer’s Certificate shall specify by country the amount, if any, required to be withheld on such payments to such Holders of Securities of that series or related coupons and the Company or the Guarantor, as applicable, will pay to the Trustee or such Paying Agent the Additional Amounts, if any, required by the terms of such Securities. In the event that the Trustee or any Paying Agent, as the case may be, shall not so receive the above-mentioned certificate, then the Trustee or such Paying Agent shall be entitled (i) to assume that no such withholding or deduction is required with respect to any payment of principal or interest with respect to any Securities of a series or related coupons until it shall have received a certificate advising otherwise and (ii) to make all payments of principal and interest with respect to the Securities of a series or related coupons without withholding or deductions until otherwise advised. The Company and the Guarantor covenant to indemnify the Trustee and any Paying Agent and their respective officers, directors, employees and agents for, and to hold them harmless against, any loss, liability or expense (including legal fees and expenses) reasonably incurred without gross negligence or bad faith on their part arising out of or in connection with actions taken or omitted by any of them in reliance on any Officer’s Certificate furnished pursuant to this Section 10.08 or in reliance on the Company or the Guarantor’s not furnishing such an Officer’s Certificate. </w:t>
      </w:r>
    </w:p>
    <w:p>
      <w:pPr>
        <w:pStyle w:val="TextBody"/>
        <w:bidi w:val="0"/>
        <w:spacing w:before="240" w:after="0"/>
        <w:jc w:val="left"/>
        <w:rPr>
          <w:rFonts w:ascii="Times New Roman" w:hAnsi="Times New Roman"/>
          <w:sz w:val="20"/>
        </w:rPr>
      </w:pPr>
      <w:r>
        <w:rPr>
          <w:rFonts w:ascii="Times New Roman" w:hAnsi="Times New Roman"/>
          <w:sz w:val="20"/>
        </w:rPr>
        <w:t xml:space="preserve">SECTION 10.09. </w:t>
      </w:r>
      <w:r>
        <w:rPr>
          <w:rFonts w:ascii="Times New Roman" w:hAnsi="Times New Roman"/>
          <w:i/>
          <w:sz w:val="20"/>
        </w:rPr>
        <w:t>Negative Pledge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So long as any of the Securities of this series remains outstanding neither the Company nor the Guarantor will create any mortgage, charge, pledge, lien, encumbrance or other security interest (“Lien”) (other than a Permitted Lien) upon its assets to secure any Quoted Indebtedness or any Qualifying Guarantee of such Quoted Indebtedness, unless in any such case the Company or the Guarantor, as the case may be, grant, for the benefit of holders of the Securities, a security interest in such assets that is equal and ratable to the security interests in favor of the holders of the Quoted Indebtedness (or, in the case of a Lien securing Quoted Indebtedness that is expressly subordinated or junior to the Securities, secured by a Lien that is senior in priority to such Lien).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Notwithstanding anything in this Indenture or the Securities to the contrary, this Indenture and the Securities shall not be deemed to prohibit or restrict, and no Event of Default under this Indenture and the Securities shall result from the existence of any default, violation, early amortization or other adverse event or circumstance under, any Non-recourse Securitization. </w:t>
      </w:r>
    </w:p>
    <w:p>
      <w:pPr>
        <w:pStyle w:val="TextBody"/>
        <w:bidi w:val="0"/>
        <w:spacing w:before="240" w:after="0"/>
        <w:jc w:val="left"/>
        <w:rPr>
          <w:rFonts w:ascii="Times New Roman" w:hAnsi="Times New Roman"/>
          <w:sz w:val="20"/>
        </w:rPr>
      </w:pPr>
      <w:r>
        <w:rPr>
          <w:rFonts w:ascii="Times New Roman" w:hAnsi="Times New Roman"/>
          <w:sz w:val="20"/>
        </w:rPr>
        <w:t xml:space="preserve">SECTION 10.10. </w:t>
      </w:r>
      <w:r>
        <w:rPr>
          <w:rFonts w:ascii="Times New Roman" w:hAnsi="Times New Roman"/>
          <w:i/>
          <w:sz w:val="20"/>
        </w:rPr>
        <w:t>Repurchase at the Option of Holders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Except as otherwise specified as contemplated by Section 3.01, if a Change of Control Event occurs, unless the Company has previously or concurrently sent a redemption notice with respect to all the then Outstanding Securities of the applicable series pursuant to Section 11.04, the Holder of any Security of such series shall have the right to require the Company to purchase all or a portion of that Holder’s Securities (equal to $1,000 or an integral multiple thereof) pursuant to the offer described below (the “Change of Control Offer”) at a price in cash (the “Change of Control Payment”) equal to 101% of the principal amount thereof, together with accrued and unpaid interest, if any, to the date of purchase, subject to the right of Holders of such Securities on the relevant Regular Record Date to receive Interest due on the relevant Interest Payment Date.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any Change of Control Event (but not later than 30 calendar days following any Change of Control Event), the Company shall send notice of such Change of Control Offer, with a copy to the Trustee, the Paying Agent and the Registrar, to each Holder of the Securities to the address of such Holder appearing in the security register, with the following information: </w:t>
      </w:r>
    </w:p>
    <w:p>
      <w:pPr>
        <w:pStyle w:val="TextBody"/>
        <w:bidi w:val="0"/>
        <w:spacing w:before="120" w:after="0"/>
        <w:jc w:val="left"/>
        <w:rPr>
          <w:rFonts w:ascii="Times New Roman" w:hAnsi="Times New Roman"/>
          <w:sz w:val="20"/>
        </w:rPr>
      </w:pPr>
      <w:r>
        <w:rPr>
          <w:rFonts w:ascii="Times New Roman" w:hAnsi="Times New Roman"/>
          <w:sz w:val="20"/>
        </w:rPr>
        <w:t xml:space="preserve">(1) that a Change of Control Offer is being made pursuant to this Section 10.10 and that all Securities properly tendered pursuant to such Change of Control Offer shall be accepted for payment by the Company; </w:t>
      </w:r>
    </w:p>
    <w:p>
      <w:pPr>
        <w:pStyle w:val="TextBody"/>
        <w:bidi w:val="0"/>
        <w:spacing w:before="120" w:after="0"/>
        <w:jc w:val="left"/>
        <w:rPr>
          <w:rFonts w:ascii="Times New Roman" w:hAnsi="Times New Roman"/>
          <w:sz w:val="20"/>
        </w:rPr>
      </w:pPr>
      <w:r>
        <w:rPr>
          <w:rFonts w:ascii="Times New Roman" w:hAnsi="Times New Roman"/>
          <w:sz w:val="20"/>
        </w:rPr>
        <w:t>(2) the purchase price and the purchase date, which shall be no earlier than 30 calendar days nor later than 60 days from the date such notice is sent (the “</w:t>
      </w:r>
      <w:r>
        <w:rPr>
          <w:rFonts w:ascii="Times New Roman" w:hAnsi="Times New Roman"/>
          <w:sz w:val="20"/>
          <w:u w:val="single"/>
        </w:rPr>
        <w:t>Change of Control Payment Date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(3) that any Securities not properly tendered shall remain Outstanding and continue to accrue interest; </w:t>
      </w:r>
    </w:p>
    <w:p>
      <w:pPr>
        <w:pStyle w:val="TextBody"/>
        <w:bidi w:val="0"/>
        <w:spacing w:before="120" w:after="0"/>
        <w:jc w:val="left"/>
        <w:rPr>
          <w:rFonts w:ascii="Times New Roman" w:hAnsi="Times New Roman"/>
          <w:sz w:val="20"/>
        </w:rPr>
      </w:pPr>
      <w:r>
        <w:rPr>
          <w:rFonts w:ascii="Times New Roman" w:hAnsi="Times New Roman"/>
          <w:sz w:val="20"/>
        </w:rPr>
        <w:t xml:space="preserve">(4) that unless the Company defaults in the payment of the Change of Control Payment, all Securities accepted for payment pursuant to the Change of Control Offer shall cease to accrue interest on the Change of Control Payment Date; </w:t>
      </w:r>
    </w:p>
    <w:p>
      <w:pPr>
        <w:pStyle w:val="TextBody"/>
        <w:bidi w:val="0"/>
        <w:spacing w:before="120" w:after="0"/>
        <w:jc w:val="left"/>
        <w:rPr>
          <w:rFonts w:ascii="Times New Roman" w:hAnsi="Times New Roman"/>
          <w:sz w:val="20"/>
        </w:rPr>
      </w:pPr>
      <w:r>
        <w:rPr>
          <w:rFonts w:ascii="Times New Roman" w:hAnsi="Times New Roman"/>
          <w:sz w:val="20"/>
        </w:rPr>
        <w:t xml:space="preserve">(5) that Holders shall be entitled to withdraw their tendered Securities and their election to require the Company to purchase such Securities, </w:t>
      </w:r>
      <w:r>
        <w:rPr>
          <w:rFonts w:ascii="Times New Roman" w:hAnsi="Times New Roman"/>
          <w:i/>
          <w:sz w:val="20"/>
        </w:rPr>
        <w:t>provided, however</w:t>
      </w:r>
      <w:r>
        <w:rPr>
          <w:rFonts w:ascii="Times New Roman" w:hAnsi="Times New Roman"/>
          <w:sz w:val="20"/>
        </w:rPr>
        <w:t xml:space="preserve">, that the Paying Agent receives, not later than the close of business on the fifth Business Day preceding the Change of Control Payment Date an electronic mail transmission or a letter setting forth the name of the Holder of the Securities, the principal amount of such Securities tendered for purchase, and a statement that such Holder is withdrawing its tendered Securities and its election to have such Securities purchased;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 that the Holders whose Securities are being repurchased only in part shall be issued new Securities equal in principal amount to the unpurchased portion of the Securities surrendered, </w:t>
      </w:r>
      <w:r>
        <w:rPr>
          <w:rFonts w:ascii="Times New Roman" w:hAnsi="Times New Roman"/>
          <w:i/>
          <w:sz w:val="20"/>
        </w:rPr>
        <w:t>provided</w:t>
      </w:r>
      <w:r>
        <w:rPr>
          <w:rFonts w:ascii="Times New Roman" w:hAnsi="Times New Roman"/>
          <w:sz w:val="20"/>
        </w:rPr>
        <w:t xml:space="preserve"> that the unpurchased portion of such Securities must be equal to a minimum of $1,000 or an integral multiple thereof; </w:t>
      </w:r>
    </w:p>
    <w:p>
      <w:pPr>
        <w:pStyle w:val="TextBody"/>
        <w:bidi w:val="0"/>
        <w:spacing w:before="120" w:after="0"/>
        <w:jc w:val="left"/>
        <w:rPr>
          <w:rFonts w:ascii="Times New Roman" w:hAnsi="Times New Roman"/>
          <w:sz w:val="20"/>
        </w:rPr>
      </w:pPr>
      <w:r>
        <w:rPr>
          <w:rFonts w:ascii="Times New Roman" w:hAnsi="Times New Roman"/>
          <w:sz w:val="20"/>
        </w:rPr>
        <w:t xml:space="preserve">(7) if such notice is sent prior to the occurrence of a Change of Control Event, stating that the Change of Control Offer is conditional on the occurrence of such Change of Control Event; and </w:t>
      </w:r>
    </w:p>
    <w:p>
      <w:pPr>
        <w:pStyle w:val="TextBody"/>
        <w:bidi w:val="0"/>
        <w:spacing w:before="120" w:after="0"/>
        <w:jc w:val="left"/>
        <w:rPr>
          <w:rFonts w:ascii="Times New Roman" w:hAnsi="Times New Roman"/>
          <w:sz w:val="20"/>
        </w:rPr>
      </w:pPr>
      <w:r>
        <w:rPr>
          <w:rFonts w:ascii="Times New Roman" w:hAnsi="Times New Roman"/>
          <w:sz w:val="20"/>
        </w:rPr>
        <w:t xml:space="preserve">(8) other instructions, as determined by the Company, consistent with the covenant set forth hereunder, that a Holder must follow to tender its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not be required to make a Change of Control Offer following a Change of Control Event if a third party makes the Change of Control Offer in the manner, at the times and otherwise in compliance with the requirements set forth in the Indenture and the Securities applicable to a Change of Control Offer made by the Company and purchases all Securities validly tendered and not withdrawn under such Change of Control Offer and/or (ii) a notice of redemption has been given pursuant to Section 1104, unless and until there is a default in payment of the applicable redemption price. Notwithstanding anything to the contrary herein, a Change of Control Offer may be made in advance of a Change of Control Event, conditional upon the Change of Control, if at the time of making of the Change of Control Offer (i) a definitive agreement is in place for the Change of Control, or (ii) a public offer has been made to acquire all of the outstanding common shares of the Company and has been declared unconditional. To the extent that the provisions of any securities laws or regulations conflict with the provisions of the Indenture or the Securities, the Company shall comply with the applicable securities laws and regulations and shall not be deemed to have breached the Company’s obligations described in the Indenture and the Securities by virtue thereof. </w:t>
      </w:r>
    </w:p>
    <w:p>
      <w:pPr>
        <w:pStyle w:val="TextBody"/>
        <w:bidi w:val="0"/>
        <w:spacing w:before="240" w:after="0"/>
        <w:jc w:val="left"/>
        <w:rPr>
          <w:rFonts w:ascii="Times New Roman" w:hAnsi="Times New Roman"/>
          <w:sz w:val="20"/>
        </w:rPr>
      </w:pPr>
      <w:r>
        <w:rPr>
          <w:rFonts w:ascii="Times New Roman" w:hAnsi="Times New Roman"/>
          <w:sz w:val="20"/>
        </w:rPr>
        <w:t xml:space="preserve">Subject to Article Nine, the provisions in the Indenture and the Securities relative to the Company’s obligation to make an offer to repurchase the Securities as a result of a Change of Control Event may be waived or modified at any time with the written consent of the Holders of a majority in principal amount of the Securities then Outstanding under the Indenture.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ELEVEN </w:t>
      </w:r>
    </w:p>
    <w:p>
      <w:pPr>
        <w:pStyle w:val="TextBody"/>
        <w:bidi w:val="0"/>
        <w:spacing w:before="240" w:after="0"/>
        <w:jc w:val="center"/>
        <w:rPr>
          <w:rFonts w:ascii="Times New Roman" w:hAnsi="Times New Roman"/>
          <w:sz w:val="20"/>
        </w:rPr>
      </w:pPr>
      <w:r>
        <w:rPr>
          <w:rFonts w:ascii="Times New Roman" w:hAnsi="Times New Roman"/>
          <w:sz w:val="20"/>
        </w:rPr>
        <w:t xml:space="preserve">REDEMPTION OF SECURITIES </w:t>
      </w:r>
    </w:p>
    <w:p>
      <w:pPr>
        <w:pStyle w:val="TextBody"/>
        <w:bidi w:val="0"/>
        <w:spacing w:before="240" w:after="0"/>
        <w:jc w:val="left"/>
        <w:rPr>
          <w:rFonts w:ascii="Times New Roman" w:hAnsi="Times New Roman"/>
          <w:sz w:val="20"/>
        </w:rPr>
      </w:pPr>
      <w:r>
        <w:rPr>
          <w:rFonts w:ascii="Times New Roman" w:hAnsi="Times New Roman"/>
          <w:sz w:val="20"/>
        </w:rPr>
        <w:t xml:space="preserve">SECTION 11.01. </w:t>
      </w:r>
      <w:r>
        <w:rPr>
          <w:rFonts w:ascii="Times New Roman" w:hAnsi="Times New Roman"/>
          <w:i/>
          <w:sz w:val="20"/>
        </w:rPr>
        <w:t>Applicability of Article.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Securities of any series which are redeemable before their Stated Maturity shall be redeemable in accordance with their terms and (except as otherwise specified as contemplated by Section 3.01 for such Securities) in accordance with this Article Eleven.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11.02. </w:t>
      </w:r>
      <w:r>
        <w:rPr>
          <w:rFonts w:ascii="Times New Roman" w:hAnsi="Times New Roman"/>
          <w:i/>
          <w:sz w:val="20"/>
        </w:rPr>
        <w:t>Election to Redeem; Notice to Trustee.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election of the Company or the Guarantor to redeem any Securities shall be evidenced by a Board Resolution or in another manner specified as contemplated by Section 3.01 for such Securities. In case of any redemption at the election of the Company or the Guarantor of less than all the Securities of any series (including any such redemption affecting only a single Security), the Company or the Guarantor, as applicable shall, at least 45 days prior to the Redemption Date fixed by the Company or the Guarantor (unless a shorter notice shall be satisfactory to the Trustee), notify the Trustee of such Redemption Date, of the principal amount of Securities of such series to be redeemed and, if applicable, of the tenor of the Securities to be redeemed. In the case of any redemption of Securities prior to the expiration of any restriction on such redemption provided in the terms of such Securities or elsewhere in this Indenture, the Company shall furnish the Trustee with an Officer’s Certificate evidencing compliance with such restriction. </w:t>
      </w:r>
    </w:p>
    <w:p>
      <w:pPr>
        <w:pStyle w:val="TextBody"/>
        <w:bidi w:val="0"/>
        <w:spacing w:before="240" w:after="0"/>
        <w:jc w:val="left"/>
        <w:rPr>
          <w:rFonts w:ascii="Times New Roman" w:hAnsi="Times New Roman"/>
          <w:sz w:val="20"/>
        </w:rPr>
      </w:pPr>
      <w:r>
        <w:rPr>
          <w:rFonts w:ascii="Times New Roman" w:hAnsi="Times New Roman"/>
          <w:sz w:val="20"/>
        </w:rPr>
        <w:t xml:space="preserve">SECTION 11.03. </w:t>
      </w:r>
      <w:r>
        <w:rPr>
          <w:rFonts w:ascii="Times New Roman" w:hAnsi="Times New Roman"/>
          <w:i/>
          <w:sz w:val="20"/>
        </w:rPr>
        <w:t>Selection by Trustee of Securities to Be Redeemed.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less than all the Securities of any series are to be redeemed (unless all the Securities of such series and of a specified tenor are to be redeemed or unless such redemption affects only a single Security), the particular Securities to be redeemed shall be selected not more than 45 days prior to the Redemption Date, from the Outstanding Securities of such series not previously called for redemption, and such redemption shall be effected by lot in compliance with the requirements of the principal national securities exchange and subject to applicable procedures or regulations of the Depositary; </w:t>
      </w:r>
      <w:r>
        <w:rPr>
          <w:rFonts w:ascii="Times New Roman" w:hAnsi="Times New Roman"/>
          <w:i/>
          <w:sz w:val="20"/>
        </w:rPr>
        <w:t>provided</w:t>
      </w:r>
      <w:r>
        <w:rPr>
          <w:rFonts w:ascii="Times New Roman" w:hAnsi="Times New Roman"/>
          <w:sz w:val="20"/>
        </w:rPr>
        <w:t xml:space="preserve"> that the unredeemed portion of the principal amount of any Security shall be in an authorized denomination (which shall not be less than the minimum authorized denomination) for such Security and provided further that so long as the Securities are represented by one or more Global Securities, such selection shall be made by the Depositary in accordance with its customary procedures. If less than all the Securities of such series and of a specified tenor are to be redeemed (unless such redemption affects only a single Security), the particular Securities to be redeemed (unless such Securities are represented by one or more Global Securities) shall be selected and notice of redemption will be sent in accordance with the applicable procedures of the Depositary to each Holder at least 30 but not more than 45 days prior to the Redemption Date, from the Outstanding Securities of such series and specified tenor not previously called for redemption in accordance with the preceding sentence. </w:t>
      </w:r>
    </w:p>
    <w:p>
      <w:pPr>
        <w:pStyle w:val="TextBody"/>
        <w:bidi w:val="0"/>
        <w:spacing w:before="240" w:after="0"/>
        <w:jc w:val="left"/>
        <w:rPr>
          <w:rFonts w:ascii="Times New Roman" w:hAnsi="Times New Roman"/>
          <w:sz w:val="20"/>
        </w:rPr>
      </w:pPr>
      <w:r>
        <w:rPr>
          <w:rFonts w:ascii="Times New Roman" w:hAnsi="Times New Roman"/>
          <w:sz w:val="20"/>
        </w:rPr>
        <w:t xml:space="preserve">The Trustee shall promptly notify the Company in writing of the Securities selected for redemption as aforesaid and, in case of any Securities selected for partial redemption as aforesaid, the principal amount thereof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the two preceding paragraphs shall not apply with respect to any redemption affecting only a single Security, whether such Security is to be redeemed in whole or in part. In the case of any such redemption in part, the unredeemed portion of the principal amount of the Security shall be in an authorized denomination (which shall not be less than the minimum authorized denomination) for such Security. </w:t>
      </w:r>
    </w:p>
    <w:p>
      <w:pPr>
        <w:pStyle w:val="TextBody"/>
        <w:bidi w:val="0"/>
        <w:spacing w:before="240" w:after="0"/>
        <w:jc w:val="left"/>
        <w:rPr>
          <w:rFonts w:ascii="Times New Roman" w:hAnsi="Times New Roman"/>
          <w:sz w:val="20"/>
        </w:rPr>
      </w:pPr>
      <w:r>
        <w:rPr>
          <w:rFonts w:ascii="Times New Roman" w:hAnsi="Times New Roman"/>
          <w:sz w:val="20"/>
        </w:rPr>
        <w:t xml:space="preserve">For all purposes of this Indenture, unless the context otherwise requires, all provisions relating to the redemption of Securities shall relate, in the case of any Securities redeemed or to be redeemed only in part, to the portion of the principal amount of such Securities which has been or is to be redeemed.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11.04. </w:t>
      </w:r>
      <w:r>
        <w:rPr>
          <w:rFonts w:ascii="Times New Roman" w:hAnsi="Times New Roman"/>
          <w:i/>
          <w:sz w:val="20"/>
        </w:rPr>
        <w:t>Notice of Redemption.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Notice of redemption shall be sent in accordance with the applicable procedures of the Depositary not less than 10 nor more than 60 days prior to the Redemption Date, to each Holder of Securities to be redeemed, at his address appearing in the Security Register, with a copy to the Trustee and any Paying Agent, except that redemption notices may be given more than 60 days prior to a Redemption Date if the notice is issued in connection with a Legal Defeasance of the Securities of the relevant series pursuant to Article Fourteen or a satisfaction and discharge of the Indenture pursuant to Article Four. </w:t>
      </w:r>
    </w:p>
    <w:p>
      <w:pPr>
        <w:pStyle w:val="TextBody"/>
        <w:bidi w:val="0"/>
        <w:spacing w:before="240" w:after="0"/>
        <w:jc w:val="left"/>
        <w:rPr>
          <w:rFonts w:ascii="Times New Roman" w:hAnsi="Times New Roman"/>
          <w:sz w:val="20"/>
        </w:rPr>
      </w:pPr>
      <w:r>
        <w:rPr>
          <w:rFonts w:ascii="Times New Roman" w:hAnsi="Times New Roman"/>
          <w:sz w:val="20"/>
        </w:rPr>
        <w:t xml:space="preserve">All notices of redemption shall identify the Securities to be redeemed, including CUSIP number, if any, and shall state: </w:t>
      </w:r>
    </w:p>
    <w:p>
      <w:pPr>
        <w:pStyle w:val="TextBody"/>
        <w:bidi w:val="0"/>
        <w:spacing w:before="240" w:after="0"/>
        <w:jc w:val="left"/>
        <w:rPr>
          <w:rFonts w:ascii="Times New Roman" w:hAnsi="Times New Roman"/>
          <w:sz w:val="20"/>
        </w:rPr>
      </w:pPr>
      <w:r>
        <w:rPr>
          <w:rFonts w:ascii="Times New Roman" w:hAnsi="Times New Roman"/>
          <w:sz w:val="20"/>
        </w:rPr>
        <w:t xml:space="preserve">(1)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(2) the Redemption Price, </w:t>
      </w:r>
    </w:p>
    <w:p>
      <w:pPr>
        <w:pStyle w:val="TextBody"/>
        <w:bidi w:val="0"/>
        <w:spacing w:before="240" w:after="0"/>
        <w:jc w:val="left"/>
        <w:rPr>
          <w:rFonts w:ascii="Times New Roman" w:hAnsi="Times New Roman"/>
          <w:sz w:val="20"/>
        </w:rPr>
      </w:pPr>
      <w:r>
        <w:rPr>
          <w:rFonts w:ascii="Times New Roman" w:hAnsi="Times New Roman"/>
          <w:sz w:val="20"/>
        </w:rPr>
        <w:t xml:space="preserve">(3) if less than all the Outstanding Securities of any series consisting of more than a single Security are to be redeemed, the identification (and, in the case of partial redemption of any such Securities, the principal amounts) of the particular Securities to be redeemed and, if less than all the Outstanding Securities of any series consisting of a single Security are to be redeemed, the principal amount of the particular Security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(4) that on the Redemption Date the Redemption Price will become due and payable upon each such Security to be redeemed and, if applicable, that interest thereon will cease to accrue on and after said date, </w:t>
      </w:r>
    </w:p>
    <w:p>
      <w:pPr>
        <w:pStyle w:val="TextBody"/>
        <w:bidi w:val="0"/>
        <w:spacing w:before="240" w:after="0"/>
        <w:jc w:val="left"/>
        <w:rPr>
          <w:rFonts w:ascii="Times New Roman" w:hAnsi="Times New Roman"/>
          <w:sz w:val="20"/>
        </w:rPr>
      </w:pPr>
      <w:r>
        <w:rPr>
          <w:rFonts w:ascii="Times New Roman" w:hAnsi="Times New Roman"/>
          <w:sz w:val="20"/>
        </w:rPr>
        <w:t xml:space="preserve">(5) that interest, if any, accrued to the date fixed for redemption will be paid as specified in said notice, </w:t>
      </w:r>
    </w:p>
    <w:p>
      <w:pPr>
        <w:pStyle w:val="TextBody"/>
        <w:bidi w:val="0"/>
        <w:spacing w:before="240" w:after="0"/>
        <w:jc w:val="left"/>
        <w:rPr>
          <w:rFonts w:ascii="Times New Roman" w:hAnsi="Times New Roman"/>
          <w:sz w:val="20"/>
        </w:rPr>
      </w:pPr>
      <w:r>
        <w:rPr>
          <w:rFonts w:ascii="Times New Roman" w:hAnsi="Times New Roman"/>
          <w:sz w:val="20"/>
        </w:rPr>
        <w:t xml:space="preserve">(6) the place or places where each such Security is to be surrendered for payment of the Redemption Price and </w:t>
      </w:r>
    </w:p>
    <w:p>
      <w:pPr>
        <w:pStyle w:val="TextBody"/>
        <w:bidi w:val="0"/>
        <w:spacing w:before="240" w:after="0"/>
        <w:jc w:val="left"/>
        <w:rPr>
          <w:rFonts w:ascii="Times New Roman" w:hAnsi="Times New Roman"/>
          <w:sz w:val="20"/>
        </w:rPr>
      </w:pPr>
      <w:r>
        <w:rPr>
          <w:rFonts w:ascii="Times New Roman" w:hAnsi="Times New Roman"/>
          <w:sz w:val="20"/>
        </w:rPr>
        <w:t xml:space="preserve">(7) that the redemption is for a sinking fund, if such is the case. </w:t>
      </w:r>
    </w:p>
    <w:p>
      <w:pPr>
        <w:pStyle w:val="TextBody"/>
        <w:bidi w:val="0"/>
        <w:spacing w:before="240" w:after="0"/>
        <w:jc w:val="left"/>
        <w:rPr>
          <w:rFonts w:ascii="Times New Roman" w:hAnsi="Times New Roman"/>
          <w:sz w:val="20"/>
        </w:rPr>
      </w:pPr>
      <w:r>
        <w:rPr>
          <w:rFonts w:ascii="Times New Roman" w:hAnsi="Times New Roman"/>
          <w:sz w:val="20"/>
        </w:rPr>
        <w:t xml:space="preserve">Notice of redemption of Securities to be redeemed at the election of the Company shall be given by the Company or, at the Company’s request given two Business Days prior to sending out the notice of redemption, by the Trustee in the name and at the expense of the Company and shall be irrevocable.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provide in such notice that the payment of the Redemption Price and the performance of its obligations with respect to such redemption of an applicable series of Securities may be performed by another Person and may, at the Company’s discretion, be subject to one or more conditions precedent.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11.05. </w:t>
      </w:r>
      <w:r>
        <w:rPr>
          <w:rFonts w:ascii="Times New Roman" w:hAnsi="Times New Roman"/>
          <w:i/>
          <w:sz w:val="20"/>
        </w:rPr>
        <w:t>Deposit of Redemption Price.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Prior to any Redemption Date and at the latest at 10:00 am New York City time on the Redemption Date, the Company or the Guarantor shall deposit with the Trustee or with a Paying Agent an amount of money sufficient to pay the Redemption Price of, and (except if the Redemption Date shall be an Interest Payment Date or the Securities of the series provide otherwise) accrued interest on, all the Securities which are to be redeemed on that date. </w:t>
      </w:r>
    </w:p>
    <w:p>
      <w:pPr>
        <w:pStyle w:val="TextBody"/>
        <w:bidi w:val="0"/>
        <w:spacing w:before="240" w:after="0"/>
        <w:jc w:val="left"/>
        <w:rPr>
          <w:rFonts w:ascii="Times New Roman" w:hAnsi="Times New Roman"/>
          <w:sz w:val="20"/>
        </w:rPr>
      </w:pPr>
      <w:r>
        <w:rPr>
          <w:rFonts w:ascii="Times New Roman" w:hAnsi="Times New Roman"/>
          <w:sz w:val="20"/>
        </w:rPr>
        <w:t xml:space="preserve">SECTION 11.06. </w:t>
      </w:r>
      <w:r>
        <w:rPr>
          <w:rFonts w:ascii="Times New Roman" w:hAnsi="Times New Roman"/>
          <w:i/>
          <w:sz w:val="20"/>
        </w:rPr>
        <w:t>Securities Payable on Redemption Date.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Notice of redemption having been given as aforesaid, the Securities so to be redeemed shall, on the Redemption Date, become due and payable at the Redemption Price therein specified, and from and after such date (unless the Company shall default in the payment of the Redemption Price and accrued interest) such Securities shall cease to bear interest. Upon surrender of any such Security for redemption in accordance with said notice, such Security shall be paid by the Company at the Redemption Price, together, if applicable, with accrued interest to the Redemption Date;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unless otherwise specified as contemplated by Section 3.01, installments of interest whose Stated Maturity is on or prior to the Redemption Date will be payable to the Holders of such Securities, or one or more Predecessor Securities, registered as such at the close of business on the relevant record dates according to their terms and the provisions of Section 3.07. </w:t>
      </w:r>
    </w:p>
    <w:p>
      <w:pPr>
        <w:pStyle w:val="TextBody"/>
        <w:bidi w:val="0"/>
        <w:spacing w:before="240" w:after="0"/>
        <w:jc w:val="left"/>
        <w:rPr>
          <w:rFonts w:ascii="Times New Roman" w:hAnsi="Times New Roman"/>
          <w:sz w:val="20"/>
        </w:rPr>
      </w:pPr>
      <w:r>
        <w:rPr>
          <w:rFonts w:ascii="Times New Roman" w:hAnsi="Times New Roman"/>
          <w:sz w:val="20"/>
        </w:rPr>
        <w:t xml:space="preserve">If any Security called for redemption shall not be so paid upon surrender thereof for redemption, the principal and any premium shall, until paid, bear interest from the Redemption Date at the rate prescribed therefor in the Security. </w:t>
      </w:r>
    </w:p>
    <w:p>
      <w:pPr>
        <w:pStyle w:val="TextBody"/>
        <w:bidi w:val="0"/>
        <w:spacing w:before="240" w:after="0"/>
        <w:jc w:val="left"/>
        <w:rPr>
          <w:rFonts w:ascii="Times New Roman" w:hAnsi="Times New Roman"/>
          <w:sz w:val="20"/>
        </w:rPr>
      </w:pPr>
      <w:r>
        <w:rPr>
          <w:rFonts w:ascii="Times New Roman" w:hAnsi="Times New Roman"/>
          <w:sz w:val="20"/>
        </w:rPr>
        <w:t xml:space="preserve">SECTION 11.07. </w:t>
      </w:r>
      <w:r>
        <w:rPr>
          <w:rFonts w:ascii="Times New Roman" w:hAnsi="Times New Roman"/>
          <w:i/>
          <w:sz w:val="20"/>
        </w:rPr>
        <w:t>Securities Redeemed in Part.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Any Security which is to be redeemed only in part shall be surrendered at a Place of Payment therefor (with, if the Company or the Trustee so requires, due endorsement by, or a written instrument of transfer in form satisfactory to the Company and the Trustee duly executed by, the Holder thereof or his attorney duly authorized in writing), and the Company shall execute, and the Trustee shall authenticate and deliver to the Holder of such Security without service charge, a new Security or Securities of the same series and of like tenor, of any authorized denomination as requested by such Holder, in aggregate principal amount equal to and in exchange for the unredeemed portion of the principal of the Security so surrendered and any applicable Guarantee endorsed thereon or attached thereto if such Guarantee was endorsed on or attached to the Security redeemed in part. </w:t>
      </w:r>
    </w:p>
    <w:p>
      <w:pPr>
        <w:pStyle w:val="TextBody"/>
        <w:bidi w:val="0"/>
        <w:spacing w:before="240" w:after="0"/>
        <w:jc w:val="left"/>
        <w:rPr>
          <w:rFonts w:ascii="Times New Roman" w:hAnsi="Times New Roman"/>
          <w:sz w:val="20"/>
        </w:rPr>
      </w:pPr>
      <w:r>
        <w:rPr>
          <w:rFonts w:ascii="Times New Roman" w:hAnsi="Times New Roman"/>
          <w:sz w:val="20"/>
        </w:rPr>
        <w:t xml:space="preserve">SECTION 11.08. </w:t>
      </w:r>
      <w:r>
        <w:rPr>
          <w:rFonts w:ascii="Times New Roman" w:hAnsi="Times New Roman"/>
          <w:i/>
          <w:sz w:val="20"/>
        </w:rPr>
        <w:t>Securities No Longer Outstanding After Notice to Trustee and Deposit of Money.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the Company or the Guarantor, having given notice to the Trustee as provided in Section 11.02, shall have deposited with the Trustee or a Paying Agent, for the benefit of the Holders of any Securities of any series or portions thereof called for redemption in whole or in part cash or other form of payment if permitted by the terms of such Securities (which amount shall be immediately due and payable to the Holders of such Securities or portions thereof), in the amount necessary so to redeem all such Securities or portions thereof on the Redemption Date and provision satisfactory to the Trustee shall have been made for the giving of notice of such redemption, such Securities or portions thereof, shall thereupon, for all purposes of this Indenture, be deemed to be no longer Outstanding, and the Holders thereof shall be entitled to no rights thereunder or hereunder, except the right to receive payment of the Redemption Price, together with interest accrued to the Redemption Date, on or after the Redemption Date of such Securities or portions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11.09. </w:t>
      </w:r>
      <w:r>
        <w:rPr>
          <w:rFonts w:ascii="Times New Roman" w:hAnsi="Times New Roman"/>
          <w:i/>
          <w:sz w:val="20"/>
        </w:rPr>
        <w:t>Other Purchases.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may acquire Securities by means other than a redemption, whether by tender offer, open market purchases, negotiated transactions or otherwise, in accordance with applicable securities laws, so long as such acquisition does not otherwise violate the terms of this Indenture or the Securities. Securities so acquired may be held, resold or, at the Company’s option, surrendered to the Trustee for cancellation.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TWELVE </w:t>
      </w:r>
    </w:p>
    <w:p>
      <w:pPr>
        <w:pStyle w:val="TextBody"/>
        <w:bidi w:val="0"/>
        <w:spacing w:before="240" w:after="0"/>
        <w:jc w:val="center"/>
        <w:rPr>
          <w:rFonts w:ascii="Times New Roman" w:hAnsi="Times New Roman"/>
          <w:sz w:val="20"/>
        </w:rPr>
      </w:pPr>
      <w:r>
        <w:rPr>
          <w:rFonts w:ascii="Times New Roman" w:hAnsi="Times New Roman"/>
          <w:sz w:val="20"/>
        </w:rPr>
        <w:t xml:space="preserve">GUARANTEES </w:t>
      </w:r>
    </w:p>
    <w:p>
      <w:pPr>
        <w:pStyle w:val="TextBody"/>
        <w:bidi w:val="0"/>
        <w:spacing w:before="240" w:after="0"/>
        <w:jc w:val="left"/>
        <w:rPr>
          <w:rFonts w:ascii="Times New Roman" w:hAnsi="Times New Roman"/>
          <w:sz w:val="20"/>
        </w:rPr>
      </w:pPr>
      <w:r>
        <w:rPr>
          <w:rFonts w:ascii="Times New Roman" w:hAnsi="Times New Roman"/>
          <w:sz w:val="20"/>
        </w:rPr>
        <w:t xml:space="preserve">SECTION 12.01. </w:t>
      </w:r>
      <w:r>
        <w:rPr>
          <w:rFonts w:ascii="Times New Roman" w:hAnsi="Times New Roman"/>
          <w:i/>
          <w:sz w:val="20"/>
        </w:rPr>
        <w:t>Guarantee.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Subject to this Indenture and unless provided otherwise under any Board Resolution, Officer’s Certificate or indenture supplement hereto, the Guarantor hereby irrevocably, fully and unconditionally guarantees to the Trustee and the Holder of any Security issued under this Indenture duly authenticated and delivered by the Trustee or its Authenticating Agent, the due and punctual payment of the principal of (including any amount in respect of original issue discount), premium and interest, if any (together with any Additional Amounts payable pursuant to the terms of any such Security), on any such Security and the due and punctual payment of the sinking fund payments, if any, and all other obligations of the Company to the Holders or the Trustee provided for pursuant to the terms of the Indenture and the Securities, when and as the same shall become due and payable, whether at Stated Maturity or upon redemption or upon declaration of acceleration or otherwise according to the terms of any such Security and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In case of default by the Company in the payment of any such principal (including any amount in respect of original issue discount), and any premium or interest (together with any Additional Amounts payable pursuant to the terms of any such Security), sinking fund payment, or analogous obligation, the Guarantor agrees, duly and punctually to pay the same. The Guarantor hereby agrees that its obligations hereunder shall rank </w:t>
      </w:r>
      <w:r>
        <w:rPr>
          <w:rFonts w:ascii="Times New Roman" w:hAnsi="Times New Roman"/>
          <w:i/>
          <w:sz w:val="20"/>
        </w:rPr>
        <w:t>pari passu</w:t>
      </w:r>
      <w:r>
        <w:rPr>
          <w:rFonts w:ascii="Times New Roman" w:hAnsi="Times New Roman"/>
          <w:sz w:val="20"/>
        </w:rPr>
        <w:t xml:space="preserve"> with all other unsecured and unsubordinated obligations of the Guarantor, shall be as principal and not merely as surety, and shall be absolute and unconditional irrespective of any extension of the time for payment of any such Security, any modification of any such Security, any invalidity, irregularity or unenforceability of any such Security or the Indenture, any failure to enforce the same or any waiver, modification, consent or indulgence granted to the Company with respect thereto by the Holder of any such Security or the Trustee, or any other circumstances which may otherwise constitute a legal or equitable discharge of a surety or guarantor. The Guarantor hereby waives diligence, presentment, demand of payment, filing of claims with a court in the event of merger or bankruptcy of the Company, any right to require a demand or proceeding first against the Company, protest or notice with respect to any such Security or the indebtedness evidenced thereby and all demands whatsoever, and, except as provided in the succeeding paragraph, covenants that this Guarantee will not be discharged as to any such Security except by payment in full of the principal of (including any amount payable in respect of original issue discount), and any premium and interest (together with any Additional Amounts payable pursuant to the terms of any such Security) thereon.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any Holder or the Trustee is required by any court or otherwise to return to the Company, the Guarantor or any custodian, trustee, liquidator or other similar official acting in relation to the Company or the Guarantor, any amount paid by any of them to the Trustee or such Holder, this Guarantee, to the extent theretofore discharged, shall be reinstated in full force and effect. </w:t>
      </w:r>
    </w:p>
    <w:p>
      <w:pPr>
        <w:pStyle w:val="TextBody"/>
        <w:bidi w:val="0"/>
        <w:spacing w:before="240" w:after="0"/>
        <w:jc w:val="left"/>
        <w:rPr>
          <w:rFonts w:ascii="Times New Roman" w:hAnsi="Times New Roman"/>
          <w:sz w:val="20"/>
        </w:rPr>
      </w:pPr>
      <w:r>
        <w:rPr>
          <w:rFonts w:ascii="Times New Roman" w:hAnsi="Times New Roman"/>
          <w:sz w:val="20"/>
        </w:rPr>
        <w:t xml:space="preserve">The Guarantor irrevocably waives any and all rights to which it may be entitled, by operation of law or otherwise, upon making any payment hereunder (i) to be subrogated to the rights of a Holder against the Company with respect to such payment or otherwise to be reimbursed, indemnified or exonerated by the Company in respect thereof or (ii) to receive any payment, in the nature of contribution or for any other reason, from any other obligor with respect to such payment. The Guarantor further agrees that, as between the Guarantor, on the one hand, and the Holders and the Trustee, on the other hand, (i) the maturity of the obligations guaranteed hereby may be accelerated as provided in Article Five for the purposes of this Guarantee, notwithstanding any stay, injunction or other prohibition preventing such acceleration in respect of the obligations guaranteed hereby, and (ii) in the event of any declaration of acceleration of such obligations as provided in Article Five hereof, such obligations (whether or not due and payable) shall forthwith become due and payable by the Guarantor for the purpose of this Guarantee. </w:t>
      </w:r>
    </w:p>
    <w:p>
      <w:pPr>
        <w:pStyle w:val="TextBody"/>
        <w:bidi w:val="0"/>
        <w:spacing w:before="240" w:after="0"/>
        <w:jc w:val="left"/>
        <w:rPr>
          <w:rFonts w:ascii="Times New Roman" w:hAnsi="Times New Roman"/>
          <w:sz w:val="20"/>
        </w:rPr>
      </w:pPr>
      <w:r>
        <w:rPr>
          <w:rFonts w:ascii="Times New Roman" w:hAnsi="Times New Roman"/>
          <w:sz w:val="20"/>
        </w:rPr>
        <w:t xml:space="preserve">SECTION 12.02. </w:t>
      </w:r>
      <w:r>
        <w:rPr>
          <w:rFonts w:ascii="Times New Roman" w:hAnsi="Times New Roman"/>
          <w:i/>
          <w:sz w:val="20"/>
        </w:rPr>
        <w:t>Execution and Delivery of Guarantee.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To evidence the Guarantee set forth in Section 12.01, the Guarantor hereby agrees that the Guarantee substantially in the form included in Section 2.06 (or as provided by a Board Resolution, Officer’s Certificate or indenture supplemented hereto pursuant to Section 2.01), unless such language is superseded by a supplemental applicable indenture, shall be endorsed to each Security authenticated and delivered by the Trustee and delivered to the Trustee. </w:t>
      </w:r>
    </w:p>
    <w:p>
      <w:pPr>
        <w:pStyle w:val="TextBody"/>
        <w:bidi w:val="0"/>
        <w:spacing w:before="240" w:after="0"/>
        <w:jc w:val="left"/>
        <w:rPr>
          <w:rFonts w:ascii="Times New Roman" w:hAnsi="Times New Roman"/>
          <w:sz w:val="20"/>
        </w:rPr>
      </w:pPr>
      <w:r>
        <w:rPr>
          <w:rFonts w:ascii="Times New Roman" w:hAnsi="Times New Roman"/>
          <w:sz w:val="20"/>
        </w:rPr>
        <w:t xml:space="preserve">The Guarantor hereby agrees that the Guarantee set forth in Section 12.01 shall remain in full force and effect notwithstanding any failure to endorse a Guarantee on any series of Securities. </w:t>
      </w:r>
    </w:p>
    <w:p>
      <w:pPr>
        <w:pStyle w:val="TextBody"/>
        <w:bidi w:val="0"/>
        <w:spacing w:before="240" w:after="0"/>
        <w:jc w:val="left"/>
        <w:rPr>
          <w:rFonts w:ascii="Times New Roman" w:hAnsi="Times New Roman"/>
          <w:sz w:val="20"/>
        </w:rPr>
      </w:pPr>
      <w:r>
        <w:rPr>
          <w:rFonts w:ascii="Times New Roman" w:hAnsi="Times New Roman"/>
          <w:sz w:val="20"/>
        </w:rPr>
        <w:t xml:space="preserve">If an Officer or member of the Guarantor whose signature is on a Guarantee no longer holds that office at the time the Trustee authenticates the Security entitled to the benefit of such Guarantee, such Guarantee shall be valid nevertheless. </w:t>
      </w:r>
    </w:p>
    <w:p>
      <w:pPr>
        <w:pStyle w:val="TextBody"/>
        <w:bidi w:val="0"/>
        <w:spacing w:before="240" w:after="0"/>
        <w:jc w:val="left"/>
        <w:rPr>
          <w:rFonts w:ascii="Times New Roman" w:hAnsi="Times New Roman"/>
          <w:sz w:val="20"/>
        </w:rPr>
      </w:pPr>
      <w:r>
        <w:rPr>
          <w:rFonts w:ascii="Times New Roman" w:hAnsi="Times New Roman"/>
          <w:sz w:val="20"/>
        </w:rPr>
        <w:t xml:space="preserve">The delivery of any Security by the Trustee, after the authentication thereof hereunder, shall constitute due delivery of a Guarantee set forth in this Indenture on behalf of the Guarantor.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THIRTEEN </w:t>
      </w:r>
    </w:p>
    <w:p>
      <w:pPr>
        <w:pStyle w:val="TextBody"/>
        <w:bidi w:val="0"/>
        <w:spacing w:before="240" w:after="0"/>
        <w:jc w:val="center"/>
        <w:rPr>
          <w:rFonts w:ascii="Times New Roman" w:hAnsi="Times New Roman"/>
          <w:sz w:val="20"/>
        </w:rPr>
      </w:pPr>
      <w:r>
        <w:rPr>
          <w:rFonts w:ascii="Times New Roman" w:hAnsi="Times New Roman"/>
          <w:sz w:val="20"/>
        </w:rPr>
        <w:t xml:space="preserve">SINKING FUNDS </w:t>
      </w:r>
    </w:p>
    <w:p>
      <w:pPr>
        <w:pStyle w:val="TextBody"/>
        <w:bidi w:val="0"/>
        <w:spacing w:before="240" w:after="0"/>
        <w:jc w:val="left"/>
        <w:rPr>
          <w:rFonts w:ascii="Times New Roman" w:hAnsi="Times New Roman"/>
          <w:sz w:val="20"/>
        </w:rPr>
      </w:pPr>
      <w:r>
        <w:rPr>
          <w:rFonts w:ascii="Times New Roman" w:hAnsi="Times New Roman"/>
          <w:sz w:val="20"/>
        </w:rPr>
        <w:t xml:space="preserve">SECTION 13.01. </w:t>
      </w:r>
      <w:r>
        <w:rPr>
          <w:rFonts w:ascii="Times New Roman" w:hAnsi="Times New Roman"/>
          <w:i/>
          <w:sz w:val="20"/>
        </w:rPr>
        <w:t>Applicability of Article.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provisions of this Article Thirteen shall be applicable to any sinking fund for the retirement of Securities of any series except as otherwise specified as contemplated by Section 3.01 for such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minimum amount of any sinking fund payment provided for by the terms of any Securities is herein referred to as a “mandatory sinking fund payment”, and any payment in excess of such minimum amount provided for by the terms of such Securities is herein referred to as an “optional sinking fund payment”. If provided for by the terms of any Securities, the cash amount of any sinking fund payment may be subject to reduction as provided in Section 13.02. Each sinking fund payment shall be applied to the redemption of Securities as provided for by the terms of such Securities. </w:t>
      </w:r>
    </w:p>
    <w:p>
      <w:pPr>
        <w:pStyle w:val="TextBody"/>
        <w:bidi w:val="0"/>
        <w:spacing w:before="240" w:after="0"/>
        <w:jc w:val="left"/>
        <w:rPr>
          <w:rFonts w:ascii="Times New Roman" w:hAnsi="Times New Roman"/>
          <w:sz w:val="20"/>
        </w:rPr>
      </w:pPr>
      <w:r>
        <w:rPr>
          <w:rFonts w:ascii="Times New Roman" w:hAnsi="Times New Roman"/>
          <w:sz w:val="20"/>
        </w:rPr>
        <w:t xml:space="preserve">SECTION 13.02. </w:t>
      </w:r>
      <w:r>
        <w:rPr>
          <w:rFonts w:ascii="Times New Roman" w:hAnsi="Times New Roman"/>
          <w:i/>
          <w:sz w:val="20"/>
        </w:rPr>
        <w:t>Satisfaction of Sinking Fund Payments with Securities.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or the Guarantor (1) may deliver Outstanding Securities of a series (other than any previously called for redemption) and (2) may apply as a credit Securities of a series which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any Securities of such series required to be made pursuant to the terms of such Securities as and to the extent provided for by the terms of such Securities; </w:t>
      </w:r>
      <w:r>
        <w:rPr>
          <w:rFonts w:ascii="Times New Roman" w:hAnsi="Times New Roman"/>
          <w:i/>
          <w:sz w:val="20"/>
        </w:rPr>
        <w:t>provided</w:t>
      </w:r>
      <w:r>
        <w:rPr>
          <w:rFonts w:ascii="Times New Roman" w:hAnsi="Times New Roman"/>
          <w:sz w:val="20"/>
        </w:rPr>
        <w:t xml:space="preserve"> that the Securities to be so credited have not been previously so credited. The Securities to be so credited shall be received and credited for such purpose by the Trustee at the Redemption Price, as specified in the Securities so to be redeemed, for redemption through operation of the sinking fund and the amount of such sinking fund payment shall be reduced accordingly. </w:t>
      </w:r>
    </w:p>
    <w:p>
      <w:pPr>
        <w:pStyle w:val="TextBody"/>
        <w:bidi w:val="0"/>
        <w:spacing w:before="240" w:after="0"/>
        <w:jc w:val="left"/>
        <w:rPr>
          <w:rFonts w:ascii="Times New Roman" w:hAnsi="Times New Roman"/>
          <w:sz w:val="20"/>
        </w:rPr>
      </w:pPr>
      <w:r>
        <w:rPr>
          <w:rFonts w:ascii="Times New Roman" w:hAnsi="Times New Roman"/>
          <w:sz w:val="20"/>
        </w:rPr>
        <w:t xml:space="preserve">SECTION 13.03. </w:t>
      </w:r>
      <w:r>
        <w:rPr>
          <w:rFonts w:ascii="Times New Roman" w:hAnsi="Times New Roman"/>
          <w:i/>
          <w:sz w:val="20"/>
        </w:rPr>
        <w:t>Redemption of Securities for Sinking Fund.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Not less than 45 days prior to each sinking fund payment date for any Securities, the Company will deliver to the Trustee an Officer’s Certificate specifying the amount of the next ensuing sinking fund payment for such Securities pursuant to the terms of such Securities, the portion thereof, if any, which is to be satisfied by payment of cash and the portion thereof, if any, which is to be satisfied by delivering and crediting Securities pursuant to Section 13.02 and will also deliver to the Trustee any Securities to be so delivered. Not less than 30 nor more than 45 days prior to each such sinking fund payment date, the Trustee shall select the Securities to be redeemed upon such sinking fund payment date in the manner specified in Section 11.03 and cause notice of the redemption thereof to be given in the name of and at the expense of the Company in the manner provided in Section 11.04. Such notice having been duly given, the redemption of such Securities shall be made upon the terms and in the manner stated in Sections 11.06 and 11.07.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FOURTEEN </w:t>
      </w:r>
    </w:p>
    <w:p>
      <w:pPr>
        <w:pStyle w:val="TextBody"/>
        <w:bidi w:val="0"/>
        <w:spacing w:before="240" w:after="0"/>
        <w:jc w:val="center"/>
        <w:rPr>
          <w:rFonts w:ascii="Times New Roman" w:hAnsi="Times New Roman"/>
          <w:sz w:val="20"/>
        </w:rPr>
      </w:pPr>
      <w:r>
        <w:rPr>
          <w:rFonts w:ascii="Times New Roman" w:hAnsi="Times New Roman"/>
          <w:sz w:val="20"/>
        </w:rPr>
        <w:t xml:space="preserve">DEFEASANCE AND COVENANT DEFEASANCE </w:t>
      </w:r>
    </w:p>
    <w:p>
      <w:pPr>
        <w:pStyle w:val="TextBody"/>
        <w:bidi w:val="0"/>
        <w:spacing w:before="240" w:after="0"/>
        <w:jc w:val="left"/>
        <w:rPr>
          <w:rFonts w:ascii="Times New Roman" w:hAnsi="Times New Roman"/>
          <w:sz w:val="20"/>
        </w:rPr>
      </w:pPr>
      <w:r>
        <w:rPr>
          <w:rFonts w:ascii="Times New Roman" w:hAnsi="Times New Roman"/>
          <w:sz w:val="20"/>
        </w:rPr>
        <w:t xml:space="preserve">SECTION 14.01. </w:t>
      </w:r>
      <w:r>
        <w:rPr>
          <w:rFonts w:ascii="Times New Roman" w:hAnsi="Times New Roman"/>
          <w:i/>
          <w:sz w:val="20"/>
        </w:rPr>
        <w:t>Company</w:t>
      </w:r>
      <w:r>
        <w:rPr>
          <w:rFonts w:ascii="Times New Roman" w:hAnsi="Times New Roman"/>
          <w:sz w:val="20"/>
        </w:rPr>
        <w:t>’</w:t>
      </w:r>
      <w:r>
        <w:rPr>
          <w:rFonts w:ascii="Times New Roman" w:hAnsi="Times New Roman"/>
          <w:i/>
          <w:sz w:val="20"/>
        </w:rPr>
        <w:t>s and Guarantor</w:t>
      </w:r>
      <w:r>
        <w:rPr>
          <w:rFonts w:ascii="Times New Roman" w:hAnsi="Times New Roman"/>
          <w:sz w:val="20"/>
        </w:rPr>
        <w:t>’</w:t>
      </w:r>
      <w:r>
        <w:rPr>
          <w:rFonts w:ascii="Times New Roman" w:hAnsi="Times New Roman"/>
          <w:i/>
          <w:sz w:val="20"/>
        </w:rPr>
        <w:t>s Option to Effect Legal Defeasance or Covenant Defeasance.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applicable to a particular series of Securities, the Company or the Guarantor may elect, at its option at any time, to have Section 14.02 or Section 14.03 applied to any such series of Securities or any Securities of such series, as the case may be, designated pursuant to Section 3.01 as being defeasible pursuant to such Section 14.02 or 14.03, in accordance with any applicable requirements provided pursuant to Section 3.01 and upon compliance with the conditions set forth below in this Article Fourteen. Any such election shall be evidenced by a Board Resolution or in another manner specified as contemplated by Section 3.01 for such Securities. </w:t>
      </w:r>
    </w:p>
    <w:p>
      <w:pPr>
        <w:pStyle w:val="TextBody"/>
        <w:bidi w:val="0"/>
        <w:spacing w:before="240" w:after="0"/>
        <w:jc w:val="left"/>
        <w:rPr>
          <w:rFonts w:ascii="Times New Roman" w:hAnsi="Times New Roman"/>
          <w:sz w:val="20"/>
        </w:rPr>
      </w:pPr>
      <w:r>
        <w:rPr>
          <w:rFonts w:ascii="Times New Roman" w:hAnsi="Times New Roman"/>
          <w:sz w:val="20"/>
        </w:rPr>
        <w:t xml:space="preserve">SECTION 14.02. </w:t>
      </w:r>
      <w:r>
        <w:rPr>
          <w:rFonts w:ascii="Times New Roman" w:hAnsi="Times New Roman"/>
          <w:i/>
          <w:sz w:val="20"/>
        </w:rPr>
        <w:t>Defeasance and Discharge.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Upon the Company’s or the Guarantor’s exercise under this Article Fourteen of the option applicable to this Section 14.02 and Section 14.03 with respect to any series of Securities, the Company and the Guarantor shall, subject to the satisfaction of the conditions set forth in Section 14.04 hereof, be deemed to have been discharged from its obligations with respect to that series of Securities on the date the conditions set forth below are satisfied (“Legal Defeasance”). For this purpose, Legal Defeasance means that the Company and the Guarantor shall be deemed to have paid and discharged the entire indebtedness represented by the outstanding Securities of that series, which shall thereafter be deemed to be “outstanding” only for the purposes of Section 14.05 hereof and the other Sections of this Indenture referred to in Clauses (a) and (b) below, to have satisfied all their other obligations under the Securities of that series and this Indenture (and the Trustee, on demand of and at the expense of the Company or the Guarantor, shall execute proper instruments prepared by the Company acknowledging the same) and to have cured all then existing Events of Default with respect to that series of Securities, except for the following provisions which shall survive until otherwise terminated or discharged hereunder: </w:t>
      </w:r>
    </w:p>
    <w:p>
      <w:pPr>
        <w:pStyle w:val="TextBody"/>
        <w:bidi w:val="0"/>
        <w:spacing w:before="120" w:after="0"/>
        <w:jc w:val="left"/>
        <w:rPr>
          <w:rFonts w:ascii="Times New Roman" w:hAnsi="Times New Roman"/>
          <w:sz w:val="20"/>
        </w:rPr>
      </w:pPr>
      <w:r>
        <w:rPr>
          <w:rFonts w:ascii="Times New Roman" w:hAnsi="Times New Roman"/>
          <w:sz w:val="20"/>
        </w:rPr>
        <w:t xml:space="preserve">(a) the rights of Holders of Securities of that series to receive payments in respect of the principal of, premium, if any, and interest on the Securities of that series when such payments are due solely out of the trust created pursuant to this Indenture for those Securities; </w:t>
      </w:r>
    </w:p>
    <w:p>
      <w:pPr>
        <w:pStyle w:val="TextBody"/>
        <w:bidi w:val="0"/>
        <w:spacing w:before="120" w:after="0"/>
        <w:jc w:val="left"/>
        <w:rPr>
          <w:rFonts w:ascii="Times New Roman" w:hAnsi="Times New Roman"/>
          <w:sz w:val="20"/>
        </w:rPr>
      </w:pPr>
      <w:r>
        <w:rPr>
          <w:rFonts w:ascii="Times New Roman" w:hAnsi="Times New Roman"/>
          <w:sz w:val="20"/>
        </w:rPr>
        <w:t xml:space="preserve">(b) the Company’s or the Guarantor’s obligations with respect to any series of Securities concerning issuing temporary Securities, registration of such Securities, mutilated, destroyed, lost or stolen Securities and the maintenance of an office or agency for payment and money for security payments held in trust; </w:t>
      </w:r>
    </w:p>
    <w:p>
      <w:pPr>
        <w:pStyle w:val="TextBody"/>
        <w:bidi w:val="0"/>
        <w:spacing w:before="120" w:after="0"/>
        <w:jc w:val="left"/>
        <w:rPr>
          <w:rFonts w:ascii="Times New Roman" w:hAnsi="Times New Roman"/>
          <w:sz w:val="20"/>
        </w:rPr>
      </w:pPr>
      <w:r>
        <w:rPr>
          <w:rFonts w:ascii="Times New Roman" w:hAnsi="Times New Roman"/>
          <w:sz w:val="20"/>
        </w:rPr>
        <w:t xml:space="preserve">(c) the rights, powers, trusts, duties and immunities of the Trustee, Security Registrar and Paying Agent and the Company’s or the Guarantor’s obligations in connection therewith; and </w:t>
      </w:r>
    </w:p>
    <w:p>
      <w:pPr>
        <w:pStyle w:val="TextBody"/>
        <w:bidi w:val="0"/>
        <w:spacing w:before="120" w:after="0"/>
        <w:jc w:val="left"/>
        <w:rPr>
          <w:rFonts w:ascii="Times New Roman" w:hAnsi="Times New Roman"/>
          <w:sz w:val="20"/>
        </w:rPr>
      </w:pPr>
      <w:r>
        <w:rPr>
          <w:rFonts w:ascii="Times New Roman" w:hAnsi="Times New Roman"/>
          <w:sz w:val="20"/>
        </w:rPr>
        <w:t xml:space="preserve">(d) this Section 14.02.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Subject to compliance with this Article Fourteen, the Company or the Guarantor may exercise its option under this Section 14.02 notwithstanding the prior exercise of their option under Section 14.03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14.03. </w:t>
      </w:r>
      <w:r>
        <w:rPr>
          <w:rFonts w:ascii="Times New Roman" w:hAnsi="Times New Roman"/>
          <w:i/>
          <w:sz w:val="20"/>
        </w:rPr>
        <w:t>Covenant Defeasance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Upon the Company’s or the Guarantor’s exercise under this Article Fourteen of the option applicable to this Section 14.03 with respect to any series of Securities, the Company and the Guarantor shall, subject to the satisfaction of the conditions set forth in Section 14.04 hereof, be released from their obligations under the covenants with respect to that series of Securities (each, a “Defeased Covenant”, and collectively, the “Defeased Covenants”) contained in Article Eight, Sections 10.04 through 10.06 inclusive, Section 10.09 and any covenants provided pursuant to Sections 3.01(23), 9.01(6) and 9.01(11) hereof with respect to the outstanding Securities on and after the date the conditions set forth in Section 14.04 hereof are satisfied (“Covenant Defeasance”), and the Securities of that series shall thereafter be deemed not “outstanding” for the purposes of any direction, waiver, consent or declaration or act of Holders (and the consequences of any thereof) of Securities of that series in connection with such Defeased Covenants, but shall continue to be deemed “outstanding” for all other purposes hereunder (it being understood that such Securities shall not be deemed outstanding for accounting purposes). For this purpose, Covenant Defeasance means that, with respect to the outstanding Securities of that series, the Company and the Guarantor may omit to comply with and shall have no liability in respect of any term, condition or limitation set forth in any Defeased Covenant, whether directly or indirectly, by reason of any reference elsewhere herein to any such Defeased Covenant or by reason of any reference in any such Defeased Covenant to any other provision herein or in any other document, and such omission to comply shall not constitute a default or an Event of Default under Section 5.01 hereof, but, except as specified above, the remainder of this Indenture and such Securities shall be unaffected thereby. In addition, upon the Company’s or Guarantor’s exercise under this Article Fourteen of the option applicable to this Section 14.03 hereof with respect to any series of Securities, subject to the satisfaction of the conditions set forth in Section 14.04 hereof, the events set forth in Section 5.01 (with respect to the foregoing sections of Article Ten only) hereof shall not constitute an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SECTION 14.04. </w:t>
      </w:r>
      <w:r>
        <w:rPr>
          <w:rFonts w:ascii="Times New Roman" w:hAnsi="Times New Roman"/>
          <w:i/>
          <w:sz w:val="20"/>
        </w:rPr>
        <w:t>Conditions to Legal Defeasance or Covenant Defeasance.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In order to exercise either Legal Defeasance or Covenant Defeasance with respect to a series of Securities: </w:t>
      </w:r>
    </w:p>
    <w:p>
      <w:pPr>
        <w:pStyle w:val="TextBody"/>
        <w:bidi w:val="0"/>
        <w:spacing w:before="240" w:after="0"/>
        <w:jc w:val="left"/>
        <w:rPr>
          <w:rFonts w:ascii="Times New Roman" w:hAnsi="Times New Roman"/>
          <w:sz w:val="20"/>
        </w:rPr>
      </w:pPr>
      <w:r>
        <w:rPr>
          <w:rFonts w:ascii="Times New Roman" w:hAnsi="Times New Roman"/>
          <w:sz w:val="20"/>
        </w:rPr>
        <w:t xml:space="preserve">(1) the Company or the Guarantor must irrevocably deposit with the Trustee (or another trustee which satisfies the requirements contemplated by Section 6.09 and agrees to comply with the provisions of this Article Fourteen applicable to it) as trust funds in trust, for the benefit of the Holders of that series of Securities, cash in U.S. dollars, Government Securities, or a combination thereof, in such amounts as shall be sufficient, in the opinion of a nationally recognized firm of independent public accountants delivered to the Trustee, to pay the principal amount of, premium, if any, and interest due on that series of Securities on the Stated Maturity or on the Redemption Date, as the case may be, of such principal amount, premium, if any, or interest on such Securities, and the Company or the Guarantor, as the case may be, must specify whether such Securities are being defeased to Maturity or to a particular Redemption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in the case of Legal Defeasance, the Company or the Guarantor, as the case may be, shall have delivered to the Trustee an Opinion of Counsel reasonably acceptable to the Trustee confirming that, subject to customary assumptions and exclusions, </w:t>
      </w:r>
    </w:p>
    <w:p>
      <w:pPr>
        <w:pStyle w:val="TextBody"/>
        <w:bidi w:val="0"/>
        <w:spacing w:before="240" w:after="0"/>
        <w:jc w:val="left"/>
        <w:rPr>
          <w:rFonts w:ascii="Times New Roman" w:hAnsi="Times New Roman"/>
          <w:sz w:val="20"/>
        </w:rPr>
      </w:pPr>
      <w:r>
        <w:rPr>
          <w:rFonts w:ascii="Times New Roman" w:hAnsi="Times New Roman"/>
          <w:sz w:val="20"/>
        </w:rPr>
        <w:t xml:space="preserve">(A) the Company or the Guarantor, as the case may be, has received from, or there has been published by, the United States Internal Revenue Service a ruling, or </w:t>
      </w:r>
    </w:p>
    <w:p>
      <w:pPr>
        <w:pStyle w:val="TextBody"/>
        <w:bidi w:val="0"/>
        <w:spacing w:before="240" w:after="0"/>
        <w:jc w:val="left"/>
        <w:rPr>
          <w:rFonts w:ascii="Times New Roman" w:hAnsi="Times New Roman"/>
          <w:sz w:val="20"/>
        </w:rPr>
      </w:pPr>
      <w:r>
        <w:rPr>
          <w:rFonts w:ascii="Times New Roman" w:hAnsi="Times New Roman"/>
          <w:sz w:val="20"/>
        </w:rPr>
        <w:t xml:space="preserve">(B) since the issuance of the Securities of that series, there has been a change in the applicable U.S. federal income tax law, </w:t>
      </w:r>
    </w:p>
    <w:p>
      <w:pPr>
        <w:pStyle w:val="TextBody"/>
        <w:bidi w:val="0"/>
        <w:spacing w:before="240" w:after="0"/>
        <w:jc w:val="left"/>
        <w:rPr>
          <w:rFonts w:ascii="Times New Roman" w:hAnsi="Times New Roman"/>
          <w:sz w:val="20"/>
        </w:rPr>
      </w:pPr>
      <w:r>
        <w:rPr>
          <w:rFonts w:ascii="Times New Roman" w:hAnsi="Times New Roman"/>
          <w:sz w:val="20"/>
        </w:rPr>
        <w:t xml:space="preserve">in either case to the effect that, and based thereon such Opinion of Counsel shall confirm that, subject to customary assumptions and exclusions, the Holders of that series of Securities shall not recognize income, gain or loss for U.S. federal income tax purposes, as applicable, as a result of such Legal Defeasance and shall be subject to U.S. federal income tax on the same amounts, in the same manner and at the same times as would have been the case if such Legal Defeasance had not occurred; </w:t>
      </w:r>
    </w:p>
    <w:p>
      <w:pPr>
        <w:pStyle w:val="TextBody"/>
        <w:bidi w:val="0"/>
        <w:spacing w:before="240" w:after="0"/>
        <w:jc w:val="left"/>
        <w:rPr>
          <w:rFonts w:ascii="Times New Roman" w:hAnsi="Times New Roman"/>
          <w:sz w:val="20"/>
        </w:rPr>
      </w:pPr>
      <w:r>
        <w:rPr>
          <w:rFonts w:ascii="Times New Roman" w:hAnsi="Times New Roman"/>
          <w:sz w:val="20"/>
        </w:rPr>
        <w:t xml:space="preserve">(3) in the case of Covenant Defeasance, the Company or the Guarantor shall have delivered to the Trustee an Opinion of Counsel in form reasonably acceptable to the Trustee confirming that, subject to customary assumptions and exclusions, the Holders of that series of Securities shall not recognize income, gain or loss for U.S. federal income tax purposes as a result of such Covenant Defeasance and shall be subject to such tax on the same amounts, in the same manner and at the same times as would have been the case if such Covenant Defeasance had not occurred; </w:t>
      </w:r>
    </w:p>
    <w:p>
      <w:pPr>
        <w:pStyle w:val="TextBody"/>
        <w:bidi w:val="0"/>
        <w:spacing w:before="240" w:after="0"/>
        <w:jc w:val="left"/>
        <w:rPr>
          <w:rFonts w:ascii="Times New Roman" w:hAnsi="Times New Roman"/>
          <w:sz w:val="20"/>
        </w:rPr>
      </w:pPr>
      <w:r>
        <w:rPr>
          <w:rFonts w:ascii="Times New Roman" w:hAnsi="Times New Roman"/>
          <w:sz w:val="20"/>
        </w:rPr>
        <w:t xml:space="preserve">(4) no default with respect to that series of Securities (other than that resulting from borrowing funds to be applied to make such deposit and any similar and simultaneous deposit relating to such other indebtedness, and in each case, the granting of liens in connection therewith) shall have occurred and be continuing on the date of such deposit; </w:t>
      </w:r>
    </w:p>
    <w:p>
      <w:pPr>
        <w:pStyle w:val="TextBody"/>
        <w:bidi w:val="0"/>
        <w:spacing w:before="240" w:after="0"/>
        <w:jc w:val="left"/>
        <w:rPr>
          <w:rFonts w:ascii="Times New Roman" w:hAnsi="Times New Roman"/>
          <w:sz w:val="20"/>
        </w:rPr>
      </w:pPr>
      <w:r>
        <w:rPr>
          <w:rFonts w:ascii="Times New Roman" w:hAnsi="Times New Roman"/>
          <w:sz w:val="20"/>
        </w:rPr>
        <w:t xml:space="preserve">(5) such Legal Defeasance or Covenant Defeasance shall not result in a breach or violation of, or constitute a default under any material agreement or instrument governing indebtedness (other than this Indenture) to which, the Company or the Guarantor is a party or by which the Company or the Guarantor is bound (other than that resulting from any borrowing of funds to be applied to make the deposit required to effect such Legal Defeasance or Covenant Defeasance and any similar and simultaneous deposit relating to other indebtedness, and, in each case, the granting of liens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(6) the Company or the Guarantor shall have delivered to the Trustee an Officer’s Certificate stating that the deposit was not made by the Company with the intent of defeating, hindering, delaying or defrauding any creditors of the Company or others; </w:t>
      </w:r>
    </w:p>
    <w:p>
      <w:pPr>
        <w:pStyle w:val="TextBody"/>
        <w:bidi w:val="0"/>
        <w:spacing w:before="240" w:after="0"/>
        <w:jc w:val="left"/>
        <w:rPr>
          <w:rFonts w:ascii="Times New Roman" w:hAnsi="Times New Roman"/>
          <w:sz w:val="20"/>
        </w:rPr>
      </w:pPr>
      <w:r>
        <w:rPr>
          <w:rFonts w:ascii="Times New Roman" w:hAnsi="Times New Roman"/>
          <w:sz w:val="20"/>
        </w:rPr>
        <w:t xml:space="preserve">(7) the Company or the Guarantor shall have delivered to the Trustee an Officer’s Certificate and an Opinion of Counsel (which Opinion of Counsel may be subject to customary assumptions and exclusions) each stating that all conditions precedent provided for or relating to the Legal Defeasance or the Covenant Defeasance, as the case may be, have been complied with; </w:t>
      </w:r>
    </w:p>
    <w:p>
      <w:pPr>
        <w:pStyle w:val="TextBody"/>
        <w:bidi w:val="0"/>
        <w:spacing w:before="240" w:after="0"/>
        <w:jc w:val="left"/>
        <w:rPr>
          <w:rFonts w:ascii="Times New Roman" w:hAnsi="Times New Roman"/>
          <w:sz w:val="20"/>
        </w:rPr>
      </w:pPr>
      <w:r>
        <w:rPr>
          <w:rFonts w:ascii="Times New Roman" w:hAnsi="Times New Roman"/>
          <w:sz w:val="20"/>
        </w:rPr>
        <w:t xml:space="preserve">(8) such Legal Defeasance or Covenant Defeasance shall not cause the Trustee to have a conflicting interest within the meaning of the Trust Indenture Act (assuming all Securities are in default within the meaning of such Act); and </w:t>
      </w:r>
    </w:p>
    <w:p>
      <w:pPr>
        <w:pStyle w:val="TextBody"/>
        <w:bidi w:val="0"/>
        <w:spacing w:before="240" w:after="0"/>
        <w:jc w:val="left"/>
        <w:rPr>
          <w:rFonts w:ascii="Times New Roman" w:hAnsi="Times New Roman"/>
          <w:sz w:val="20"/>
        </w:rPr>
      </w:pPr>
      <w:r>
        <w:rPr>
          <w:rFonts w:ascii="Times New Roman" w:hAnsi="Times New Roman"/>
          <w:sz w:val="20"/>
        </w:rPr>
        <w:t xml:space="preserve">(9) such Legal Defeasance or Covenant Defeasance shall not result in the trust arising from such deposit constituting an investment company within the meaning of the Investment Company Act unless such trust shall be registered under the Investment Company Act or exempt from registration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14.05. </w:t>
      </w:r>
      <w:r>
        <w:rPr>
          <w:rFonts w:ascii="Times New Roman" w:hAnsi="Times New Roman"/>
          <w:i/>
          <w:sz w:val="20"/>
        </w:rPr>
        <w:t>Deposited Money and Government Securities to Be Held in Trust; Miscellaneous Provisions.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provisions of the last paragraph of Section 10.03, all money and Government Securities (including the proceeds thereof) deposited with the Trustee or other qualifying trustee (solely for purposes of this Section 14.05 and Section 14.06, the Trustee and any such other trustee are referred to collectively as the “Trustee”) pursuant to Section 14.04 in respect of any Securities shall be held in trust and applied by the Trustee, in accordance with the provisions of such Securities and this Indenture, to the payment, either directly or through any such Paying Agent (including the Company or the Guarantor acting as its own Paying Agent) as the Trustee may determine, to the Holders of such Securities, of all sums due and to become due thereon in respect of principal and any premium and interest, but money so held in trust need not be segregated from other funds except to the extent required by law. </w:t>
      </w:r>
    </w:p>
    <w:p>
      <w:pPr>
        <w:pStyle w:val="TextBody"/>
        <w:bidi w:val="0"/>
        <w:spacing w:before="240" w:after="0"/>
        <w:jc w:val="left"/>
        <w:rPr>
          <w:rFonts w:ascii="Times New Roman" w:hAnsi="Times New Roman"/>
          <w:sz w:val="20"/>
        </w:rPr>
      </w:pPr>
      <w:r>
        <w:rPr>
          <w:rFonts w:ascii="Times New Roman" w:hAnsi="Times New Roman"/>
          <w:sz w:val="20"/>
        </w:rPr>
        <w:t xml:space="preserve">The Company and the Guarantor shall pay and indemnify the Trustee against any tax, fee or other charge imposed on or assessed against the Government Securities deposited pursuant to Section 14.04 or the principal and interest received in respect thereof other than any such tax, fee or other charge which by law is for the account of the Holders of Outstanding Securities. </w:t>
      </w:r>
    </w:p>
    <w:p>
      <w:pPr>
        <w:pStyle w:val="TextBody"/>
        <w:bidi w:val="0"/>
        <w:spacing w:before="240" w:after="0"/>
        <w:jc w:val="left"/>
        <w:rPr>
          <w:rFonts w:ascii="Times New Roman" w:hAnsi="Times New Roman"/>
          <w:sz w:val="20"/>
        </w:rPr>
      </w:pPr>
      <w:r>
        <w:rPr>
          <w:rFonts w:ascii="Times New Roman" w:hAnsi="Times New Roman"/>
          <w:sz w:val="20"/>
        </w:rPr>
        <w:t xml:space="preserve">Anything in this Article Fourteen to the contrary notwithstanding, the Trustee shall deliver or pay to the Company or the Guarantor from time to time upon Company Request any money or Government Securities held by it as provided in Section 14.04 with respect to any Securities which, in the opinion of a nationally recognized firm of independent public accountants expressed in a written certification thereof delivered to the Trustee (which may be the opinion delivered under Section 14.04(1) above), are in excess of the amount thereof which would then be required to be deposited to effect the Legal Defeasance or Covenant Defeasance, as the case may be, with respect to such Securities. </w:t>
      </w:r>
    </w:p>
    <w:p>
      <w:pPr>
        <w:pStyle w:val="TextBody"/>
        <w:bidi w:val="0"/>
        <w:spacing w:before="240" w:after="0"/>
        <w:jc w:val="left"/>
        <w:rPr>
          <w:rFonts w:ascii="Times New Roman" w:hAnsi="Times New Roman"/>
          <w:sz w:val="20"/>
        </w:rPr>
      </w:pPr>
      <w:r>
        <w:rPr>
          <w:rFonts w:ascii="Times New Roman" w:hAnsi="Times New Roman"/>
          <w:sz w:val="20"/>
        </w:rPr>
        <w:t xml:space="preserve">SECTION 14.06. </w:t>
      </w:r>
      <w:r>
        <w:rPr>
          <w:rFonts w:ascii="Times New Roman" w:hAnsi="Times New Roman"/>
          <w:i/>
          <w:sz w:val="20"/>
        </w:rPr>
        <w:t>Reinstatement.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the Trustee or the Paying Agent is unable to apply any money or Government Securities in accordance with this Article Fourteen with respect to any Securities by reason of any order or judgment of any court or governmental authority enjoining, restraining or otherwise prohibiting such application, then the obligations under this Indenture and such Securities from which the Company and the Guarantor have been discharged or released pursuant to Section 14.02 or 14.03 shall be revived and reinstated as though no deposit had occurred pursuant to this Article Fourteen with respect to such Securities, until such time as the Trustee or Paying Agent is permitted to apply all such money or Government Securities held in trust pursuant to Section 14.05 with respect to such Securities in accordance with this Article Fourteen;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the Company or the Guarantor makes any payment of principal of or any premium or interest on any such Security following such reinstatement of its obligations, the Company and the Guarantor shall be subrogated to the rights (if any) of the Holders of such Securities to receive such payment from the money so held in trust.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FIFTEEN </w:t>
      </w:r>
    </w:p>
    <w:p>
      <w:pPr>
        <w:pStyle w:val="TextBody"/>
        <w:bidi w:val="0"/>
        <w:spacing w:before="240" w:after="0"/>
        <w:jc w:val="center"/>
        <w:rPr>
          <w:rFonts w:ascii="Times New Roman" w:hAnsi="Times New Roman"/>
          <w:sz w:val="20"/>
        </w:rPr>
      </w:pPr>
      <w:r>
        <w:rPr>
          <w:rFonts w:ascii="Times New Roman" w:hAnsi="Times New Roman"/>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SECTION 15.01. </w:t>
      </w:r>
      <w:r>
        <w:rPr>
          <w:rFonts w:ascii="Times New Roman" w:hAnsi="Times New Roman"/>
          <w:i/>
          <w:sz w:val="20"/>
        </w:rPr>
        <w:t>Counterparts.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This Indenture, any Supplement Indenture and any Security may be executed in counterparts, each of which when so executed shall be deemed to be an original and all of which when taken together shall constitute one and the same instrument. The words “execution,” “signed,” “signature,” and words of like import in this Indenture or in any other certificate, agreement or document related to this Indenture shall include images of manually executed signatures transmitted by electronic format (including, without limitation, “pdf,” “tif” or “jpg”) and other electronic signatures (including, without limitation, DocuSign and AdobeSign).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 based record-keeping system to the fullest extent permitted by applicable law, including the Federal Electronic Signatures in Global and National Commerce Act, the New York State Electronic Signatures and Records Act, and any other applicable law, including, without limitation, any state law based on the Uniform Electronic Transactions Act or the Uniform Commercial Code. </w:t>
      </w:r>
    </w:p>
    <w:p>
      <w:pPr>
        <w:pStyle w:val="TextBody"/>
        <w:bidi w:val="0"/>
        <w:spacing w:before="240" w:after="0"/>
        <w:jc w:val="left"/>
        <w:rPr>
          <w:rFonts w:ascii="Times New Roman" w:hAnsi="Times New Roman"/>
          <w:sz w:val="20"/>
        </w:rPr>
      </w:pPr>
      <w:r>
        <w:rPr>
          <w:rFonts w:ascii="Times New Roman" w:hAnsi="Times New Roman"/>
          <w:sz w:val="20"/>
        </w:rPr>
        <w:t xml:space="preserve">SECTION 15.02. </w:t>
      </w:r>
      <w:r>
        <w:rPr>
          <w:rFonts w:ascii="Times New Roman" w:hAnsi="Times New Roman"/>
          <w:i/>
          <w:sz w:val="20"/>
        </w:rPr>
        <w:t>Withholding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In order to comply with applicable tax laws, rules and regulations (inclusive of directives, guidelines and interpretations promulgated by competent authorities) in effect from time to time to which a foreign financial institution, issuer, paying agent, holder or other institution is or has agreed to be subject related to this Indenture (“Applicable Tax Law”), the Company agrees (i) to provide to the Trustee and the Paying Agent sufficient information about holders or other applicable parties and/or transactions (including any modification to the terms of such transactions) in the Company’s possession so that the Trustee and the Paying Agent can determine whether it has tax related obligations under Applicable Tax Law, and (ii) that the Trustee and the Paying Agent shall be entitled to make any withholding or deduction from payments under the Indenture to the extent necessary to comply with Applicable Tax Law. The terms of this Section 15.02 shall survive the termination of this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15.03. </w:t>
      </w:r>
      <w:r>
        <w:rPr>
          <w:rFonts w:ascii="Times New Roman" w:hAnsi="Times New Roman"/>
          <w:i/>
          <w:sz w:val="20"/>
        </w:rPr>
        <w:t>No Personal Liability of Directors, Officers, Employees and Stockholders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None of the Company’s or the Guarantor’s past, present or future directors, officers, employees, or shareholders or any of their direct or indirect equity holders shall have any liability for any of the Company’s or the Guarantor’s obligations under any series of Securities or the Indenture or for any claim based on, in respect of, or by reason of such obligations or their creation. Each Holder or beneficial owner of any Security, by accepting such Security, is deemed to waive and release all such liability. The waiver and release are part of the consideration for issuance of such Securities. </w:t>
      </w:r>
    </w:p>
    <w:p>
      <w:pPr>
        <w:pStyle w:val="TextBody"/>
        <w:bidi w:val="0"/>
        <w:spacing w:before="240" w:after="0"/>
        <w:jc w:val="left"/>
        <w:rPr>
          <w:rFonts w:ascii="Times New Roman" w:hAnsi="Times New Roman"/>
          <w:sz w:val="20"/>
        </w:rPr>
      </w:pPr>
      <w:r>
        <w:rPr>
          <w:rFonts w:ascii="Times New Roman" w:hAnsi="Times New Roman"/>
          <w:sz w:val="20"/>
        </w:rPr>
        <w:t xml:space="preserve">SECTION 15.04. </w:t>
      </w:r>
      <w:r>
        <w:rPr>
          <w:rFonts w:ascii="Times New Roman" w:hAnsi="Times New Roman"/>
          <w:i/>
          <w:sz w:val="20"/>
        </w:rPr>
        <w:t>Office of Foreign Assets Control Sanctions Representations.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Each of the Company and the Guarantor represent as of the date hereof that neither it nor any of its subsidiaries, nor, to its knowledge, any of its affiliates, directors, senior executive officers or officers with ability to direct/control operations are the target or subject of any sanctions enforced by the US Government (including, without limitation, the Office of Foreign Assets Control of the US Department of the Treasury or the US Department of State), the United Nations Security Council, the European Union, or His Majesty’s Treasury (collectively “Sanctions”). </w:t>
      </w:r>
    </w:p>
    <w:p>
      <w:pPr>
        <w:pStyle w:val="TextBody"/>
        <w:bidi w:val="0"/>
        <w:spacing w:before="120" w:after="0"/>
        <w:jc w:val="left"/>
        <w:rPr>
          <w:rFonts w:ascii="Times New Roman" w:hAnsi="Times New Roman"/>
          <w:sz w:val="20"/>
        </w:rPr>
      </w:pPr>
      <w:r>
        <w:rPr>
          <w:rFonts w:ascii="Times New Roman" w:hAnsi="Times New Roman"/>
          <w:sz w:val="20"/>
        </w:rPr>
        <w:t xml:space="preserve">(b) Each of the Company and the Guarantor covenant that neither it nor any of its subsidiaries will directly or indirectly use the proceeds of any offerings of Securities pursuant to this Indenture, (i) to fund or facilitate any activities of or business with any person who, at the time of such funding or facilitation, is the subject or target of Sanctions, or (ii) in any other manner that will result in a violation of Sanctions by any person. </w:t>
      </w:r>
    </w:p>
    <w:p>
      <w:pPr>
        <w:pStyle w:val="TextBody"/>
        <w:bidi w:val="0"/>
        <w:spacing w:before="240" w:after="0"/>
        <w:jc w:val="center"/>
        <w:rPr>
          <w:rFonts w:ascii="Times New Roman" w:hAnsi="Times New Roman"/>
          <w:sz w:val="20"/>
        </w:rPr>
      </w:pPr>
      <w:r>
        <w:rPr>
          <w:rFonts w:ascii="Times New Roman" w:hAnsi="Times New Roman"/>
          <w:sz w:val="20"/>
        </w:rPr>
        <w:t xml:space="preserve">[REMAINDER OF PAGE INTENTIONALLY LEFT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Indenture to be duly executed, all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0"/>
        <w:gridCol w:w="60"/>
        <w:gridCol w:w="3622"/>
      </w:tblGrid>
      <w:tr>
        <w:trPr/>
        <w:tc>
          <w:tcPr>
            <w:tcW w:w="4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STELLANTIS FINANCE US INC.</w:t>
            </w:r>
          </w:p>
        </w:tc>
      </w:tr>
      <w:tr>
        <w:trPr/>
        <w:tc>
          <w:tcPr>
            <w:tcW w:w="4082" w:type="dxa"/>
            <w:gridSpan w:val="3"/>
            <w:tcBorders/>
          </w:tcPr>
          <w:p>
            <w:pPr>
              <w:pStyle w:val="TableContents"/>
              <w:bidi w:val="0"/>
              <w:spacing w:before="0" w:after="283"/>
              <w:jc w:val="left"/>
              <w:rPr/>
            </w:pPr>
            <w:r>
              <w:rPr/>
              <w:t>as Company</w:t>
            </w:r>
          </w:p>
        </w:tc>
      </w:tr>
      <w:tr>
        <w:trPr>
          <w:trHeight w:val="240" w:hRule="atLeast"/>
        </w:trPr>
        <w:tc>
          <w:tcPr>
            <w:tcW w:w="400" w:type="dxa"/>
            <w:tcBorders/>
            <w:vAlign w:val="center"/>
          </w:tcPr>
          <w:p>
            <w:pPr>
              <w:pStyle w:val="TableContents"/>
              <w:bidi w:val="0"/>
              <w:spacing w:before="0" w:after="283"/>
              <w:jc w:val="left"/>
              <w:rPr>
                <w:sz w:val="4"/>
                <w:szCs w:val="4"/>
              </w:rPr>
            </w:pPr>
            <w:r>
              <w:rPr>
                <w:sz w:val="4"/>
                <w:szCs w:val="4"/>
              </w:rPr>
            </w:r>
          </w:p>
        </w:tc>
        <w:tc>
          <w:tcPr>
            <w:tcW w:w="3682" w:type="dxa"/>
            <w:gridSpan w:val="2"/>
            <w:tcBorders/>
            <w:vAlign w:val="center"/>
          </w:tcPr>
          <w:p>
            <w:pPr>
              <w:pStyle w:val="TableContents"/>
              <w:bidi w:val="0"/>
              <w:spacing w:before="0" w:after="283"/>
              <w:jc w:val="left"/>
              <w:rPr>
                <w:sz w:val="4"/>
                <w:szCs w:val="4"/>
              </w:rPr>
            </w:pPr>
            <w:r>
              <w:rPr>
                <w:sz w:val="4"/>
                <w:szCs w:val="4"/>
              </w:rPr>
            </w:r>
          </w:p>
        </w:tc>
      </w:tr>
      <w:tr>
        <w:trPr/>
        <w:tc>
          <w:tcPr>
            <w:tcW w:w="40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Ferrante Zileri Dal Verme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Name: Ferrante Zileri Dal Verme</w:t>
            </w:r>
          </w:p>
        </w:tc>
      </w:tr>
      <w:tr>
        <w:trPr/>
        <w:tc>
          <w:tcPr>
            <w:tcW w:w="4082" w:type="dxa"/>
            <w:gridSpan w:val="3"/>
            <w:tcBorders/>
          </w:tcPr>
          <w:p>
            <w:pPr>
              <w:pStyle w:val="TableContents"/>
              <w:bidi w:val="0"/>
              <w:spacing w:before="0" w:after="283"/>
              <w:jc w:val="left"/>
              <w:rPr/>
            </w:pPr>
            <w:r>
              <w:rPr/>
              <w:t>Title: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STELLANTIS N.V.</w:t>
            </w:r>
          </w:p>
        </w:tc>
      </w:tr>
      <w:tr>
        <w:trPr/>
        <w:tc>
          <w:tcPr>
            <w:tcW w:w="4082" w:type="dxa"/>
            <w:gridSpan w:val="3"/>
            <w:tcBorders/>
          </w:tcPr>
          <w:p>
            <w:pPr>
              <w:pStyle w:val="TableContents"/>
              <w:bidi w:val="0"/>
              <w:spacing w:before="0" w:after="283"/>
              <w:jc w:val="left"/>
              <w:rPr/>
            </w:pPr>
            <w:r>
              <w:rPr/>
              <w:t>as Guarantor</w:t>
            </w:r>
          </w:p>
        </w:tc>
      </w:tr>
      <w:tr>
        <w:trPr>
          <w:trHeight w:val="240" w:hRule="atLeast"/>
        </w:trPr>
        <w:tc>
          <w:tcPr>
            <w:tcW w:w="400" w:type="dxa"/>
            <w:tcBorders/>
            <w:vAlign w:val="center"/>
          </w:tcPr>
          <w:p>
            <w:pPr>
              <w:pStyle w:val="TableContents"/>
              <w:bidi w:val="0"/>
              <w:spacing w:before="0" w:after="283"/>
              <w:jc w:val="left"/>
              <w:rPr>
                <w:sz w:val="4"/>
                <w:szCs w:val="4"/>
              </w:rPr>
            </w:pPr>
            <w:r>
              <w:rPr>
                <w:sz w:val="4"/>
                <w:szCs w:val="4"/>
              </w:rPr>
            </w:r>
          </w:p>
        </w:tc>
        <w:tc>
          <w:tcPr>
            <w:tcW w:w="3682" w:type="dxa"/>
            <w:gridSpan w:val="2"/>
            <w:tcBorders/>
            <w:vAlign w:val="center"/>
          </w:tcPr>
          <w:p>
            <w:pPr>
              <w:pStyle w:val="TableContents"/>
              <w:bidi w:val="0"/>
              <w:spacing w:before="0" w:after="283"/>
              <w:jc w:val="left"/>
              <w:rPr>
                <w:sz w:val="4"/>
                <w:szCs w:val="4"/>
              </w:rPr>
            </w:pPr>
            <w:r>
              <w:rPr>
                <w:sz w:val="4"/>
                <w:szCs w:val="4"/>
              </w:rPr>
            </w:r>
          </w:p>
        </w:tc>
      </w:tr>
      <w:tr>
        <w:trPr/>
        <w:tc>
          <w:tcPr>
            <w:tcW w:w="40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Ferrante Zileri Dal Verme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Name: Ferrante Zileri Dal Verme</w:t>
            </w:r>
          </w:p>
        </w:tc>
      </w:tr>
      <w:tr>
        <w:trPr/>
        <w:tc>
          <w:tcPr>
            <w:tcW w:w="4082" w:type="dxa"/>
            <w:gridSpan w:val="3"/>
            <w:tcBorders/>
          </w:tcPr>
          <w:p>
            <w:pPr>
              <w:pStyle w:val="TableContents"/>
              <w:bidi w:val="0"/>
              <w:spacing w:before="0" w:after="283"/>
              <w:jc w:val="left"/>
              <w:rPr/>
            </w:pPr>
            <w:r>
              <w:rPr/>
              <w:t>Title: Group Treasurer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THE BANK OF NEW YORK MELLON,</w:t>
            </w:r>
          </w:p>
        </w:tc>
      </w:tr>
      <w:tr>
        <w:trPr/>
        <w:tc>
          <w:tcPr>
            <w:tcW w:w="4082" w:type="dxa"/>
            <w:gridSpan w:val="3"/>
            <w:tcBorders/>
          </w:tcPr>
          <w:p>
            <w:pPr>
              <w:pStyle w:val="TableContents"/>
              <w:bidi w:val="0"/>
              <w:spacing w:before="0" w:after="283"/>
              <w:jc w:val="left"/>
              <w:rPr/>
            </w:pPr>
            <w:r>
              <w:rPr/>
              <w:t>as Trustee</w:t>
            </w:r>
          </w:p>
        </w:tc>
      </w:tr>
      <w:tr>
        <w:trPr>
          <w:trHeight w:val="240" w:hRule="atLeast"/>
        </w:trPr>
        <w:tc>
          <w:tcPr>
            <w:tcW w:w="400" w:type="dxa"/>
            <w:tcBorders/>
            <w:vAlign w:val="center"/>
          </w:tcPr>
          <w:p>
            <w:pPr>
              <w:pStyle w:val="TableContents"/>
              <w:bidi w:val="0"/>
              <w:spacing w:before="0" w:after="283"/>
              <w:jc w:val="left"/>
              <w:rPr>
                <w:sz w:val="4"/>
                <w:szCs w:val="4"/>
              </w:rPr>
            </w:pPr>
            <w:r>
              <w:rPr>
                <w:sz w:val="4"/>
                <w:szCs w:val="4"/>
              </w:rPr>
            </w:r>
          </w:p>
        </w:tc>
        <w:tc>
          <w:tcPr>
            <w:tcW w:w="3682" w:type="dxa"/>
            <w:gridSpan w:val="2"/>
            <w:tcBorders/>
            <w:vAlign w:val="center"/>
          </w:tcPr>
          <w:p>
            <w:pPr>
              <w:pStyle w:val="TableContents"/>
              <w:bidi w:val="0"/>
              <w:spacing w:before="0" w:after="283"/>
              <w:jc w:val="left"/>
              <w:rPr>
                <w:sz w:val="4"/>
                <w:szCs w:val="4"/>
              </w:rPr>
            </w:pPr>
            <w:r>
              <w:rPr>
                <w:sz w:val="4"/>
                <w:szCs w:val="4"/>
              </w:rPr>
            </w:r>
          </w:p>
        </w:tc>
      </w:tr>
      <w:tr>
        <w:trPr/>
        <w:tc>
          <w:tcPr>
            <w:tcW w:w="40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Mike Diep</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Name: Mike Diep</w:t>
            </w:r>
          </w:p>
        </w:tc>
      </w:tr>
      <w:tr>
        <w:trPr/>
        <w:tc>
          <w:tcPr>
            <w:tcW w:w="4082" w:type="dxa"/>
            <w:gridSpan w:val="3"/>
            <w:tcBorders/>
          </w:tcPr>
          <w:p>
            <w:pPr>
              <w:pStyle w:val="TableContents"/>
              <w:bidi w:val="0"/>
              <w:spacing w:before="0" w:after="283"/>
              <w:jc w:val="left"/>
              <w:rPr/>
            </w:pPr>
            <w:r>
              <w:rPr/>
              <w:t>Title: 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Indenture</w:t>
      </w:r>
      <w:r>
        <w:rPr>
          <w:rFonts w:ascii="Times New Roman" w:hAnsi="Times New Roman"/>
          <w:sz w:val="20"/>
        </w:rPr>
        <w:t xml:space="preserve">] </w:t>
      </w:r>
    </w:p>
    <w:p>
      <w:pPr>
        <w:pStyle w:val="TextBody"/>
        <w:bidi w:val="0"/>
        <w:spacing w:before="0" w:after="0"/>
        <w:jc w:val="right"/>
        <w:rPr>
          <w:rFonts w:ascii="Times New Roman" w:hAnsi="Times New Roman"/>
          <w:b/>
          <w:sz w:val="20"/>
        </w:rPr>
      </w:pPr>
      <w:bookmarkStart w:id="6" w:name="d71756dex42.htm"/>
      <w:bookmarkStart w:id="7" w:name="ksd71756dex42"/>
      <w:bookmarkEnd w:id="6"/>
      <w:bookmarkEnd w:id="7"/>
      <w:r>
        <w:rPr>
          <w:rFonts w:ascii="Times New Roman" w:hAnsi="Times New Roman"/>
          <w:b/>
          <w:sz w:val="20"/>
        </w:rPr>
        <w:t xml:space="preserve">Exhibit 4.2 </w:t>
      </w:r>
      <w:r>
        <w:br w:type="page"/>
      </w:r>
    </w:p>
    <w:p>
      <w:pPr>
        <w:pStyle w:val="TextBody"/>
        <w:bidi w:val="0"/>
        <w:spacing w:before="240" w:after="0"/>
        <w:jc w:val="right"/>
        <w:rPr>
          <w:rFonts w:ascii="Times New Roman" w:hAnsi="Times New Roman"/>
          <w:sz w:val="20"/>
        </w:rPr>
      </w:pPr>
      <w:r>
        <w:rPr>
          <w:rFonts w:ascii="Times New Roman" w:hAnsi="Times New Roman"/>
          <w:sz w:val="20"/>
        </w:rPr>
        <w:t xml:space="preserve">EXECUTION VERSION </w:t>
      </w:r>
    </w:p>
    <w:p>
      <w:pPr>
        <w:pStyle w:val="TextBody"/>
        <w:bidi w:val="0"/>
        <w:spacing w:before="480" w:after="0"/>
        <w:jc w:val="center"/>
        <w:rPr>
          <w:rFonts w:ascii="Times New Roman" w:hAnsi="Times New Roman"/>
          <w:b/>
          <w:sz w:val="20"/>
        </w:rPr>
      </w:pPr>
      <w:r>
        <w:rPr>
          <w:rFonts w:ascii="Times New Roman" w:hAnsi="Times New Roman"/>
          <w:b/>
          <w:sz w:val="20"/>
        </w:rPr>
        <w:t xml:space="preserve">STELLANTIS FINANCE US INC. </w:t>
      </w:r>
    </w:p>
    <w:p>
      <w:pPr>
        <w:pStyle w:val="TextBody"/>
        <w:bidi w:val="0"/>
        <w:spacing w:before="240" w:after="0"/>
        <w:jc w:val="center"/>
        <w:rPr>
          <w:rFonts w:ascii="Times New Roman" w:hAnsi="Times New Roman"/>
          <w:b/>
          <w:sz w:val="20"/>
        </w:rPr>
      </w:pPr>
      <w:r>
        <w:rPr>
          <w:rFonts w:ascii="Times New Roman" w:hAnsi="Times New Roman"/>
          <w:b/>
          <w:sz w:val="20"/>
        </w:rPr>
        <w:t xml:space="preserve">Officer’s Certificate </w:t>
      </w:r>
    </w:p>
    <w:p>
      <w:pPr>
        <w:pStyle w:val="TextBody"/>
        <w:bidi w:val="0"/>
        <w:spacing w:before="240" w:after="0"/>
        <w:jc w:val="center"/>
        <w:rPr>
          <w:rFonts w:ascii="Times New Roman" w:hAnsi="Times New Roman"/>
          <w:b/>
          <w:sz w:val="20"/>
        </w:rPr>
      </w:pPr>
      <w:r>
        <w:rPr>
          <w:rFonts w:ascii="Times New Roman" w:hAnsi="Times New Roman"/>
          <w:b/>
          <w:sz w:val="20"/>
        </w:rPr>
        <w:t xml:space="preserve">$1,250,000,000 6.750% Fixed Rate Notes due 2031 </w:t>
      </w:r>
    </w:p>
    <w:p>
      <w:pPr>
        <w:pStyle w:val="TextBody"/>
        <w:bidi w:val="0"/>
        <w:spacing w:before="0" w:after="0"/>
        <w:jc w:val="center"/>
        <w:rPr>
          <w:rFonts w:ascii="Times New Roman" w:hAnsi="Times New Roman"/>
          <w:b/>
          <w:sz w:val="20"/>
        </w:rPr>
      </w:pPr>
      <w:r>
        <w:rPr>
          <w:rFonts w:ascii="Times New Roman" w:hAnsi="Times New Roman"/>
          <w:b/>
          <w:sz w:val="20"/>
        </w:rPr>
        <w:t xml:space="preserve">$1,250,000,000 7.400% Fixed Rate Notes due 2036 </w:t>
      </w:r>
    </w:p>
    <w:p>
      <w:pPr>
        <w:pStyle w:val="TextBody"/>
        <w:bidi w:val="0"/>
        <w:spacing w:before="240" w:after="0"/>
        <w:jc w:val="center"/>
        <w:rPr>
          <w:rFonts w:ascii="Times New Roman" w:hAnsi="Times New Roman"/>
          <w:b/>
          <w:sz w:val="20"/>
        </w:rPr>
      </w:pPr>
      <w:r>
        <w:rPr>
          <w:rFonts w:ascii="Times New Roman" w:hAnsi="Times New Roman"/>
          <w:b/>
          <w:sz w:val="20"/>
        </w:rPr>
        <w:t xml:space="preserve">September 16, 2026 </w:t>
      </w:r>
    </w:p>
    <w:p>
      <w:pPr>
        <w:pStyle w:val="TextBody"/>
        <w:bidi w:val="0"/>
        <w:spacing w:before="240" w:after="0"/>
        <w:jc w:val="center"/>
        <w:rPr>
          <w:rFonts w:ascii="Times New Roman" w:hAnsi="Times New Roman"/>
          <w:b/>
          <w:sz w:val="20"/>
        </w:rPr>
      </w:pPr>
      <w:r>
        <w:rPr>
          <w:rFonts w:ascii="Times New Roman" w:hAnsi="Times New Roman"/>
          <w:b/>
          <w:sz w:val="20"/>
        </w:rPr>
        <w:t xml:space="preserve">Pursuant to Section 3.01 of the Indenture Identified Below </w:t>
      </w:r>
    </w:p>
    <w:p>
      <w:pPr>
        <w:pStyle w:val="TextBody"/>
        <w:bidi w:val="0"/>
        <w:spacing w:before="240" w:after="0"/>
        <w:jc w:val="left"/>
        <w:rPr>
          <w:rFonts w:ascii="Times New Roman" w:hAnsi="Times New Roman"/>
          <w:sz w:val="20"/>
        </w:rPr>
      </w:pPr>
      <w:r>
        <w:rPr>
          <w:rFonts w:ascii="Times New Roman" w:hAnsi="Times New Roman"/>
          <w:sz w:val="20"/>
        </w:rPr>
        <w:t>Pursuant to Section 3.01 of the Indenture, dated as of September 16, 2026 (the “</w:t>
      </w:r>
      <w:r>
        <w:rPr>
          <w:rFonts w:ascii="Times New Roman" w:hAnsi="Times New Roman"/>
          <w:sz w:val="20"/>
          <w:u w:val="single"/>
        </w:rPr>
        <w:t>Indenture</w:t>
      </w:r>
      <w:r>
        <w:rPr>
          <w:rFonts w:ascii="Times New Roman" w:hAnsi="Times New Roman"/>
          <w:sz w:val="20"/>
        </w:rPr>
        <w:t>”), among Stellantis Finance US Inc., a Delaware corporation (the “</w:t>
      </w:r>
      <w:r>
        <w:rPr>
          <w:rFonts w:ascii="Times New Roman" w:hAnsi="Times New Roman"/>
          <w:sz w:val="20"/>
          <w:u w:val="single"/>
        </w:rPr>
        <w:t>Company</w:t>
      </w:r>
      <w:r>
        <w:rPr>
          <w:rFonts w:ascii="Times New Roman" w:hAnsi="Times New Roman"/>
          <w:sz w:val="20"/>
        </w:rPr>
        <w:t>”), Stellantis N.V., a public company with limited liability incorporated under the laws of the Netherlands, and The Bank of New York Mellon, as Trustee (the “</w:t>
      </w:r>
      <w:r>
        <w:rPr>
          <w:rFonts w:ascii="Times New Roman" w:hAnsi="Times New Roman"/>
          <w:sz w:val="20"/>
          <w:u w:val="single"/>
        </w:rPr>
        <w:t>Trustee</w:t>
      </w:r>
      <w:r>
        <w:rPr>
          <w:rFonts w:ascii="Times New Roman" w:hAnsi="Times New Roman"/>
          <w:sz w:val="20"/>
        </w:rPr>
        <w:t>”), and pursuant to the resolutions of the Board of Directors of the Company duly adopted on September 4, 2026 (the “</w:t>
      </w:r>
      <w:r>
        <w:rPr>
          <w:rFonts w:ascii="Times New Roman" w:hAnsi="Times New Roman"/>
          <w:sz w:val="20"/>
          <w:u w:val="single"/>
        </w:rPr>
        <w:t>Board Resolutions</w:t>
      </w:r>
      <w:r>
        <w:rPr>
          <w:rFonts w:ascii="Times New Roman" w:hAnsi="Times New Roman"/>
          <w:sz w:val="20"/>
        </w:rPr>
        <w:t xml:space="preserve">”), the undersigned, Ferrante Zileri Dal Verme, President of the Company, hereby certifies that: </w:t>
      </w:r>
    </w:p>
    <w:p>
      <w:pPr>
        <w:pStyle w:val="TextBody"/>
        <w:bidi w:val="0"/>
        <w:spacing w:before="120" w:after="0"/>
        <w:jc w:val="left"/>
        <w:rPr>
          <w:rFonts w:ascii="Times New Roman" w:hAnsi="Times New Roman"/>
          <w:sz w:val="20"/>
        </w:rPr>
      </w:pPr>
      <w:r>
        <w:rPr>
          <w:rFonts w:ascii="Times New Roman" w:hAnsi="Times New Roman"/>
          <w:sz w:val="20"/>
        </w:rPr>
        <w:t>(1) There is hereby established (i) a series of 6.750% Fixed Rate Notes due 2031, and (ii) a series of 7.400% Fixed Rate Notes due 2036 (collectively, the “</w:t>
      </w:r>
      <w:r>
        <w:rPr>
          <w:rFonts w:ascii="Times New Roman" w:hAnsi="Times New Roman"/>
          <w:sz w:val="20"/>
          <w:u w:val="single"/>
        </w:rPr>
        <w:t>Securities</w:t>
      </w:r>
      <w:r>
        <w:rPr>
          <w:rFonts w:ascii="Times New Roman" w:hAnsi="Times New Roman"/>
          <w:sz w:val="20"/>
        </w:rPr>
        <w:t xml:space="preserve">”), to be issued under the Indenture, which shall have the terms set forth in the forms of Securities attached hereto as Annexes A-1 and A-2, respectively. </w:t>
      </w:r>
    </w:p>
    <w:p>
      <w:pPr>
        <w:pStyle w:val="TextBody"/>
        <w:bidi w:val="0"/>
        <w:spacing w:before="120" w:after="0"/>
        <w:jc w:val="left"/>
        <w:rPr>
          <w:rFonts w:ascii="Times New Roman" w:hAnsi="Times New Roman"/>
          <w:sz w:val="20"/>
        </w:rPr>
      </w:pPr>
      <w:r>
        <w:rPr>
          <w:rFonts w:ascii="Times New Roman" w:hAnsi="Times New Roman"/>
          <w:sz w:val="20"/>
        </w:rPr>
        <w:t xml:space="preserve">(2) The terms of the Securities set forth in the forms of Securities attached hereto as Annexes A-1 and A-2, are hereby expressly made a part hereof. </w:t>
      </w:r>
    </w:p>
    <w:p>
      <w:pPr>
        <w:pStyle w:val="TextBody"/>
        <w:bidi w:val="0"/>
        <w:spacing w:before="120" w:after="0"/>
        <w:jc w:val="left"/>
        <w:rPr>
          <w:rFonts w:ascii="Times New Roman" w:hAnsi="Times New Roman"/>
          <w:sz w:val="20"/>
        </w:rPr>
      </w:pPr>
      <w:r>
        <w:rPr>
          <w:rFonts w:ascii="Times New Roman" w:hAnsi="Times New Roman"/>
          <w:sz w:val="20"/>
        </w:rPr>
        <w:t xml:space="preserve">(3) The 6.750% Fixed Rate Notes due 2031 shall have an aggregate principal amount of $1,250,000,000, and the 7.400% Fixed Rate Notes due 2036 shall have an aggregate principal amount of $1,250,000,000. The maximum aggregate principal amount authorized with respect to the Securities may be increased further from time to time in accordance with Section 3.01 of the Indenture. </w:t>
      </w:r>
    </w:p>
    <w:p>
      <w:pPr>
        <w:pStyle w:val="TextBody"/>
        <w:bidi w:val="0"/>
        <w:spacing w:before="120" w:after="0"/>
        <w:jc w:val="left"/>
        <w:rPr>
          <w:rFonts w:ascii="Times New Roman" w:hAnsi="Times New Roman"/>
          <w:sz w:val="20"/>
        </w:rPr>
      </w:pPr>
      <w:r>
        <w:rPr>
          <w:rFonts w:ascii="Times New Roman" w:hAnsi="Times New Roman"/>
          <w:sz w:val="20"/>
        </w:rPr>
        <w:t xml:space="preserve">(4) The Securities will rank equally with all of the Company’s other unsecured and unsubordinated indebtedness from time to time outstanding. </w:t>
      </w:r>
    </w:p>
    <w:p>
      <w:pPr>
        <w:pStyle w:val="TextBody"/>
        <w:bidi w:val="0"/>
        <w:spacing w:before="120" w:after="0"/>
        <w:jc w:val="left"/>
        <w:rPr>
          <w:rFonts w:ascii="Times New Roman" w:hAnsi="Times New Roman"/>
          <w:sz w:val="20"/>
        </w:rPr>
      </w:pPr>
      <w:r>
        <w:rPr>
          <w:rFonts w:ascii="Times New Roman" w:hAnsi="Times New Roman"/>
          <w:sz w:val="20"/>
        </w:rPr>
        <w:t xml:space="preserve">(5) The Securities shall be issued in the form of one or more Global Securities registered in the name of Cede &amp; Co., as nominee for The Depository Trust Company, which is hereby designated as the depositary for such Global Securities. </w:t>
      </w:r>
    </w:p>
    <w:p>
      <w:pPr>
        <w:pStyle w:val="TextBody"/>
        <w:bidi w:val="0"/>
        <w:spacing w:before="120" w:after="0"/>
        <w:jc w:val="left"/>
        <w:rPr>
          <w:rFonts w:ascii="Times New Roman" w:hAnsi="Times New Roman"/>
          <w:sz w:val="20"/>
        </w:rPr>
      </w:pPr>
      <w:r>
        <w:rPr>
          <w:rFonts w:ascii="Times New Roman" w:hAnsi="Times New Roman"/>
          <w:sz w:val="20"/>
        </w:rPr>
        <w:t xml:space="preserve">(6) The issuance of the Securities pursuant to the Indenture is hereby approved.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Sullivan &amp; Cromwell LLP and Allen Overy Shearman Sterling LLP are entitled to rely on this certificate in connection with the opinion that each is rendering pursuant to the Underwriting Agreement, dated September 10, 2026, among the Company, Stellantis N.V., and Citigroup Global Markets Inc., Deutsche Bank Securities Inc., Goldman Sachs &amp; Co. LLC, Intesa Sanpaolo IMI Securities Corp., Morgan Stanley &amp; Co. LLC, RBC Capital Markets, LLC, and SMBC Nikko Securities America, Inc., as Representatives of the several Underwriters named therein. The Bank of New York Mellon, as trustee, is entitled to rely on this certificate in connection with its authentication and delivery of the Securities.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Follows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I have executed this Certificate on behalf of the Company. </w:t>
      </w:r>
    </w:p>
    <w:p>
      <w:pPr>
        <w:pStyle w:val="TextBody"/>
        <w:bidi w:val="0"/>
        <w:spacing w:before="360" w:after="0"/>
        <w:jc w:val="left"/>
        <w:rPr>
          <w:rFonts w:ascii="Times New Roman" w:hAnsi="Times New Roman"/>
          <w:sz w:val="20"/>
        </w:rPr>
      </w:pPr>
      <w:r>
        <w:rPr>
          <w:rFonts w:ascii="Times New Roman" w:hAnsi="Times New Roman"/>
          <w:sz w:val="20"/>
        </w:rPr>
        <w:t xml:space="preserve">Dated: September 16,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68"/>
        <w:gridCol w:w="60"/>
        <w:gridCol w:w="665"/>
        <w:gridCol w:w="60"/>
        <w:gridCol w:w="2929"/>
      </w:tblGrid>
      <w:tr>
        <w:trPr/>
        <w:tc>
          <w:tcPr>
            <w:tcW w:w="36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29"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STELLANTIS FINANCE US INC.</w:t>
            </w:r>
          </w:p>
        </w:tc>
      </w:tr>
      <w:tr>
        <w:trPr>
          <w:trHeight w:val="240" w:hRule="atLeast"/>
        </w:trPr>
        <w:tc>
          <w:tcPr>
            <w:tcW w:w="368" w:type="dxa"/>
            <w:tcBorders/>
            <w:vAlign w:val="center"/>
          </w:tcPr>
          <w:p>
            <w:pPr>
              <w:pStyle w:val="TableContents"/>
              <w:bidi w:val="0"/>
              <w:spacing w:before="0" w:after="283"/>
              <w:jc w:val="left"/>
              <w:rPr>
                <w:sz w:val="4"/>
                <w:szCs w:val="4"/>
              </w:rPr>
            </w:pPr>
            <w:r>
              <w:rPr>
                <w:sz w:val="4"/>
                <w:szCs w:val="4"/>
              </w:rPr>
            </w:r>
          </w:p>
        </w:tc>
        <w:tc>
          <w:tcPr>
            <w:tcW w:w="3714" w:type="dxa"/>
            <w:gridSpan w:val="4"/>
            <w:tcBorders/>
            <w:vAlign w:val="center"/>
          </w:tcPr>
          <w:p>
            <w:pPr>
              <w:pStyle w:val="TableContents"/>
              <w:bidi w:val="0"/>
              <w:spacing w:before="0" w:after="283"/>
              <w:jc w:val="left"/>
              <w:rPr>
                <w:sz w:val="4"/>
                <w:szCs w:val="4"/>
              </w:rPr>
            </w:pPr>
            <w:r>
              <w:rPr>
                <w:sz w:val="4"/>
                <w:szCs w:val="4"/>
              </w:rPr>
            </w:r>
          </w:p>
        </w:tc>
      </w:tr>
      <w:tr>
        <w:trPr/>
        <w:tc>
          <w:tcPr>
            <w:tcW w:w="36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4"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Ferrante Zileri Dal Verme</w:t>
            </w:r>
          </w:p>
        </w:tc>
      </w:tr>
      <w:tr>
        <w:trPr/>
        <w:tc>
          <w:tcPr>
            <w:tcW w:w="36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65"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29" w:type="dxa"/>
            <w:tcBorders/>
          </w:tcPr>
          <w:p>
            <w:pPr>
              <w:pStyle w:val="TableContents"/>
              <w:bidi w:val="0"/>
              <w:spacing w:before="0" w:after="283"/>
              <w:jc w:val="left"/>
              <w:rPr/>
            </w:pPr>
            <w:r>
              <w:rPr/>
              <w:t>Ferrante Zileri Dal Verme</w:t>
            </w:r>
          </w:p>
        </w:tc>
      </w:tr>
      <w:tr>
        <w:trPr/>
        <w:tc>
          <w:tcPr>
            <w:tcW w:w="36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65"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29" w:type="dxa"/>
            <w:tcBorders/>
          </w:tcPr>
          <w:p>
            <w:pPr>
              <w:pStyle w:val="TableContents"/>
              <w:bidi w:val="0"/>
              <w:spacing w:before="0" w:after="283"/>
              <w:jc w:val="left"/>
              <w:rPr/>
            </w:pPr>
            <w:r>
              <w:rPr/>
              <w:t>President</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Officer’s Certificate Pursuant to Section</w:t>
      </w:r>
      <w:r>
        <w:rPr>
          <w:rFonts w:ascii="Times New Roman" w:hAnsi="Times New Roman"/>
          <w:sz w:val="20"/>
        </w:rPr>
        <w:t> </w:t>
      </w:r>
      <w:r>
        <w:rPr>
          <w:rFonts w:ascii="Times New Roman" w:hAnsi="Times New Roman"/>
          <w:i/>
          <w:sz w:val="20"/>
        </w:rPr>
        <w:t>3.01 of the Indenture</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Annex A-1 </w:t>
      </w:r>
    </w:p>
    <w:p>
      <w:pPr>
        <w:pStyle w:val="TextBody"/>
        <w:bidi w:val="0"/>
        <w:spacing w:before="240" w:after="0"/>
        <w:jc w:val="left"/>
        <w:rPr>
          <w:rFonts w:ascii="Times New Roman" w:hAnsi="Times New Roman"/>
          <w:sz w:val="20"/>
        </w:rPr>
      </w:pPr>
      <w:r>
        <w:rPr>
          <w:rFonts w:ascii="Times New Roman" w:hAnsi="Times New Roman"/>
          <w:sz w:val="20"/>
        </w:rPr>
        <w:t xml:space="preserve">THIS SECURITY IS A GLOBAL SECURITY WITHIN THE MEANING OF THE INDENTURE HEREINAFTER REFERRED TO AND IS REGISTERED IN THE NAME OF A DEPOSITARY OR A NOMINEE THEREOF. THIS SECURITY MAY NOT BE EXCHANGED IN WHOLE OR IN PART FOR A SECURITY REGISTERED, AND NO TRANSFER OF THIS SECURITY IN WHOLE OR IN PART MAY BE REGISTERED, IN THE NAME OF ANY PERSON OTHER THAN SUCH DEPOSITARY OR A NOMINEE THEREOF, EXCEPT IN THE LIMITED CIRCUMSTANCES DESCRIBED IN THE INDENTURE. </w:t>
      </w:r>
    </w:p>
    <w:p>
      <w:pPr>
        <w:pStyle w:val="TextBody"/>
        <w:bidi w:val="0"/>
        <w:spacing w:before="240" w:after="0"/>
        <w:jc w:val="left"/>
        <w:rPr>
          <w:rFonts w:ascii="Times New Roman" w:hAnsi="Times New Roman"/>
          <w:sz w:val="20"/>
        </w:rPr>
      </w:pPr>
      <w:r>
        <w:rPr>
          <w:rFonts w:ascii="Times New Roman" w:hAnsi="Times New Roman"/>
          <w:sz w:val="20"/>
        </w:rPr>
        <w:t>UNLESS THIS CERTIFICATE IS PRESENTED BY AN AUTHORIZED REPRESENTATIVE OF THE DEPOSITORY TRUST COMPANY, A NEW YORK CORPORATION (“</w:t>
      </w:r>
      <w:r>
        <w:rPr>
          <w:rFonts w:ascii="Times New Roman" w:hAnsi="Times New Roman"/>
          <w:b/>
          <w:sz w:val="20"/>
        </w:rPr>
        <w:t>DTC</w:t>
      </w:r>
      <w:r>
        <w:rPr>
          <w:rFonts w:ascii="Times New Roman" w:hAnsi="Times New Roman"/>
          <w:sz w:val="20"/>
        </w:rPr>
        <w:t xml:space="preserve">”), TO THE COMPANY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283"/>
              <w:jc w:val="right"/>
              <w:rPr/>
            </w:pPr>
            <w:r>
              <w:rPr/>
              <w:t>CUSIP No. 85855C AR1</w:t>
            </w:r>
          </w:p>
        </w:tc>
      </w:tr>
    </w:tbl>
    <w:p>
      <w:pPr>
        <w:pStyle w:val="TextBody"/>
        <w:bidi w:val="0"/>
        <w:spacing w:before="240" w:after="0"/>
        <w:jc w:val="center"/>
        <w:rPr>
          <w:rFonts w:ascii="Times New Roman" w:hAnsi="Times New Roman"/>
          <w:sz w:val="20"/>
        </w:rPr>
      </w:pPr>
      <w:r>
        <w:rPr>
          <w:rFonts w:ascii="Times New Roman" w:hAnsi="Times New Roman"/>
          <w:sz w:val="20"/>
        </w:rPr>
        <w:t xml:space="preserve">6.750% Fixed Rate Notes due 2031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14"/>
        <w:gridCol w:w="126"/>
        <w:gridCol w:w="4865"/>
      </w:tblGrid>
      <w:tr>
        <w:trPr/>
        <w:tc>
          <w:tcPr>
            <w:tcW w:w="5214"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4865" w:type="dxa"/>
            <w:tcBorders/>
            <w:vAlign w:val="center"/>
          </w:tcPr>
          <w:p>
            <w:pPr>
              <w:pStyle w:val="TableContents"/>
              <w:bidi w:val="0"/>
              <w:spacing w:before="0" w:after="283"/>
              <w:jc w:val="left"/>
              <w:rPr>
                <w:sz w:val="4"/>
                <w:szCs w:val="4"/>
              </w:rPr>
            </w:pPr>
            <w:r>
              <w:rPr>
                <w:sz w:val="4"/>
                <w:szCs w:val="4"/>
              </w:rPr>
            </w:r>
          </w:p>
        </w:tc>
      </w:tr>
      <w:tr>
        <w:trPr/>
        <w:tc>
          <w:tcPr>
            <w:tcW w:w="5214" w:type="dxa"/>
            <w:tcBorders/>
          </w:tcPr>
          <w:p>
            <w:pPr>
              <w:pStyle w:val="TableContents"/>
              <w:bidi w:val="0"/>
              <w:spacing w:before="0" w:after="283"/>
              <w:jc w:val="left"/>
              <w:rPr/>
            </w:pPr>
            <w:r>
              <w:rPr/>
              <w:t>No. []</w:t>
            </w:r>
          </w:p>
        </w:tc>
        <w:tc>
          <w:tcPr>
            <w:tcW w:w="126" w:type="dxa"/>
            <w:tcBorders/>
            <w:vAlign w:val="bottom"/>
          </w:tcPr>
          <w:p>
            <w:pPr>
              <w:pStyle w:val="TableContents"/>
              <w:bidi w:val="0"/>
              <w:spacing w:before="0" w:after="283"/>
              <w:jc w:val="left"/>
              <w:rPr/>
            </w:pPr>
            <w:r>
              <w:rPr/>
              <w:t>  </w:t>
            </w:r>
          </w:p>
        </w:tc>
        <w:tc>
          <w:tcPr>
            <w:tcW w:w="4865" w:type="dxa"/>
            <w:tcBorders/>
          </w:tcPr>
          <w:p>
            <w:pPr>
              <w:pStyle w:val="TableContents"/>
              <w:bidi w:val="0"/>
              <w:spacing w:before="0" w:after="283"/>
              <w:jc w:val="right"/>
              <w:rPr/>
            </w:pPr>
            <w:r>
              <w:rPr/>
              <w:t>$[]</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STELLANTIS FINANCE US INC. </w:t>
      </w:r>
    </w:p>
    <w:p>
      <w:pPr>
        <w:pStyle w:val="TextBody"/>
        <w:bidi w:val="0"/>
        <w:spacing w:before="240" w:after="0"/>
        <w:jc w:val="left"/>
        <w:rPr>
          <w:rFonts w:ascii="Times New Roman" w:hAnsi="Times New Roman"/>
          <w:sz w:val="20"/>
        </w:rPr>
      </w:pPr>
      <w:r>
        <w:rPr>
          <w:rFonts w:ascii="Times New Roman" w:hAnsi="Times New Roman"/>
          <w:sz w:val="20"/>
        </w:rPr>
        <w:t xml:space="preserve">Stellantis Finance US Inc., a corporation under the laws of the State of Delaware (herein called the “Company”, which term includes any successor Person under the Indenture hereinafter referred to), for value received, hereby promises to pay to CEDE &amp; CO, or registered assigns, the principal sum of [] U.S. dollars on September 16, 2031 and to pay interest thereon from September 16, 2026 or the most recent Interest Payment Date to which interest has been paid or duly provided for, semi-annually in arrears on March 16 and September 16 in each year, commencing March 16, 2027, at the rate of 6.750% per annum, until the principal hereof is paid or made available for payment. The interest so payable, and punctually paid or duly provided for, on any Interest Payment Date will, as provided in the Indenture, be paid to the Person in whose name this Security (or one or more Predecessor Securities) is registered at the close of business on the Regular Record Date for such interest, which shall be March 1 or September 1 (whether or not a Business Day), as the case may be, next preceding such Interest Payment Date. Any such interest so payable, but not punctually paid or duly provided for, on any Interest Payment Date will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Trustee, notice whereof shall be given to Holders of Securities of this series not less than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said Indenture.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Payment of the principal of (and premium, if any) and interest on this Security shall be made at the office or agency of the Company maintained for that purpose in New York, New York, in such coin or currency of the United States of America as at the time of payment is legal tender for payment of public and private debts, against surrender of this Security in the case of any payment due at the Maturity of the principal hereof (other than any payment of interest that first becomes payable on a day other than an Interest Payment Date);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at the option of the Company payment of interest may be made (1) by check mailed to the address of the Person entitled thereto as such address shall appear in the Security Register, or (2) by wire transfer in immediately available funds at the bank account number maintained within the United States as may be designated by the Person entitled thereto, as specified in the Security Register in writing; and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if this Security is a Global Security, payment shall be made pursuant to the applicable procedures of the Depositary as permitted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Reference is hereby made to the further provisions of this Security set forth on the reverse hereof, which further provisions shall for all purposes have the same effect as if set forth at this place. </w:t>
      </w:r>
    </w:p>
    <w:p>
      <w:pPr>
        <w:pStyle w:val="TextBody"/>
        <w:bidi w:val="0"/>
        <w:spacing w:before="240" w:after="0"/>
        <w:jc w:val="left"/>
        <w:rPr>
          <w:rFonts w:ascii="Times New Roman" w:hAnsi="Times New Roman"/>
          <w:sz w:val="20"/>
        </w:rPr>
      </w:pPr>
      <w:r>
        <w:rPr>
          <w:rFonts w:ascii="Times New Roman" w:hAnsi="Times New Roman"/>
          <w:sz w:val="20"/>
        </w:rPr>
        <w:t xml:space="preserve">Unless the certificate of authentication hereon has been executed by the Trustee or an authentication agent on its behalf referred to on the reverse hereof by manual or electronic signature, this Security shall not be entitled to any benefit under the Indenture or be valid or obligatory for any purpose.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Company has caused this instrument to be duly executed by manual or electronic signature by a duly authorized Officer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Dated: September 16,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112"/>
        <w:gridCol w:w="208"/>
        <w:gridCol w:w="2762"/>
      </w:tblGrid>
      <w:tr>
        <w:trPr/>
        <w:tc>
          <w:tcPr>
            <w:tcW w:w="1112" w:type="dxa"/>
            <w:tcBorders/>
            <w:vAlign w:val="center"/>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sz w:val="4"/>
                <w:szCs w:val="4"/>
              </w:rPr>
            </w:pPr>
            <w:r>
              <w:rPr>
                <w:sz w:val="4"/>
                <w:szCs w:val="4"/>
              </w:rPr>
            </w:r>
          </w:p>
        </w:tc>
        <w:tc>
          <w:tcPr>
            <w:tcW w:w="276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STELLANTIS FINANCE US INC.,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As the Company</w:t>
            </w:r>
          </w:p>
        </w:tc>
      </w:tr>
      <w:tr>
        <w:trPr>
          <w:trHeight w:val="240" w:hRule="atLeast"/>
        </w:trPr>
        <w:tc>
          <w:tcPr>
            <w:tcW w:w="1112" w:type="dxa"/>
            <w:tcBorders/>
            <w:vAlign w:val="center"/>
          </w:tcPr>
          <w:p>
            <w:pPr>
              <w:pStyle w:val="TableContents"/>
              <w:bidi w:val="0"/>
              <w:spacing w:before="0" w:after="283"/>
              <w:jc w:val="left"/>
              <w:rPr>
                <w:sz w:val="4"/>
                <w:szCs w:val="4"/>
              </w:rPr>
            </w:pPr>
            <w:r>
              <w:rPr>
                <w:sz w:val="4"/>
                <w:szCs w:val="4"/>
              </w:rPr>
            </w:r>
          </w:p>
        </w:tc>
        <w:tc>
          <w:tcPr>
            <w:tcW w:w="2970" w:type="dxa"/>
            <w:gridSpan w:val="2"/>
            <w:tcBorders/>
            <w:vAlign w:val="center"/>
          </w:tcPr>
          <w:p>
            <w:pPr>
              <w:pStyle w:val="TableContents"/>
              <w:bidi w:val="0"/>
              <w:spacing w:before="0" w:after="283"/>
              <w:jc w:val="left"/>
              <w:rPr>
                <w:sz w:val="4"/>
                <w:szCs w:val="4"/>
              </w:rPr>
            </w:pPr>
            <w:r>
              <w:rPr>
                <w:sz w:val="4"/>
                <w:szCs w:val="4"/>
              </w:rPr>
            </w:r>
          </w:p>
        </w:tc>
      </w:tr>
      <w:tr>
        <w:trPr/>
        <w:tc>
          <w:tcPr>
            <w:tcW w:w="1112" w:type="dxa"/>
            <w:tcBorders/>
          </w:tcPr>
          <w:p>
            <w:pPr>
              <w:pStyle w:val="TableContents"/>
              <w:bidi w:val="0"/>
              <w:spacing w:before="0" w:after="283"/>
              <w:jc w:val="left"/>
              <w:rPr/>
            </w:pPr>
            <w:r>
              <w:rPr/>
              <w:t>By:</w:t>
            </w:r>
          </w:p>
        </w:tc>
        <w:tc>
          <w:tcPr>
            <w:tcW w:w="208" w:type="dxa"/>
            <w:tcBorders/>
            <w:vAlign w:val="bottom"/>
          </w:tcPr>
          <w:p>
            <w:pPr>
              <w:pStyle w:val="TableContents"/>
              <w:bidi w:val="0"/>
              <w:spacing w:before="0" w:after="283"/>
              <w:jc w:val="left"/>
              <w:rPr/>
            </w:pPr>
            <w:r>
              <w:rPr/>
              <w:t> </w:t>
            </w:r>
          </w:p>
        </w:tc>
        <w:tc>
          <w:tcPr>
            <w:tcW w:w="2762" w:type="dxa"/>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Name: Ferrante Zileri Dal Verme</w:t>
            </w:r>
          </w:p>
        </w:tc>
      </w:tr>
      <w:tr>
        <w:trPr/>
        <w:tc>
          <w:tcPr>
            <w:tcW w:w="4082" w:type="dxa"/>
            <w:gridSpan w:val="3"/>
            <w:tcBorders/>
          </w:tcPr>
          <w:p>
            <w:pPr>
              <w:pStyle w:val="TableContents"/>
              <w:bidi w:val="0"/>
              <w:spacing w:before="0" w:after="283"/>
              <w:jc w:val="left"/>
              <w:rPr/>
            </w:pPr>
            <w:r>
              <w:rPr/>
              <w:t>Title: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Global Security</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is one of the Securities of the series designated herein and referred to in the within-mentioned Indenture. </w:t>
      </w:r>
    </w:p>
    <w:p>
      <w:pPr>
        <w:pStyle w:val="TextBody"/>
        <w:bidi w:val="0"/>
        <w:spacing w:before="240" w:after="0"/>
        <w:jc w:val="left"/>
        <w:rPr>
          <w:rFonts w:ascii="Times New Roman" w:hAnsi="Times New Roman"/>
          <w:sz w:val="20"/>
        </w:rPr>
      </w:pPr>
      <w:r>
        <w:rPr>
          <w:rFonts w:ascii="Times New Roman" w:hAnsi="Times New Roman"/>
          <w:sz w:val="20"/>
        </w:rPr>
        <w:t xml:space="preserve">Dated: September 16,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5"/>
        <w:gridCol w:w="60"/>
        <w:gridCol w:w="3647"/>
      </w:tblGrid>
      <w:tr>
        <w:trPr/>
        <w:tc>
          <w:tcPr>
            <w:tcW w:w="3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THE BANK OF NEW YORK MELLON,</w:t>
            </w:r>
          </w:p>
        </w:tc>
      </w:tr>
      <w:tr>
        <w:trPr/>
        <w:tc>
          <w:tcPr>
            <w:tcW w:w="4082" w:type="dxa"/>
            <w:gridSpan w:val="3"/>
            <w:tcBorders/>
          </w:tcPr>
          <w:p>
            <w:pPr>
              <w:pStyle w:val="TableContents"/>
              <w:bidi w:val="0"/>
              <w:spacing w:before="0" w:after="283"/>
              <w:jc w:val="left"/>
              <w:rPr>
                <w:i/>
              </w:rPr>
            </w:pPr>
            <w:r>
              <w:rPr>
                <w:i/>
              </w:rPr>
              <w:t>as Trustee</w:t>
            </w:r>
          </w:p>
        </w:tc>
      </w:tr>
      <w:tr>
        <w:trPr>
          <w:trHeight w:val="240" w:hRule="atLeast"/>
        </w:trPr>
        <w:tc>
          <w:tcPr>
            <w:tcW w:w="375" w:type="dxa"/>
            <w:tcBorders/>
            <w:vAlign w:val="center"/>
          </w:tcPr>
          <w:p>
            <w:pPr>
              <w:pStyle w:val="TableContents"/>
              <w:bidi w:val="0"/>
              <w:spacing w:before="0" w:after="283"/>
              <w:jc w:val="left"/>
              <w:rPr>
                <w:sz w:val="4"/>
                <w:szCs w:val="4"/>
              </w:rPr>
            </w:pPr>
            <w:r>
              <w:rPr>
                <w:sz w:val="4"/>
                <w:szCs w:val="4"/>
              </w:rPr>
            </w:r>
          </w:p>
        </w:tc>
        <w:tc>
          <w:tcPr>
            <w:tcW w:w="3707" w:type="dxa"/>
            <w:gridSpan w:val="2"/>
            <w:tcBorders/>
            <w:vAlign w:val="center"/>
          </w:tcPr>
          <w:p>
            <w:pPr>
              <w:pStyle w:val="TableContents"/>
              <w:bidi w:val="0"/>
              <w:spacing w:before="0" w:after="283"/>
              <w:jc w:val="left"/>
              <w:rPr>
                <w:sz w:val="4"/>
                <w:szCs w:val="4"/>
              </w:rPr>
            </w:pPr>
            <w:r>
              <w:rPr>
                <w:sz w:val="4"/>
                <w:szCs w:val="4"/>
              </w:rPr>
            </w:r>
          </w:p>
        </w:tc>
      </w:tr>
      <w:tr>
        <w:trPr/>
        <w:tc>
          <w:tcPr>
            <w:tcW w:w="37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7" w:type="dxa"/>
            <w:tcBorders/>
          </w:tcPr>
          <w:p>
            <w:pPr>
              <w:pStyle w:val="TableContents"/>
              <w:pBdr>
                <w:bottom w:val="single" w:sz="2" w:space="1" w:color="000000"/>
              </w:pBdr>
              <w:bidi w:val="0"/>
              <w:spacing w:before="0" w:after="20"/>
              <w:jc w:val="left"/>
              <w:rPr/>
            </w:pPr>
            <w:r>
              <w:rPr/>
              <w:t> </w:t>
            </w:r>
          </w:p>
        </w:tc>
      </w:tr>
      <w:tr>
        <w:trPr/>
        <w:tc>
          <w:tcPr>
            <w:tcW w:w="37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7" w:type="dxa"/>
            <w:tcBorders/>
          </w:tcPr>
          <w:p>
            <w:pPr>
              <w:pStyle w:val="TableContents"/>
              <w:bidi w:val="0"/>
              <w:spacing w:before="0" w:after="283"/>
              <w:jc w:val="left"/>
              <w:rPr>
                <w:i/>
              </w:rPr>
            </w:pPr>
            <w:r>
              <w:rPr>
                <w:i/>
              </w:rPr>
              <w:t>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Global Security</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(REVERSE OF SECURITY) </w:t>
      </w:r>
    </w:p>
    <w:p>
      <w:pPr>
        <w:pStyle w:val="TextBody"/>
        <w:bidi w:val="0"/>
        <w:spacing w:before="240" w:after="0"/>
        <w:jc w:val="left"/>
        <w:rPr>
          <w:rFonts w:ascii="Times New Roman" w:hAnsi="Times New Roman"/>
          <w:sz w:val="20"/>
        </w:rPr>
      </w:pPr>
      <w:r>
        <w:rPr>
          <w:rFonts w:ascii="Times New Roman" w:hAnsi="Times New Roman"/>
          <w:sz w:val="20"/>
        </w:rPr>
        <w:t xml:space="preserve">This Security is one of a duly authorized issue of securities of the Company of this series (herein called the “Securities”), issued and to be issued in one or more series under an Indenture, dated as of September 16, 2026 (the “Indenture”), between the Company and The Bank of New York Mellon, as Trustee (the “Trustee”, which term includes any successor trustee under the Indenture), and reference is hereby made to the Indenture for a statement of the respective rights, limitations of rights, duties and immunities thereunder of the Company, the Trustee and the Holders of the Securities and of the terms upon which the Securities are, and are to be, authenticated and delivered. This Security is one of the series designated on the face hereof initially limited in an aggregate principal amount to $1,250,000,000, </w:t>
      </w:r>
      <w:r>
        <w:rPr>
          <w:rFonts w:ascii="Times New Roman" w:hAnsi="Times New Roman"/>
          <w:i/>
          <w:sz w:val="20"/>
        </w:rPr>
        <w:t>provided</w:t>
      </w:r>
      <w:r>
        <w:rPr>
          <w:rFonts w:ascii="Times New Roman" w:hAnsi="Times New Roman"/>
          <w:sz w:val="20"/>
        </w:rPr>
        <w:t xml:space="preserve"> that the Company may, without the consent of any Holder, at any time and from time to time increase the initial principal amount. Unless otherwise defined, all terms used herein which are defined in the Indenture shall have the meanings assigned to them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Save for any provision as to withholding or deduction of taxes, no reference herein to the Indenture and no provision of this Security or of the Indenture shall alter or impair the obligation of the Company, which is absolute and unconditional, to pay the principal of and any premium and interest on this Security at the times, place and rate, and in the coin or currency, herein prescribed.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the Company or the Guarantor becomes obligated to make payments in respect of the Securities, the Company or the Guarantor, as applicable, shall make all payments of principal of (and premium, if any, on), interest on (whether on scheduled payment dates or upon acceleration) any Securities, free and clear of, and without withholding or deduction for, or on account of, any present or future taxes, duties, assessments or governmental charges of whatever nature (collectively, “Taxes”) imposed, collected, withheld, assessed or levied by or on behalf of any jurisdiction in which the Company, the Guarantor, a Paying Agent, or any other Person on behalf of the Company or the Guarantor, or any successor thereto (each, a “Payor”) is incorporated, organized or tax resident, or any governmental authority or political subdivision thereof or therein having the power to tax (a “Relevant Jurisdiction”), unless the withholding or deduction of the Taxes is required by law of any Relevant Jurisdiction. </w:t>
      </w:r>
    </w:p>
    <w:p>
      <w:pPr>
        <w:pStyle w:val="TextBody"/>
        <w:bidi w:val="0"/>
        <w:spacing w:before="240" w:after="0"/>
        <w:jc w:val="left"/>
        <w:rPr>
          <w:rFonts w:ascii="Times New Roman" w:hAnsi="Times New Roman"/>
          <w:sz w:val="20"/>
        </w:rPr>
      </w:pPr>
      <w:r>
        <w:rPr>
          <w:rFonts w:ascii="Times New Roman" w:hAnsi="Times New Roman"/>
          <w:sz w:val="20"/>
        </w:rPr>
        <w:t xml:space="preserve">Where the withholding or deduction of Taxes is required by the law of any Relevant Jurisdiction, the Payor will, subject to the exceptions and limitations set forth below, pay as additional interest on the Securities such additional amounts (“Additional Amounts”) as are necessary so that the net payment by the Company or the Guarantor or a paying agent or other Payor of the principal of and interest on such Securities, after deduction for any present or future tax, assessment or governmental charge of a Relevant Jurisdiction, imposed by withholding with respect to the payment, will not be less than the amount that would have been payable in respect of such Securities had no withholding or deduction been required. Any obligation to pay Additional Amounts shall not apply: </w:t>
      </w:r>
    </w:p>
    <w:p>
      <w:pPr>
        <w:pStyle w:val="TextBody"/>
        <w:bidi w:val="0"/>
        <w:spacing w:before="240" w:after="0"/>
        <w:jc w:val="left"/>
        <w:rPr>
          <w:rFonts w:ascii="Times New Roman" w:hAnsi="Times New Roman"/>
          <w:sz w:val="20"/>
        </w:rPr>
      </w:pPr>
      <w:r>
        <w:rPr>
          <w:rFonts w:ascii="Times New Roman" w:hAnsi="Times New Roman"/>
          <w:sz w:val="20"/>
        </w:rPr>
        <w:t xml:space="preserve">(1) to any Taxes that are only payable because a present or former type of connection exists or existed between the Holder or beneficial owner of the Securities and a Relevant Jurisdiction other than a connection related solely to purchase, ownership or mere holding of the Securities or the receipt of principal or interest in respect of it;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to any Taxes that are imposed or withheld by the United States of America solely because the beneficial owner, or a fiduciary, settlor, beneficiary or member of the beneficial owner if the beneficial owner is an estate, trust or partnership, or a person holding a power over an estate or trust administered by a fiduciary holder: </w:t>
      </w:r>
    </w:p>
    <w:p>
      <w:pPr>
        <w:pStyle w:val="TextBody"/>
        <w:bidi w:val="0"/>
        <w:spacing w:before="120" w:after="0"/>
        <w:jc w:val="left"/>
        <w:rPr>
          <w:rFonts w:ascii="Times New Roman" w:hAnsi="Times New Roman"/>
          <w:sz w:val="20"/>
        </w:rPr>
      </w:pPr>
      <w:r>
        <w:rPr>
          <w:rFonts w:ascii="Times New Roman" w:hAnsi="Times New Roman"/>
          <w:sz w:val="20"/>
        </w:rPr>
        <w:t xml:space="preserve">a. is or was a citizen or resident or is or was treated as a resident of the United States of America; </w:t>
      </w:r>
    </w:p>
    <w:p>
      <w:pPr>
        <w:pStyle w:val="TextBody"/>
        <w:bidi w:val="0"/>
        <w:spacing w:before="120" w:after="0"/>
        <w:jc w:val="left"/>
        <w:rPr>
          <w:rFonts w:ascii="Times New Roman" w:hAnsi="Times New Roman"/>
          <w:sz w:val="20"/>
        </w:rPr>
      </w:pPr>
      <w:r>
        <w:rPr>
          <w:rFonts w:ascii="Times New Roman" w:hAnsi="Times New Roman"/>
          <w:sz w:val="20"/>
        </w:rPr>
        <w:t xml:space="preserve">b. is or was a personal holding company, a passive foreign investment company or a controlled foreign corporation with respect to the United States of America or is or was a corporation that has accumulated earnings to avoid United States of America federal income tax; </w:t>
      </w:r>
    </w:p>
    <w:p>
      <w:pPr>
        <w:pStyle w:val="TextBody"/>
        <w:bidi w:val="0"/>
        <w:spacing w:before="120" w:after="0"/>
        <w:jc w:val="left"/>
        <w:rPr>
          <w:rFonts w:ascii="Times New Roman" w:hAnsi="Times New Roman"/>
          <w:sz w:val="20"/>
        </w:rPr>
      </w:pPr>
      <w:r>
        <w:rPr>
          <w:rFonts w:ascii="Times New Roman" w:hAnsi="Times New Roman"/>
          <w:sz w:val="20"/>
        </w:rPr>
        <w:t xml:space="preserve">c. is or was a bank receiving interest described in Section 881(c)(3)(A) of the Internal Revenue Code of 1986, as amended (the “Code”); </w:t>
      </w:r>
    </w:p>
    <w:p>
      <w:pPr>
        <w:pStyle w:val="TextBody"/>
        <w:bidi w:val="0"/>
        <w:spacing w:before="120" w:after="0"/>
        <w:jc w:val="left"/>
        <w:rPr>
          <w:rFonts w:ascii="Times New Roman" w:hAnsi="Times New Roman"/>
          <w:sz w:val="20"/>
        </w:rPr>
      </w:pPr>
      <w:r>
        <w:rPr>
          <w:rFonts w:ascii="Times New Roman" w:hAnsi="Times New Roman"/>
          <w:sz w:val="20"/>
        </w:rPr>
        <w:t xml:space="preserve">d. is or was an actual or constructive owner of 10% or more of the total combined voting power of all classes of stock of the Company or the Guarantor entitled to vote; or </w:t>
      </w:r>
    </w:p>
    <w:p>
      <w:pPr>
        <w:pStyle w:val="TextBody"/>
        <w:bidi w:val="0"/>
        <w:spacing w:before="120" w:after="0"/>
        <w:jc w:val="left"/>
        <w:rPr>
          <w:rFonts w:ascii="Times New Roman" w:hAnsi="Times New Roman"/>
          <w:sz w:val="20"/>
        </w:rPr>
      </w:pPr>
      <w:r>
        <w:rPr>
          <w:rFonts w:ascii="Times New Roman" w:hAnsi="Times New Roman"/>
          <w:sz w:val="20"/>
        </w:rPr>
        <w:t xml:space="preserve">e. is or was subject to tax under Section 4948(a) of the Code; </w:t>
      </w:r>
    </w:p>
    <w:p>
      <w:pPr>
        <w:pStyle w:val="TextBody"/>
        <w:bidi w:val="0"/>
        <w:spacing w:before="240" w:after="0"/>
        <w:jc w:val="left"/>
        <w:rPr>
          <w:rFonts w:ascii="Times New Roman" w:hAnsi="Times New Roman"/>
          <w:sz w:val="20"/>
        </w:rPr>
      </w:pPr>
      <w:r>
        <w:rPr>
          <w:rFonts w:ascii="Times New Roman" w:hAnsi="Times New Roman"/>
          <w:sz w:val="20"/>
        </w:rPr>
        <w:t xml:space="preserve">(3) to any Holder of the Securities that is not the sole beneficial owner of such Securities, or a portion thereof, or that is a fiduciary or partnership, but only to the extent that the beneficial owner, a beneficiary or settlor with respect to the fiduciary, or a member of the partnership would not have been entitled to the payment of an Additional Amount had such beneficial owner, beneficiary, settlor or member received directly its beneficial or distributive share of the payment; </w:t>
      </w:r>
    </w:p>
    <w:p>
      <w:pPr>
        <w:pStyle w:val="TextBody"/>
        <w:bidi w:val="0"/>
        <w:spacing w:before="240" w:after="0"/>
        <w:jc w:val="left"/>
        <w:rPr>
          <w:rFonts w:ascii="Times New Roman" w:hAnsi="Times New Roman"/>
          <w:sz w:val="20"/>
        </w:rPr>
      </w:pPr>
      <w:r>
        <w:rPr>
          <w:rFonts w:ascii="Times New Roman" w:hAnsi="Times New Roman"/>
          <w:sz w:val="20"/>
        </w:rPr>
        <w:t xml:space="preserve">(4) to any Taxes that are imposed or withheld because the beneficial owner of the Securities or any other person failed to accurately comply with a request from the Company, the Guarantor or any paying agent to meet certification, identification or information reporting requirements concerning the nationality, residence or identity of the Holder or beneficial owner of the Securities or to satisfy any information or reporting requirement, or to present the relevant Security (if certificated), if compliance such action is required as a precondition to exemption from, or reduction in, such tax, assessment or other governmental charge by the Relevant Jurisdiction; </w:t>
      </w:r>
    </w:p>
    <w:p>
      <w:pPr>
        <w:pStyle w:val="TextBody"/>
        <w:bidi w:val="0"/>
        <w:spacing w:before="240" w:after="0"/>
        <w:jc w:val="left"/>
        <w:rPr>
          <w:rFonts w:ascii="Times New Roman" w:hAnsi="Times New Roman"/>
          <w:sz w:val="20"/>
        </w:rPr>
      </w:pPr>
      <w:r>
        <w:rPr>
          <w:rFonts w:ascii="Times New Roman" w:hAnsi="Times New Roman"/>
          <w:sz w:val="20"/>
        </w:rPr>
        <w:t xml:space="preserve">(5) to any Taxes that are imposed other than by withholding or deduction by the Company or the Guarantor or a paying agent from the payment; </w:t>
      </w:r>
    </w:p>
    <w:p>
      <w:pPr>
        <w:pStyle w:val="TextBody"/>
        <w:bidi w:val="0"/>
        <w:spacing w:before="240" w:after="0"/>
        <w:jc w:val="left"/>
        <w:rPr>
          <w:rFonts w:ascii="Times New Roman" w:hAnsi="Times New Roman"/>
          <w:sz w:val="20"/>
        </w:rPr>
      </w:pPr>
      <w:r>
        <w:rPr>
          <w:rFonts w:ascii="Times New Roman" w:hAnsi="Times New Roman"/>
          <w:sz w:val="20"/>
        </w:rPr>
        <w:t xml:space="preserve">(6) to any Taxes that are imposed or withheld solely because of a change in law, regulation, or administrative or judicial interpretation that becomes effective after the day on which the payment becomes due or is duly provided for, whichever occurs later; </w:t>
      </w:r>
    </w:p>
    <w:p>
      <w:pPr>
        <w:pStyle w:val="TextBody"/>
        <w:bidi w:val="0"/>
        <w:spacing w:before="240" w:after="0"/>
        <w:jc w:val="left"/>
        <w:rPr>
          <w:rFonts w:ascii="Times New Roman" w:hAnsi="Times New Roman"/>
          <w:sz w:val="20"/>
        </w:rPr>
      </w:pPr>
      <w:r>
        <w:rPr>
          <w:rFonts w:ascii="Times New Roman" w:hAnsi="Times New Roman"/>
          <w:sz w:val="20"/>
        </w:rPr>
        <w:t xml:space="preserve">(7) to any estate, inheritance, gift, sales, excise, transfer, wealth, personal property or similar Taxes;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(8) to any Taxes any paying agent (which term may include the Company and the Guarantor) must withhold from any payment of principal of or interest on any Securities, if such payment can be made without such withholding by any other paying agent; </w:t>
      </w:r>
    </w:p>
    <w:p>
      <w:pPr>
        <w:pStyle w:val="TextBody"/>
        <w:bidi w:val="0"/>
        <w:spacing w:before="240" w:after="0"/>
        <w:jc w:val="left"/>
        <w:rPr>
          <w:rFonts w:ascii="Times New Roman" w:hAnsi="Times New Roman"/>
          <w:sz w:val="20"/>
        </w:rPr>
      </w:pPr>
      <w:r>
        <w:rPr>
          <w:rFonts w:ascii="Times New Roman" w:hAnsi="Times New Roman"/>
          <w:sz w:val="20"/>
        </w:rPr>
        <w:t>(9) to any Taxes imposed pursuant to the Dutch Withholding Tax Act 2021 (</w:t>
      </w:r>
      <w:r>
        <w:rPr>
          <w:rFonts w:ascii="Times New Roman" w:hAnsi="Times New Roman"/>
          <w:i/>
          <w:sz w:val="20"/>
        </w:rPr>
        <w:t>Wet Bronbelasting 2021</w:t>
      </w:r>
      <w:r>
        <w:rPr>
          <w:rFonts w:ascii="Times New Roman" w:hAnsi="Times New Roman"/>
          <w:sz w:val="20"/>
        </w:rPr>
        <w:t xml:space="preserve">); or </w:t>
      </w:r>
    </w:p>
    <w:p>
      <w:pPr>
        <w:pStyle w:val="TextBody"/>
        <w:bidi w:val="0"/>
        <w:spacing w:before="240" w:after="0"/>
        <w:jc w:val="left"/>
        <w:rPr>
          <w:rFonts w:ascii="Times New Roman" w:hAnsi="Times New Roman"/>
          <w:sz w:val="20"/>
        </w:rPr>
      </w:pPr>
      <w:r>
        <w:rPr>
          <w:rFonts w:ascii="Times New Roman" w:hAnsi="Times New Roman"/>
          <w:sz w:val="20"/>
        </w:rPr>
        <w:t xml:space="preserve">(10) in the case of any combination of the above items. </w:t>
      </w:r>
    </w:p>
    <w:p>
      <w:pPr>
        <w:pStyle w:val="TextBody"/>
        <w:bidi w:val="0"/>
        <w:spacing w:before="240" w:after="0"/>
        <w:jc w:val="left"/>
        <w:rPr>
          <w:rFonts w:ascii="Times New Roman" w:hAnsi="Times New Roman"/>
          <w:sz w:val="20"/>
        </w:rPr>
      </w:pPr>
      <w:r>
        <w:rPr>
          <w:rFonts w:ascii="Times New Roman" w:hAnsi="Times New Roman"/>
          <w:sz w:val="20"/>
        </w:rPr>
        <w:t xml:space="preserve">In addition, any amounts to be paid on the Securities shall be paid net of any deduction or withholding imposed or required pursuant to Sections 1471 through 1474 of the Code,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and no Additional Amounts shall be required to be paid on account of any such deduction or withholding. </w:t>
      </w:r>
    </w:p>
    <w:p>
      <w:pPr>
        <w:pStyle w:val="TextBody"/>
        <w:bidi w:val="0"/>
        <w:spacing w:before="240" w:after="0"/>
        <w:jc w:val="left"/>
        <w:rPr>
          <w:rFonts w:ascii="Times New Roman" w:hAnsi="Times New Roman"/>
          <w:sz w:val="20"/>
        </w:rPr>
      </w:pPr>
      <w:r>
        <w:rPr>
          <w:rFonts w:ascii="Times New Roman" w:hAnsi="Times New Roman"/>
          <w:sz w:val="20"/>
        </w:rPr>
        <w:t xml:space="preserve">Whenever in this Security or the Indenture there is mentioned, in any context other than the case of Section 5.02 of the Indenture, the payment of principal (and premium, if any), the Redemption Price, if any, interest or any other amount payable under or with respect to the Securities, such mention shall be deemed to include mention of the payment of Additional Amounts to the extent that, in such context Additional Amounts are, were or would be payable by the Company or the Guarantor in respect thereof. </w:t>
      </w:r>
    </w:p>
    <w:p>
      <w:pPr>
        <w:pStyle w:val="TextBody"/>
        <w:bidi w:val="0"/>
        <w:spacing w:before="240" w:after="0"/>
        <w:jc w:val="left"/>
        <w:rPr>
          <w:rFonts w:ascii="Times New Roman" w:hAnsi="Times New Roman"/>
          <w:sz w:val="20"/>
        </w:rPr>
      </w:pPr>
      <w:r>
        <w:rPr>
          <w:rFonts w:ascii="Times New Roman" w:hAnsi="Times New Roman"/>
          <w:sz w:val="20"/>
        </w:rPr>
        <w:t xml:space="preserve">Prior to August 16, 2031 (the “Par Call Date”), the Company may redeem the Securities at its option, in whole or in part, at any time and from time to time, at a Redemption Price (expressed as a percentage of principal amount and rounded to three decimal places) equal to the greater of: </w:t>
      </w:r>
    </w:p>
    <w:p>
      <w:pPr>
        <w:pStyle w:val="TextBody"/>
        <w:bidi w:val="0"/>
        <w:spacing w:before="240" w:after="0"/>
        <w:jc w:val="left"/>
        <w:rPr>
          <w:rFonts w:ascii="Times New Roman" w:hAnsi="Times New Roman"/>
          <w:sz w:val="20"/>
        </w:rPr>
      </w:pPr>
      <w:r>
        <w:rPr>
          <w:rFonts w:ascii="Times New Roman" w:hAnsi="Times New Roman"/>
          <w:sz w:val="20"/>
        </w:rPr>
        <w:t xml:space="preserve">(1) (a) the sum of the present values of the remaining scheduled payments of principal and interest thereon discounted to the Redemption Date (assuming the Securities matured on the Par Call Date) on a semi-annual basis (assuming a 360-day year consisting of twelve 30-day months) at the Treasury Rate plus 30 basis points, less (b) interest accrued to the Redemption Date, and </w:t>
      </w:r>
    </w:p>
    <w:p>
      <w:pPr>
        <w:pStyle w:val="TextBody"/>
        <w:bidi w:val="0"/>
        <w:spacing w:before="240" w:after="0"/>
        <w:jc w:val="left"/>
        <w:rPr>
          <w:rFonts w:ascii="Times New Roman" w:hAnsi="Times New Roman"/>
          <w:sz w:val="20"/>
        </w:rPr>
      </w:pPr>
      <w:r>
        <w:rPr>
          <w:rFonts w:ascii="Times New Roman" w:hAnsi="Times New Roman"/>
          <w:sz w:val="20"/>
        </w:rPr>
        <w:t xml:space="preserve">(2) 100% of the principal amount of the Securities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plus, in either case, accrued and unpaid interest thereon to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On or after the Par Call Date, the Company may redeem the Securities at its option, in whole or in part, at any time and from time to time, at a Redemption Price equal to 100% of the principal amount of the Securities to be redeemed plus accrued and unpaid interest thereon to the Redemption Date. </w:t>
      </w:r>
    </w:p>
    <w:p>
      <w:pPr>
        <w:pStyle w:val="TextBody"/>
        <w:bidi w:val="0"/>
        <w:spacing w:before="240" w:after="0"/>
        <w:jc w:val="left"/>
        <w:rPr/>
      </w:pPr>
      <w:r>
        <w:rPr/>
        <w:t>“</w:t>
      </w:r>
      <w:r>
        <w:rPr>
          <w:rFonts w:ascii="Times New Roman" w:hAnsi="Times New Roman"/>
          <w:i/>
          <w:sz w:val="20"/>
        </w:rPr>
        <w:t>Treasury Rate</w:t>
      </w:r>
      <w:r>
        <w:rPr>
          <w:rFonts w:ascii="Times New Roman" w:hAnsi="Times New Roman"/>
          <w:sz w:val="20"/>
        </w:rPr>
        <w:t xml:space="preserve">” means, with respect to any Redemption Date, the yield determined by the Company in accordance with the following two paragraphs.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(“H.15”) under the caption “U.S. government securities–Treasury constant maturities–Nominal” (or any successor caption or heading). In determining the Treasury Rate, the Company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If on the third Business Day preceding the Redemption Date H.15 or any successor designation or publication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If there is no United States Treasury security maturing on the Par Call Date but there are two or more United States Treasury securities with a maturity date equally distant from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 </w:t>
      </w:r>
    </w:p>
    <w:p>
      <w:pPr>
        <w:pStyle w:val="TextBody"/>
        <w:bidi w:val="0"/>
        <w:spacing w:before="240" w:after="0"/>
        <w:jc w:val="left"/>
        <w:rPr>
          <w:rFonts w:ascii="Times New Roman" w:hAnsi="Times New Roman"/>
          <w:sz w:val="20"/>
        </w:rPr>
      </w:pPr>
      <w:r>
        <w:rPr>
          <w:rFonts w:ascii="Times New Roman" w:hAnsi="Times New Roman"/>
          <w:sz w:val="20"/>
        </w:rPr>
        <w:t xml:space="preserve">The Company’s actions and determinations in determining the Redemption Price shall be conclusive and binding for all purposes, absent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Notice of any redemption shall be mailed or electronically delivered (or otherwise transmitted in accordance with the depositary’s procedures) at least 10 days but not more than 60 days before the Redemption Date to each holder of Securities to be redeemed except that redemption notices may be given more than 60 days prior to a Redemption Date if the notice is issued in connection with a defeasance of the Securities or a satisfaction and discharge of the Indenture.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the case of a partial redemption, selection of the Securities for redemption shall be made by lot. For so long as the Securities are held by DTC, Euroclear or Clearstream (or another depositary), the redemption of the Securities shall be done in accordance with the policies and procedures of the depositary. </w:t>
      </w:r>
    </w:p>
    <w:p>
      <w:pPr>
        <w:pStyle w:val="TextBody"/>
        <w:bidi w:val="0"/>
        <w:spacing w:before="240" w:after="0"/>
        <w:jc w:val="left"/>
        <w:rPr>
          <w:rFonts w:ascii="Times New Roman" w:hAnsi="Times New Roman"/>
          <w:sz w:val="20"/>
        </w:rPr>
      </w:pPr>
      <w:r>
        <w:rPr>
          <w:rFonts w:ascii="Times New Roman" w:hAnsi="Times New Roman"/>
          <w:sz w:val="20"/>
        </w:rPr>
        <w:t xml:space="preserve">If (a) a Payor becomes or shall become obligated to pay Additional Amounts with respect to any Securities as result of any change in, or amendment to, the laws or regulations of a Relevant Jurisdiction, or any change in the official interpretation of the laws or regulations of a Relevant Jurisdiction, which change or amendment becomes effective after September 10, 2026, and (b) such obligation cannot be avoided by the Company taking reasonable measures available to the Company, the Company may, at its option, having given not less than 10 days notice to the Holders of such Securities (which notice shall be irrevocable), redeem all, but not a portion of, the Securities at any time at 100% of their principal amount, plus accrued but unpaid interest to, but excluding, the Redemption Date; </w:t>
      </w:r>
      <w:r>
        <w:rPr>
          <w:rFonts w:ascii="Times New Roman" w:hAnsi="Times New Roman"/>
          <w:i/>
          <w:sz w:val="20"/>
        </w:rPr>
        <w:t>provided</w:t>
      </w:r>
      <w:r>
        <w:rPr>
          <w:rFonts w:ascii="Times New Roman" w:hAnsi="Times New Roman"/>
          <w:sz w:val="20"/>
        </w:rPr>
        <w:t xml:space="preserve"> that no such notice of redemption shall be given earlier than 30 days prior to the earliest date on which the applicable Payor would be obliged to pay such Additional Amounts were a payment in respect of the Securities then due. Prior to the delivery of any notice of redemption pursuant to this paragraph, the Company shall deliver to the Trustee (i) an Officer’s Certificate stating that the requirements referred to in (a) and (b) above are satisfied, and (ii) an Opinion of Counsel to the effect that the applicable Payor has or will become obliged to pay such Additional Amounts as a result of the change or amendment, in each case to be held by the Trustee and made available for viewing at the offices of the Trustee on written request by any Holder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On and after the Redemption Date, interest shall cease to accrue on the Securities or any portion of the Securities called for redemption, unless the Company defaults in the payment of the Redemption Price and accrued interest. On or before the Redemption Date, the Company shall deposit with a Paying Agent or the Trustee money sufficient to pay the Redemption Price of and accrued interest on the Securities to be redeemed on that date. The Trustee shall not be responsible for determining or calculating the Redemption Price (or any component thereof) of the Securities or the Treasury Rate or for confirming the Company’s calculation thereof.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redemption of this Security in part only, a new Security or Securities of this series and of like tenor for the unredeemed portion hereof will be issued in the name of the Holder hereof upon the cancellation hereof. </w:t>
      </w:r>
    </w:p>
    <w:p>
      <w:pPr>
        <w:pStyle w:val="TextBody"/>
        <w:bidi w:val="0"/>
        <w:spacing w:before="240" w:after="0"/>
        <w:jc w:val="left"/>
        <w:rPr>
          <w:rFonts w:ascii="Times New Roman" w:hAnsi="Times New Roman"/>
          <w:sz w:val="20"/>
        </w:rPr>
      </w:pPr>
      <w:r>
        <w:rPr>
          <w:rFonts w:ascii="Times New Roman" w:hAnsi="Times New Roman"/>
          <w:sz w:val="20"/>
        </w:rPr>
        <w:t xml:space="preserve">The Indenture contains provisions for defeasance at any time of the entire indebtedness of this Security or certain restrictive covenants and Events of Default with respect to this Security, in each case upon compliance with certain conditions set forth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with respect to the Securities shall occur and be continuing, the principal of the Securities may be declared due and payable in the manner and with the effect provided in the Indenture.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Indenture permits, with certain exceptions as therein provided, the amendment thereof and the modification of the rights and obligations of the Company or the Guarantor and the rights of the Holders of the Securities under the Indenture at any time by the Company or the Guarantor and the Trustee with the consent of the Holders of not less than a majority in principal amount of the Securities at the time Outstanding. The Indenture also contains provisions (i) permitting the Holders of not less than a majority of the aggregate principal amount of the Securities at the time Outstanding, on behalf of the Holders of all the Securities, to waive compliance by the Company and the Guarantor with certain provisions of the Indenture with respect to such Securities and (ii) permitting the Holders of a majority in principal amount of the Securities at the time Outstanding, on behalf of the Holders of the Securities, to waive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 </w:t>
      </w:r>
    </w:p>
    <w:p>
      <w:pPr>
        <w:pStyle w:val="TextBody"/>
        <w:bidi w:val="0"/>
        <w:spacing w:before="240" w:after="0"/>
        <w:jc w:val="left"/>
        <w:rPr>
          <w:rFonts w:ascii="Times New Roman" w:hAnsi="Times New Roman"/>
          <w:sz w:val="20"/>
        </w:rPr>
      </w:pPr>
      <w:r>
        <w:rPr>
          <w:rFonts w:ascii="Times New Roman" w:hAnsi="Times New Roman"/>
          <w:sz w:val="20"/>
        </w:rPr>
        <w:t xml:space="preserve">As provided in and subject to the provisions of the Indenture, the Holder of this Security shall not have the right to institute any proceeding with respect to the Indenture, or for the appointment of a receiver or trustee, or for any other remedy thereunder, unless such Holder shall have previously given the Trustee written notice of a continuing Event of Default with respect to the Securities, the Holders of at least 25% of the principal amount of the Securities at the time Outstanding shall have made written request to the Trustee to institute proceedings in respect of such Event of Default as Trustee and offered the Trustee indemnity reasonably satisfactory to the Trustee, and the Trustee shall not have received from the Holders of a majority in principal amount of the Securities at the time Outstanding a direction inconsistent with such request, and shall have failed to institute any such proceeding, for 60 days after receipt of such notice, request and offer of indemnity. The foregoing shall not apply to any suit instituted by the Holder of this Security for the enforcement of any payment of principal hereof or any premium or interest hereon on or after the respective due dates expressed herein. </w:t>
      </w:r>
    </w:p>
    <w:p>
      <w:pPr>
        <w:pStyle w:val="TextBody"/>
        <w:bidi w:val="0"/>
        <w:spacing w:before="240" w:after="0"/>
        <w:jc w:val="left"/>
        <w:rPr>
          <w:rFonts w:ascii="Times New Roman" w:hAnsi="Times New Roman"/>
          <w:sz w:val="20"/>
        </w:rPr>
      </w:pPr>
      <w:r>
        <w:rPr>
          <w:rFonts w:ascii="Times New Roman" w:hAnsi="Times New Roman"/>
          <w:sz w:val="20"/>
        </w:rPr>
        <w:t xml:space="preserve">As provided in the Indenture and subject to certain limitations therein set forth, the transfer of this Security is registrable in the Security Register, upon surrender of this Security for registration of transfer at the office or agency of the Company in any place where the principal of and any premium and interest on this Security are payable, duly endorsed by, or accompanied by a written instrument of transfer in form satisfactory to the Company and the Security Registrar duly executed by, the Holder hereof or his attorney duly authorized in writing, and thereupon one or more new Securities of this series and of like tenor, of authorized denominations and for the same aggregate principal amount, will be issued to the designated transferee or transferees.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are issuable only in registered form without coupons in denominations of $2,000 and any integral multiples of $1,000 in excess thereof. As provided in the Indenture and subject to certain limitations therein set forth, the Securities are exchangeable for a like aggregate principal amount of Securities of like tenor of a different authorized denomination, as requested by the Holder surrendering the same. </w:t>
      </w:r>
    </w:p>
    <w:p>
      <w:pPr>
        <w:pStyle w:val="TextBody"/>
        <w:bidi w:val="0"/>
        <w:spacing w:before="240" w:after="0"/>
        <w:jc w:val="left"/>
        <w:rPr>
          <w:rFonts w:ascii="Times New Roman" w:hAnsi="Times New Roman"/>
          <w:sz w:val="20"/>
        </w:rPr>
      </w:pPr>
      <w:r>
        <w:rPr>
          <w:rFonts w:ascii="Times New Roman" w:hAnsi="Times New Roman"/>
          <w:sz w:val="20"/>
        </w:rPr>
        <w:t xml:space="preserve">As provided in the Indenture, the obligations of the Company under the Indenture and this Security are guaranteed pursuant to the Guarantee endorsed hereon as provided in the Indenture. Each Holder, by holding this Security, agrees to all of the terms and provisions of said Guarantee. </w:t>
      </w:r>
    </w:p>
    <w:p>
      <w:pPr>
        <w:pStyle w:val="TextBody"/>
        <w:bidi w:val="0"/>
        <w:spacing w:before="240" w:after="0"/>
        <w:jc w:val="left"/>
        <w:rPr>
          <w:rFonts w:ascii="Times New Roman" w:hAnsi="Times New Roman"/>
          <w:sz w:val="20"/>
        </w:rPr>
      </w:pPr>
      <w:r>
        <w:rPr>
          <w:rFonts w:ascii="Times New Roman" w:hAnsi="Times New Roman"/>
          <w:sz w:val="20"/>
        </w:rPr>
        <w:t xml:space="preserve">No service charge shall be made for any such registration of transfer or exchange, but the Company may require payment of a sum sufficient to cover any tax or other governmental charge payable in connection therewith.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Prior to due presentment of this Security for registration of transfer, the Company, the Guarantor, the Trustee and any agent of the Company, the Guarantor or the Trustee shall treat the Person in whose name this Security is registered as the owner hereof for all purposes, whether or not this Security be overdue, and none of the Company, the Guarantor the Trustee and any such agent shall be affected by notice to the contrary. </w:t>
      </w:r>
    </w:p>
    <w:p>
      <w:pPr>
        <w:pStyle w:val="TextBody"/>
        <w:bidi w:val="0"/>
        <w:spacing w:before="240" w:after="0"/>
        <w:jc w:val="left"/>
        <w:rPr>
          <w:rFonts w:ascii="Times New Roman" w:hAnsi="Times New Roman"/>
          <w:sz w:val="20"/>
        </w:rPr>
      </w:pPr>
      <w:r>
        <w:rPr>
          <w:rFonts w:ascii="Times New Roman" w:hAnsi="Times New Roman"/>
          <w:sz w:val="20"/>
        </w:rPr>
        <w:t xml:space="preserve">Except in the limited circumstances described in Section 3.05 of the Indenture, the Securities shall be issued in the form of one or more Global Securities and The Depository Trust Company shall be the Depositary for such Global Securities. </w:t>
      </w:r>
    </w:p>
    <w:p>
      <w:pPr>
        <w:pStyle w:val="TextBody"/>
        <w:bidi w:val="0"/>
        <w:spacing w:before="240" w:after="0"/>
        <w:jc w:val="left"/>
        <w:rPr>
          <w:rFonts w:ascii="Times New Roman" w:hAnsi="Times New Roman"/>
          <w:sz w:val="20"/>
        </w:rPr>
      </w:pPr>
      <w:r>
        <w:rPr>
          <w:rFonts w:ascii="Times New Roman" w:hAnsi="Times New Roman"/>
          <w:sz w:val="20"/>
        </w:rPr>
        <w:t xml:space="preserve">Interest on the principal balance of this Security shall be calculated on the basis of a 360-day year of twelve 30-day months. </w:t>
      </w:r>
    </w:p>
    <w:p>
      <w:pPr>
        <w:pStyle w:val="TextBody"/>
        <w:bidi w:val="0"/>
        <w:spacing w:before="240" w:after="0"/>
        <w:jc w:val="left"/>
        <w:rPr>
          <w:rFonts w:ascii="Times New Roman" w:hAnsi="Times New Roman"/>
          <w:b/>
          <w:sz w:val="20"/>
        </w:rPr>
      </w:pPr>
      <w:r>
        <w:rPr>
          <w:rFonts w:ascii="Times New Roman" w:hAnsi="Times New Roman"/>
          <w:b/>
          <w:sz w:val="20"/>
        </w:rPr>
        <w:t xml:space="preserve">THIS SECURITY SHALL BE GOVERNED BY AND CONSTRUED IN ACCORDANCE WITH THE LAWS OF THE STATE OF NEW YORK.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GUARANTEE </w:t>
      </w:r>
    </w:p>
    <w:p>
      <w:pPr>
        <w:pStyle w:val="TextBody"/>
        <w:bidi w:val="0"/>
        <w:spacing w:before="240" w:after="0"/>
        <w:jc w:val="left"/>
        <w:rPr>
          <w:rFonts w:ascii="Times New Roman" w:hAnsi="Times New Roman"/>
          <w:sz w:val="20"/>
        </w:rPr>
      </w:pPr>
      <w:r>
        <w:rPr>
          <w:rFonts w:ascii="Times New Roman" w:hAnsi="Times New Roman"/>
          <w:sz w:val="20"/>
        </w:rPr>
        <w:t>For value received, Stellantis N.V., a public company with limited liability (</w:t>
      </w:r>
      <w:r>
        <w:rPr>
          <w:rFonts w:ascii="Times New Roman" w:hAnsi="Times New Roman"/>
          <w:i/>
          <w:sz w:val="20"/>
        </w:rPr>
        <w:t>naamloze vennootschap</w:t>
      </w:r>
      <w:r>
        <w:rPr>
          <w:rFonts w:ascii="Times New Roman" w:hAnsi="Times New Roman"/>
          <w:sz w:val="20"/>
        </w:rPr>
        <w:t xml:space="preserve">) incorporated under Dutch law (herein called the “Guarantor” which terms include any successor Person under the Indenture referred to in the Security upon which this Guarantee is endorsed), hereby irrevocably, fully and unconditionally guarantees to the Trustee and to each Holder of this Security, which has been authenticated and delivered by the Trustee or its Authenticating Agent, the due and punctual payment of the principal of (including any amount in respect of original issue discount), and any premium and interest (together with any Additional Amounts payable pursuant to the terms of this Security), on this Security and all other obligations of the Company to the Holders or the Trustee provided for pursuant to the terms of the Indenture and this Security, when and as the same shall become due and payable, whether at Stated Maturity or upon redemption or upon declaration of acceleration or otherwise according to the terms of this Security and of the Indenture. In case of default by the Company in the payment of any such principal (including any amount in respect of original issue discount), and any premium or interest (together with any Additional Amounts payable pursuant to the terms of this Security), or analogous obligation, the Guarantor agrees duly and punctually to pay the same. The Guarantor hereby agrees that its obligations hereunder shall rank pari passu with all other unsecured and unsubordinated obligations of the Guarantor, shall be as principal and not merely as surety, and shall be absolute and unconditional irrespective of any extension of the time for payment of this Security, any modification of this Security, any invalidity, irregularity or unenforceability of this Security or the Indenture, any failure to enforce the same or any waiver, modification, consent or indulgence granted to the Company with respect thereto by the Holder of this Security or the Trustee, or any other circumstances which may otherwise constitute a legal or equitable discharge of a surety or guarantor. The Guarantor hereby waives diligence, presentment, demand of payment, filing of claims with a court in the event of merger or bankruptcy of the Company, any right to require a demand or proceeding first against the Company, protest or notice with respect to this Security or the indebtedness evidenced thereby and all demands whatsoever, and covenants that this Guarantee will not be discharged as to this Security except by payment in full of the principal of (including any amount payable in respect of original issue discount), and any premium and interest (together with any Additional Amounts payable pursuant to the terms of this Security), thereon. The Guarantor irrevocably waives any and all rights to which it may be entitled, by operation of law or otherwise, upon making any payment hereunder (i) to be subrogated to the rights of a Holder against the Company with respect to such payment or otherwise to be reimbursed, indemnified or exonerated by the Company in respect thereof or (ii) to receive any payment, in the nature of contribution or for any other reason, from any other obligor with respect to such payment. This Guarantee shall not be valid or become obligatory for any purpose with respect to this Security until the certificate of authentication on this Security shall have been signed by the Trustee. </w:t>
      </w:r>
    </w:p>
    <w:p>
      <w:pPr>
        <w:pStyle w:val="TextBody"/>
        <w:bidi w:val="0"/>
        <w:spacing w:before="240" w:after="0"/>
        <w:jc w:val="left"/>
        <w:rPr>
          <w:rFonts w:ascii="Times New Roman" w:hAnsi="Times New Roman"/>
          <w:sz w:val="20"/>
        </w:rPr>
      </w:pPr>
      <w:r>
        <w:rPr>
          <w:rFonts w:ascii="Times New Roman" w:hAnsi="Times New Roman"/>
          <w:sz w:val="20"/>
        </w:rPr>
        <w:t xml:space="preserve">The Guarantor, and by its acceptance of Securities, each Holder, hereby confirms that it is the intention of all such parties that this Guarantee not constitute (i) a fraudulent transfer or conveyance for purposes of bankruptcy law, the Uniform Fraudulent Conveyance Act, the Uniform Fraudulent Transfer Act or any similar federal, state or foreign law to the extent applicable to this Guarantee or (ii) an unlawful distribution under any applicable state law prohibiting shareholder distributions by an insolvent Subsidiary to the extent applicable to the Guarantee.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All terms used in this Guarantee which are not defined herein shall have the meanings assigned to them in the Indenture or the Security upon which this Guarantee is endorsed. </w:t>
      </w:r>
    </w:p>
    <w:p>
      <w:pPr>
        <w:pStyle w:val="TextBody"/>
        <w:bidi w:val="0"/>
        <w:spacing w:before="240" w:after="0"/>
        <w:jc w:val="left"/>
        <w:rPr>
          <w:rFonts w:ascii="Times New Roman" w:hAnsi="Times New Roman"/>
          <w:sz w:val="20"/>
        </w:rPr>
      </w:pPr>
      <w:r>
        <w:rPr>
          <w:rFonts w:ascii="Times New Roman" w:hAnsi="Times New Roman"/>
          <w:sz w:val="20"/>
        </w:rPr>
        <w:t xml:space="preserve">This Guarantee is subject to certain limitations and waivers set forth in the Indenture, as it may be supplemented from time to time. </w:t>
      </w:r>
    </w:p>
    <w:p>
      <w:pPr>
        <w:pStyle w:val="TextBody"/>
        <w:bidi w:val="0"/>
        <w:spacing w:before="240" w:after="0"/>
        <w:jc w:val="left"/>
        <w:rPr>
          <w:rFonts w:ascii="Times New Roman" w:hAnsi="Times New Roman"/>
          <w:b/>
          <w:sz w:val="20"/>
        </w:rPr>
      </w:pPr>
      <w:r>
        <w:rPr>
          <w:rFonts w:ascii="Times New Roman" w:hAnsi="Times New Roman"/>
          <w:b/>
          <w:sz w:val="20"/>
        </w:rPr>
        <w:t xml:space="preserve">THIS GUARANTEE SHALL BE GOVERNED BY AND CONSTRUED IN ACCORDANCE WITH THE LAWS OF THE STATE OF NEW YORK.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has caused this Guarantee to be signed manually or electronically by its duly authorized officer or representative.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8"/>
        <w:gridCol w:w="60"/>
        <w:gridCol w:w="3624"/>
      </w:tblGrid>
      <w:tr>
        <w:trPr/>
        <w:tc>
          <w:tcPr>
            <w:tcW w:w="39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STELLANTIS N.V.,</w:t>
            </w:r>
          </w:p>
        </w:tc>
      </w:tr>
      <w:tr>
        <w:trPr/>
        <w:tc>
          <w:tcPr>
            <w:tcW w:w="4082" w:type="dxa"/>
            <w:gridSpan w:val="3"/>
            <w:tcBorders/>
          </w:tcPr>
          <w:p>
            <w:pPr>
              <w:pStyle w:val="TableContents"/>
              <w:bidi w:val="0"/>
              <w:spacing w:before="0" w:after="283"/>
              <w:jc w:val="left"/>
              <w:rPr>
                <w:i/>
              </w:rPr>
            </w:pPr>
            <w:r>
              <w:rPr>
                <w:i/>
              </w:rPr>
              <w:t>As Guarantor</w:t>
            </w:r>
          </w:p>
        </w:tc>
      </w:tr>
      <w:tr>
        <w:trPr>
          <w:trHeight w:val="240" w:hRule="atLeast"/>
        </w:trPr>
        <w:tc>
          <w:tcPr>
            <w:tcW w:w="398" w:type="dxa"/>
            <w:tcBorders/>
            <w:vAlign w:val="center"/>
          </w:tcPr>
          <w:p>
            <w:pPr>
              <w:pStyle w:val="TableContents"/>
              <w:bidi w:val="0"/>
              <w:spacing w:before="0" w:after="283"/>
              <w:jc w:val="left"/>
              <w:rPr>
                <w:sz w:val="4"/>
                <w:szCs w:val="4"/>
              </w:rPr>
            </w:pPr>
            <w:r>
              <w:rPr>
                <w:sz w:val="4"/>
                <w:szCs w:val="4"/>
              </w:rPr>
            </w:r>
          </w:p>
        </w:tc>
        <w:tc>
          <w:tcPr>
            <w:tcW w:w="3684" w:type="dxa"/>
            <w:gridSpan w:val="2"/>
            <w:tcBorders/>
            <w:vAlign w:val="center"/>
          </w:tcPr>
          <w:p>
            <w:pPr>
              <w:pStyle w:val="TableContents"/>
              <w:bidi w:val="0"/>
              <w:spacing w:before="0" w:after="283"/>
              <w:jc w:val="left"/>
              <w:rPr>
                <w:sz w:val="4"/>
                <w:szCs w:val="4"/>
              </w:rPr>
            </w:pPr>
            <w:r>
              <w:rPr>
                <w:sz w:val="4"/>
                <w:szCs w:val="4"/>
              </w:rPr>
            </w:r>
          </w:p>
        </w:tc>
      </w:tr>
      <w:tr>
        <w:trPr/>
        <w:tc>
          <w:tcPr>
            <w:tcW w:w="39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pBdr>
                <w:bottom w:val="single" w:sz="2" w:space="1" w:color="000000"/>
              </w:pBdr>
              <w:bidi w:val="0"/>
              <w:spacing w:before="0" w:after="20"/>
              <w:jc w:val="left"/>
              <w:rPr/>
            </w:pPr>
            <w:r>
              <w:rPr/>
              <w:t> </w:t>
            </w:r>
          </w:p>
        </w:tc>
      </w:tr>
      <w:tr>
        <w:trPr/>
        <w:tc>
          <w:tcPr>
            <w:tcW w:w="39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bidi w:val="0"/>
              <w:spacing w:before="0" w:after="283"/>
              <w:jc w:val="left"/>
              <w:rPr>
                <w:i/>
              </w:rPr>
            </w:pPr>
            <w:r>
              <w:rPr>
                <w:i/>
              </w:rPr>
              <w:t>Authorized Signatory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Name: Ferrante Zileri Dal Verme</w:t>
            </w:r>
          </w:p>
        </w:tc>
      </w:tr>
      <w:tr>
        <w:trPr/>
        <w:tc>
          <w:tcPr>
            <w:tcW w:w="4082" w:type="dxa"/>
            <w:gridSpan w:val="3"/>
            <w:tcBorders/>
          </w:tcPr>
          <w:p>
            <w:pPr>
              <w:pStyle w:val="TableContents"/>
              <w:bidi w:val="0"/>
              <w:spacing w:before="0" w:after="283"/>
              <w:jc w:val="left"/>
              <w:rPr/>
            </w:pPr>
            <w:r>
              <w:rPr/>
              <w:t>Title: Group Treasurer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Guarantee</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Annex A-2 </w:t>
      </w:r>
    </w:p>
    <w:p>
      <w:pPr>
        <w:pStyle w:val="TextBody"/>
        <w:bidi w:val="0"/>
        <w:spacing w:before="240" w:after="0"/>
        <w:jc w:val="left"/>
        <w:rPr>
          <w:rFonts w:ascii="Times New Roman" w:hAnsi="Times New Roman"/>
          <w:sz w:val="20"/>
        </w:rPr>
      </w:pPr>
      <w:r>
        <w:rPr>
          <w:rFonts w:ascii="Times New Roman" w:hAnsi="Times New Roman"/>
          <w:sz w:val="20"/>
        </w:rPr>
        <w:t xml:space="preserve">THIS SECURITY IS A GLOBAL SECURITY WITHIN THE MEANING OF THE INDENTURE HEREINAFTER REFERRED TO AND IS REGISTERED IN THE NAME OF A DEPOSITARY OR A NOMINEE THEREOF. THIS SECURITY MAY NOT BE EXCHANGED IN WHOLE OR IN PART FOR A SECURITY REGISTERED, AND NO TRANSFER OF THIS SECURITY IN WHOLE OR IN PART MAY BE REGISTERED, IN THE NAME OF ANY PERSON OTHER THAN SUCH DEPOSITARY OR A NOMINEE THEREOF, EXCEPT IN THE LIMITED CIRCUMSTANCES DESCRIBED IN THE INDENTURE. </w:t>
      </w:r>
    </w:p>
    <w:p>
      <w:pPr>
        <w:pStyle w:val="TextBody"/>
        <w:bidi w:val="0"/>
        <w:spacing w:before="240" w:after="0"/>
        <w:jc w:val="left"/>
        <w:rPr>
          <w:rFonts w:ascii="Times New Roman" w:hAnsi="Times New Roman"/>
          <w:sz w:val="20"/>
        </w:rPr>
      </w:pPr>
      <w:r>
        <w:rPr>
          <w:rFonts w:ascii="Times New Roman" w:hAnsi="Times New Roman"/>
          <w:sz w:val="20"/>
        </w:rPr>
        <w:t>UNLESS THIS CERTIFICATE IS PRESENTED BY AN AUTHORIZED REPRESENTATIVE OF THE DEPOSITORY TRUST COMPANY, A NEW YORK CORPORATION (“</w:t>
      </w:r>
      <w:r>
        <w:rPr>
          <w:rFonts w:ascii="Times New Roman" w:hAnsi="Times New Roman"/>
          <w:b/>
          <w:sz w:val="20"/>
        </w:rPr>
        <w:t>DTC</w:t>
      </w:r>
      <w:r>
        <w:rPr>
          <w:rFonts w:ascii="Times New Roman" w:hAnsi="Times New Roman"/>
          <w:sz w:val="20"/>
        </w:rPr>
        <w:t xml:space="preserve">”), TO THE COMPANY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283"/>
              <w:jc w:val="right"/>
              <w:rPr/>
            </w:pPr>
            <w:r>
              <w:rPr/>
              <w:t>CUSIP No. 85855C AS9</w:t>
            </w:r>
          </w:p>
        </w:tc>
      </w:tr>
    </w:tbl>
    <w:p>
      <w:pPr>
        <w:pStyle w:val="TextBody"/>
        <w:bidi w:val="0"/>
        <w:spacing w:before="240" w:after="0"/>
        <w:jc w:val="center"/>
        <w:rPr>
          <w:rFonts w:ascii="Times New Roman" w:hAnsi="Times New Roman"/>
          <w:sz w:val="20"/>
        </w:rPr>
      </w:pPr>
      <w:r>
        <w:rPr>
          <w:rFonts w:ascii="Times New Roman" w:hAnsi="Times New Roman"/>
          <w:sz w:val="20"/>
        </w:rPr>
        <w:t xml:space="preserve">7.400% Fixed Rate Notes due 2036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14"/>
        <w:gridCol w:w="126"/>
        <w:gridCol w:w="4865"/>
      </w:tblGrid>
      <w:tr>
        <w:trPr/>
        <w:tc>
          <w:tcPr>
            <w:tcW w:w="5214"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4865" w:type="dxa"/>
            <w:tcBorders/>
            <w:vAlign w:val="center"/>
          </w:tcPr>
          <w:p>
            <w:pPr>
              <w:pStyle w:val="TableContents"/>
              <w:bidi w:val="0"/>
              <w:spacing w:before="0" w:after="283"/>
              <w:jc w:val="left"/>
              <w:rPr>
                <w:sz w:val="4"/>
                <w:szCs w:val="4"/>
              </w:rPr>
            </w:pPr>
            <w:r>
              <w:rPr>
                <w:sz w:val="4"/>
                <w:szCs w:val="4"/>
              </w:rPr>
            </w:r>
          </w:p>
        </w:tc>
      </w:tr>
      <w:tr>
        <w:trPr/>
        <w:tc>
          <w:tcPr>
            <w:tcW w:w="5214" w:type="dxa"/>
            <w:tcBorders/>
          </w:tcPr>
          <w:p>
            <w:pPr>
              <w:pStyle w:val="TableContents"/>
              <w:bidi w:val="0"/>
              <w:spacing w:before="0" w:after="283"/>
              <w:jc w:val="left"/>
              <w:rPr/>
            </w:pPr>
            <w:r>
              <w:rPr/>
              <w:t>No. []</w:t>
            </w:r>
          </w:p>
        </w:tc>
        <w:tc>
          <w:tcPr>
            <w:tcW w:w="126" w:type="dxa"/>
            <w:tcBorders/>
            <w:vAlign w:val="bottom"/>
          </w:tcPr>
          <w:p>
            <w:pPr>
              <w:pStyle w:val="TableContents"/>
              <w:bidi w:val="0"/>
              <w:spacing w:before="0" w:after="283"/>
              <w:jc w:val="left"/>
              <w:rPr/>
            </w:pPr>
            <w:r>
              <w:rPr/>
              <w:t>  </w:t>
            </w:r>
          </w:p>
        </w:tc>
        <w:tc>
          <w:tcPr>
            <w:tcW w:w="4865" w:type="dxa"/>
            <w:tcBorders/>
          </w:tcPr>
          <w:p>
            <w:pPr>
              <w:pStyle w:val="TableContents"/>
              <w:bidi w:val="0"/>
              <w:spacing w:before="0" w:after="283"/>
              <w:jc w:val="right"/>
              <w:rPr/>
            </w:pPr>
            <w:r>
              <w:rPr/>
              <w:t>$[]</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STELLANTIS FINANCE US INC. </w:t>
      </w:r>
    </w:p>
    <w:p>
      <w:pPr>
        <w:pStyle w:val="TextBody"/>
        <w:bidi w:val="0"/>
        <w:spacing w:before="240" w:after="0"/>
        <w:jc w:val="left"/>
        <w:rPr>
          <w:rFonts w:ascii="Times New Roman" w:hAnsi="Times New Roman"/>
          <w:sz w:val="20"/>
        </w:rPr>
      </w:pPr>
      <w:r>
        <w:rPr>
          <w:rFonts w:ascii="Times New Roman" w:hAnsi="Times New Roman"/>
          <w:sz w:val="20"/>
        </w:rPr>
        <w:t xml:space="preserve">Stellantis Finance US Inc., a corporation under the laws of the State of Delaware (herein called the “Company”, which term includes any successor Person under the Indenture hereinafter referred to), for value received, hereby promises to pay to CEDE &amp; CO, or registered assigns, the principal sum of [] U.S. dollars on September 16, 2036 and to pay interest thereon from September 16, 2026 or the most recent Interest Payment Date to which interest has been paid or duly provided for, semi-annually in arrears on March 16 and September 16 in each year, commencing March 16, 2027, at the rate of 7.400% per annum, until the principal hereof is paid or made available for payment. The interest so payable, and punctually paid or duly provided for, on any Interest Payment Date will, as provided in the Indenture, be paid to the Person in whose name this Security (or one or more Predecessor Securities) is registered at the close of business on the Regular Record Date for such interest, which shall be March 1 or September 1 (whether or not a Business Day), as the case may be, next preceding such Interest Payment Date. Any such interest so payable, but not punctually paid or duly provided for, on any Interest Payment Date will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Trustee, notice whereof shall be given to Holders of Securities of this series not less than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said Indenture.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Payment of the principal of (and premium, if any) and interest on this Security shall be made at the office or agency of the Company maintained for that purpose in New York, New York, in such coin or currency of the United States of America as at the time of payment is legal tender for payment of public and private debts, against surrender of this Security in the case of any payment due at the Maturity of the principal hereof (other than any payment of interest that first becomes payable on a day other than an Interest Payment Date);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at the option of the Company payment of interest may be made (1) by check mailed to the address of the Person entitled thereto as such address shall appear in the Security Register, or (2) by wire transfer in immediately available funds at the bank account number maintained within the United States as may be designated by the Person entitled thereto, as specified in the Security Register in writing; and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if this Security is a Global Security, payment shall be made pursuant to the applicable procedures of the Depositary as permitted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Reference is hereby made to the further provisions of this Security set forth on the reverse hereof, which further provisions shall for all purposes have the same effect as if set forth at this place. </w:t>
      </w:r>
    </w:p>
    <w:p>
      <w:pPr>
        <w:pStyle w:val="TextBody"/>
        <w:bidi w:val="0"/>
        <w:spacing w:before="240" w:after="0"/>
        <w:jc w:val="left"/>
        <w:rPr>
          <w:rFonts w:ascii="Times New Roman" w:hAnsi="Times New Roman"/>
          <w:sz w:val="20"/>
        </w:rPr>
      </w:pPr>
      <w:r>
        <w:rPr>
          <w:rFonts w:ascii="Times New Roman" w:hAnsi="Times New Roman"/>
          <w:sz w:val="20"/>
        </w:rPr>
        <w:t xml:space="preserve">Unless the certificate of authentication hereon has been executed by the Trustee or an authentication agent on its behalf referred to on the reverse hereof by manual or electronic signature, this Security shall not be entitled to any benefit under the Indenture or be valid or obligatory for any purpose.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Company has caused this instrument to be duly executed by manual or electronic signature by a duly authorized Officer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Dated: September 16,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112"/>
        <w:gridCol w:w="208"/>
        <w:gridCol w:w="2762"/>
      </w:tblGrid>
      <w:tr>
        <w:trPr/>
        <w:tc>
          <w:tcPr>
            <w:tcW w:w="1112" w:type="dxa"/>
            <w:tcBorders/>
            <w:vAlign w:val="center"/>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sz w:val="4"/>
                <w:szCs w:val="4"/>
              </w:rPr>
            </w:pPr>
            <w:r>
              <w:rPr>
                <w:sz w:val="4"/>
                <w:szCs w:val="4"/>
              </w:rPr>
            </w:r>
          </w:p>
        </w:tc>
        <w:tc>
          <w:tcPr>
            <w:tcW w:w="276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STELLANTIS FINANCE US INC.,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As the Company</w:t>
            </w:r>
          </w:p>
        </w:tc>
      </w:tr>
      <w:tr>
        <w:trPr>
          <w:trHeight w:val="240" w:hRule="atLeast"/>
        </w:trPr>
        <w:tc>
          <w:tcPr>
            <w:tcW w:w="1112" w:type="dxa"/>
            <w:tcBorders/>
            <w:vAlign w:val="center"/>
          </w:tcPr>
          <w:p>
            <w:pPr>
              <w:pStyle w:val="TableContents"/>
              <w:bidi w:val="0"/>
              <w:spacing w:before="0" w:after="283"/>
              <w:jc w:val="left"/>
              <w:rPr>
                <w:sz w:val="4"/>
                <w:szCs w:val="4"/>
              </w:rPr>
            </w:pPr>
            <w:r>
              <w:rPr>
                <w:sz w:val="4"/>
                <w:szCs w:val="4"/>
              </w:rPr>
            </w:r>
          </w:p>
        </w:tc>
        <w:tc>
          <w:tcPr>
            <w:tcW w:w="2970" w:type="dxa"/>
            <w:gridSpan w:val="2"/>
            <w:tcBorders/>
            <w:vAlign w:val="center"/>
          </w:tcPr>
          <w:p>
            <w:pPr>
              <w:pStyle w:val="TableContents"/>
              <w:bidi w:val="0"/>
              <w:spacing w:before="0" w:after="283"/>
              <w:jc w:val="left"/>
              <w:rPr>
                <w:sz w:val="4"/>
                <w:szCs w:val="4"/>
              </w:rPr>
            </w:pPr>
            <w:r>
              <w:rPr>
                <w:sz w:val="4"/>
                <w:szCs w:val="4"/>
              </w:rPr>
            </w:r>
          </w:p>
        </w:tc>
      </w:tr>
      <w:tr>
        <w:trPr/>
        <w:tc>
          <w:tcPr>
            <w:tcW w:w="1112" w:type="dxa"/>
            <w:tcBorders/>
          </w:tcPr>
          <w:p>
            <w:pPr>
              <w:pStyle w:val="TableContents"/>
              <w:bidi w:val="0"/>
              <w:spacing w:before="0" w:after="283"/>
              <w:jc w:val="left"/>
              <w:rPr/>
            </w:pPr>
            <w:r>
              <w:rPr/>
              <w:t>By:</w:t>
            </w:r>
          </w:p>
        </w:tc>
        <w:tc>
          <w:tcPr>
            <w:tcW w:w="208" w:type="dxa"/>
            <w:tcBorders/>
            <w:vAlign w:val="bottom"/>
          </w:tcPr>
          <w:p>
            <w:pPr>
              <w:pStyle w:val="TableContents"/>
              <w:bidi w:val="0"/>
              <w:spacing w:before="0" w:after="283"/>
              <w:jc w:val="left"/>
              <w:rPr/>
            </w:pPr>
            <w:r>
              <w:rPr/>
              <w:t> </w:t>
            </w:r>
          </w:p>
        </w:tc>
        <w:tc>
          <w:tcPr>
            <w:tcW w:w="2762" w:type="dxa"/>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Name: Ferrante Zileri Dal Verme</w:t>
            </w:r>
          </w:p>
        </w:tc>
      </w:tr>
      <w:tr>
        <w:trPr/>
        <w:tc>
          <w:tcPr>
            <w:tcW w:w="4082" w:type="dxa"/>
            <w:gridSpan w:val="3"/>
            <w:tcBorders/>
          </w:tcPr>
          <w:p>
            <w:pPr>
              <w:pStyle w:val="TableContents"/>
              <w:bidi w:val="0"/>
              <w:spacing w:before="0" w:after="283"/>
              <w:jc w:val="left"/>
              <w:rPr/>
            </w:pPr>
            <w:r>
              <w:rPr/>
              <w:t>Title: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Global Security</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is one of the Securities of the series designated herein and referred to in the within-mentioned Indenture. </w:t>
      </w:r>
    </w:p>
    <w:p>
      <w:pPr>
        <w:pStyle w:val="TextBody"/>
        <w:bidi w:val="0"/>
        <w:spacing w:before="240" w:after="0"/>
        <w:jc w:val="left"/>
        <w:rPr>
          <w:rFonts w:ascii="Times New Roman" w:hAnsi="Times New Roman"/>
          <w:sz w:val="20"/>
        </w:rPr>
      </w:pPr>
      <w:r>
        <w:rPr>
          <w:rFonts w:ascii="Times New Roman" w:hAnsi="Times New Roman"/>
          <w:sz w:val="20"/>
        </w:rPr>
        <w:t xml:space="preserve">Dated: September 16,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5"/>
        <w:gridCol w:w="60"/>
        <w:gridCol w:w="3647"/>
      </w:tblGrid>
      <w:tr>
        <w:trPr/>
        <w:tc>
          <w:tcPr>
            <w:tcW w:w="3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THE BANK OF NEW YORK MELLON,</w:t>
            </w:r>
          </w:p>
        </w:tc>
      </w:tr>
      <w:tr>
        <w:trPr/>
        <w:tc>
          <w:tcPr>
            <w:tcW w:w="4082" w:type="dxa"/>
            <w:gridSpan w:val="3"/>
            <w:tcBorders/>
          </w:tcPr>
          <w:p>
            <w:pPr>
              <w:pStyle w:val="TableContents"/>
              <w:bidi w:val="0"/>
              <w:spacing w:before="0" w:after="283"/>
              <w:jc w:val="left"/>
              <w:rPr>
                <w:i/>
              </w:rPr>
            </w:pPr>
            <w:r>
              <w:rPr>
                <w:i/>
              </w:rPr>
              <w:t>as Trustee</w:t>
            </w:r>
          </w:p>
        </w:tc>
      </w:tr>
      <w:tr>
        <w:trPr>
          <w:trHeight w:val="240" w:hRule="atLeast"/>
        </w:trPr>
        <w:tc>
          <w:tcPr>
            <w:tcW w:w="375" w:type="dxa"/>
            <w:tcBorders/>
            <w:vAlign w:val="center"/>
          </w:tcPr>
          <w:p>
            <w:pPr>
              <w:pStyle w:val="TableContents"/>
              <w:bidi w:val="0"/>
              <w:spacing w:before="0" w:after="283"/>
              <w:jc w:val="left"/>
              <w:rPr>
                <w:sz w:val="4"/>
                <w:szCs w:val="4"/>
              </w:rPr>
            </w:pPr>
            <w:r>
              <w:rPr>
                <w:sz w:val="4"/>
                <w:szCs w:val="4"/>
              </w:rPr>
            </w:r>
          </w:p>
        </w:tc>
        <w:tc>
          <w:tcPr>
            <w:tcW w:w="3707" w:type="dxa"/>
            <w:gridSpan w:val="2"/>
            <w:tcBorders/>
            <w:vAlign w:val="center"/>
          </w:tcPr>
          <w:p>
            <w:pPr>
              <w:pStyle w:val="TableContents"/>
              <w:bidi w:val="0"/>
              <w:spacing w:before="0" w:after="283"/>
              <w:jc w:val="left"/>
              <w:rPr>
                <w:sz w:val="4"/>
                <w:szCs w:val="4"/>
              </w:rPr>
            </w:pPr>
            <w:r>
              <w:rPr>
                <w:sz w:val="4"/>
                <w:szCs w:val="4"/>
              </w:rPr>
            </w:r>
          </w:p>
        </w:tc>
      </w:tr>
      <w:tr>
        <w:trPr/>
        <w:tc>
          <w:tcPr>
            <w:tcW w:w="37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7" w:type="dxa"/>
            <w:tcBorders/>
          </w:tcPr>
          <w:p>
            <w:pPr>
              <w:pStyle w:val="TableContents"/>
              <w:pBdr>
                <w:bottom w:val="single" w:sz="2" w:space="1" w:color="000000"/>
              </w:pBdr>
              <w:bidi w:val="0"/>
              <w:spacing w:before="0" w:after="20"/>
              <w:jc w:val="left"/>
              <w:rPr/>
            </w:pPr>
            <w:r>
              <w:rPr/>
              <w:t> </w:t>
            </w:r>
          </w:p>
        </w:tc>
      </w:tr>
      <w:tr>
        <w:trPr/>
        <w:tc>
          <w:tcPr>
            <w:tcW w:w="37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7" w:type="dxa"/>
            <w:tcBorders/>
          </w:tcPr>
          <w:p>
            <w:pPr>
              <w:pStyle w:val="TableContents"/>
              <w:bidi w:val="0"/>
              <w:spacing w:before="0" w:after="283"/>
              <w:jc w:val="left"/>
              <w:rPr>
                <w:i/>
              </w:rPr>
            </w:pPr>
            <w:r>
              <w:rPr>
                <w:i/>
              </w:rPr>
              <w:t>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Global Security</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(REVERSE OF SECURITY) </w:t>
      </w:r>
    </w:p>
    <w:p>
      <w:pPr>
        <w:pStyle w:val="TextBody"/>
        <w:bidi w:val="0"/>
        <w:spacing w:before="240" w:after="0"/>
        <w:jc w:val="left"/>
        <w:rPr>
          <w:rFonts w:ascii="Times New Roman" w:hAnsi="Times New Roman"/>
          <w:sz w:val="20"/>
        </w:rPr>
      </w:pPr>
      <w:r>
        <w:rPr>
          <w:rFonts w:ascii="Times New Roman" w:hAnsi="Times New Roman"/>
          <w:sz w:val="20"/>
        </w:rPr>
        <w:t xml:space="preserve">This Security is one of a duly authorized issue of securities of the Company of this series (herein called the “Securities”), issued and to be issued in one or more series under an Indenture, dated as of September 16, 2026 (the “Indenture”), between the Company and The Bank of New York Mellon, as Trustee (the “Trustee”, which term includes any successor trustee under the Indenture), and reference is hereby made to the Indenture for a statement of the respective rights, limitations of rights, duties and immunities thereunder of the Company, the Trustee and the Holders of the Securities and of the terms upon which the Securities are, and are to be, authenticated and delivered. This Security is one of the series designated on the face hereof initially limited in an aggregate principal amount to $1,250,000,000, </w:t>
      </w:r>
      <w:r>
        <w:rPr>
          <w:rFonts w:ascii="Times New Roman" w:hAnsi="Times New Roman"/>
          <w:i/>
          <w:sz w:val="20"/>
        </w:rPr>
        <w:t>provided</w:t>
      </w:r>
      <w:r>
        <w:rPr>
          <w:rFonts w:ascii="Times New Roman" w:hAnsi="Times New Roman"/>
          <w:sz w:val="20"/>
        </w:rPr>
        <w:t xml:space="preserve"> that the Company may, without the consent of any Holder, at any time and from time to time increase the initial principal amount. Unless otherwise defined, all terms used herein which are defined in the Indenture shall have the meanings assigned to them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Save for any provision as to withholding or deduction of taxes, no reference herein to the Indenture and no provision of this Security or of the Indenture shall alter or impair the obligation of the Company, which is absolute and unconditional, to pay the principal of and any premium and interest on this Security at the times, place and rate, and in the coin or currency, herein prescribed.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the Company or the Guarantor becomes obligated to make payments in respect of the Securities, the Company or the Guarantor, as applicable, shall make all payments of principal of (and premium, if any, on), interest on (whether on scheduled payment dates or upon acceleration) any Securities, free and clear of, and without withholding or deduction for, or on account of, any present or future taxes, duties, assessments or governmental charges of whatever nature (collectively, “Taxes”) imposed, collected, withheld, assessed or levied by or on behalf of any jurisdiction in which the Company, the Guarantor, a Paying Agent, or any other Person on behalf of the Company or the Guarantor, or any successor thereto (each, a “Payor”) is incorporated, organized or tax resident, or any governmental authority or political subdivision thereof or therein having the power to tax (a “Relevant Jurisdiction”), unless the withholding or deduction of the Taxes is required by law of any Relevant Jurisdiction. </w:t>
      </w:r>
    </w:p>
    <w:p>
      <w:pPr>
        <w:pStyle w:val="TextBody"/>
        <w:bidi w:val="0"/>
        <w:spacing w:before="240" w:after="0"/>
        <w:jc w:val="left"/>
        <w:rPr>
          <w:rFonts w:ascii="Times New Roman" w:hAnsi="Times New Roman"/>
          <w:sz w:val="20"/>
        </w:rPr>
      </w:pPr>
      <w:r>
        <w:rPr>
          <w:rFonts w:ascii="Times New Roman" w:hAnsi="Times New Roman"/>
          <w:sz w:val="20"/>
        </w:rPr>
        <w:t xml:space="preserve">Where the withholding or deduction of Taxes is required by the law of any Relevant Jurisdiction, the Payor will, subject to the exceptions and limitations set forth below, pay as additional interest on the Securities such additional amounts (“Additional Amounts”) as are necessary so that the net payment by the Company or the Guarantor or a paying agent or other Payor of the principal of and interest on such Securities, after deduction for any present or future tax, assessment or governmental charge of a Relevant Jurisdiction, imposed by withholding with respect to the payment, will not be less than the amount that would have been payable in respect of such Securities had no withholding or deduction been required. Any obligation to pay Additional Amounts shall not apply: </w:t>
      </w:r>
    </w:p>
    <w:p>
      <w:pPr>
        <w:pStyle w:val="TextBody"/>
        <w:bidi w:val="0"/>
        <w:spacing w:before="240" w:after="0"/>
        <w:jc w:val="left"/>
        <w:rPr>
          <w:rFonts w:ascii="Times New Roman" w:hAnsi="Times New Roman"/>
          <w:sz w:val="20"/>
        </w:rPr>
      </w:pPr>
      <w:r>
        <w:rPr>
          <w:rFonts w:ascii="Times New Roman" w:hAnsi="Times New Roman"/>
          <w:sz w:val="20"/>
        </w:rPr>
        <w:t xml:space="preserve">(1) to any Taxes that are only payable because a present or former type of connection exists or existed between the Holder or beneficial owner of the Securities and a Relevant Jurisdiction other than a connection related solely to purchase, ownership or mere holding of the Securities or the receipt of principal or interest in respect of it;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to any Taxes that are imposed or withheld by the United States of America solely because the beneficial owner, or a fiduciary, settlor, beneficiary or member of the beneficial owner if the beneficial owner is an estate, trust or partnership, or a person holding a power over an estate or trust administered by a fiduciary holder: </w:t>
      </w:r>
    </w:p>
    <w:p>
      <w:pPr>
        <w:pStyle w:val="TextBody"/>
        <w:bidi w:val="0"/>
        <w:spacing w:before="120" w:after="0"/>
        <w:jc w:val="left"/>
        <w:rPr>
          <w:rFonts w:ascii="Times New Roman" w:hAnsi="Times New Roman"/>
          <w:sz w:val="20"/>
        </w:rPr>
      </w:pPr>
      <w:r>
        <w:rPr>
          <w:rFonts w:ascii="Times New Roman" w:hAnsi="Times New Roman"/>
          <w:sz w:val="20"/>
        </w:rPr>
        <w:t xml:space="preserve">a. is or was a citizen or resident or is or was treated as a resident of the United States of America; </w:t>
      </w:r>
    </w:p>
    <w:p>
      <w:pPr>
        <w:pStyle w:val="TextBody"/>
        <w:bidi w:val="0"/>
        <w:spacing w:before="120" w:after="0"/>
        <w:jc w:val="left"/>
        <w:rPr>
          <w:rFonts w:ascii="Times New Roman" w:hAnsi="Times New Roman"/>
          <w:sz w:val="20"/>
        </w:rPr>
      </w:pPr>
      <w:r>
        <w:rPr>
          <w:rFonts w:ascii="Times New Roman" w:hAnsi="Times New Roman"/>
          <w:sz w:val="20"/>
        </w:rPr>
        <w:t xml:space="preserve">b. is or was a personal holding company, a passive foreign investment company or a controlled foreign corporation with respect to the United States of America or is or was a corporation that has accumulated earnings to avoid United States of America federal income tax; </w:t>
      </w:r>
    </w:p>
    <w:p>
      <w:pPr>
        <w:pStyle w:val="TextBody"/>
        <w:bidi w:val="0"/>
        <w:spacing w:before="120" w:after="0"/>
        <w:jc w:val="left"/>
        <w:rPr>
          <w:rFonts w:ascii="Times New Roman" w:hAnsi="Times New Roman"/>
          <w:sz w:val="20"/>
        </w:rPr>
      </w:pPr>
      <w:r>
        <w:rPr>
          <w:rFonts w:ascii="Times New Roman" w:hAnsi="Times New Roman"/>
          <w:sz w:val="20"/>
        </w:rPr>
        <w:t xml:space="preserve">c. is or was a bank receiving interest described in Section 881(c)(3)(A) of the Internal Revenue Code of 1986, as amended (the “Code”); </w:t>
      </w:r>
    </w:p>
    <w:p>
      <w:pPr>
        <w:pStyle w:val="TextBody"/>
        <w:bidi w:val="0"/>
        <w:spacing w:before="120" w:after="0"/>
        <w:jc w:val="left"/>
        <w:rPr>
          <w:rFonts w:ascii="Times New Roman" w:hAnsi="Times New Roman"/>
          <w:sz w:val="20"/>
        </w:rPr>
      </w:pPr>
      <w:r>
        <w:rPr>
          <w:rFonts w:ascii="Times New Roman" w:hAnsi="Times New Roman"/>
          <w:sz w:val="20"/>
        </w:rPr>
        <w:t xml:space="preserve">d. is or was an actual or constructive owner of 10% or more of the total combined voting power of all classes of stock of the Company or the Guarantor entitled to vote; or </w:t>
      </w:r>
    </w:p>
    <w:p>
      <w:pPr>
        <w:pStyle w:val="TextBody"/>
        <w:bidi w:val="0"/>
        <w:spacing w:before="120" w:after="0"/>
        <w:jc w:val="left"/>
        <w:rPr>
          <w:rFonts w:ascii="Times New Roman" w:hAnsi="Times New Roman"/>
          <w:sz w:val="20"/>
        </w:rPr>
      </w:pPr>
      <w:r>
        <w:rPr>
          <w:rFonts w:ascii="Times New Roman" w:hAnsi="Times New Roman"/>
          <w:sz w:val="20"/>
        </w:rPr>
        <w:t xml:space="preserve">e. is or was subject to tax under Section 4948(a) of the Code; </w:t>
      </w:r>
    </w:p>
    <w:p>
      <w:pPr>
        <w:pStyle w:val="TextBody"/>
        <w:bidi w:val="0"/>
        <w:spacing w:before="240" w:after="0"/>
        <w:jc w:val="left"/>
        <w:rPr>
          <w:rFonts w:ascii="Times New Roman" w:hAnsi="Times New Roman"/>
          <w:sz w:val="20"/>
        </w:rPr>
      </w:pPr>
      <w:r>
        <w:rPr>
          <w:rFonts w:ascii="Times New Roman" w:hAnsi="Times New Roman"/>
          <w:sz w:val="20"/>
        </w:rPr>
        <w:t xml:space="preserve">(3) to any Holder of the Securities that is not the sole beneficial owner of such Securities, or a portion thereof, or that is a fiduciary or partnership, but only to the extent that the beneficial owner, a beneficiary or settlor with respect to the fiduciary, or a member of the partnership would not have been entitled to the payment of an Additional Amount had such beneficial owner, beneficiary, settlor or member received directly its beneficial or distributive share of the payment; </w:t>
      </w:r>
    </w:p>
    <w:p>
      <w:pPr>
        <w:pStyle w:val="TextBody"/>
        <w:bidi w:val="0"/>
        <w:spacing w:before="240" w:after="0"/>
        <w:jc w:val="left"/>
        <w:rPr>
          <w:rFonts w:ascii="Times New Roman" w:hAnsi="Times New Roman"/>
          <w:sz w:val="20"/>
        </w:rPr>
      </w:pPr>
      <w:r>
        <w:rPr>
          <w:rFonts w:ascii="Times New Roman" w:hAnsi="Times New Roman"/>
          <w:sz w:val="20"/>
        </w:rPr>
        <w:t xml:space="preserve">(4) to any Taxes that are imposed or withheld because the beneficial owner of the Securities or any other person failed to accurately comply with a request from the Company, the Guarantor or any paying agent to meet certification, identification or information reporting requirements concerning the nationality, residence or identity of the Holder or beneficial owner of the Securities or to satisfy any information or reporting requirement, or to present the relevant Security (if certificated), if compliance such action is required as a precondition to exemption from, or reduction in, such tax, assessment or other governmental charge by the Relevant Jurisdiction; </w:t>
      </w:r>
    </w:p>
    <w:p>
      <w:pPr>
        <w:pStyle w:val="TextBody"/>
        <w:bidi w:val="0"/>
        <w:spacing w:before="240" w:after="0"/>
        <w:jc w:val="left"/>
        <w:rPr>
          <w:rFonts w:ascii="Times New Roman" w:hAnsi="Times New Roman"/>
          <w:sz w:val="20"/>
        </w:rPr>
      </w:pPr>
      <w:r>
        <w:rPr>
          <w:rFonts w:ascii="Times New Roman" w:hAnsi="Times New Roman"/>
          <w:sz w:val="20"/>
        </w:rPr>
        <w:t xml:space="preserve">(5) to any Taxes that are imposed other than by withholding or deduction by the Company or the Guarantor or a paying agent from the payment; </w:t>
      </w:r>
    </w:p>
    <w:p>
      <w:pPr>
        <w:pStyle w:val="TextBody"/>
        <w:bidi w:val="0"/>
        <w:spacing w:before="240" w:after="0"/>
        <w:jc w:val="left"/>
        <w:rPr>
          <w:rFonts w:ascii="Times New Roman" w:hAnsi="Times New Roman"/>
          <w:sz w:val="20"/>
        </w:rPr>
      </w:pPr>
      <w:r>
        <w:rPr>
          <w:rFonts w:ascii="Times New Roman" w:hAnsi="Times New Roman"/>
          <w:sz w:val="20"/>
        </w:rPr>
        <w:t xml:space="preserve">(6) to any Taxes that are imposed or withheld solely because of a change in law, regulation, or administrative or judicial interpretation that becomes effective after the day on which the payment becomes due or is duly provided for, whichever occurs later; </w:t>
      </w:r>
    </w:p>
    <w:p>
      <w:pPr>
        <w:pStyle w:val="TextBody"/>
        <w:bidi w:val="0"/>
        <w:spacing w:before="240" w:after="0"/>
        <w:jc w:val="left"/>
        <w:rPr>
          <w:rFonts w:ascii="Times New Roman" w:hAnsi="Times New Roman"/>
          <w:sz w:val="20"/>
        </w:rPr>
      </w:pPr>
      <w:r>
        <w:rPr>
          <w:rFonts w:ascii="Times New Roman" w:hAnsi="Times New Roman"/>
          <w:sz w:val="20"/>
        </w:rPr>
        <w:t xml:space="preserve">(7) to any estate, inheritance, gift, sales, excise, transfer, wealth, personal property or similar Taxes;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(8) to any Taxes any paying agent (which term may include the Company and the Guarantor) must withhold from any payment of principal of or interest on any Securities, if such payment can be made without such withholding by any other paying agent; </w:t>
      </w:r>
    </w:p>
    <w:p>
      <w:pPr>
        <w:pStyle w:val="TextBody"/>
        <w:bidi w:val="0"/>
        <w:spacing w:before="240" w:after="0"/>
        <w:jc w:val="left"/>
        <w:rPr>
          <w:rFonts w:ascii="Times New Roman" w:hAnsi="Times New Roman"/>
          <w:sz w:val="20"/>
        </w:rPr>
      </w:pPr>
      <w:r>
        <w:rPr>
          <w:rFonts w:ascii="Times New Roman" w:hAnsi="Times New Roman"/>
          <w:sz w:val="20"/>
        </w:rPr>
        <w:t>(9) to any Taxes imposed pursuant to the Dutch Withholding Tax Act 2021 (</w:t>
      </w:r>
      <w:r>
        <w:rPr>
          <w:rFonts w:ascii="Times New Roman" w:hAnsi="Times New Roman"/>
          <w:i/>
          <w:sz w:val="20"/>
        </w:rPr>
        <w:t>Wet Bronbelasting 2021</w:t>
      </w:r>
      <w:r>
        <w:rPr>
          <w:rFonts w:ascii="Times New Roman" w:hAnsi="Times New Roman"/>
          <w:sz w:val="20"/>
        </w:rPr>
        <w:t xml:space="preserve">); or </w:t>
      </w:r>
    </w:p>
    <w:p>
      <w:pPr>
        <w:pStyle w:val="TextBody"/>
        <w:bidi w:val="0"/>
        <w:spacing w:before="240" w:after="0"/>
        <w:jc w:val="left"/>
        <w:rPr>
          <w:rFonts w:ascii="Times New Roman" w:hAnsi="Times New Roman"/>
          <w:sz w:val="20"/>
        </w:rPr>
      </w:pPr>
      <w:r>
        <w:rPr>
          <w:rFonts w:ascii="Times New Roman" w:hAnsi="Times New Roman"/>
          <w:sz w:val="20"/>
        </w:rPr>
        <w:t xml:space="preserve">(10) in the case of any combination of the above items. </w:t>
      </w:r>
    </w:p>
    <w:p>
      <w:pPr>
        <w:pStyle w:val="TextBody"/>
        <w:bidi w:val="0"/>
        <w:spacing w:before="240" w:after="0"/>
        <w:jc w:val="left"/>
        <w:rPr>
          <w:rFonts w:ascii="Times New Roman" w:hAnsi="Times New Roman"/>
          <w:sz w:val="20"/>
        </w:rPr>
      </w:pPr>
      <w:r>
        <w:rPr>
          <w:rFonts w:ascii="Times New Roman" w:hAnsi="Times New Roman"/>
          <w:sz w:val="20"/>
        </w:rPr>
        <w:t xml:space="preserve">In addition, any amounts to be paid on the Securities shall be paid net of any deduction or withholding imposed or required pursuant to Sections 1471 through 1474 of the Code,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and no Additional Amounts shall be required to be paid on account of any such deduction or withholding. </w:t>
      </w:r>
    </w:p>
    <w:p>
      <w:pPr>
        <w:pStyle w:val="TextBody"/>
        <w:bidi w:val="0"/>
        <w:spacing w:before="240" w:after="0"/>
        <w:jc w:val="left"/>
        <w:rPr>
          <w:rFonts w:ascii="Times New Roman" w:hAnsi="Times New Roman"/>
          <w:sz w:val="20"/>
        </w:rPr>
      </w:pPr>
      <w:r>
        <w:rPr>
          <w:rFonts w:ascii="Times New Roman" w:hAnsi="Times New Roman"/>
          <w:sz w:val="20"/>
        </w:rPr>
        <w:t xml:space="preserve">Whenever in this Security or the Indenture there is mentioned, in any context other than the case of Section 5.02 of the Indenture, the payment of principal (and premium, if any), the Redemption Price, if any, interest or any other amount payable under or with respect to the Securities, such mention shall be deemed to include mention of the payment of Additional Amounts to the extent that, in such context Additional Amounts are, were or would be payable by the Company or the Guarantor in respect thereof. </w:t>
      </w:r>
    </w:p>
    <w:p>
      <w:pPr>
        <w:pStyle w:val="TextBody"/>
        <w:bidi w:val="0"/>
        <w:spacing w:before="240" w:after="0"/>
        <w:jc w:val="left"/>
        <w:rPr>
          <w:rFonts w:ascii="Times New Roman" w:hAnsi="Times New Roman"/>
          <w:sz w:val="20"/>
        </w:rPr>
      </w:pPr>
      <w:r>
        <w:rPr>
          <w:rFonts w:ascii="Times New Roman" w:hAnsi="Times New Roman"/>
          <w:sz w:val="20"/>
        </w:rPr>
        <w:t xml:space="preserve">Prior to June 16, 2036 (the “Par Call Date”), the Company may redeem the Securities at its option, in whole or in part, at any time and from time to time, at a Redemption Price (expressed as a percentage of principal amount and rounded to three decimal places) equal to the greater of: </w:t>
      </w:r>
    </w:p>
    <w:p>
      <w:pPr>
        <w:pStyle w:val="TextBody"/>
        <w:bidi w:val="0"/>
        <w:spacing w:before="240" w:after="0"/>
        <w:jc w:val="left"/>
        <w:rPr>
          <w:rFonts w:ascii="Times New Roman" w:hAnsi="Times New Roman"/>
          <w:sz w:val="20"/>
        </w:rPr>
      </w:pPr>
      <w:r>
        <w:rPr>
          <w:rFonts w:ascii="Times New Roman" w:hAnsi="Times New Roman"/>
          <w:sz w:val="20"/>
        </w:rPr>
        <w:t xml:space="preserve">(1) (a) the sum of the present values of the remaining scheduled payments of principal and interest thereon discounted to the Redemption Date (assuming the Securities matured on the Par Call Date) on a semi-annual basis (assuming a 360-day year consisting of twelve 30-day months) at the Treasury Rate plus 40 basis points, less (b) interest accrued to the Redemption Date, and </w:t>
      </w:r>
    </w:p>
    <w:p>
      <w:pPr>
        <w:pStyle w:val="TextBody"/>
        <w:bidi w:val="0"/>
        <w:spacing w:before="240" w:after="0"/>
        <w:jc w:val="left"/>
        <w:rPr>
          <w:rFonts w:ascii="Times New Roman" w:hAnsi="Times New Roman"/>
          <w:sz w:val="20"/>
        </w:rPr>
      </w:pPr>
      <w:r>
        <w:rPr>
          <w:rFonts w:ascii="Times New Roman" w:hAnsi="Times New Roman"/>
          <w:sz w:val="20"/>
        </w:rPr>
        <w:t xml:space="preserve">(2) 100% of the principal amount of the Securities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plus, in either case, accrued and unpaid interest thereon to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On or after the Par Call Date, the Company may redeem the Securities at its option, in whole or in part, at any time and from time to time, at a Redemption Price equal to 100% of the principal amount of the Securities to be redeemed plus accrued and unpaid interest thereon to the Redemption Date. </w:t>
      </w:r>
    </w:p>
    <w:p>
      <w:pPr>
        <w:pStyle w:val="TextBody"/>
        <w:bidi w:val="0"/>
        <w:spacing w:before="240" w:after="0"/>
        <w:jc w:val="left"/>
        <w:rPr/>
      </w:pPr>
      <w:r>
        <w:rPr/>
        <w:t>“</w:t>
      </w:r>
      <w:r>
        <w:rPr>
          <w:rFonts w:ascii="Times New Roman" w:hAnsi="Times New Roman"/>
          <w:i/>
          <w:sz w:val="20"/>
        </w:rPr>
        <w:t>Treasury Rate</w:t>
      </w:r>
      <w:r>
        <w:rPr>
          <w:rFonts w:ascii="Times New Roman" w:hAnsi="Times New Roman"/>
          <w:sz w:val="20"/>
        </w:rPr>
        <w:t xml:space="preserve">” means, with respect to any Redemption Date, the yield determined by the Company in accordance with the following two paragraphs.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(“H.15”) under the caption “U.S. government securities–Treasury constant maturities–Nominal” (or any successor caption or heading). In determining the Treasury Rate, the Company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If on the third Business Day preceding the Redemption Date H.15 or any successor designation or publication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If there is no United States Treasury security maturing on the Par Call Date but there are two or more United States Treasury securities with a maturity date equally distant from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 </w:t>
      </w:r>
    </w:p>
    <w:p>
      <w:pPr>
        <w:pStyle w:val="TextBody"/>
        <w:bidi w:val="0"/>
        <w:spacing w:before="240" w:after="0"/>
        <w:jc w:val="left"/>
        <w:rPr>
          <w:rFonts w:ascii="Times New Roman" w:hAnsi="Times New Roman"/>
          <w:sz w:val="20"/>
        </w:rPr>
      </w:pPr>
      <w:r>
        <w:rPr>
          <w:rFonts w:ascii="Times New Roman" w:hAnsi="Times New Roman"/>
          <w:sz w:val="20"/>
        </w:rPr>
        <w:t xml:space="preserve">The Company’s actions and determinations in determining the Redemption Price shall be conclusive and binding for all purposes, absent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Notice of any redemption shall be mailed or electronically delivered (or otherwise transmitted in accordance with the depositary’s procedures) at least 10 days but not more than 60 days before the Redemption Date to each holder of Securities to be redeemed except that redemption notices may be given more than 60 days prior to a Redemption Date if the notice is issued in connection with a defeasance of the Securities or a satisfaction and discharge of the Indenture.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the case of a partial redemption, selection of the Securities for redemption shall be made by lot. For so long as the Securities are held by DTC, Euroclear or Clearstream (or another depositary), the redemption of the Securities shall be done in accordance with the policies and procedures of the depositary. </w:t>
      </w:r>
    </w:p>
    <w:p>
      <w:pPr>
        <w:pStyle w:val="TextBody"/>
        <w:bidi w:val="0"/>
        <w:spacing w:before="240" w:after="0"/>
        <w:jc w:val="left"/>
        <w:rPr>
          <w:rFonts w:ascii="Times New Roman" w:hAnsi="Times New Roman"/>
          <w:sz w:val="20"/>
        </w:rPr>
      </w:pPr>
      <w:r>
        <w:rPr>
          <w:rFonts w:ascii="Times New Roman" w:hAnsi="Times New Roman"/>
          <w:sz w:val="20"/>
        </w:rPr>
        <w:t xml:space="preserve">If (a) a Payor becomes or shall become obligated to pay Additional Amounts with respect to any Securities as result of any change in, or amendment to, the laws or regulations of a Relevant Jurisdiction, or any change in the official interpretation of the laws or regulations of a Relevant Jurisdiction, which change or amendment becomes effective after September 10, 2026, and (b) such obligation cannot be avoided by the Company taking reasonable measures available to the Company, the Company may, at its option, having given not less than 10 days notice to the Holders of such Securities (which notice shall be irrevocable), redeem all, but not a portion of, the Securities at any time at 100% of their principal amount, plus accrued but unpaid interest to, but excluding, the Redemption Date; </w:t>
      </w:r>
      <w:r>
        <w:rPr>
          <w:rFonts w:ascii="Times New Roman" w:hAnsi="Times New Roman"/>
          <w:i/>
          <w:sz w:val="20"/>
        </w:rPr>
        <w:t>provided</w:t>
      </w:r>
      <w:r>
        <w:rPr>
          <w:rFonts w:ascii="Times New Roman" w:hAnsi="Times New Roman"/>
          <w:sz w:val="20"/>
        </w:rPr>
        <w:t xml:space="preserve"> that no such notice of redemption shall be given earlier than 30 days prior to the earliest date on which the applicable Payor would be obliged to pay such Additional Amounts were a payment in respect of the Securities then due. Prior to the delivery of any notice of redemption pursuant to this paragraph, the Company shall deliver to the Trustee (i) an Officer’s Certificate stating that the requirements referred to in (a) and (b) above are satisfied, and (ii) an Opinion of Counsel to the effect that the applicable Payor has or will become obliged to pay such Additional Amounts as a result of the change or amendment, in each case to be held by the Trustee and made available for viewing at the offices of the Trustee on written request by any Holder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On and after the Redemption Date, interest shall cease to accrue on the Securities or any portion of the Securities called for redemption, unless the Company defaults in the payment of the Redemption Price and accrued interest. On or before the Redemption Date, the Company shall deposit with a Paying Agent or the Trustee money sufficient to pay the Redemption Price of and accrued interest on the Securities to be redeemed on that date. The Trustee shall not be responsible for determining or calculating the Redemption Price (or any component thereof) of the Securities or the Treasury Rate or for confirming the Company’s calculation thereof.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redemption of this Security in part only, a new Security or Securities of this series and of like tenor for the unredeemed portion hereof will be issued in the name of the Holder hereof upon the cancellation hereof. </w:t>
      </w:r>
    </w:p>
    <w:p>
      <w:pPr>
        <w:pStyle w:val="TextBody"/>
        <w:bidi w:val="0"/>
        <w:spacing w:before="240" w:after="0"/>
        <w:jc w:val="left"/>
        <w:rPr>
          <w:rFonts w:ascii="Times New Roman" w:hAnsi="Times New Roman"/>
          <w:sz w:val="20"/>
        </w:rPr>
      </w:pPr>
      <w:r>
        <w:rPr>
          <w:rFonts w:ascii="Times New Roman" w:hAnsi="Times New Roman"/>
          <w:sz w:val="20"/>
        </w:rPr>
        <w:t xml:space="preserve">The Indenture contains provisions for defeasance at any time of the entire indebtedness of this Security or certain restrictive covenants and Events of Default with respect to this Security, in each case upon compliance with certain conditions set forth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with respect to the Securities shall occur and be continuing, the principal of the Securities may be declared due and payable in the manner and with the effect provided in the Indenture.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Indenture permits, with certain exceptions as therein provided, the amendment thereof and the modification of the rights and obligations of the Company or the Guarantor and the rights of the Holders of the Securities under the Indenture at any time by the Company or the Guarantor and the Trustee with the consent of the Holders of not less than a majority in principal amount of the Securities at the time Outstanding. The Indenture also contains provisions (i) permitting the Holders of not less than a majority of the aggregate principal amount of the Securities at the time Outstanding, on behalf of the Holders of all the Securities, to waive compliance by the Company and the Guarantor with certain provisions of the Indenture with respect to such Securities and (ii) permitting the Holders of a majority in principal amount of the Securities at the time Outstanding, on behalf of the Holders of the Securities, to waive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 </w:t>
      </w:r>
    </w:p>
    <w:p>
      <w:pPr>
        <w:pStyle w:val="TextBody"/>
        <w:bidi w:val="0"/>
        <w:spacing w:before="240" w:after="0"/>
        <w:jc w:val="left"/>
        <w:rPr>
          <w:rFonts w:ascii="Times New Roman" w:hAnsi="Times New Roman"/>
          <w:sz w:val="20"/>
        </w:rPr>
      </w:pPr>
      <w:r>
        <w:rPr>
          <w:rFonts w:ascii="Times New Roman" w:hAnsi="Times New Roman"/>
          <w:sz w:val="20"/>
        </w:rPr>
        <w:t xml:space="preserve">As provided in and subject to the provisions of the Indenture, the Holder of this Security shall not have the right to institute any proceeding with respect to the Indenture, or for the appointment of a receiver or trustee, or for any other remedy thereunder, unless such Holder shall have previously given the Trustee written notice of a continuing Event of Default with respect to the Securities, the Holders of at least 25% of the principal amount of the Securities at the time Outstanding shall have made written request to the Trustee to institute proceedings in respect of such Event of Default as Trustee and offered the Trustee indemnity reasonably satisfactory to the Trustee, and the Trustee shall not have received from the Holders of a majority in principal amount of the Securities at the time Outstanding a direction inconsistent with such request, and shall have failed to institute any such proceeding, for 60 days after receipt of such notice, request and offer of indemnity. The foregoing shall not apply to any suit instituted by the Holder of this Security for the enforcement of any payment of principal hereof or any premium or interest hereon on or after the respective due dates expressed herein. </w:t>
      </w:r>
    </w:p>
    <w:p>
      <w:pPr>
        <w:pStyle w:val="TextBody"/>
        <w:bidi w:val="0"/>
        <w:spacing w:before="240" w:after="0"/>
        <w:jc w:val="left"/>
        <w:rPr>
          <w:rFonts w:ascii="Times New Roman" w:hAnsi="Times New Roman"/>
          <w:sz w:val="20"/>
        </w:rPr>
      </w:pPr>
      <w:r>
        <w:rPr>
          <w:rFonts w:ascii="Times New Roman" w:hAnsi="Times New Roman"/>
          <w:sz w:val="20"/>
        </w:rPr>
        <w:t xml:space="preserve">As provided in the Indenture and subject to certain limitations therein set forth, the transfer of this Security is registrable in the Security Register, upon surrender of this Security for registration of transfer at the office or agency of the Company in any place where the principal of and any premium and interest on this Security are payable, duly endorsed by, or accompanied by a written instrument of transfer in form satisfactory to the Company and the Security Registrar duly executed by, the Holder hereof or his attorney duly authorized in writing, and thereupon one or more new Securities of this series and of like tenor, of authorized denominations and for the same aggregate principal amount, will be issued to the designated transferee or transferees.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are issuable only in registered form without coupons in denominations of $2,000 and any integral multiples of $1,000 in excess thereof. As provided in the Indenture and subject to certain limitations therein set forth, the Securities are exchangeable for a like aggregate principal amount of Securities of like tenor of a different authorized denomination, as requested by the Holder surrendering the same. </w:t>
      </w:r>
    </w:p>
    <w:p>
      <w:pPr>
        <w:pStyle w:val="TextBody"/>
        <w:bidi w:val="0"/>
        <w:spacing w:before="240" w:after="0"/>
        <w:jc w:val="left"/>
        <w:rPr>
          <w:rFonts w:ascii="Times New Roman" w:hAnsi="Times New Roman"/>
          <w:sz w:val="20"/>
        </w:rPr>
      </w:pPr>
      <w:r>
        <w:rPr>
          <w:rFonts w:ascii="Times New Roman" w:hAnsi="Times New Roman"/>
          <w:sz w:val="20"/>
        </w:rPr>
        <w:t xml:space="preserve">As provided in the Indenture, the obligations of the Company under the Indenture and this Security are guaranteed pursuant to the Guarantee endorsed hereon as provided in the Indenture. Each Holder, by holding this Security, agrees to all of the terms and provisions of said Guarantee. </w:t>
      </w:r>
    </w:p>
    <w:p>
      <w:pPr>
        <w:pStyle w:val="TextBody"/>
        <w:bidi w:val="0"/>
        <w:spacing w:before="240" w:after="0"/>
        <w:jc w:val="left"/>
        <w:rPr>
          <w:rFonts w:ascii="Times New Roman" w:hAnsi="Times New Roman"/>
          <w:sz w:val="20"/>
        </w:rPr>
      </w:pPr>
      <w:r>
        <w:rPr>
          <w:rFonts w:ascii="Times New Roman" w:hAnsi="Times New Roman"/>
          <w:sz w:val="20"/>
        </w:rPr>
        <w:t xml:space="preserve">No service charge shall be made for any such registration of transfer or exchange, but the Company may require payment of a sum sufficient to cover any tax or other governmental charge payable in connection therewith.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Prior to due presentment of this Security for registration of transfer, the Company, the Guarantor, the Trustee and any agent of the Company, the Guarantor or the Trustee shall treat the Person in whose name this Security is registered as the owner hereof for all purposes, whether or not this Security be overdue, and none of the Company, the Guarantor the Trustee and any such agent shall be affected by notice to the contrary. </w:t>
      </w:r>
    </w:p>
    <w:p>
      <w:pPr>
        <w:pStyle w:val="TextBody"/>
        <w:bidi w:val="0"/>
        <w:spacing w:before="240" w:after="0"/>
        <w:jc w:val="left"/>
        <w:rPr>
          <w:rFonts w:ascii="Times New Roman" w:hAnsi="Times New Roman"/>
          <w:sz w:val="20"/>
        </w:rPr>
      </w:pPr>
      <w:r>
        <w:rPr>
          <w:rFonts w:ascii="Times New Roman" w:hAnsi="Times New Roman"/>
          <w:sz w:val="20"/>
        </w:rPr>
        <w:t xml:space="preserve">Except in the limited circumstances described in Section 3.05 of the Indenture, the Securities shall be issued in the form of one or more Global Securities and The Depository Trust Company shall be the Depositary for such Global Securities. </w:t>
      </w:r>
    </w:p>
    <w:p>
      <w:pPr>
        <w:pStyle w:val="TextBody"/>
        <w:bidi w:val="0"/>
        <w:spacing w:before="240" w:after="0"/>
        <w:jc w:val="left"/>
        <w:rPr>
          <w:rFonts w:ascii="Times New Roman" w:hAnsi="Times New Roman"/>
          <w:sz w:val="20"/>
        </w:rPr>
      </w:pPr>
      <w:r>
        <w:rPr>
          <w:rFonts w:ascii="Times New Roman" w:hAnsi="Times New Roman"/>
          <w:sz w:val="20"/>
        </w:rPr>
        <w:t xml:space="preserve">Interest on the principal balance of this Security shall be calculated on the basis of a 360-day year of twelve 30-day months. </w:t>
      </w:r>
    </w:p>
    <w:p>
      <w:pPr>
        <w:pStyle w:val="TextBody"/>
        <w:bidi w:val="0"/>
        <w:spacing w:before="240" w:after="0"/>
        <w:jc w:val="left"/>
        <w:rPr>
          <w:rFonts w:ascii="Times New Roman" w:hAnsi="Times New Roman"/>
          <w:b/>
          <w:sz w:val="20"/>
        </w:rPr>
      </w:pPr>
      <w:r>
        <w:rPr>
          <w:rFonts w:ascii="Times New Roman" w:hAnsi="Times New Roman"/>
          <w:b/>
          <w:sz w:val="20"/>
        </w:rPr>
        <w:t xml:space="preserve">THIS SECURITY SHALL BE GOVERNED BY AND CONSTRUED IN ACCORDANCE WITH THE LAWS OF THE STATE OF NEW YORK.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GUARANTEE </w:t>
      </w:r>
    </w:p>
    <w:p>
      <w:pPr>
        <w:pStyle w:val="TextBody"/>
        <w:bidi w:val="0"/>
        <w:spacing w:before="240" w:after="0"/>
        <w:jc w:val="left"/>
        <w:rPr>
          <w:rFonts w:ascii="Times New Roman" w:hAnsi="Times New Roman"/>
          <w:sz w:val="20"/>
        </w:rPr>
      </w:pPr>
      <w:r>
        <w:rPr>
          <w:rFonts w:ascii="Times New Roman" w:hAnsi="Times New Roman"/>
          <w:sz w:val="20"/>
        </w:rPr>
        <w:t>For value received, Stellantis N.V., a public company with limited liability (</w:t>
      </w:r>
      <w:r>
        <w:rPr>
          <w:rFonts w:ascii="Times New Roman" w:hAnsi="Times New Roman"/>
          <w:i/>
          <w:sz w:val="20"/>
        </w:rPr>
        <w:t>naamloze vennootschap</w:t>
      </w:r>
      <w:r>
        <w:rPr>
          <w:rFonts w:ascii="Times New Roman" w:hAnsi="Times New Roman"/>
          <w:sz w:val="20"/>
        </w:rPr>
        <w:t xml:space="preserve">) incorporated under Dutch law (herein called the “Guarantor” which terms include any successor Person under the Indenture referred to in the Security upon which this Guarantee is endorsed), hereby irrevocably, fully and unconditionally guarantees to the Trustee and to each Holder of this Security, which has been authenticated and delivered by the Trustee or its Authenticating Agent, the due and punctual payment of the principal of (including any amount in respect of original issue discount), and any premium and interest (together with any Additional Amounts payable pursuant to the terms of this Security), on this Security and all other obligations of the Company to the Holders or the Trustee provided for pursuant to the terms of the Indenture and this Security, when and as the same shall become due and payable, whether at Stated Maturity or upon redemption or upon declaration of acceleration or otherwise according to the terms of this Security and of the Indenture. In case of default by the Company in the payment of any such principal (including any amount in respect of original issue discount), and any premium or interest (together with any Additional Amounts payable pursuant to the terms of this Security), or analogous obligation, the Guarantor agrees duly and punctually to pay the same. The Guarantor hereby agrees that its obligations hereunder shall rank pari passu with all other unsecured and unsubordinated obligations of the Guarantor, shall be as principal and not merely as surety, and shall be absolute and unconditional irrespective of any extension of the time for payment of this Security, any modification of this Security, any invalidity, irregularity or unenforceability of this Security or the Indenture, any failure to enforce the same or any waiver, modification, consent or indulgence granted to the Company with respect thereto by the Holder of this Security or the Trustee, or any other circumstances which may otherwise constitute a legal or equitable discharge of a surety or guarantor. The Guarantor hereby waives diligence, presentment, demand of payment, filing of claims with a court in the event of merger or bankruptcy of the Company, any right to require a demand or proceeding first against the Company, protest or notice with respect to this Security or the indebtedness evidenced thereby and all demands whatsoever, and covenants that this Guarantee will not be discharged as to this Security except by payment in full of the principal of (including any amount payable in respect of original issue discount), and any premium and interest (together with any Additional Amounts payable pursuant to the terms of this Security), thereon. The Guarantor irrevocably waives any and all rights to which it may be entitled, by operation of law or otherwise, upon making any payment hereunder (i) to be subrogated to the rights of a Holder against the Company with respect to such payment or otherwise to be reimbursed, indemnified or exonerated by the Company in respect thereof or (ii) to receive any payment, in the nature of contribution or for any other reason, from any other obligor with respect to such payment. This Guarantee shall not be valid or become obligatory for any purpose with respect to this Security until the certificate of authentication on this Security shall have been signed by the Trustee. </w:t>
      </w:r>
    </w:p>
    <w:p>
      <w:pPr>
        <w:pStyle w:val="TextBody"/>
        <w:bidi w:val="0"/>
        <w:spacing w:before="240" w:after="0"/>
        <w:jc w:val="left"/>
        <w:rPr>
          <w:rFonts w:ascii="Times New Roman" w:hAnsi="Times New Roman"/>
          <w:sz w:val="20"/>
        </w:rPr>
      </w:pPr>
      <w:r>
        <w:rPr>
          <w:rFonts w:ascii="Times New Roman" w:hAnsi="Times New Roman"/>
          <w:sz w:val="20"/>
        </w:rPr>
        <w:t xml:space="preserve">The Guarantor, and by its acceptance of Securities, each Holder, hereby confirms that it is the intention of all such parties that this Guarantee not constitute (i) a fraudulent transfer or conveyance for purposes of bankruptcy law, the Uniform Fraudulent Conveyance Act, the Uniform Fraudulent Transfer Act or any similar federal, state or foreign law to the extent applicable to this Guarantee or (ii) an unlawful distribution under any applicable state law prohibiting shareholder distributions by an insolvent Subsidiary to the extent applicable to the Guarantee.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All terms used in this Guarantee which are not defined herein shall have the meanings assigned to them in the Indenture or the Security upon which this Guarantee is endorsed. </w:t>
      </w:r>
    </w:p>
    <w:p>
      <w:pPr>
        <w:pStyle w:val="TextBody"/>
        <w:bidi w:val="0"/>
        <w:spacing w:before="240" w:after="0"/>
        <w:jc w:val="left"/>
        <w:rPr>
          <w:rFonts w:ascii="Times New Roman" w:hAnsi="Times New Roman"/>
          <w:sz w:val="20"/>
        </w:rPr>
      </w:pPr>
      <w:r>
        <w:rPr>
          <w:rFonts w:ascii="Times New Roman" w:hAnsi="Times New Roman"/>
          <w:sz w:val="20"/>
        </w:rPr>
        <w:t xml:space="preserve">This Guarantee is subject to certain limitations and waivers set forth in the Indenture, as it may be supplemented from time to time. </w:t>
      </w:r>
    </w:p>
    <w:p>
      <w:pPr>
        <w:pStyle w:val="TextBody"/>
        <w:bidi w:val="0"/>
        <w:spacing w:before="240" w:after="0"/>
        <w:jc w:val="left"/>
        <w:rPr>
          <w:rFonts w:ascii="Times New Roman" w:hAnsi="Times New Roman"/>
          <w:b/>
          <w:sz w:val="20"/>
        </w:rPr>
      </w:pPr>
      <w:r>
        <w:rPr>
          <w:rFonts w:ascii="Times New Roman" w:hAnsi="Times New Roman"/>
          <w:b/>
          <w:sz w:val="20"/>
        </w:rPr>
        <w:t xml:space="preserve">THIS GUARANTEE SHALL BE GOVERNED BY AND CONSTRUED IN ACCORDANCE WITH THE LAWS OF THE STATE OF NEW YORK.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has caused this Guarantee to be signed manually or electronically by its duly authorized officer or representative.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8"/>
        <w:gridCol w:w="60"/>
        <w:gridCol w:w="3624"/>
      </w:tblGrid>
      <w:tr>
        <w:trPr/>
        <w:tc>
          <w:tcPr>
            <w:tcW w:w="39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STELLANTIS N.V.,</w:t>
            </w:r>
          </w:p>
        </w:tc>
      </w:tr>
      <w:tr>
        <w:trPr/>
        <w:tc>
          <w:tcPr>
            <w:tcW w:w="4082" w:type="dxa"/>
            <w:gridSpan w:val="3"/>
            <w:tcBorders/>
          </w:tcPr>
          <w:p>
            <w:pPr>
              <w:pStyle w:val="TableContents"/>
              <w:bidi w:val="0"/>
              <w:spacing w:before="0" w:after="283"/>
              <w:jc w:val="left"/>
              <w:rPr>
                <w:i/>
              </w:rPr>
            </w:pPr>
            <w:r>
              <w:rPr>
                <w:i/>
              </w:rPr>
              <w:t>As Guarantor</w:t>
            </w:r>
          </w:p>
        </w:tc>
      </w:tr>
      <w:tr>
        <w:trPr>
          <w:trHeight w:val="240" w:hRule="atLeast"/>
        </w:trPr>
        <w:tc>
          <w:tcPr>
            <w:tcW w:w="398" w:type="dxa"/>
            <w:tcBorders/>
            <w:vAlign w:val="center"/>
          </w:tcPr>
          <w:p>
            <w:pPr>
              <w:pStyle w:val="TableContents"/>
              <w:bidi w:val="0"/>
              <w:spacing w:before="0" w:after="283"/>
              <w:jc w:val="left"/>
              <w:rPr>
                <w:sz w:val="4"/>
                <w:szCs w:val="4"/>
              </w:rPr>
            </w:pPr>
            <w:r>
              <w:rPr>
                <w:sz w:val="4"/>
                <w:szCs w:val="4"/>
              </w:rPr>
            </w:r>
          </w:p>
        </w:tc>
        <w:tc>
          <w:tcPr>
            <w:tcW w:w="3684" w:type="dxa"/>
            <w:gridSpan w:val="2"/>
            <w:tcBorders/>
            <w:vAlign w:val="center"/>
          </w:tcPr>
          <w:p>
            <w:pPr>
              <w:pStyle w:val="TableContents"/>
              <w:bidi w:val="0"/>
              <w:spacing w:before="0" w:after="283"/>
              <w:jc w:val="left"/>
              <w:rPr>
                <w:sz w:val="4"/>
                <w:szCs w:val="4"/>
              </w:rPr>
            </w:pPr>
            <w:r>
              <w:rPr>
                <w:sz w:val="4"/>
                <w:szCs w:val="4"/>
              </w:rPr>
            </w:r>
          </w:p>
        </w:tc>
      </w:tr>
      <w:tr>
        <w:trPr/>
        <w:tc>
          <w:tcPr>
            <w:tcW w:w="39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pBdr>
                <w:bottom w:val="single" w:sz="2" w:space="1" w:color="000000"/>
              </w:pBdr>
              <w:bidi w:val="0"/>
              <w:spacing w:before="0" w:after="20"/>
              <w:jc w:val="left"/>
              <w:rPr/>
            </w:pPr>
            <w:r>
              <w:rPr/>
              <w:t> </w:t>
            </w:r>
          </w:p>
        </w:tc>
      </w:tr>
      <w:tr>
        <w:trPr/>
        <w:tc>
          <w:tcPr>
            <w:tcW w:w="39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bidi w:val="0"/>
              <w:spacing w:before="0" w:after="283"/>
              <w:jc w:val="left"/>
              <w:rPr>
                <w:i/>
              </w:rPr>
            </w:pPr>
            <w:r>
              <w:rPr>
                <w:i/>
              </w:rPr>
              <w:t>Authorized Signatory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Name: Ferrante Zileri Dal Verme</w:t>
            </w:r>
          </w:p>
        </w:tc>
      </w:tr>
      <w:tr>
        <w:trPr/>
        <w:tc>
          <w:tcPr>
            <w:tcW w:w="4082" w:type="dxa"/>
            <w:gridSpan w:val="3"/>
            <w:tcBorders/>
          </w:tcPr>
          <w:p>
            <w:pPr>
              <w:pStyle w:val="TableContents"/>
              <w:bidi w:val="0"/>
              <w:spacing w:before="0" w:after="283"/>
              <w:jc w:val="left"/>
              <w:rPr/>
            </w:pPr>
            <w:r>
              <w:rPr/>
              <w:t>Title: Group Treasurer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Guarantee</w:t>
      </w:r>
      <w:r>
        <w:rPr>
          <w:rFonts w:ascii="Times New Roman" w:hAnsi="Times New Roman"/>
          <w:sz w:val="20"/>
        </w:rPr>
        <w:t xml:space="preserve">] </w:t>
      </w:r>
    </w:p>
    <w:p>
      <w:pPr>
        <w:pStyle w:val="TextBody"/>
        <w:bidi w:val="0"/>
        <w:spacing w:before="0" w:after="0"/>
        <w:jc w:val="right"/>
        <w:rPr>
          <w:rFonts w:ascii="Times New Roman" w:hAnsi="Times New Roman"/>
          <w:b/>
          <w:sz w:val="20"/>
        </w:rPr>
      </w:pPr>
      <w:bookmarkStart w:id="8" w:name="d71756dex51.htm"/>
      <w:bookmarkStart w:id="9" w:name="ksd71756dex51"/>
      <w:bookmarkEnd w:id="8"/>
      <w:bookmarkEnd w:id="9"/>
      <w:r>
        <w:rPr>
          <w:rFonts w:ascii="Times New Roman" w:hAnsi="Times New Roman"/>
          <w:b/>
          <w:sz w:val="20"/>
        </w:rPr>
        <w:t xml:space="preserve">Exhibit 5.1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89"/>
        <w:gridCol w:w="120"/>
        <w:gridCol w:w="2934"/>
        <w:gridCol w:w="120"/>
        <w:gridCol w:w="3542"/>
      </w:tblGrid>
      <w:tr>
        <w:trPr/>
        <w:tc>
          <w:tcPr>
            <w:tcW w:w="348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93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542" w:type="dxa"/>
            <w:tcBorders/>
            <w:vAlign w:val="center"/>
          </w:tcPr>
          <w:p>
            <w:pPr>
              <w:pStyle w:val="TableContents"/>
              <w:bidi w:val="0"/>
              <w:spacing w:before="0" w:after="283"/>
              <w:jc w:val="left"/>
              <w:rPr>
                <w:sz w:val="4"/>
                <w:szCs w:val="4"/>
              </w:rPr>
            </w:pPr>
            <w:r>
              <w:rPr>
                <w:sz w:val="4"/>
                <w:szCs w:val="4"/>
              </w:rPr>
            </w:r>
          </w:p>
        </w:tc>
      </w:tr>
      <w:tr>
        <w:trPr/>
        <w:tc>
          <w:tcPr>
            <w:tcW w:w="3489"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934"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542" w:type="dxa"/>
            <w:tcBorders/>
          </w:tcPr>
          <w:p>
            <w:pPr>
              <w:pStyle w:val="TableContents"/>
              <w:bidi w:val="0"/>
              <w:spacing w:before="0" w:after="0"/>
              <w:jc w:val="left"/>
              <w:rPr/>
            </w:pPr>
            <w:r>
              <w:rPr/>
              <w:t>   </w:t>
            </w:r>
            <w:r>
              <w:rPr>
                <w:rFonts w:ascii="Times New Roman" w:hAnsi="Times New Roman"/>
                <w:sz w:val="20"/>
              </w:rPr>
              <w:t>Advocaten</w:t>
            </w:r>
          </w:p>
          <w:p>
            <w:pPr>
              <w:pStyle w:val="TableContents"/>
              <w:bidi w:val="0"/>
              <w:spacing w:before="0" w:after="0"/>
              <w:jc w:val="left"/>
              <w:rPr/>
            </w:pPr>
            <w:r>
              <w:rPr/>
              <w:t>   </w:t>
            </w:r>
            <w:r>
              <w:rPr>
                <w:rFonts w:ascii="Times New Roman" w:hAnsi="Times New Roman"/>
                <w:sz w:val="20"/>
              </w:rPr>
              <w:t>Notarissen</w:t>
            </w:r>
          </w:p>
          <w:p>
            <w:pPr>
              <w:pStyle w:val="TableContents"/>
              <w:bidi w:val="0"/>
              <w:spacing w:before="0" w:after="0"/>
              <w:jc w:val="left"/>
              <w:rPr/>
            </w:pPr>
            <w:r>
              <w:rPr/>
              <w:t>   </w:t>
            </w:r>
            <w:r>
              <w:rPr>
                <w:rFonts w:ascii="Times New Roman" w:hAnsi="Times New Roman"/>
                <w:sz w:val="20"/>
              </w:rPr>
              <w:t>Belastingadviseurs</w:t>
            </w:r>
          </w:p>
          <w:p>
            <w:pPr>
              <w:pStyle w:val="TableContents"/>
              <w:bidi w:val="0"/>
              <w:spacing w:before="0" w:after="0"/>
              <w:jc w:val="left"/>
              <w:rPr/>
            </w:pPr>
            <w:r>
              <w:rPr/>
              <w:t> </w:t>
            </w:r>
          </w:p>
          <w:p>
            <w:pPr>
              <w:pStyle w:val="TableContents"/>
              <w:bidi w:val="0"/>
              <w:spacing w:before="0" w:after="0"/>
              <w:jc w:val="left"/>
              <w:rPr/>
            </w:pPr>
            <w:r>
              <w:rPr/>
              <w:drawing>
                <wp:inline distT="0" distB="0" distL="0" distR="0">
                  <wp:extent cx="1800225" cy="771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00225" cy="771525"/>
                          </a:xfrm>
                          <a:prstGeom prst="rect">
                            <a:avLst/>
                          </a:prstGeom>
                        </pic:spPr>
                      </pic:pic>
                    </a:graphicData>
                  </a:graphic>
                </wp:inline>
              </w:drawing>
            </w:r>
            <w:r>
              <w:rPr/>
              <w:t xml:space="preserve"> </w:t>
            </w:r>
          </w:p>
          <w:p>
            <w:pPr>
              <w:pStyle w:val="TableContents"/>
              <w:bidi w:val="0"/>
              <w:spacing w:before="0" w:after="20"/>
              <w:jc w:val="left"/>
              <w:rPr/>
            </w:pPr>
            <w:r>
              <w:rPr/>
              <w:t> </w:t>
            </w:r>
          </w:p>
        </w:tc>
      </w:tr>
      <w:tr>
        <w:trPr/>
        <w:tc>
          <w:tcPr>
            <w:tcW w:w="3489" w:type="dxa"/>
            <w:tcBorders/>
          </w:tcPr>
          <w:p>
            <w:pPr>
              <w:pStyle w:val="TableContents"/>
              <w:bidi w:val="0"/>
              <w:spacing w:before="0" w:after="0"/>
              <w:jc w:val="left"/>
              <w:rPr>
                <w:rFonts w:ascii="Times New Roman" w:hAnsi="Times New Roman"/>
                <w:b/>
                <w:sz w:val="20"/>
              </w:rPr>
            </w:pPr>
            <w:r>
              <w:rPr>
                <w:rFonts w:ascii="Times New Roman" w:hAnsi="Times New Roman"/>
                <w:b/>
                <w:sz w:val="20"/>
              </w:rPr>
              <w:t>Exhibit 5</w:t>
            </w:r>
          </w:p>
          <w:p>
            <w:pPr>
              <w:pStyle w:val="TableContents"/>
              <w:bidi w:val="0"/>
              <w:spacing w:before="0" w:after="0"/>
              <w:jc w:val="left"/>
              <w:rPr>
                <w:rFonts w:ascii="Times New Roman" w:hAnsi="Times New Roman"/>
                <w:sz w:val="20"/>
              </w:rPr>
            </w:pPr>
            <w:r>
              <w:rPr>
                <w:rFonts w:ascii="Times New Roman" w:hAnsi="Times New Roman"/>
                <w:sz w:val="20"/>
              </w:rPr>
              <w:t>Stellantis N.V.</w:t>
            </w:r>
          </w:p>
          <w:p>
            <w:pPr>
              <w:pStyle w:val="TableContents"/>
              <w:bidi w:val="0"/>
              <w:spacing w:before="0" w:after="0"/>
              <w:jc w:val="left"/>
              <w:rPr>
                <w:rFonts w:ascii="Times New Roman" w:hAnsi="Times New Roman"/>
                <w:sz w:val="20"/>
              </w:rPr>
            </w:pPr>
            <w:r>
              <w:rPr>
                <w:rFonts w:ascii="Times New Roman" w:hAnsi="Times New Roman"/>
                <w:sz w:val="20"/>
              </w:rPr>
              <w:t>Taurusavenue 1</w:t>
            </w:r>
          </w:p>
          <w:p>
            <w:pPr>
              <w:pStyle w:val="TableContents"/>
              <w:bidi w:val="0"/>
              <w:spacing w:before="0" w:after="0"/>
              <w:jc w:val="left"/>
              <w:rPr>
                <w:rFonts w:ascii="Times New Roman" w:hAnsi="Times New Roman"/>
                <w:sz w:val="20"/>
              </w:rPr>
            </w:pPr>
            <w:r>
              <w:rPr>
                <w:rFonts w:ascii="Times New Roman" w:hAnsi="Times New Roman"/>
                <w:sz w:val="20"/>
              </w:rPr>
              <w:t>2132 LS Hoofddorp</w:t>
            </w:r>
          </w:p>
          <w:p>
            <w:pPr>
              <w:pStyle w:val="TableContents"/>
              <w:bidi w:val="0"/>
              <w:spacing w:before="0" w:after="0"/>
              <w:jc w:val="left"/>
              <w:rPr>
                <w:rFonts w:ascii="Times New Roman" w:hAnsi="Times New Roman"/>
                <w:sz w:val="20"/>
              </w:rPr>
            </w:pPr>
            <w:r>
              <w:rPr>
                <w:rFonts w:ascii="Times New Roman" w:hAnsi="Times New Roman"/>
                <w:sz w:val="20"/>
              </w:rPr>
              <w:t>The Netherlands</w:t>
            </w:r>
          </w:p>
          <w:p>
            <w:pPr>
              <w:pStyle w:val="TableContents"/>
              <w:bidi w:val="0"/>
              <w:spacing w:before="0" w:after="20"/>
              <w:jc w:val="left"/>
              <w:rPr>
                <w:rFonts w:ascii="Times New Roman" w:hAnsi="Times New Roman"/>
                <w:sz w:val="20"/>
              </w:rPr>
            </w:pPr>
            <w:r>
              <w:rPr>
                <w:rFonts w:ascii="Times New Roman" w:hAnsi="Times New Roman"/>
                <w:sz w:val="20"/>
              </w:rPr>
              <w:t>(the “</w:t>
            </w:r>
            <w:r>
              <w:rPr>
                <w:rFonts w:ascii="Times New Roman" w:hAnsi="Times New Roman"/>
                <w:b/>
                <w:sz w:val="20"/>
              </w:rPr>
              <w:t>Company</w:t>
            </w:r>
            <w:r>
              <w:rPr>
                <w:rFonts w:ascii="Times New Roman" w:hAnsi="Times New Roman"/>
                <w:sz w:val="20"/>
              </w:rPr>
              <w:t>”)</w:t>
            </w:r>
          </w:p>
        </w:tc>
        <w:tc>
          <w:tcPr>
            <w:tcW w:w="120" w:type="dxa"/>
            <w:tcBorders/>
            <w:vAlign w:val="bottom"/>
          </w:tcPr>
          <w:p>
            <w:pPr>
              <w:pStyle w:val="TableContents"/>
              <w:bidi w:val="0"/>
              <w:spacing w:before="0" w:after="283"/>
              <w:jc w:val="left"/>
              <w:rPr/>
            </w:pPr>
            <w:r>
              <w:rPr/>
              <w:t>  </w:t>
            </w:r>
          </w:p>
        </w:tc>
        <w:tc>
          <w:tcPr>
            <w:tcW w:w="2934"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542" w:type="dxa"/>
            <w:tcBorders/>
          </w:tcPr>
          <w:p>
            <w:pPr>
              <w:pStyle w:val="TableContents"/>
              <w:bidi w:val="0"/>
              <w:spacing w:before="0" w:after="0"/>
              <w:jc w:val="left"/>
              <w:rPr/>
            </w:pPr>
            <w:r>
              <w:rPr/>
              <w:t>   </w:t>
            </w:r>
            <w:r>
              <w:rPr>
                <w:rFonts w:ascii="Times New Roman" w:hAnsi="Times New Roman"/>
                <w:sz w:val="20"/>
              </w:rPr>
              <w:t>Burgerweeshuispad 201</w:t>
            </w:r>
          </w:p>
          <w:p>
            <w:pPr>
              <w:pStyle w:val="TableContents"/>
              <w:bidi w:val="0"/>
              <w:spacing w:before="0" w:after="0"/>
              <w:jc w:val="left"/>
              <w:rPr/>
            </w:pPr>
            <w:r>
              <w:rPr/>
              <w:t>   </w:t>
            </w:r>
            <w:r>
              <w:rPr>
                <w:rFonts w:ascii="Times New Roman" w:hAnsi="Times New Roman"/>
                <w:sz w:val="20"/>
              </w:rPr>
              <w:t>P.O. Box 75084</w:t>
            </w:r>
          </w:p>
          <w:p>
            <w:pPr>
              <w:pStyle w:val="TableContents"/>
              <w:bidi w:val="0"/>
              <w:spacing w:before="0" w:after="0"/>
              <w:jc w:val="left"/>
              <w:rPr/>
            </w:pPr>
            <w:r>
              <w:rPr/>
              <w:t>   </w:t>
            </w:r>
            <w:r>
              <w:rPr>
                <w:rFonts w:ascii="Times New Roman" w:hAnsi="Times New Roman"/>
                <w:sz w:val="20"/>
              </w:rPr>
              <w:t>1070 AB Amsterdam</w:t>
            </w:r>
          </w:p>
          <w:p>
            <w:pPr>
              <w:pStyle w:val="TableContents"/>
              <w:bidi w:val="0"/>
              <w:spacing w:before="0" w:after="0"/>
              <w:jc w:val="left"/>
              <w:rPr/>
            </w:pPr>
            <w:r>
              <w:rPr/>
              <w:t> </w:t>
            </w:r>
          </w:p>
          <w:p>
            <w:pPr>
              <w:pStyle w:val="TableContents"/>
              <w:bidi w:val="0"/>
              <w:spacing w:before="0" w:after="0"/>
              <w:jc w:val="left"/>
              <w:rPr/>
            </w:pPr>
            <w:r>
              <w:rPr/>
              <w:t>   </w:t>
            </w:r>
            <w:r>
              <w:rPr>
                <w:rFonts w:ascii="Times New Roman" w:hAnsi="Times New Roman"/>
                <w:sz w:val="20"/>
              </w:rPr>
              <w:t>T +31 20 577 1771</w:t>
            </w:r>
          </w:p>
          <w:p>
            <w:pPr>
              <w:pStyle w:val="TableContents"/>
              <w:bidi w:val="0"/>
              <w:spacing w:before="0" w:after="20"/>
              <w:jc w:val="left"/>
              <w:rPr/>
            </w:pPr>
            <w:r>
              <w:rPr/>
              <w:t>   </w:t>
            </w:r>
            <w:r>
              <w:rPr>
                <w:rFonts w:ascii="Times New Roman" w:hAnsi="Times New Roman"/>
                <w:sz w:val="20"/>
              </w:rPr>
              <w:t>F +31 20 577 1775</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24"/>
        <w:gridCol w:w="121"/>
        <w:gridCol w:w="3545"/>
        <w:gridCol w:w="121"/>
        <w:gridCol w:w="2894"/>
      </w:tblGrid>
      <w:tr>
        <w:trPr/>
        <w:tc>
          <w:tcPr>
            <w:tcW w:w="3524"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54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894" w:type="dxa"/>
            <w:tcBorders/>
            <w:vAlign w:val="center"/>
          </w:tcPr>
          <w:p>
            <w:pPr>
              <w:pStyle w:val="TableContents"/>
              <w:bidi w:val="0"/>
              <w:spacing w:before="0" w:after="283"/>
              <w:jc w:val="left"/>
              <w:rPr>
                <w:sz w:val="4"/>
                <w:szCs w:val="4"/>
              </w:rPr>
            </w:pPr>
            <w:r>
              <w:rPr>
                <w:sz w:val="4"/>
                <w:szCs w:val="4"/>
              </w:rPr>
            </w:r>
          </w:p>
        </w:tc>
      </w:tr>
      <w:tr>
        <w:trPr/>
        <w:tc>
          <w:tcPr>
            <w:tcW w:w="3524" w:type="dxa"/>
            <w:tcBorders/>
          </w:tcPr>
          <w:p>
            <w:pPr>
              <w:pStyle w:val="TableContents"/>
              <w:bidi w:val="0"/>
              <w:spacing w:before="0" w:after="0"/>
              <w:jc w:val="left"/>
              <w:rPr>
                <w:rFonts w:ascii="Times New Roman" w:hAnsi="Times New Roman"/>
                <w:sz w:val="20"/>
              </w:rPr>
            </w:pPr>
            <w:r>
              <w:rPr>
                <w:rFonts w:ascii="Times New Roman" w:hAnsi="Times New Roman"/>
                <w:sz w:val="20"/>
              </w:rPr>
              <w:t>Date 16 September 2026</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Our ref. M47850709/5/20731795</w:t>
            </w:r>
          </w:p>
        </w:tc>
        <w:tc>
          <w:tcPr>
            <w:tcW w:w="121" w:type="dxa"/>
            <w:tcBorders/>
            <w:vAlign w:val="bottom"/>
          </w:tcPr>
          <w:p>
            <w:pPr>
              <w:pStyle w:val="TableContents"/>
              <w:bidi w:val="0"/>
              <w:spacing w:before="0" w:after="283"/>
              <w:jc w:val="left"/>
              <w:rPr/>
            </w:pPr>
            <w:r>
              <w:rPr/>
              <w:t>  </w:t>
            </w:r>
          </w:p>
        </w:tc>
        <w:tc>
          <w:tcPr>
            <w:tcW w:w="3545" w:type="dxa"/>
            <w:tcBorders/>
          </w:tcPr>
          <w:p>
            <w:pPr>
              <w:pStyle w:val="TableContents"/>
              <w:bidi w:val="0"/>
              <w:spacing w:before="0" w:after="0"/>
              <w:jc w:val="left"/>
              <w:rPr>
                <w:rFonts w:ascii="Times New Roman" w:hAnsi="Times New Roman"/>
                <w:sz w:val="20"/>
              </w:rPr>
            </w:pPr>
            <w:r>
              <w:rPr>
                <w:rFonts w:ascii="Times New Roman" w:hAnsi="Times New Roman"/>
                <w:sz w:val="20"/>
              </w:rPr>
              <w:t>B.J. Boutellier</w:t>
            </w:r>
          </w:p>
          <w:p>
            <w:pPr>
              <w:pStyle w:val="TableContents"/>
              <w:bidi w:val="0"/>
              <w:spacing w:before="0" w:after="0"/>
              <w:jc w:val="left"/>
              <w:rPr>
                <w:rFonts w:ascii="Times New Roman" w:hAnsi="Times New Roman"/>
                <w:sz w:val="20"/>
              </w:rPr>
            </w:pPr>
            <w:r>
              <w:rPr>
                <w:rFonts w:ascii="Times New Roman" w:hAnsi="Times New Roman"/>
                <w:sz w:val="20"/>
              </w:rPr>
              <w:t>E bas.boutellier@debrauw.com</w:t>
            </w:r>
          </w:p>
          <w:p>
            <w:pPr>
              <w:pStyle w:val="TableContents"/>
              <w:bidi w:val="0"/>
              <w:spacing w:before="0" w:after="0"/>
              <w:jc w:val="left"/>
              <w:rPr>
                <w:rFonts w:ascii="Times New Roman" w:hAnsi="Times New Roman"/>
                <w:sz w:val="20"/>
              </w:rPr>
            </w:pPr>
            <w:r>
              <w:rPr>
                <w:rFonts w:ascii="Times New Roman" w:hAnsi="Times New Roman"/>
                <w:sz w:val="20"/>
              </w:rPr>
              <w:t>T +31 20 577 1442</w:t>
            </w:r>
          </w:p>
          <w:p>
            <w:pPr>
              <w:pStyle w:val="TableContents"/>
              <w:bidi w:val="0"/>
              <w:spacing w:before="0" w:after="20"/>
              <w:jc w:val="left"/>
              <w:rPr>
                <w:rFonts w:ascii="Times New Roman" w:hAnsi="Times New Roman"/>
                <w:sz w:val="20"/>
              </w:rPr>
            </w:pPr>
            <w:r>
              <w:rPr>
                <w:rFonts w:ascii="Times New Roman" w:hAnsi="Times New Roman"/>
                <w:sz w:val="20"/>
              </w:rPr>
              <w:t>F +31 20 577 1775</w:t>
            </w:r>
          </w:p>
        </w:tc>
        <w:tc>
          <w:tcPr>
            <w:tcW w:w="121" w:type="dxa"/>
            <w:tcBorders/>
            <w:vAlign w:val="bottom"/>
          </w:tcPr>
          <w:p>
            <w:pPr>
              <w:pStyle w:val="TableContents"/>
              <w:bidi w:val="0"/>
              <w:spacing w:before="0" w:after="283"/>
              <w:jc w:val="left"/>
              <w:rPr/>
            </w:pPr>
            <w:r>
              <w:rPr/>
              <w:t>  </w:t>
            </w:r>
          </w:p>
        </w:tc>
        <w:tc>
          <w:tcPr>
            <w:tcW w:w="2894" w:type="dxa"/>
            <w:tcBorders/>
          </w:tcPr>
          <w:p>
            <w:pPr>
              <w:pStyle w:val="TableContents"/>
              <w:bidi w:val="0"/>
              <w:spacing w:before="0" w:after="283"/>
              <w:jc w:val="left"/>
              <w:rPr>
                <w:sz w:val="4"/>
                <w:szCs w:val="4"/>
              </w:rPr>
            </w:pPr>
            <w:r>
              <w:rPr>
                <w:sz w:val="4"/>
                <w:szCs w:val="4"/>
              </w:rPr>
            </w:r>
          </w:p>
        </w:tc>
      </w:tr>
    </w:tbl>
    <w:p>
      <w:pPr>
        <w:pStyle w:val="TextBody"/>
        <w:bidi w:val="0"/>
        <w:spacing w:before="480" w:after="0"/>
        <w:jc w:val="left"/>
        <w:rPr>
          <w:rFonts w:ascii="Times New Roman" w:hAnsi="Times New Roman"/>
          <w:sz w:val="20"/>
        </w:rPr>
      </w:pPr>
      <w:r>
        <w:rPr>
          <w:rFonts w:ascii="Times New Roman" w:hAnsi="Times New Roman"/>
          <w:sz w:val="20"/>
        </w:rPr>
        <w:t xml:space="preserve">Re: </w:t>
      </w:r>
    </w:p>
    <w:p>
      <w:pPr>
        <w:pStyle w:val="TextBody"/>
        <w:bidi w:val="0"/>
        <w:spacing w:before="240" w:after="0"/>
        <w:jc w:val="left"/>
        <w:rPr>
          <w:rFonts w:ascii="Times New Roman" w:hAnsi="Times New Roman"/>
          <w:sz w:val="20"/>
        </w:rPr>
      </w:pPr>
      <w:r>
        <w:rPr>
          <w:rFonts w:ascii="Times New Roman" w:hAnsi="Times New Roman"/>
          <w:sz w:val="20"/>
        </w:rPr>
        <w:t xml:space="preserve">Dear Sir/Madam,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Stellantis N.V. (the “Company”) </w:t>
      </w:r>
    </w:p>
    <w:p>
      <w:pPr>
        <w:pStyle w:val="TextBody"/>
        <w:bidi w:val="0"/>
        <w:spacing w:before="0" w:after="0"/>
        <w:jc w:val="center"/>
        <w:rPr>
          <w:rFonts w:ascii="Times New Roman" w:hAnsi="Times New Roman"/>
          <w:b/>
          <w:sz w:val="20"/>
        </w:rPr>
      </w:pPr>
      <w:r>
        <w:rPr>
          <w:rFonts w:ascii="Times New Roman" w:hAnsi="Times New Roman"/>
          <w:b/>
          <w:sz w:val="20"/>
        </w:rPr>
        <w:t xml:space="preserve">Registration with the SEC of the Guarantees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rPr>
            </w:pPr>
            <w:r>
              <w:rPr>
                <w:b/>
              </w:rPr>
              <w:t>1</w:t>
            </w:r>
          </w:p>
        </w:tc>
        <w:tc>
          <w:tcPr>
            <w:tcW w:w="980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INTRODUCTION </w:t>
            </w:r>
          </w:p>
        </w:tc>
      </w:tr>
    </w:tbl>
    <w:p>
      <w:pPr>
        <w:pStyle w:val="TextBody"/>
        <w:bidi w:val="0"/>
        <w:spacing w:before="120" w:after="0"/>
        <w:jc w:val="left"/>
        <w:rPr>
          <w:rFonts w:ascii="Times New Roman" w:hAnsi="Times New Roman"/>
          <w:sz w:val="20"/>
        </w:rPr>
      </w:pPr>
      <w:r>
        <w:rPr>
          <w:rFonts w:ascii="Times New Roman" w:hAnsi="Times New Roman"/>
          <w:sz w:val="20"/>
        </w:rPr>
        <w:t>We, De Brauw Blackstone Westbroek N.V., (“</w:t>
      </w:r>
      <w:r>
        <w:rPr>
          <w:rFonts w:ascii="Times New Roman" w:hAnsi="Times New Roman"/>
          <w:b/>
          <w:sz w:val="20"/>
        </w:rPr>
        <w:t>De Brauw</w:t>
      </w:r>
      <w:r>
        <w:rPr>
          <w:rFonts w:ascii="Times New Roman" w:hAnsi="Times New Roman"/>
          <w:sz w:val="20"/>
        </w:rPr>
        <w:t xml:space="preserve">”) act as Dutch legal advisers to the Company in connection with the Registration. </w:t>
      </w:r>
    </w:p>
    <w:p>
      <w:pPr>
        <w:pStyle w:val="TextBody"/>
        <w:bidi w:val="0"/>
        <w:spacing w:before="240" w:after="0"/>
        <w:jc w:val="left"/>
        <w:rPr>
          <w:rFonts w:ascii="Times New Roman" w:hAnsi="Times New Roman"/>
          <w:sz w:val="20"/>
        </w:rPr>
      </w:pPr>
      <w:r>
        <w:rPr>
          <w:rFonts w:ascii="Times New Roman" w:hAnsi="Times New Roman"/>
          <w:sz w:val="20"/>
        </w:rPr>
        <w:t xml:space="preserve">Certain terms used in this opinion are defined in the </w:t>
      </w:r>
      <w:r>
        <w:rPr>
          <w:rFonts w:ascii="Times New Roman" w:hAnsi="Times New Roman"/>
          <w:b/>
          <w:sz w:val="20"/>
        </w:rPr>
        <w:t>Annex</w:t>
      </w:r>
      <w:r>
        <w:rPr>
          <w:rFonts w:ascii="Times New Roman" w:hAnsi="Times New Roman"/>
          <w:sz w:val="20"/>
        </w:rPr>
        <w:t xml:space="preserve"> (</w:t>
      </w:r>
      <w:r>
        <w:rPr>
          <w:rFonts w:ascii="Times New Roman" w:hAnsi="Times New Roman"/>
          <w:i/>
          <w:sz w:val="20"/>
        </w:rPr>
        <w:t>Definitions</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2</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SCOPE OF WORK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set out in paragraphs 1 and 7, we give this opinion as Dutch legal advisers and our duty of care is governed by Dutch law. By implication: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opinion is limited to Dutch law. It (including all terms used in it) is to be construed in accordance with Dutch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(b)</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required by Dutch law, in preparing and issuing this opinion, we have observed the care which is to be expected from a reasonably proficient and reasonably acting Dutch opinion giver in similar circumstances (including our reputation) and accordingly: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sz w:val="16"/>
        </w:rPr>
      </w:pPr>
      <w:r>
        <w:rPr>
          <w:rFonts w:ascii="Times New Roman" w:hAnsi="Times New Roman"/>
          <w:sz w:val="16"/>
        </w:rPr>
        <w:t xml:space="preserve">De Brauw Blackstone Westbroek N.V., Amsterdam, is registered with the Trade Register in the Netherlands under no. 27171912. </w:t>
      </w:r>
    </w:p>
    <w:p>
      <w:pPr>
        <w:pStyle w:val="TextBody"/>
        <w:bidi w:val="0"/>
        <w:spacing w:before="240" w:after="0"/>
        <w:jc w:val="left"/>
        <w:rPr>
          <w:rFonts w:ascii="Times New Roman" w:hAnsi="Times New Roman"/>
          <w:sz w:val="16"/>
        </w:rPr>
      </w:pPr>
      <w:r>
        <w:rPr>
          <w:rFonts w:ascii="Times New Roman" w:hAnsi="Times New Roman"/>
          <w:sz w:val="16"/>
        </w:rPr>
        <w:t xml:space="preserve">All services and other work are carried out under an agreement of instruction (“overeenkomst van opdracht”) with De Brauw Blackstone Westbroek N.V. The agreement is subject to the General Conditions, which have been filed with the register of the District Court in Amsterdam and contain a limitation of liability. </w:t>
      </w:r>
    </w:p>
    <w:p>
      <w:pPr>
        <w:pStyle w:val="TextBody"/>
        <w:bidi w:val="0"/>
        <w:spacing w:before="0" w:after="0"/>
        <w:jc w:val="left"/>
        <w:rPr>
          <w:rFonts w:ascii="Times New Roman" w:hAnsi="Times New Roman"/>
          <w:sz w:val="16"/>
        </w:rPr>
      </w:pPr>
      <w:r>
        <w:rPr>
          <w:rFonts w:ascii="Times New Roman" w:hAnsi="Times New Roman"/>
          <w:sz w:val="16"/>
        </w:rPr>
        <w:t xml:space="preserve">Client account notaries ING Bank IBAN NL83INGB0693213876 BIC INGBNL2A. </w:t>
      </w:r>
      <w:r>
        <w:br w:type="page"/>
      </w:r>
    </w:p>
    <w:p>
      <w:pPr>
        <w:pStyle w:val="HorizontalLine"/>
        <w:pBdr>
          <w:bottom w:val="double" w:sz="6" w:space="0" w:color="808080"/>
        </w:pBdr>
        <w:bidi w:val="0"/>
        <w:jc w:val="left"/>
        <w:rPr/>
      </w:pPr>
      <w:r>
        <w:rPr/>
      </w:r>
    </w:p>
    <w:p>
      <w:pPr>
        <w:pStyle w:val="TextBody"/>
        <w:bidi w:val="0"/>
        <w:spacing w:before="0" w:after="0"/>
        <w:jc w:val="right"/>
        <w:rPr/>
      </w:pPr>
      <w:r>
        <w:rPr/>
        <w:drawing>
          <wp:inline distT="0" distB="0" distL="0" distR="0">
            <wp:extent cx="1468755" cy="61976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468755" cy="619760"/>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8"/>
        <w:gridCol w:w="8881"/>
      </w:tblGrid>
      <w:tr>
        <w:trPr/>
        <w:tc>
          <w:tcPr>
            <w:tcW w:w="9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performed the factual research set out in paragraph 3 and not any additional fact-finding actions (including not in respect of the correctness of the assumptions in paragraph 4 or the applicability of the qualifications in paragraph 6 except as expressly set out in 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examined the text of the documents listed in paragraph 3 and not researched their meaning and effect beyond their semantic meaning to a Dutch opinion giver (including not their meaning and effect under any law other than Dutch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performed legal research into Dutch law reasonably likely to be relevant to this opinion and not any additional legal research (including into Dutch law not in effect on or prior to the date of this opinion);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(iv)</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do not express any opinion or view other than as expressly set out in paragraphs 5 and 6 (including not in respect of any document, or on any reference to a document, not listed in paragraph 3).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opinion is limited to its date.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3</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FACTUAL RESEARCH </w:t>
            </w:r>
          </w:p>
        </w:tc>
      </w:tr>
    </w:tbl>
    <w:p>
      <w:pPr>
        <w:pStyle w:val="TextBody"/>
        <w:bidi w:val="0"/>
        <w:spacing w:before="120" w:after="0"/>
        <w:jc w:val="left"/>
        <w:rPr>
          <w:rFonts w:ascii="Times New Roman" w:hAnsi="Times New Roman"/>
          <w:sz w:val="20"/>
        </w:rPr>
      </w:pPr>
      <w:r>
        <w:rPr>
          <w:rFonts w:ascii="Times New Roman" w:hAnsi="Times New Roman"/>
          <w:sz w:val="20"/>
        </w:rPr>
        <w:t xml:space="preserve">We have examined the following documents: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copy 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Agreement signed by the Company;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Preliminary Prospectus and the 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(b)</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copy 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the Company’s deed of incorporation and its Articles of Association, as provided by the Chamber of Commerce (</w:t>
            </w:r>
            <w:r>
              <w:rPr>
                <w:rFonts w:ascii="Times New Roman" w:hAnsi="Times New Roman"/>
                <w:i/>
                <w:sz w:val="20"/>
              </w:rPr>
              <w:t>Kamer van Koophandel</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Board Regulations;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Trade Register Extract.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copy of each Corporate Resolution. </w:t>
            </w:r>
          </w:p>
        </w:tc>
      </w:tr>
    </w:tbl>
    <w:p>
      <w:pPr>
        <w:pStyle w:val="TextBody"/>
        <w:bidi w:val="0"/>
        <w:spacing w:before="0" w:after="0"/>
        <w:jc w:val="left"/>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540"/>
        <w:gridCol w:w="122"/>
        <w:gridCol w:w="543"/>
      </w:tblGrid>
      <w:tr>
        <w:trPr/>
        <w:tc>
          <w:tcPr>
            <w:tcW w:w="954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r>
      <w:tr>
        <w:trPr/>
        <w:tc>
          <w:tcPr>
            <w:tcW w:w="9540" w:type="dxa"/>
            <w:tcBorders/>
          </w:tcPr>
          <w:p>
            <w:pPr>
              <w:pStyle w:val="TableContents"/>
              <w:bidi w:val="0"/>
              <w:spacing w:before="0" w:after="283"/>
              <w:jc w:val="left"/>
              <w:rPr/>
            </w:pPr>
            <w:r>
              <w:rPr/>
              <w:t>Legal opinion on Stellantis N.V.</w:t>
            </w:r>
          </w:p>
        </w:tc>
        <w:tc>
          <w:tcPr>
            <w:tcW w:w="122" w:type="dxa"/>
            <w:tcBorders/>
            <w:vAlign w:val="bottom"/>
          </w:tcPr>
          <w:p>
            <w:pPr>
              <w:pStyle w:val="TableContents"/>
              <w:bidi w:val="0"/>
              <w:spacing w:before="0" w:after="283"/>
              <w:jc w:val="left"/>
              <w:rPr/>
            </w:pPr>
            <w:r>
              <w:rPr/>
              <w:t> </w:t>
            </w:r>
          </w:p>
        </w:tc>
        <w:tc>
          <w:tcPr>
            <w:tcW w:w="54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540" w:type="dxa"/>
            <w:tcBorders/>
            <w:vAlign w:val="center"/>
          </w:tcPr>
          <w:p>
            <w:pPr>
              <w:pStyle w:val="TableContents"/>
              <w:bidi w:val="0"/>
              <w:spacing w:before="0" w:after="283"/>
              <w:jc w:val="left"/>
              <w:rPr>
                <w:sz w:val="4"/>
                <w:szCs w:val="4"/>
              </w:rPr>
            </w:pPr>
            <w:r>
              <w:rPr>
                <w:sz w:val="4"/>
                <w:szCs w:val="4"/>
              </w:rPr>
            </w:r>
          </w:p>
        </w:tc>
        <w:tc>
          <w:tcPr>
            <w:tcW w:w="665" w:type="dxa"/>
            <w:gridSpan w:val="2"/>
            <w:tcBorders/>
            <w:vAlign w:val="center"/>
          </w:tcPr>
          <w:p>
            <w:pPr>
              <w:pStyle w:val="TableContents"/>
              <w:bidi w:val="0"/>
              <w:spacing w:before="0" w:after="283"/>
              <w:jc w:val="left"/>
              <w:rPr>
                <w:sz w:val="4"/>
                <w:szCs w:val="4"/>
              </w:rPr>
            </w:pPr>
            <w:r>
              <w:rPr>
                <w:sz w:val="4"/>
                <w:szCs w:val="4"/>
              </w:rPr>
            </w:r>
          </w:p>
        </w:tc>
      </w:tr>
      <w:tr>
        <w:trPr/>
        <w:tc>
          <w:tcPr>
            <w:tcW w:w="9540" w:type="dxa"/>
            <w:tcBorders/>
          </w:tcPr>
          <w:p>
            <w:pPr>
              <w:pStyle w:val="TableContents"/>
              <w:bidi w:val="0"/>
              <w:spacing w:before="0" w:after="283"/>
              <w:jc w:val="left"/>
              <w:rPr/>
            </w:pPr>
            <w:r>
              <w:rPr/>
              <w:t>Our ref. M47850709/5/20731795</w:t>
            </w:r>
          </w:p>
        </w:tc>
        <w:tc>
          <w:tcPr>
            <w:tcW w:w="122" w:type="dxa"/>
            <w:tcBorders/>
            <w:vAlign w:val="bottom"/>
          </w:tcPr>
          <w:p>
            <w:pPr>
              <w:pStyle w:val="TableContents"/>
              <w:bidi w:val="0"/>
              <w:spacing w:before="0" w:after="283"/>
              <w:jc w:val="left"/>
              <w:rPr/>
            </w:pPr>
            <w:r>
              <w:rPr/>
              <w:t> </w:t>
            </w:r>
          </w:p>
        </w:tc>
        <w:tc>
          <w:tcPr>
            <w:tcW w:w="543" w:type="dxa"/>
            <w:tcBorders/>
            <w:vAlign w:val="bottom"/>
          </w:tcPr>
          <w:p>
            <w:pPr>
              <w:pStyle w:val="TableContents"/>
              <w:bidi w:val="0"/>
              <w:spacing w:before="0" w:after="283"/>
              <w:jc w:val="left"/>
              <w:rPr/>
            </w:pPr>
            <w:r>
              <w:rPr>
                <w:b/>
              </w:rPr>
              <w:t>2 / </w:t>
            </w:r>
            <w:r>
              <w:rPr/>
              <w:t>16</w:t>
            </w:r>
          </w:p>
        </w:tc>
      </w:tr>
    </w:tbl>
    <w:p>
      <w:pPr>
        <w:pStyle w:val="HorizontalLine"/>
        <w:pBdr>
          <w:bottom w:val="double" w:sz="6" w:space="0" w:color="808080"/>
        </w:pBdr>
        <w:bidi w:val="0"/>
        <w:jc w:val="left"/>
        <w:rPr/>
      </w:pPr>
      <w:r>
        <w:br w:type="page"/>
      </w:r>
      <w:r>
        <w:rPr/>
      </w:r>
    </w:p>
    <w:p>
      <w:pPr>
        <w:pStyle w:val="TextBody"/>
        <w:bidi w:val="0"/>
        <w:spacing w:before="0" w:after="0"/>
        <w:jc w:val="right"/>
        <w:rPr/>
      </w:pPr>
      <w:r>
        <w:rPr/>
        <w:drawing>
          <wp:inline distT="0" distB="0" distL="0" distR="0">
            <wp:extent cx="1468755" cy="61976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468755" cy="619760"/>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(d)</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copy of each Power of Attorney.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we have obtained the following confirmations on the date of this opinion: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(e)</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Confirmation by telephone from the Chamber of Commerce that the Trade Register Extract is up to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(f)</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Confirmation through https://data.europa.eu/data/datasets/consolidated-list-of-persons-groups-and-entities-subject-to-eu-financial-sanctions?locale=en and https://www.rijksoverheid.nl/documenten/rapporten/2015/08/27/nationale-terrorismelijst that the Company is not included on any Sanctions List.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(g)</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Confirmation through www.rechtspraak.nl, derived from the Central Insolvency Register (including from the segments for EU registrations and publications about public composition proceedings outside bankruptcy), that the Company is not registered as being subject to a public Dutch Insolvency or foreign Insolvency Proceedings.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4</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ASSUMPTIONS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We have made the following assumptions: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(i)</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copy document conforms to the original and each original is genuine and complete.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w:t>
            </w:r>
          </w:p>
        </w:tc>
        <w:tc>
          <w:tcPr>
            <w:tcW w:w="8880"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signature (including each electronic signature) is the genuine signature of the individual concerned.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electronic signature is a qualified electronic signature or the signing method used for it is sufficiently reliable.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confirmation listed in paragraph 3 is true.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(iv)</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Agreement has been signed by all parties in the form referred to in this opinion.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(b)</w:t>
            </w:r>
          </w:p>
        </w:tc>
        <w:tc>
          <w:tcPr>
            <w:tcW w:w="9797"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Board Regulations remain in force without modification.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540"/>
        <w:gridCol w:w="122"/>
        <w:gridCol w:w="543"/>
      </w:tblGrid>
      <w:tr>
        <w:trPr/>
        <w:tc>
          <w:tcPr>
            <w:tcW w:w="954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r>
      <w:tr>
        <w:trPr/>
        <w:tc>
          <w:tcPr>
            <w:tcW w:w="9540" w:type="dxa"/>
            <w:tcBorders/>
          </w:tcPr>
          <w:p>
            <w:pPr>
              <w:pStyle w:val="TableContents"/>
              <w:bidi w:val="0"/>
              <w:spacing w:before="0" w:after="283"/>
              <w:jc w:val="left"/>
              <w:rPr/>
            </w:pPr>
            <w:r>
              <w:rPr/>
              <w:t>Legal opinion on Stellantis N.V.</w:t>
            </w:r>
          </w:p>
        </w:tc>
        <w:tc>
          <w:tcPr>
            <w:tcW w:w="122" w:type="dxa"/>
            <w:tcBorders/>
            <w:vAlign w:val="bottom"/>
          </w:tcPr>
          <w:p>
            <w:pPr>
              <w:pStyle w:val="TableContents"/>
              <w:bidi w:val="0"/>
              <w:spacing w:before="0" w:after="283"/>
              <w:jc w:val="left"/>
              <w:rPr/>
            </w:pPr>
            <w:r>
              <w:rPr/>
              <w:t> </w:t>
            </w:r>
          </w:p>
        </w:tc>
        <w:tc>
          <w:tcPr>
            <w:tcW w:w="54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540" w:type="dxa"/>
            <w:tcBorders/>
            <w:vAlign w:val="center"/>
          </w:tcPr>
          <w:p>
            <w:pPr>
              <w:pStyle w:val="TableContents"/>
              <w:bidi w:val="0"/>
              <w:spacing w:before="0" w:after="283"/>
              <w:jc w:val="left"/>
              <w:rPr>
                <w:sz w:val="4"/>
                <w:szCs w:val="4"/>
              </w:rPr>
            </w:pPr>
            <w:r>
              <w:rPr>
                <w:sz w:val="4"/>
                <w:szCs w:val="4"/>
              </w:rPr>
            </w:r>
          </w:p>
        </w:tc>
        <w:tc>
          <w:tcPr>
            <w:tcW w:w="665" w:type="dxa"/>
            <w:gridSpan w:val="2"/>
            <w:tcBorders/>
            <w:vAlign w:val="center"/>
          </w:tcPr>
          <w:p>
            <w:pPr>
              <w:pStyle w:val="TableContents"/>
              <w:bidi w:val="0"/>
              <w:spacing w:before="0" w:after="283"/>
              <w:jc w:val="left"/>
              <w:rPr>
                <w:sz w:val="4"/>
                <w:szCs w:val="4"/>
              </w:rPr>
            </w:pPr>
            <w:r>
              <w:rPr>
                <w:sz w:val="4"/>
                <w:szCs w:val="4"/>
              </w:rPr>
            </w:r>
          </w:p>
        </w:tc>
      </w:tr>
      <w:tr>
        <w:trPr/>
        <w:tc>
          <w:tcPr>
            <w:tcW w:w="9540" w:type="dxa"/>
            <w:tcBorders/>
          </w:tcPr>
          <w:p>
            <w:pPr>
              <w:pStyle w:val="TableContents"/>
              <w:bidi w:val="0"/>
              <w:spacing w:before="0" w:after="283"/>
              <w:jc w:val="left"/>
              <w:rPr/>
            </w:pPr>
            <w:r>
              <w:rPr/>
              <w:t>Our ref. M47850709/5/20731795</w:t>
            </w:r>
          </w:p>
        </w:tc>
        <w:tc>
          <w:tcPr>
            <w:tcW w:w="122" w:type="dxa"/>
            <w:tcBorders/>
            <w:vAlign w:val="bottom"/>
          </w:tcPr>
          <w:p>
            <w:pPr>
              <w:pStyle w:val="TableContents"/>
              <w:bidi w:val="0"/>
              <w:spacing w:before="0" w:after="283"/>
              <w:jc w:val="left"/>
              <w:rPr/>
            </w:pPr>
            <w:r>
              <w:rPr/>
              <w:t> </w:t>
            </w:r>
          </w:p>
        </w:tc>
        <w:tc>
          <w:tcPr>
            <w:tcW w:w="543" w:type="dxa"/>
            <w:tcBorders/>
            <w:vAlign w:val="bottom"/>
          </w:tcPr>
          <w:p>
            <w:pPr>
              <w:pStyle w:val="TableContents"/>
              <w:bidi w:val="0"/>
              <w:spacing w:before="0" w:after="283"/>
              <w:jc w:val="left"/>
              <w:rPr/>
            </w:pPr>
            <w:r>
              <w:rPr>
                <w:b/>
              </w:rPr>
              <w:t>3 / </w:t>
            </w:r>
            <w:r>
              <w:rPr/>
              <w:t>16</w:t>
            </w:r>
          </w:p>
        </w:tc>
      </w:tr>
    </w:tbl>
    <w:p>
      <w:pPr>
        <w:pStyle w:val="HorizontalLine"/>
        <w:pBdr>
          <w:bottom w:val="double" w:sz="6" w:space="0" w:color="808080"/>
        </w:pBdr>
        <w:bidi w:val="0"/>
        <w:jc w:val="left"/>
        <w:rPr/>
      </w:pPr>
      <w:r>
        <w:br w:type="page"/>
      </w:r>
      <w:r>
        <w:rPr/>
      </w:r>
    </w:p>
    <w:p>
      <w:pPr>
        <w:pStyle w:val="TextBody"/>
        <w:bidi w:val="0"/>
        <w:spacing w:before="0" w:after="0"/>
        <w:jc w:val="right"/>
        <w:rPr/>
      </w:pPr>
      <w:r>
        <w:rPr/>
        <w:drawing>
          <wp:inline distT="0" distB="0" distL="0" distR="0">
            <wp:extent cx="1468755" cy="61976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468755" cy="619760"/>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Corporate Resolution has been duly adopted and remains in force without modification.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There is no works council (</w:t>
            </w:r>
            <w:r>
              <w:rPr>
                <w:rFonts w:ascii="Times New Roman" w:hAnsi="Times New Roman"/>
                <w:i/>
                <w:sz w:val="20"/>
              </w:rPr>
              <w:t>ondernemingsraad</w:t>
            </w:r>
            <w:r>
              <w:rPr>
                <w:rFonts w:ascii="Times New Roman" w:hAnsi="Times New Roman"/>
                <w:sz w:val="20"/>
              </w:rPr>
              <w:t xml:space="preserve">) the advice of which must be sought on the Company’s decision to guarantee the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(c)</w:t>
            </w:r>
          </w:p>
        </w:tc>
        <w:tc>
          <w:tcPr>
            <w:tcW w:w="9797"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party other than the Company has validly entered into each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Power of Attorney remains in force without modification and no rule of law (other than Dutch law) which under the 1978 Hague Convention on the Law applicable to Agency applies or may be applied to the existence and extent of the authority of any person authorised to sign any Agreement on behalf of the Company under a Power of Attorney, adversely affects the existence and extent of that authority as expressed in that Power of Attorney (including, whether or not expressed, to sign by electronic signature).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(d)</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When validly signed by all parties (including by electronic signature), each Agreement is valid and binding on and enforceable against each party under New York law by which they are expressed to be governed.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(e)</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The Company’s assets are not intended for public use (</w:t>
            </w:r>
            <w:r>
              <w:rPr>
                <w:rFonts w:ascii="Times New Roman" w:hAnsi="Times New Roman"/>
                <w:i/>
                <w:sz w:val="20"/>
              </w:rPr>
              <w:t>de openbare</w:t>
            </w:r>
            <w:r>
              <w:rPr>
                <w:rFonts w:ascii="Times New Roman" w:hAnsi="Times New Roman"/>
                <w:sz w:val="20"/>
              </w:rPr>
              <w:t xml:space="preserve"> </w:t>
            </w:r>
            <w:r>
              <w:rPr>
                <w:rFonts w:ascii="Times New Roman" w:hAnsi="Times New Roman"/>
                <w:i/>
                <w:sz w:val="20"/>
              </w:rPr>
              <w:t>dienst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(f)</w:t>
            </w:r>
          </w:p>
        </w:tc>
        <w:tc>
          <w:tcPr>
            <w:tcW w:w="9797"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selling restrictions set out in the Prospectus and the Preliminary Prospectus have been complied with.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Notes offered to the public in the Netherlands have been, are and will be so offered in accordance with the Prospectus Regulation and the Offer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Notes have not been, are not and will not be admitted to trading on the regulated market of Euronext Amsterdam or on any other regulated market in the Netherlands.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(g)</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Registration Statement has been filed with the SEC for the offering of the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(h)</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The Company and the Issuer belong to the same group (</w:t>
            </w:r>
            <w:r>
              <w:rPr>
                <w:rFonts w:ascii="Times New Roman" w:hAnsi="Times New Roman"/>
                <w:i/>
                <w:sz w:val="20"/>
              </w:rPr>
              <w:t>groep</w:t>
            </w:r>
            <w:r>
              <w:rPr>
                <w:rFonts w:ascii="Times New Roman" w:hAnsi="Times New Roman"/>
                <w:sz w:val="20"/>
              </w:rPr>
              <w:t xml:space="preserve">).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540"/>
        <w:gridCol w:w="122"/>
        <w:gridCol w:w="543"/>
      </w:tblGrid>
      <w:tr>
        <w:trPr/>
        <w:tc>
          <w:tcPr>
            <w:tcW w:w="954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r>
      <w:tr>
        <w:trPr/>
        <w:tc>
          <w:tcPr>
            <w:tcW w:w="9540" w:type="dxa"/>
            <w:tcBorders/>
          </w:tcPr>
          <w:p>
            <w:pPr>
              <w:pStyle w:val="TableContents"/>
              <w:bidi w:val="0"/>
              <w:spacing w:before="0" w:after="283"/>
              <w:jc w:val="left"/>
              <w:rPr/>
            </w:pPr>
            <w:r>
              <w:rPr/>
              <w:t>Legal opinion on Stellantis N.V.</w:t>
            </w:r>
          </w:p>
        </w:tc>
        <w:tc>
          <w:tcPr>
            <w:tcW w:w="122" w:type="dxa"/>
            <w:tcBorders/>
            <w:vAlign w:val="bottom"/>
          </w:tcPr>
          <w:p>
            <w:pPr>
              <w:pStyle w:val="TableContents"/>
              <w:bidi w:val="0"/>
              <w:spacing w:before="0" w:after="283"/>
              <w:jc w:val="left"/>
              <w:rPr/>
            </w:pPr>
            <w:r>
              <w:rPr/>
              <w:t> </w:t>
            </w:r>
          </w:p>
        </w:tc>
        <w:tc>
          <w:tcPr>
            <w:tcW w:w="54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540" w:type="dxa"/>
            <w:tcBorders/>
            <w:vAlign w:val="center"/>
          </w:tcPr>
          <w:p>
            <w:pPr>
              <w:pStyle w:val="TableContents"/>
              <w:bidi w:val="0"/>
              <w:spacing w:before="0" w:after="283"/>
              <w:jc w:val="left"/>
              <w:rPr>
                <w:sz w:val="4"/>
                <w:szCs w:val="4"/>
              </w:rPr>
            </w:pPr>
            <w:r>
              <w:rPr>
                <w:sz w:val="4"/>
                <w:szCs w:val="4"/>
              </w:rPr>
            </w:r>
          </w:p>
        </w:tc>
        <w:tc>
          <w:tcPr>
            <w:tcW w:w="665" w:type="dxa"/>
            <w:gridSpan w:val="2"/>
            <w:tcBorders/>
            <w:vAlign w:val="center"/>
          </w:tcPr>
          <w:p>
            <w:pPr>
              <w:pStyle w:val="TableContents"/>
              <w:bidi w:val="0"/>
              <w:spacing w:before="0" w:after="283"/>
              <w:jc w:val="left"/>
              <w:rPr>
                <w:sz w:val="4"/>
                <w:szCs w:val="4"/>
              </w:rPr>
            </w:pPr>
            <w:r>
              <w:rPr>
                <w:sz w:val="4"/>
                <w:szCs w:val="4"/>
              </w:rPr>
            </w:r>
          </w:p>
        </w:tc>
      </w:tr>
      <w:tr>
        <w:trPr/>
        <w:tc>
          <w:tcPr>
            <w:tcW w:w="9540" w:type="dxa"/>
            <w:tcBorders/>
          </w:tcPr>
          <w:p>
            <w:pPr>
              <w:pStyle w:val="TableContents"/>
              <w:bidi w:val="0"/>
              <w:spacing w:before="0" w:after="283"/>
              <w:jc w:val="left"/>
              <w:rPr/>
            </w:pPr>
            <w:r>
              <w:rPr/>
              <w:t>Our ref. M47850709/5/20731795</w:t>
            </w:r>
          </w:p>
        </w:tc>
        <w:tc>
          <w:tcPr>
            <w:tcW w:w="122" w:type="dxa"/>
            <w:tcBorders/>
            <w:vAlign w:val="bottom"/>
          </w:tcPr>
          <w:p>
            <w:pPr>
              <w:pStyle w:val="TableContents"/>
              <w:bidi w:val="0"/>
              <w:spacing w:before="0" w:after="283"/>
              <w:jc w:val="left"/>
              <w:rPr/>
            </w:pPr>
            <w:r>
              <w:rPr/>
              <w:t> </w:t>
            </w:r>
          </w:p>
        </w:tc>
        <w:tc>
          <w:tcPr>
            <w:tcW w:w="543" w:type="dxa"/>
            <w:tcBorders/>
            <w:vAlign w:val="bottom"/>
          </w:tcPr>
          <w:p>
            <w:pPr>
              <w:pStyle w:val="TableContents"/>
              <w:bidi w:val="0"/>
              <w:spacing w:before="0" w:after="283"/>
              <w:jc w:val="left"/>
              <w:rPr/>
            </w:pPr>
            <w:r>
              <w:rPr>
                <w:b/>
              </w:rPr>
              <w:t>4 / </w:t>
            </w:r>
            <w:r>
              <w:rPr/>
              <w:t>16</w:t>
            </w:r>
          </w:p>
        </w:tc>
      </w:tr>
    </w:tbl>
    <w:p>
      <w:pPr>
        <w:pStyle w:val="HorizontalLine"/>
        <w:pBdr>
          <w:bottom w:val="double" w:sz="6" w:space="0" w:color="808080"/>
        </w:pBdr>
        <w:bidi w:val="0"/>
        <w:jc w:val="left"/>
        <w:rPr/>
      </w:pPr>
      <w:r>
        <w:br w:type="page"/>
      </w:r>
      <w:r>
        <w:rPr/>
      </w:r>
    </w:p>
    <w:p>
      <w:pPr>
        <w:pStyle w:val="TextBody"/>
        <w:bidi w:val="0"/>
        <w:spacing w:before="0" w:after="0"/>
        <w:jc w:val="right"/>
        <w:rPr/>
      </w:pPr>
      <w:r>
        <w:rPr/>
        <w:drawing>
          <wp:inline distT="0" distB="0" distL="0" distR="0">
            <wp:extent cx="1468755" cy="61976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468755" cy="619760"/>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rPr>
            </w:pPr>
            <w:r>
              <w:rPr>
                <w:b/>
              </w:rPr>
              <w:t>5</w:t>
            </w:r>
          </w:p>
        </w:tc>
        <w:tc>
          <w:tcPr>
            <w:tcW w:w="980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OPINION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Within the limitations set out in paragraph 2, based on the factual research described in paragraph 3 and the assumptions made in paragraph 4, and subject to the qualifications in paragraph 6 and any matters not disclosed to us in the context of this opinion, we are of the following opinion: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The Company has been incorporated and exists as a public limited liability company (</w:t>
            </w:r>
            <w:r>
              <w:rPr>
                <w:rFonts w:ascii="Times New Roman" w:hAnsi="Times New Roman"/>
                <w:i/>
                <w:sz w:val="20"/>
              </w:rPr>
              <w:t>naamloze vennootschap</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(b)</w:t>
            </w:r>
          </w:p>
        </w:tc>
        <w:tc>
          <w:tcPr>
            <w:tcW w:w="9797"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has the corporate power to enter into and perform each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has taken all necessary corporate action to authorise its entry into and performance of each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has validly signed each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(c)</w:t>
            </w:r>
          </w:p>
        </w:tc>
        <w:tc>
          <w:tcPr>
            <w:tcW w:w="9797"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8"/>
        <w:gridCol w:w="8881"/>
      </w:tblGrid>
      <w:tr>
        <w:trPr/>
        <w:tc>
          <w:tcPr>
            <w:tcW w:w="9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does not require any governmental licence, dispensation, recognition or other consent for its entry into and performance of any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are no governmental registration, filing or similar formalities required to ensure the validity and binding effect on and enforceability against the Company of any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(d)</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entry into and performance of each Agreement do not violate Dutch law or its Articles of Association.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(e)</w:t>
            </w:r>
          </w:p>
        </w:tc>
        <w:tc>
          <w:tcPr>
            <w:tcW w:w="9797"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choice of New York law as the governing law of the Guarantees and the Base Indenture is recognised.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Dutch law does not restrict the validity and binding effect on and enforceability against the Company of each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(f)</w:t>
            </w:r>
          </w:p>
        </w:tc>
        <w:tc>
          <w:tcPr>
            <w:tcW w:w="9797"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validity and binding effect on and enforceability against the Company of the submission to the jurisdiction of the New York Courts in the Base Indenture: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540"/>
        <w:gridCol w:w="122"/>
        <w:gridCol w:w="543"/>
      </w:tblGrid>
      <w:tr>
        <w:trPr/>
        <w:tc>
          <w:tcPr>
            <w:tcW w:w="954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r>
      <w:tr>
        <w:trPr/>
        <w:tc>
          <w:tcPr>
            <w:tcW w:w="9540" w:type="dxa"/>
            <w:tcBorders/>
          </w:tcPr>
          <w:p>
            <w:pPr>
              <w:pStyle w:val="TableContents"/>
              <w:bidi w:val="0"/>
              <w:spacing w:before="0" w:after="283"/>
              <w:jc w:val="left"/>
              <w:rPr/>
            </w:pPr>
            <w:r>
              <w:rPr/>
              <w:t>Legal opinion on Stellantis N.V.</w:t>
            </w:r>
          </w:p>
        </w:tc>
        <w:tc>
          <w:tcPr>
            <w:tcW w:w="122" w:type="dxa"/>
            <w:tcBorders/>
            <w:vAlign w:val="bottom"/>
          </w:tcPr>
          <w:p>
            <w:pPr>
              <w:pStyle w:val="TableContents"/>
              <w:bidi w:val="0"/>
              <w:spacing w:before="0" w:after="283"/>
              <w:jc w:val="left"/>
              <w:rPr/>
            </w:pPr>
            <w:r>
              <w:rPr/>
              <w:t> </w:t>
            </w:r>
          </w:p>
        </w:tc>
        <w:tc>
          <w:tcPr>
            <w:tcW w:w="54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540" w:type="dxa"/>
            <w:tcBorders/>
            <w:vAlign w:val="center"/>
          </w:tcPr>
          <w:p>
            <w:pPr>
              <w:pStyle w:val="TableContents"/>
              <w:bidi w:val="0"/>
              <w:spacing w:before="0" w:after="283"/>
              <w:jc w:val="left"/>
              <w:rPr>
                <w:sz w:val="4"/>
                <w:szCs w:val="4"/>
              </w:rPr>
            </w:pPr>
            <w:r>
              <w:rPr>
                <w:sz w:val="4"/>
                <w:szCs w:val="4"/>
              </w:rPr>
            </w:r>
          </w:p>
        </w:tc>
        <w:tc>
          <w:tcPr>
            <w:tcW w:w="665" w:type="dxa"/>
            <w:gridSpan w:val="2"/>
            <w:tcBorders/>
            <w:vAlign w:val="center"/>
          </w:tcPr>
          <w:p>
            <w:pPr>
              <w:pStyle w:val="TableContents"/>
              <w:bidi w:val="0"/>
              <w:spacing w:before="0" w:after="283"/>
              <w:jc w:val="left"/>
              <w:rPr>
                <w:sz w:val="4"/>
                <w:szCs w:val="4"/>
              </w:rPr>
            </w:pPr>
            <w:r>
              <w:rPr>
                <w:sz w:val="4"/>
                <w:szCs w:val="4"/>
              </w:rPr>
            </w:r>
          </w:p>
        </w:tc>
      </w:tr>
      <w:tr>
        <w:trPr/>
        <w:tc>
          <w:tcPr>
            <w:tcW w:w="9540" w:type="dxa"/>
            <w:tcBorders/>
          </w:tcPr>
          <w:p>
            <w:pPr>
              <w:pStyle w:val="TableContents"/>
              <w:bidi w:val="0"/>
              <w:spacing w:before="0" w:after="283"/>
              <w:jc w:val="left"/>
              <w:rPr/>
            </w:pPr>
            <w:r>
              <w:rPr/>
              <w:t>Our ref. M47850709/5/20731795</w:t>
            </w:r>
          </w:p>
        </w:tc>
        <w:tc>
          <w:tcPr>
            <w:tcW w:w="122" w:type="dxa"/>
            <w:tcBorders/>
            <w:vAlign w:val="bottom"/>
          </w:tcPr>
          <w:p>
            <w:pPr>
              <w:pStyle w:val="TableContents"/>
              <w:bidi w:val="0"/>
              <w:spacing w:before="0" w:after="283"/>
              <w:jc w:val="left"/>
              <w:rPr/>
            </w:pPr>
            <w:r>
              <w:rPr/>
              <w:t> </w:t>
            </w:r>
          </w:p>
        </w:tc>
        <w:tc>
          <w:tcPr>
            <w:tcW w:w="543" w:type="dxa"/>
            <w:tcBorders/>
            <w:vAlign w:val="bottom"/>
          </w:tcPr>
          <w:p>
            <w:pPr>
              <w:pStyle w:val="TableContents"/>
              <w:bidi w:val="0"/>
              <w:spacing w:before="0" w:after="283"/>
              <w:jc w:val="left"/>
              <w:rPr/>
            </w:pPr>
            <w:r>
              <w:rPr>
                <w:b/>
              </w:rPr>
              <w:t>5 / </w:t>
            </w:r>
            <w:r>
              <w:rPr/>
              <w:t>16</w:t>
            </w:r>
          </w:p>
        </w:tc>
      </w:tr>
    </w:tbl>
    <w:p>
      <w:pPr>
        <w:pStyle w:val="HorizontalLine"/>
        <w:pBdr>
          <w:bottom w:val="double" w:sz="6" w:space="0" w:color="808080"/>
        </w:pBdr>
        <w:bidi w:val="0"/>
        <w:jc w:val="left"/>
        <w:rPr/>
      </w:pPr>
      <w:r>
        <w:br w:type="page"/>
      </w:r>
      <w:r>
        <w:rPr/>
      </w:r>
    </w:p>
    <w:p>
      <w:pPr>
        <w:pStyle w:val="TextBody"/>
        <w:bidi w:val="0"/>
        <w:spacing w:before="0" w:after="0"/>
        <w:jc w:val="right"/>
        <w:rPr/>
      </w:pPr>
      <w:r>
        <w:rPr/>
        <w:drawing>
          <wp:inline distT="0" distB="0" distL="0" distR="0">
            <wp:extent cx="1468755" cy="61976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468755" cy="619760"/>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1"/>
        <w:gridCol w:w="8369"/>
      </w:tblGrid>
      <w:tr>
        <w:trPr/>
        <w:tc>
          <w:tcPr>
            <w:tcW w:w="1325"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(A)</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 Dutch private international law are likely governed by New York law;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are not restricted by Dutch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validity and binding effect on and enforceability against the Company of the appointment by it in the Base Indenture of an agent for service of process: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1"/>
        <w:gridCol w:w="8369"/>
      </w:tblGrid>
      <w:tr>
        <w:trPr/>
        <w:tc>
          <w:tcPr>
            <w:tcW w:w="1325"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(A)</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governed by the law designated by New York private international law;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not restricted by Dutch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judgment in a civil or commercial matter rendered by a New York Court cannot be enforced in the Netherlands. However, if a person has obtained a final judgment without appeal in such a matter rendered by a New York Court which is enforceable in New York and files his claim with a Dutch court with jurisdiction, the Dutch court will generally recognise and give effect to the judgment insofar as it finds that (A) the jurisdiction of the court has been based on an internationally generally accepted ground, (B) proper legal procedures have been observed, (C) the judgment does not contravene Dutch public policy, and (D) the judgment is not irreconcilable with a judgment of a Dutch court or an earlier judgment of a foreign court that is capable of being recognised in the Netherlands.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(g)</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is not entitled to immunity from legal proceedings nor are its assets immune from execution.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(h)</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 Dutch court, the creditor of a claim expressed in a foreign currency may seek an order for payment at his option in that foreign currency or in the Dutch currency.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6</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QUALIFICATIONS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This opinion is subject to the following qualifications: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opinion is subject to any limitations arising from (i) rules relating to Dutch Insolvencies, (ii) rules relating to foreign insolvency or composition or restructuring proceedings (including foreign Insolvency Proceedings), (iii) other rules regulating conflicts between rights of creditors, or (iv) resolution, intervention and other measures in relation to financial enterprises or their affiliated entities.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540"/>
        <w:gridCol w:w="122"/>
        <w:gridCol w:w="543"/>
      </w:tblGrid>
      <w:tr>
        <w:trPr/>
        <w:tc>
          <w:tcPr>
            <w:tcW w:w="954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r>
      <w:tr>
        <w:trPr/>
        <w:tc>
          <w:tcPr>
            <w:tcW w:w="9540" w:type="dxa"/>
            <w:tcBorders/>
          </w:tcPr>
          <w:p>
            <w:pPr>
              <w:pStyle w:val="TableContents"/>
              <w:bidi w:val="0"/>
              <w:spacing w:before="0" w:after="283"/>
              <w:jc w:val="left"/>
              <w:rPr/>
            </w:pPr>
            <w:r>
              <w:rPr/>
              <w:t>Legal opinion on Stellantis N.V.</w:t>
            </w:r>
          </w:p>
        </w:tc>
        <w:tc>
          <w:tcPr>
            <w:tcW w:w="122" w:type="dxa"/>
            <w:tcBorders/>
            <w:vAlign w:val="bottom"/>
          </w:tcPr>
          <w:p>
            <w:pPr>
              <w:pStyle w:val="TableContents"/>
              <w:bidi w:val="0"/>
              <w:spacing w:before="0" w:after="283"/>
              <w:jc w:val="left"/>
              <w:rPr/>
            </w:pPr>
            <w:r>
              <w:rPr/>
              <w:t> </w:t>
            </w:r>
          </w:p>
        </w:tc>
        <w:tc>
          <w:tcPr>
            <w:tcW w:w="54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540" w:type="dxa"/>
            <w:tcBorders/>
            <w:vAlign w:val="center"/>
          </w:tcPr>
          <w:p>
            <w:pPr>
              <w:pStyle w:val="TableContents"/>
              <w:bidi w:val="0"/>
              <w:spacing w:before="0" w:after="283"/>
              <w:jc w:val="left"/>
              <w:rPr>
                <w:sz w:val="4"/>
                <w:szCs w:val="4"/>
              </w:rPr>
            </w:pPr>
            <w:r>
              <w:rPr>
                <w:sz w:val="4"/>
                <w:szCs w:val="4"/>
              </w:rPr>
            </w:r>
          </w:p>
        </w:tc>
        <w:tc>
          <w:tcPr>
            <w:tcW w:w="665" w:type="dxa"/>
            <w:gridSpan w:val="2"/>
            <w:tcBorders/>
            <w:vAlign w:val="center"/>
          </w:tcPr>
          <w:p>
            <w:pPr>
              <w:pStyle w:val="TableContents"/>
              <w:bidi w:val="0"/>
              <w:spacing w:before="0" w:after="283"/>
              <w:jc w:val="left"/>
              <w:rPr>
                <w:sz w:val="4"/>
                <w:szCs w:val="4"/>
              </w:rPr>
            </w:pPr>
            <w:r>
              <w:rPr>
                <w:sz w:val="4"/>
                <w:szCs w:val="4"/>
              </w:rPr>
            </w:r>
          </w:p>
        </w:tc>
      </w:tr>
      <w:tr>
        <w:trPr/>
        <w:tc>
          <w:tcPr>
            <w:tcW w:w="9540" w:type="dxa"/>
            <w:tcBorders/>
          </w:tcPr>
          <w:p>
            <w:pPr>
              <w:pStyle w:val="TableContents"/>
              <w:bidi w:val="0"/>
              <w:spacing w:before="0" w:after="283"/>
              <w:jc w:val="left"/>
              <w:rPr/>
            </w:pPr>
            <w:r>
              <w:rPr/>
              <w:t>Our ref. M47850709/5/20731795</w:t>
            </w:r>
          </w:p>
        </w:tc>
        <w:tc>
          <w:tcPr>
            <w:tcW w:w="122" w:type="dxa"/>
            <w:tcBorders/>
            <w:vAlign w:val="bottom"/>
          </w:tcPr>
          <w:p>
            <w:pPr>
              <w:pStyle w:val="TableContents"/>
              <w:bidi w:val="0"/>
              <w:spacing w:before="0" w:after="283"/>
              <w:jc w:val="left"/>
              <w:rPr/>
            </w:pPr>
            <w:r>
              <w:rPr/>
              <w:t> </w:t>
            </w:r>
          </w:p>
        </w:tc>
        <w:tc>
          <w:tcPr>
            <w:tcW w:w="543" w:type="dxa"/>
            <w:tcBorders/>
            <w:vAlign w:val="bottom"/>
          </w:tcPr>
          <w:p>
            <w:pPr>
              <w:pStyle w:val="TableContents"/>
              <w:bidi w:val="0"/>
              <w:spacing w:before="0" w:after="283"/>
              <w:jc w:val="left"/>
              <w:rPr/>
            </w:pPr>
            <w:r>
              <w:rPr>
                <w:b/>
              </w:rPr>
              <w:t>6 / </w:t>
            </w:r>
            <w:r>
              <w:rPr/>
              <w:t>16</w:t>
            </w:r>
          </w:p>
        </w:tc>
      </w:tr>
    </w:tbl>
    <w:p>
      <w:pPr>
        <w:pStyle w:val="HorizontalLine"/>
        <w:pBdr>
          <w:bottom w:val="double" w:sz="6" w:space="0" w:color="808080"/>
        </w:pBdr>
        <w:bidi w:val="0"/>
        <w:jc w:val="left"/>
        <w:rPr/>
      </w:pPr>
      <w:r>
        <w:br w:type="page"/>
      </w:r>
      <w:r>
        <w:rPr/>
      </w:r>
    </w:p>
    <w:p>
      <w:pPr>
        <w:pStyle w:val="TextBody"/>
        <w:bidi w:val="0"/>
        <w:spacing w:before="0" w:after="0"/>
        <w:jc w:val="right"/>
        <w:rPr/>
      </w:pPr>
      <w:r>
        <w:rPr/>
        <w:drawing>
          <wp:inline distT="0" distB="0" distL="0" distR="0">
            <wp:extent cx="1468755" cy="61976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468755" cy="619760"/>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(b)</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recognition of New York law as the governing law of the Guarantees and the Base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 not prejudice the provisions of the law of the European Union (where appropriate as implemented in the Netherlands) which cannot be derogated from by agreement if all elements relevant to the situation at the time when each of the Guarantees and the Base Indenture was entered into (other than the choice of New York law as the governing law of such Agreement) are located in one or more Member States of the European Union;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w:t>
            </w:r>
          </w:p>
        </w:tc>
        <w:tc>
          <w:tcPr>
            <w:tcW w:w="8880"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 not restrict the application of the overriding provisions of Dutch law;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 not prevent effect being given to the overriding provisions of the law of a jurisdiction with which the situation has a close connection;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(and for this purpose “overriding provisions” are provisions the respect for which is regarded as crucial by a jurisdiction for safeguarding its public interests to such an extent that they are applicable to any situation falling within their scope, irrespective of the law otherwise applicable to an agreement);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will not prevent the application of New York law being refused if it is manifestly incompatible with Dutch public policy (</w:t>
            </w:r>
            <w:r>
              <w:rPr>
                <w:rFonts w:ascii="Times New Roman" w:hAnsi="Times New Roman"/>
                <w:i/>
                <w:sz w:val="20"/>
              </w:rPr>
              <w:t>ordre public</w:t>
            </w:r>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(iv)</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 not prevent regard being had to the law of the jurisdiction in which performance takes place in relation to the manner of performance and the steps to be taken in the event of defective performance.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binding effect and enforceability of the submission to the jurisdiction of the New York Courts in the Base Indenture are subject to limited exceptions, including any exceptions applicable under the Brussels I-bis Regulation or the Lugano Convention.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(d)</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 the Brussels I-bis Regulation, a choice of court agreement that (i) provides for a choice of court in the European Union, and (ii) permits a party to bring proceedings before another court, is valid insofar as (A) the other court is a court in the European Union or a state party to the Lugano Convention, and (B) the agreement identifies objective factors which are sufficiently precise to enable the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540"/>
        <w:gridCol w:w="122"/>
        <w:gridCol w:w="543"/>
      </w:tblGrid>
      <w:tr>
        <w:trPr/>
        <w:tc>
          <w:tcPr>
            <w:tcW w:w="954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r>
      <w:tr>
        <w:trPr/>
        <w:tc>
          <w:tcPr>
            <w:tcW w:w="9540" w:type="dxa"/>
            <w:tcBorders/>
          </w:tcPr>
          <w:p>
            <w:pPr>
              <w:pStyle w:val="TableContents"/>
              <w:bidi w:val="0"/>
              <w:spacing w:before="0" w:after="283"/>
              <w:jc w:val="left"/>
              <w:rPr/>
            </w:pPr>
            <w:r>
              <w:rPr/>
              <w:t>Legal opinion on Stellantis N.V.</w:t>
            </w:r>
          </w:p>
        </w:tc>
        <w:tc>
          <w:tcPr>
            <w:tcW w:w="122" w:type="dxa"/>
            <w:tcBorders/>
            <w:vAlign w:val="bottom"/>
          </w:tcPr>
          <w:p>
            <w:pPr>
              <w:pStyle w:val="TableContents"/>
              <w:bidi w:val="0"/>
              <w:spacing w:before="0" w:after="283"/>
              <w:jc w:val="left"/>
              <w:rPr/>
            </w:pPr>
            <w:r>
              <w:rPr/>
              <w:t> </w:t>
            </w:r>
          </w:p>
        </w:tc>
        <w:tc>
          <w:tcPr>
            <w:tcW w:w="54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540" w:type="dxa"/>
            <w:tcBorders/>
            <w:vAlign w:val="center"/>
          </w:tcPr>
          <w:p>
            <w:pPr>
              <w:pStyle w:val="TableContents"/>
              <w:bidi w:val="0"/>
              <w:spacing w:before="0" w:after="283"/>
              <w:jc w:val="left"/>
              <w:rPr>
                <w:sz w:val="4"/>
                <w:szCs w:val="4"/>
              </w:rPr>
            </w:pPr>
            <w:r>
              <w:rPr>
                <w:sz w:val="4"/>
                <w:szCs w:val="4"/>
              </w:rPr>
            </w:r>
          </w:p>
        </w:tc>
        <w:tc>
          <w:tcPr>
            <w:tcW w:w="665" w:type="dxa"/>
            <w:gridSpan w:val="2"/>
            <w:tcBorders/>
            <w:vAlign w:val="center"/>
          </w:tcPr>
          <w:p>
            <w:pPr>
              <w:pStyle w:val="TableContents"/>
              <w:bidi w:val="0"/>
              <w:spacing w:before="0" w:after="283"/>
              <w:jc w:val="left"/>
              <w:rPr>
                <w:sz w:val="4"/>
                <w:szCs w:val="4"/>
              </w:rPr>
            </w:pPr>
            <w:r>
              <w:rPr>
                <w:sz w:val="4"/>
                <w:szCs w:val="4"/>
              </w:rPr>
            </w:r>
          </w:p>
        </w:tc>
      </w:tr>
      <w:tr>
        <w:trPr/>
        <w:tc>
          <w:tcPr>
            <w:tcW w:w="9540" w:type="dxa"/>
            <w:tcBorders/>
          </w:tcPr>
          <w:p>
            <w:pPr>
              <w:pStyle w:val="TableContents"/>
              <w:bidi w:val="0"/>
              <w:spacing w:before="0" w:after="283"/>
              <w:jc w:val="left"/>
              <w:rPr/>
            </w:pPr>
            <w:r>
              <w:rPr/>
              <w:t>Our ref. M47850709/5/20731795</w:t>
            </w:r>
          </w:p>
        </w:tc>
        <w:tc>
          <w:tcPr>
            <w:tcW w:w="122" w:type="dxa"/>
            <w:tcBorders/>
            <w:vAlign w:val="bottom"/>
          </w:tcPr>
          <w:p>
            <w:pPr>
              <w:pStyle w:val="TableContents"/>
              <w:bidi w:val="0"/>
              <w:spacing w:before="0" w:after="283"/>
              <w:jc w:val="left"/>
              <w:rPr/>
            </w:pPr>
            <w:r>
              <w:rPr/>
              <w:t> </w:t>
            </w:r>
          </w:p>
        </w:tc>
        <w:tc>
          <w:tcPr>
            <w:tcW w:w="543" w:type="dxa"/>
            <w:tcBorders/>
            <w:vAlign w:val="bottom"/>
          </w:tcPr>
          <w:p>
            <w:pPr>
              <w:pStyle w:val="TableContents"/>
              <w:bidi w:val="0"/>
              <w:spacing w:before="0" w:after="283"/>
              <w:jc w:val="left"/>
              <w:rPr/>
            </w:pPr>
            <w:r>
              <w:rPr>
                <w:b/>
              </w:rPr>
              <w:t>7 / </w:t>
            </w:r>
            <w:r>
              <w:rPr/>
              <w:t>16</w:t>
            </w:r>
          </w:p>
        </w:tc>
      </w:tr>
    </w:tbl>
    <w:p>
      <w:pPr>
        <w:pStyle w:val="HorizontalLine"/>
        <w:pBdr>
          <w:bottom w:val="double" w:sz="6" w:space="0" w:color="808080"/>
        </w:pBdr>
        <w:bidi w:val="0"/>
        <w:jc w:val="left"/>
        <w:rPr/>
      </w:pPr>
      <w:r>
        <w:br w:type="page"/>
      </w:r>
      <w:r>
        <w:rPr/>
      </w:r>
    </w:p>
    <w:p>
      <w:pPr>
        <w:pStyle w:val="TextBody"/>
        <w:bidi w:val="0"/>
        <w:spacing w:before="0" w:after="0"/>
        <w:jc w:val="right"/>
        <w:rPr/>
      </w:pPr>
      <w:r>
        <w:rPr/>
        <w:drawing>
          <wp:inline distT="0" distB="0" distL="0" distR="0">
            <wp:extent cx="1468755" cy="61976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468755" cy="619760"/>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other court to ascertain whether it has jurisdiction. It is uncertain whether this rule applies to other non-exclusive choices of court and we do not express any opinion on the effects of this rule on the Base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(e)</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Enforcement in the Netherlands of each Agreement and of foreign judgments is subject to Dutch rules of civil procedure.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(f)</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The Sanction Act 1977 (</w:t>
            </w:r>
            <w:r>
              <w:rPr>
                <w:rFonts w:ascii="Times New Roman" w:hAnsi="Times New Roman"/>
                <w:i/>
                <w:sz w:val="20"/>
              </w:rPr>
              <w:t>Sanctiewet</w:t>
            </w:r>
            <w:r>
              <w:rPr>
                <w:rFonts w:ascii="Times New Roman" w:hAnsi="Times New Roman"/>
                <w:sz w:val="20"/>
              </w:rPr>
              <w:t xml:space="preserve"> </w:t>
            </w:r>
            <w:r>
              <w:rPr>
                <w:rFonts w:ascii="Times New Roman" w:hAnsi="Times New Roman"/>
                <w:i/>
                <w:sz w:val="20"/>
              </w:rPr>
              <w:t>1977</w:t>
            </w:r>
            <w:r>
              <w:rPr>
                <w:rFonts w:ascii="Times New Roman" w:hAnsi="Times New Roman"/>
                <w:sz w:val="20"/>
              </w:rPr>
              <w:t xml:space="preserve">) or international sanctions may affect whether (i) the Company’s entry into and performance of each Agreement violates Dutch law, and (ii) each Agreement is valid, binding and enforceable.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(g)</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respect of proceedings in a Dutch court for the enforcement of each Agreement, the appointment of a process agent pursuant to Section 1.14(1) of the Base Indenture may be without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(h)</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proceedings in a Dutch court for the enforcement of any Agreement, the court may mitigate amounts due in respect of litigation and collection costs.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(i)</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Any trust to which the 1985 Convention on the Law applicable to Trusts and their Recognition (the “</w:t>
            </w:r>
            <w:r>
              <w:rPr>
                <w:rFonts w:ascii="Times New Roman" w:hAnsi="Times New Roman"/>
                <w:b/>
                <w:sz w:val="20"/>
              </w:rPr>
              <w:t>Trust Convention</w:t>
            </w:r>
            <w:r>
              <w:rPr>
                <w:rFonts w:ascii="Times New Roman" w:hAnsi="Times New Roman"/>
                <w:sz w:val="20"/>
              </w:rPr>
              <w:t xml:space="preserve">”) applies, will be recognised subject to the Trust Convention. Any trust to which the Trust Convention does not apply may not be recognised.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(j)</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If a legal act (</w:t>
            </w:r>
            <w:r>
              <w:rPr>
                <w:rFonts w:ascii="Times New Roman" w:hAnsi="Times New Roman"/>
                <w:i/>
                <w:sz w:val="20"/>
              </w:rPr>
              <w:t>rechtshandeling</w:t>
            </w:r>
            <w:r>
              <w:rPr>
                <w:rFonts w:ascii="Times New Roman" w:hAnsi="Times New Roman"/>
                <w:sz w:val="20"/>
              </w:rPr>
              <w:t xml:space="preserve">) performed by a Dutch legal entity (including (without limitation) an agreement pursuant to which it guarantees the performance of any of another person’s obligations and any other legal act having a similar effect) is not in the entity’s interest, the act may (i) exceed the entity’s corporate or other power, (ii) violate its articles of association, and (iii) be nullified by it if the other party or parties to the act knew or should have known without investigation that the act is not in the entity’s interest.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(k)</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To the extent that Dutch law applies, a legal act (</w:t>
            </w:r>
            <w:r>
              <w:rPr>
                <w:rFonts w:ascii="Times New Roman" w:hAnsi="Times New Roman"/>
                <w:i/>
                <w:sz w:val="20"/>
              </w:rPr>
              <w:t>rechtshandeling</w:t>
            </w:r>
            <w:r>
              <w:rPr>
                <w:rFonts w:ascii="Times New Roman" w:hAnsi="Times New Roman"/>
                <w:sz w:val="20"/>
              </w:rPr>
              <w:t>) performed by a person (including (without limitation) an agreement pursuant to which it guarantees the performance of the obligations of another person and any other legal act having a similar effect) may be nullified by any of its creditors, if (a) it performed the act without an obligation to do so (</w:t>
            </w:r>
            <w:r>
              <w:rPr>
                <w:rFonts w:ascii="Times New Roman" w:hAnsi="Times New Roman"/>
                <w:i/>
                <w:sz w:val="20"/>
              </w:rPr>
              <w:t>onverplicht</w:t>
            </w:r>
            <w:r>
              <w:rPr>
                <w:rFonts w:ascii="Times New Roman" w:hAnsi="Times New Roman"/>
                <w:sz w:val="20"/>
              </w:rPr>
              <w:t>), (b) the creditor concerned was prejudiced as a consequence of the act, and (c) at the time the act was performed both it and (unless the act was for no consideration (</w:t>
            </w:r>
            <w:r>
              <w:rPr>
                <w:rFonts w:ascii="Times New Roman" w:hAnsi="Times New Roman"/>
                <w:i/>
                <w:sz w:val="20"/>
              </w:rPr>
              <w:t>om niet</w:t>
            </w:r>
            <w:r>
              <w:rPr>
                <w:rFonts w:ascii="Times New Roman" w:hAnsi="Times New Roman"/>
                <w:sz w:val="20"/>
              </w:rPr>
              <w:t xml:space="preserve">)) the party with or towards which it acted, knew or should have known that one or more of its creditors (existing or future) would be prejudiced.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(l)</w:t>
            </w:r>
          </w:p>
        </w:tc>
        <w:tc>
          <w:tcPr>
            <w:tcW w:w="9797"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extract from the Trade Register does not provide conclusive evidence that the facts set out in it are correct. However, under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540"/>
        <w:gridCol w:w="122"/>
        <w:gridCol w:w="543"/>
      </w:tblGrid>
      <w:tr>
        <w:trPr/>
        <w:tc>
          <w:tcPr>
            <w:tcW w:w="954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r>
      <w:tr>
        <w:trPr/>
        <w:tc>
          <w:tcPr>
            <w:tcW w:w="9540" w:type="dxa"/>
            <w:tcBorders/>
          </w:tcPr>
          <w:p>
            <w:pPr>
              <w:pStyle w:val="TableContents"/>
              <w:bidi w:val="0"/>
              <w:spacing w:before="0" w:after="283"/>
              <w:jc w:val="left"/>
              <w:rPr/>
            </w:pPr>
            <w:r>
              <w:rPr/>
              <w:t>Legal opinion on Stellantis N.V.</w:t>
            </w:r>
          </w:p>
        </w:tc>
        <w:tc>
          <w:tcPr>
            <w:tcW w:w="122" w:type="dxa"/>
            <w:tcBorders/>
            <w:vAlign w:val="bottom"/>
          </w:tcPr>
          <w:p>
            <w:pPr>
              <w:pStyle w:val="TableContents"/>
              <w:bidi w:val="0"/>
              <w:spacing w:before="0" w:after="283"/>
              <w:jc w:val="left"/>
              <w:rPr/>
            </w:pPr>
            <w:r>
              <w:rPr/>
              <w:t> </w:t>
            </w:r>
          </w:p>
        </w:tc>
        <w:tc>
          <w:tcPr>
            <w:tcW w:w="54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540" w:type="dxa"/>
            <w:tcBorders/>
            <w:vAlign w:val="center"/>
          </w:tcPr>
          <w:p>
            <w:pPr>
              <w:pStyle w:val="TableContents"/>
              <w:bidi w:val="0"/>
              <w:spacing w:before="0" w:after="283"/>
              <w:jc w:val="left"/>
              <w:rPr>
                <w:sz w:val="4"/>
                <w:szCs w:val="4"/>
              </w:rPr>
            </w:pPr>
            <w:r>
              <w:rPr>
                <w:sz w:val="4"/>
                <w:szCs w:val="4"/>
              </w:rPr>
            </w:r>
          </w:p>
        </w:tc>
        <w:tc>
          <w:tcPr>
            <w:tcW w:w="665" w:type="dxa"/>
            <w:gridSpan w:val="2"/>
            <w:tcBorders/>
            <w:vAlign w:val="center"/>
          </w:tcPr>
          <w:p>
            <w:pPr>
              <w:pStyle w:val="TableContents"/>
              <w:bidi w:val="0"/>
              <w:spacing w:before="0" w:after="283"/>
              <w:jc w:val="left"/>
              <w:rPr>
                <w:sz w:val="4"/>
                <w:szCs w:val="4"/>
              </w:rPr>
            </w:pPr>
            <w:r>
              <w:rPr>
                <w:sz w:val="4"/>
                <w:szCs w:val="4"/>
              </w:rPr>
            </w:r>
          </w:p>
        </w:tc>
      </w:tr>
      <w:tr>
        <w:trPr/>
        <w:tc>
          <w:tcPr>
            <w:tcW w:w="9540" w:type="dxa"/>
            <w:tcBorders/>
          </w:tcPr>
          <w:p>
            <w:pPr>
              <w:pStyle w:val="TableContents"/>
              <w:bidi w:val="0"/>
              <w:spacing w:before="0" w:after="283"/>
              <w:jc w:val="left"/>
              <w:rPr/>
            </w:pPr>
            <w:r>
              <w:rPr/>
              <w:t>Our ref. M47850709/5/20731795</w:t>
            </w:r>
          </w:p>
        </w:tc>
        <w:tc>
          <w:tcPr>
            <w:tcW w:w="122" w:type="dxa"/>
            <w:tcBorders/>
            <w:vAlign w:val="bottom"/>
          </w:tcPr>
          <w:p>
            <w:pPr>
              <w:pStyle w:val="TableContents"/>
              <w:bidi w:val="0"/>
              <w:spacing w:before="0" w:after="283"/>
              <w:jc w:val="left"/>
              <w:rPr/>
            </w:pPr>
            <w:r>
              <w:rPr/>
              <w:t> </w:t>
            </w:r>
          </w:p>
        </w:tc>
        <w:tc>
          <w:tcPr>
            <w:tcW w:w="543" w:type="dxa"/>
            <w:tcBorders/>
            <w:vAlign w:val="bottom"/>
          </w:tcPr>
          <w:p>
            <w:pPr>
              <w:pStyle w:val="TableContents"/>
              <w:bidi w:val="0"/>
              <w:spacing w:before="0" w:after="283"/>
              <w:jc w:val="left"/>
              <w:rPr/>
            </w:pPr>
            <w:r>
              <w:rPr>
                <w:b/>
              </w:rPr>
              <w:t>8 / </w:t>
            </w:r>
            <w:r>
              <w:rPr/>
              <w:t>16</w:t>
            </w:r>
          </w:p>
        </w:tc>
      </w:tr>
    </w:tbl>
    <w:p>
      <w:pPr>
        <w:pStyle w:val="HorizontalLine"/>
        <w:pBdr>
          <w:bottom w:val="double" w:sz="6" w:space="0" w:color="808080"/>
        </w:pBdr>
        <w:bidi w:val="0"/>
        <w:jc w:val="left"/>
        <w:rPr/>
      </w:pPr>
      <w:r>
        <w:br w:type="page"/>
      </w:r>
      <w:r>
        <w:rPr/>
      </w:r>
    </w:p>
    <w:p>
      <w:pPr>
        <w:pStyle w:val="TextBody"/>
        <w:bidi w:val="0"/>
        <w:spacing w:before="0" w:after="0"/>
        <w:jc w:val="right"/>
        <w:rPr/>
      </w:pPr>
      <w:r>
        <w:rPr/>
        <w:drawing>
          <wp:inline distT="0" distB="0" distL="0" distR="0">
            <wp:extent cx="1468755" cy="61976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468755" cy="619760"/>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8879"/>
      </w:tblGrid>
      <w:tr>
        <w:trPr/>
        <w:tc>
          <w:tcPr>
            <w:tcW w:w="1326" w:type="dxa"/>
            <w:tcBorders/>
            <w:vAlign w:val="center"/>
          </w:tcPr>
          <w:p>
            <w:pPr>
              <w:pStyle w:val="TableContents"/>
              <w:bidi w:val="0"/>
              <w:spacing w:before="0" w:after="283"/>
              <w:jc w:val="left"/>
              <w:rPr/>
            </w:pPr>
            <w:r>
              <w:rPr/>
              <w:t> </w:t>
            </w:r>
          </w:p>
        </w:tc>
        <w:tc>
          <w:tcPr>
            <w:tcW w:w="8879" w:type="dxa"/>
            <w:tcBorders/>
          </w:tcPr>
          <w:p>
            <w:pPr>
              <w:pStyle w:val="TableContents"/>
              <w:bidi w:val="0"/>
              <w:spacing w:before="0" w:after="283"/>
              <w:jc w:val="left"/>
              <w:rPr/>
            </w:pPr>
            <w:r>
              <w:rPr/>
              <w:t>the 2007 Trade Register Act (</w:t>
            </w:r>
            <w:r>
              <w:rPr>
                <w:i/>
              </w:rPr>
              <w:t>Handelsregisterwet 2007</w:t>
            </w:r>
            <w:r>
              <w:rPr/>
              <w:t xml:space="preserve">), subject to limited exceptions, a legal entity or partnership cannot invoke the incorrectness or incompleteness of its Trade Register registration against third parties who were unaware of the incorrectness or incompleteness.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confirmation from the Central Insolvency Register does not provide conclusive evidence that an entity is not subject to a Dutch Insolvency or foreign Insolvency Proceedings (also because they are not all registered).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(m)</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do not express any opinion 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competition (including state aid)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validity of any assignment or transfer pursuant to each of the Agreements or any other </w:t>
            </w:r>
            <w:r>
              <w:rPr>
                <w:rFonts w:ascii="Times New Roman" w:hAnsi="Times New Roman"/>
                <w:i/>
                <w:sz w:val="20"/>
              </w:rPr>
              <w:t>in rem</w:t>
            </w:r>
            <w:r>
              <w:rPr>
                <w:rFonts w:ascii="Times New Roman" w:hAnsi="Times New Roman"/>
                <w:sz w:val="20"/>
              </w:rPr>
              <w:t xml:space="preserve"> matters;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7</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RELIANCE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opinion is an exhibit to the Current Report on Form 6-K to be incorporated by reference into the Registration Statement and may be relied upon for the purpose of the Registration. It may not be supplied, and its contents or existence may not be disclosed, to any person other than as a part of (and therefore together with) the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(b)</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person relying on this opinion in doing so agrees that: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agreements in this paragraph 7, our duty of care and all liability and other matters relating to this opinion will be governed exclusively by Dutch law and the Dutch courts will have exclusive jurisdiction to settle any dispute relating to them;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only we, De Brauw, (and not any other person, including any person working at or affiliated with us) will have any liability in connection with this opinion.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(c)</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Issuer may: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file this opinion as an exhibit to the Current Report on Form 6-K to be incorporated by reference into Registration Statement; and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540"/>
        <w:gridCol w:w="122"/>
        <w:gridCol w:w="543"/>
      </w:tblGrid>
      <w:tr>
        <w:trPr/>
        <w:tc>
          <w:tcPr>
            <w:tcW w:w="954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r>
      <w:tr>
        <w:trPr/>
        <w:tc>
          <w:tcPr>
            <w:tcW w:w="9540" w:type="dxa"/>
            <w:tcBorders/>
          </w:tcPr>
          <w:p>
            <w:pPr>
              <w:pStyle w:val="TableContents"/>
              <w:bidi w:val="0"/>
              <w:spacing w:before="0" w:after="283"/>
              <w:jc w:val="left"/>
              <w:rPr/>
            </w:pPr>
            <w:r>
              <w:rPr/>
              <w:t>Legal opinion on Stellantis N.V.</w:t>
            </w:r>
          </w:p>
        </w:tc>
        <w:tc>
          <w:tcPr>
            <w:tcW w:w="122" w:type="dxa"/>
            <w:tcBorders/>
            <w:vAlign w:val="bottom"/>
          </w:tcPr>
          <w:p>
            <w:pPr>
              <w:pStyle w:val="TableContents"/>
              <w:bidi w:val="0"/>
              <w:spacing w:before="0" w:after="283"/>
              <w:jc w:val="left"/>
              <w:rPr/>
            </w:pPr>
            <w:r>
              <w:rPr/>
              <w:t> </w:t>
            </w:r>
          </w:p>
        </w:tc>
        <w:tc>
          <w:tcPr>
            <w:tcW w:w="54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540" w:type="dxa"/>
            <w:tcBorders/>
            <w:vAlign w:val="center"/>
          </w:tcPr>
          <w:p>
            <w:pPr>
              <w:pStyle w:val="TableContents"/>
              <w:bidi w:val="0"/>
              <w:spacing w:before="0" w:after="283"/>
              <w:jc w:val="left"/>
              <w:rPr>
                <w:sz w:val="4"/>
                <w:szCs w:val="4"/>
              </w:rPr>
            </w:pPr>
            <w:r>
              <w:rPr>
                <w:sz w:val="4"/>
                <w:szCs w:val="4"/>
              </w:rPr>
            </w:r>
          </w:p>
        </w:tc>
        <w:tc>
          <w:tcPr>
            <w:tcW w:w="665" w:type="dxa"/>
            <w:gridSpan w:val="2"/>
            <w:tcBorders/>
            <w:vAlign w:val="center"/>
          </w:tcPr>
          <w:p>
            <w:pPr>
              <w:pStyle w:val="TableContents"/>
              <w:bidi w:val="0"/>
              <w:spacing w:before="0" w:after="283"/>
              <w:jc w:val="left"/>
              <w:rPr>
                <w:sz w:val="4"/>
                <w:szCs w:val="4"/>
              </w:rPr>
            </w:pPr>
            <w:r>
              <w:rPr>
                <w:sz w:val="4"/>
                <w:szCs w:val="4"/>
              </w:rPr>
            </w:r>
          </w:p>
        </w:tc>
      </w:tr>
      <w:tr>
        <w:trPr/>
        <w:tc>
          <w:tcPr>
            <w:tcW w:w="9540" w:type="dxa"/>
            <w:tcBorders/>
          </w:tcPr>
          <w:p>
            <w:pPr>
              <w:pStyle w:val="TableContents"/>
              <w:bidi w:val="0"/>
              <w:spacing w:before="0" w:after="283"/>
              <w:jc w:val="left"/>
              <w:rPr/>
            </w:pPr>
            <w:r>
              <w:rPr/>
              <w:t>Our ref. M47850709/5/20731795</w:t>
            </w:r>
          </w:p>
        </w:tc>
        <w:tc>
          <w:tcPr>
            <w:tcW w:w="122" w:type="dxa"/>
            <w:tcBorders/>
            <w:vAlign w:val="bottom"/>
          </w:tcPr>
          <w:p>
            <w:pPr>
              <w:pStyle w:val="TableContents"/>
              <w:bidi w:val="0"/>
              <w:spacing w:before="0" w:after="283"/>
              <w:jc w:val="left"/>
              <w:rPr/>
            </w:pPr>
            <w:r>
              <w:rPr/>
              <w:t> </w:t>
            </w:r>
          </w:p>
        </w:tc>
        <w:tc>
          <w:tcPr>
            <w:tcW w:w="543" w:type="dxa"/>
            <w:tcBorders/>
            <w:vAlign w:val="bottom"/>
          </w:tcPr>
          <w:p>
            <w:pPr>
              <w:pStyle w:val="TableContents"/>
              <w:bidi w:val="0"/>
              <w:spacing w:before="0" w:after="283"/>
              <w:jc w:val="left"/>
              <w:rPr/>
            </w:pPr>
            <w:r>
              <w:rPr>
                <w:b/>
              </w:rPr>
              <w:t>9 / </w:t>
            </w:r>
            <w:r>
              <w:rPr/>
              <w:t>16</w:t>
            </w:r>
          </w:p>
        </w:tc>
      </w:tr>
    </w:tbl>
    <w:p>
      <w:pPr>
        <w:pStyle w:val="HorizontalLine"/>
        <w:pBdr>
          <w:bottom w:val="double" w:sz="6" w:space="0" w:color="808080"/>
        </w:pBdr>
        <w:bidi w:val="0"/>
        <w:jc w:val="left"/>
        <w:rPr/>
      </w:pPr>
      <w:r>
        <w:br w:type="page"/>
      </w:r>
      <w:r>
        <w:rPr/>
      </w:r>
    </w:p>
    <w:p>
      <w:pPr>
        <w:pStyle w:val="TextBody"/>
        <w:bidi w:val="0"/>
        <w:spacing w:before="0" w:after="0"/>
        <w:jc w:val="right"/>
        <w:rPr/>
      </w:pPr>
      <w:r>
        <w:rPr/>
        <w:drawing>
          <wp:inline distT="0" distB="0" distL="0" distR="0">
            <wp:extent cx="1468755" cy="61976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468755" cy="619760"/>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refer to De Brauw giving this opinion under the heading “Validity of Notes and Guarantees” in the Preliminary Prospectus and the Prospectus.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previous sentence is no admittance from us that we are in the category of persons whose consent for the filing and reference as set out in that sentence is required under article 7 of the Securities Act or any rules or regulations of the SEC promulgated under it.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follows</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33"/>
        <w:gridCol w:w="119"/>
        <w:gridCol w:w="653"/>
      </w:tblGrid>
      <w:tr>
        <w:trPr/>
        <w:tc>
          <w:tcPr>
            <w:tcW w:w="9433"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r>
      <w:tr>
        <w:trPr/>
        <w:tc>
          <w:tcPr>
            <w:tcW w:w="9433" w:type="dxa"/>
            <w:tcBorders/>
          </w:tcPr>
          <w:p>
            <w:pPr>
              <w:pStyle w:val="TableContents"/>
              <w:bidi w:val="0"/>
              <w:spacing w:before="0" w:after="283"/>
              <w:jc w:val="left"/>
              <w:rPr/>
            </w:pPr>
            <w:r>
              <w:rPr/>
              <w:t>Legal opinion on Stellantis N.V.</w:t>
            </w:r>
          </w:p>
        </w:tc>
        <w:tc>
          <w:tcPr>
            <w:tcW w:w="119" w:type="dxa"/>
            <w:tcBorders/>
            <w:vAlign w:val="bottom"/>
          </w:tcPr>
          <w:p>
            <w:pPr>
              <w:pStyle w:val="TableContents"/>
              <w:bidi w:val="0"/>
              <w:spacing w:before="0" w:after="283"/>
              <w:jc w:val="left"/>
              <w:rPr/>
            </w:pPr>
            <w:r>
              <w:rPr/>
              <w:t> </w:t>
            </w:r>
          </w:p>
        </w:tc>
        <w:tc>
          <w:tcPr>
            <w:tcW w:w="65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433" w:type="dxa"/>
            <w:tcBorders/>
            <w:vAlign w:val="center"/>
          </w:tcPr>
          <w:p>
            <w:pPr>
              <w:pStyle w:val="TableContents"/>
              <w:bidi w:val="0"/>
              <w:spacing w:before="0" w:after="283"/>
              <w:jc w:val="left"/>
              <w:rPr>
                <w:sz w:val="4"/>
                <w:szCs w:val="4"/>
              </w:rPr>
            </w:pPr>
            <w:r>
              <w:rPr>
                <w:sz w:val="4"/>
                <w:szCs w:val="4"/>
              </w:rPr>
            </w:r>
          </w:p>
        </w:tc>
        <w:tc>
          <w:tcPr>
            <w:tcW w:w="772" w:type="dxa"/>
            <w:gridSpan w:val="2"/>
            <w:tcBorders/>
            <w:vAlign w:val="center"/>
          </w:tcPr>
          <w:p>
            <w:pPr>
              <w:pStyle w:val="TableContents"/>
              <w:bidi w:val="0"/>
              <w:spacing w:before="0" w:after="283"/>
              <w:jc w:val="left"/>
              <w:rPr>
                <w:sz w:val="4"/>
                <w:szCs w:val="4"/>
              </w:rPr>
            </w:pPr>
            <w:r>
              <w:rPr>
                <w:sz w:val="4"/>
                <w:szCs w:val="4"/>
              </w:rPr>
            </w:r>
          </w:p>
        </w:tc>
      </w:tr>
      <w:tr>
        <w:trPr/>
        <w:tc>
          <w:tcPr>
            <w:tcW w:w="9433" w:type="dxa"/>
            <w:tcBorders/>
          </w:tcPr>
          <w:p>
            <w:pPr>
              <w:pStyle w:val="TableContents"/>
              <w:bidi w:val="0"/>
              <w:spacing w:before="0" w:after="283"/>
              <w:jc w:val="left"/>
              <w:rPr/>
            </w:pPr>
            <w:r>
              <w:rPr/>
              <w:t>Our ref. M47850709/5/20731795</w:t>
            </w:r>
          </w:p>
        </w:tc>
        <w:tc>
          <w:tcPr>
            <w:tcW w:w="119" w:type="dxa"/>
            <w:tcBorders/>
            <w:vAlign w:val="bottom"/>
          </w:tcPr>
          <w:p>
            <w:pPr>
              <w:pStyle w:val="TableContents"/>
              <w:bidi w:val="0"/>
              <w:spacing w:before="0" w:after="283"/>
              <w:jc w:val="left"/>
              <w:rPr/>
            </w:pPr>
            <w:r>
              <w:rPr/>
              <w:t> </w:t>
            </w:r>
          </w:p>
        </w:tc>
        <w:tc>
          <w:tcPr>
            <w:tcW w:w="653" w:type="dxa"/>
            <w:tcBorders/>
            <w:vAlign w:val="bottom"/>
          </w:tcPr>
          <w:p>
            <w:pPr>
              <w:pStyle w:val="TableContents"/>
              <w:bidi w:val="0"/>
              <w:spacing w:before="0" w:after="283"/>
              <w:jc w:val="left"/>
              <w:rPr/>
            </w:pPr>
            <w:r>
              <w:rPr>
                <w:b/>
              </w:rPr>
              <w:t>10 / </w:t>
            </w:r>
            <w:r>
              <w:rPr/>
              <w:t>16</w:t>
            </w:r>
          </w:p>
        </w:tc>
      </w:tr>
    </w:tbl>
    <w:p>
      <w:pPr>
        <w:pStyle w:val="HorizontalLine"/>
        <w:pBdr>
          <w:bottom w:val="double" w:sz="6" w:space="0" w:color="808080"/>
        </w:pBdr>
        <w:bidi w:val="0"/>
        <w:jc w:val="left"/>
        <w:rPr/>
      </w:pPr>
      <w:r>
        <w:br w:type="page"/>
      </w:r>
      <w:r>
        <w:rPr/>
      </w:r>
    </w:p>
    <w:p>
      <w:pPr>
        <w:pStyle w:val="TextBody"/>
        <w:bidi w:val="0"/>
        <w:spacing w:before="0" w:after="0"/>
        <w:jc w:val="right"/>
        <w:rPr/>
      </w:pPr>
      <w:r>
        <w:rPr/>
        <w:drawing>
          <wp:inline distT="0" distB="0" distL="0" distR="0">
            <wp:extent cx="1468755" cy="61976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468755" cy="619760"/>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Yours faithfully,</w:t>
            </w:r>
          </w:p>
          <w:p>
            <w:pPr>
              <w:pStyle w:val="TableContents"/>
              <w:bidi w:val="0"/>
              <w:spacing w:before="0" w:after="20"/>
              <w:jc w:val="left"/>
              <w:rPr>
                <w:rFonts w:ascii="Times New Roman" w:hAnsi="Times New Roman"/>
                <w:sz w:val="20"/>
              </w:rPr>
            </w:pPr>
            <w:r>
              <w:rPr>
                <w:rFonts w:ascii="Times New Roman" w:hAnsi="Times New Roman"/>
                <w:sz w:val="20"/>
              </w:rPr>
              <w:t>De Brauw Blackstone Westbroek N.V.</w:t>
            </w:r>
          </w:p>
        </w:tc>
      </w:tr>
      <w:tr>
        <w:trPr>
          <w:trHeight w:val="48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bottom"/>
          </w:tcPr>
          <w:p>
            <w:pPr>
              <w:pStyle w:val="TableContents"/>
              <w:bidi w:val="0"/>
              <w:spacing w:before="0" w:after="283"/>
              <w:jc w:val="left"/>
              <w:rPr/>
            </w:pPr>
            <w:r>
              <w:rPr/>
              <w:t>/s/ Bas Boutellier</w:t>
            </w:r>
          </w:p>
        </w:tc>
      </w:tr>
      <w:tr>
        <w:trPr/>
        <w:tc>
          <w:tcPr>
            <w:tcW w:w="1020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Bas Boutellier</w:t>
            </w:r>
          </w:p>
          <w:p>
            <w:pPr>
              <w:pStyle w:val="TableContents"/>
              <w:bidi w:val="0"/>
              <w:spacing w:before="0" w:after="20"/>
              <w:jc w:val="left"/>
              <w:rPr>
                <w:rFonts w:ascii="Times New Roman" w:hAnsi="Times New Roman"/>
                <w:i/>
                <w:sz w:val="20"/>
              </w:rPr>
            </w:pPr>
            <w:r>
              <w:rPr>
                <w:rFonts w:ascii="Times New Roman" w:hAnsi="Times New Roman"/>
                <w:i/>
                <w:sz w:val="20"/>
              </w:rPr>
              <w:t>Advocaat</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33"/>
        <w:gridCol w:w="119"/>
        <w:gridCol w:w="653"/>
      </w:tblGrid>
      <w:tr>
        <w:trPr/>
        <w:tc>
          <w:tcPr>
            <w:tcW w:w="9433"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r>
      <w:tr>
        <w:trPr/>
        <w:tc>
          <w:tcPr>
            <w:tcW w:w="9433" w:type="dxa"/>
            <w:tcBorders/>
          </w:tcPr>
          <w:p>
            <w:pPr>
              <w:pStyle w:val="TableContents"/>
              <w:bidi w:val="0"/>
              <w:spacing w:before="0" w:after="283"/>
              <w:jc w:val="left"/>
              <w:rPr/>
            </w:pPr>
            <w:r>
              <w:rPr/>
              <w:t>Legal opinion on Stellantis N.V.</w:t>
            </w:r>
          </w:p>
        </w:tc>
        <w:tc>
          <w:tcPr>
            <w:tcW w:w="119" w:type="dxa"/>
            <w:tcBorders/>
            <w:vAlign w:val="bottom"/>
          </w:tcPr>
          <w:p>
            <w:pPr>
              <w:pStyle w:val="TableContents"/>
              <w:bidi w:val="0"/>
              <w:spacing w:before="0" w:after="283"/>
              <w:jc w:val="left"/>
              <w:rPr/>
            </w:pPr>
            <w:r>
              <w:rPr/>
              <w:t> </w:t>
            </w:r>
          </w:p>
        </w:tc>
        <w:tc>
          <w:tcPr>
            <w:tcW w:w="65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433" w:type="dxa"/>
            <w:tcBorders/>
            <w:vAlign w:val="center"/>
          </w:tcPr>
          <w:p>
            <w:pPr>
              <w:pStyle w:val="TableContents"/>
              <w:bidi w:val="0"/>
              <w:spacing w:before="0" w:after="283"/>
              <w:jc w:val="left"/>
              <w:rPr>
                <w:sz w:val="4"/>
                <w:szCs w:val="4"/>
              </w:rPr>
            </w:pPr>
            <w:r>
              <w:rPr>
                <w:sz w:val="4"/>
                <w:szCs w:val="4"/>
              </w:rPr>
            </w:r>
          </w:p>
        </w:tc>
        <w:tc>
          <w:tcPr>
            <w:tcW w:w="772" w:type="dxa"/>
            <w:gridSpan w:val="2"/>
            <w:tcBorders/>
            <w:vAlign w:val="center"/>
          </w:tcPr>
          <w:p>
            <w:pPr>
              <w:pStyle w:val="TableContents"/>
              <w:bidi w:val="0"/>
              <w:spacing w:before="0" w:after="283"/>
              <w:jc w:val="left"/>
              <w:rPr>
                <w:sz w:val="4"/>
                <w:szCs w:val="4"/>
              </w:rPr>
            </w:pPr>
            <w:r>
              <w:rPr>
                <w:sz w:val="4"/>
                <w:szCs w:val="4"/>
              </w:rPr>
            </w:r>
          </w:p>
        </w:tc>
      </w:tr>
      <w:tr>
        <w:trPr/>
        <w:tc>
          <w:tcPr>
            <w:tcW w:w="9433" w:type="dxa"/>
            <w:tcBorders/>
          </w:tcPr>
          <w:p>
            <w:pPr>
              <w:pStyle w:val="TableContents"/>
              <w:bidi w:val="0"/>
              <w:spacing w:before="0" w:after="283"/>
              <w:jc w:val="left"/>
              <w:rPr/>
            </w:pPr>
            <w:r>
              <w:rPr/>
              <w:t>Our ref. M47850709/5/20731795</w:t>
            </w:r>
          </w:p>
        </w:tc>
        <w:tc>
          <w:tcPr>
            <w:tcW w:w="119" w:type="dxa"/>
            <w:tcBorders/>
            <w:vAlign w:val="bottom"/>
          </w:tcPr>
          <w:p>
            <w:pPr>
              <w:pStyle w:val="TableContents"/>
              <w:bidi w:val="0"/>
              <w:spacing w:before="0" w:after="283"/>
              <w:jc w:val="left"/>
              <w:rPr/>
            </w:pPr>
            <w:r>
              <w:rPr/>
              <w:t> </w:t>
            </w:r>
          </w:p>
        </w:tc>
        <w:tc>
          <w:tcPr>
            <w:tcW w:w="653" w:type="dxa"/>
            <w:tcBorders/>
            <w:vAlign w:val="bottom"/>
          </w:tcPr>
          <w:p>
            <w:pPr>
              <w:pStyle w:val="TableContents"/>
              <w:bidi w:val="0"/>
              <w:spacing w:before="0" w:after="283"/>
              <w:jc w:val="left"/>
              <w:rPr/>
            </w:pPr>
            <w:r>
              <w:rPr>
                <w:b/>
              </w:rPr>
              <w:t>11 / </w:t>
            </w:r>
            <w:r>
              <w:rPr/>
              <w:t>16</w:t>
            </w:r>
          </w:p>
        </w:tc>
      </w:tr>
    </w:tbl>
    <w:p>
      <w:pPr>
        <w:pStyle w:val="HorizontalLine"/>
        <w:pBdr>
          <w:bottom w:val="double" w:sz="6" w:space="0" w:color="808080"/>
        </w:pBdr>
        <w:bidi w:val="0"/>
        <w:jc w:val="left"/>
        <w:rPr/>
      </w:pPr>
      <w:r>
        <w:br w:type="page"/>
      </w:r>
      <w:r>
        <w:rPr/>
      </w:r>
    </w:p>
    <w:p>
      <w:pPr>
        <w:pStyle w:val="TextBody"/>
        <w:bidi w:val="0"/>
        <w:spacing w:before="0" w:after="0"/>
        <w:jc w:val="right"/>
        <w:rPr/>
      </w:pPr>
      <w:r>
        <w:rPr/>
        <w:drawing>
          <wp:inline distT="0" distB="0" distL="0" distR="0">
            <wp:extent cx="1468755" cy="61976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468755" cy="61976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Annex – Definitions </w:t>
      </w:r>
    </w:p>
    <w:p>
      <w:pPr>
        <w:pStyle w:val="TextBody"/>
        <w:bidi w:val="0"/>
        <w:spacing w:before="240" w:after="0"/>
        <w:jc w:val="center"/>
        <w:rPr>
          <w:rFonts w:ascii="Times New Roman" w:hAnsi="Times New Roman"/>
          <w:b/>
          <w:sz w:val="20"/>
        </w:rPr>
      </w:pPr>
      <w:r>
        <w:rPr>
          <w:rFonts w:ascii="Times New Roman" w:hAnsi="Times New Roman"/>
          <w:b/>
          <w:sz w:val="20"/>
        </w:rPr>
        <w:t xml:space="preserve">Part 1 - General </w:t>
      </w:r>
    </w:p>
    <w:p>
      <w:pPr>
        <w:pStyle w:val="TextBody"/>
        <w:bidi w:val="0"/>
        <w:spacing w:before="240" w:after="0"/>
        <w:jc w:val="left"/>
        <w:rPr>
          <w:rFonts w:ascii="Times New Roman" w:hAnsi="Times New Roman"/>
          <w:sz w:val="20"/>
        </w:rPr>
      </w:pPr>
      <w:r>
        <w:rPr>
          <w:rFonts w:ascii="Times New Roman" w:hAnsi="Times New Roman"/>
          <w:sz w:val="20"/>
        </w:rPr>
        <w:t xml:space="preserve">In this opinion: </w:t>
      </w:r>
    </w:p>
    <w:p>
      <w:pPr>
        <w:pStyle w:val="TextBody"/>
        <w:bidi w:val="0"/>
        <w:spacing w:before="120" w:after="0"/>
        <w:jc w:val="left"/>
        <w:rPr/>
      </w:pPr>
      <w:r>
        <w:rPr/>
        <w:t>“</w:t>
      </w:r>
      <w:r>
        <w:rPr>
          <w:rFonts w:ascii="Times New Roman" w:hAnsi="Times New Roman"/>
          <w:b/>
          <w:sz w:val="20"/>
        </w:rPr>
        <w:t xml:space="preserve">2031 Notes” </w:t>
      </w:r>
      <w:r>
        <w:rPr>
          <w:rFonts w:ascii="Times New Roman" w:hAnsi="Times New Roman"/>
          <w:sz w:val="20"/>
        </w:rPr>
        <w:t xml:space="preserve">means USD 1,250,000,000 6.750 % fixed rate notes due 2031. </w:t>
      </w:r>
    </w:p>
    <w:p>
      <w:pPr>
        <w:pStyle w:val="TextBody"/>
        <w:bidi w:val="0"/>
        <w:spacing w:before="240" w:after="0"/>
        <w:jc w:val="left"/>
        <w:rPr/>
      </w:pPr>
      <w:r>
        <w:rPr/>
        <w:t>“</w:t>
      </w:r>
      <w:r>
        <w:rPr>
          <w:rFonts w:ascii="Times New Roman" w:hAnsi="Times New Roman"/>
          <w:b/>
          <w:sz w:val="20"/>
        </w:rPr>
        <w:t xml:space="preserve">2036 Notes” </w:t>
      </w:r>
      <w:r>
        <w:rPr>
          <w:rFonts w:ascii="Times New Roman" w:hAnsi="Times New Roman"/>
          <w:sz w:val="20"/>
        </w:rPr>
        <w:t xml:space="preserve">means USD 1,250,000,000 7.400 % fixed rate notes due 2036. </w:t>
      </w:r>
    </w:p>
    <w:p>
      <w:pPr>
        <w:pStyle w:val="TextBody"/>
        <w:bidi w:val="0"/>
        <w:spacing w:before="240" w:after="0"/>
        <w:jc w:val="left"/>
        <w:rPr/>
      </w:pPr>
      <w:r>
        <w:rPr/>
        <w:t>“</w:t>
      </w:r>
      <w:r>
        <w:rPr>
          <w:rFonts w:ascii="Times New Roman" w:hAnsi="Times New Roman"/>
          <w:b/>
          <w:sz w:val="20"/>
        </w:rPr>
        <w:t>Agreements</w:t>
      </w:r>
      <w:r>
        <w:rPr>
          <w:rFonts w:ascii="Times New Roman" w:hAnsi="Times New Roman"/>
          <w:sz w:val="20"/>
        </w:rPr>
        <w:t>” is defined in part 3 (</w:t>
      </w:r>
      <w:r>
        <w:rPr>
          <w:rFonts w:ascii="Times New Roman" w:hAnsi="Times New Roman"/>
          <w:i/>
          <w:sz w:val="20"/>
        </w:rPr>
        <w:t>Documents</w:t>
      </w:r>
      <w:r>
        <w:rPr>
          <w:rFonts w:ascii="Times New Roman" w:hAnsi="Times New Roman"/>
          <w:sz w:val="20"/>
        </w:rPr>
        <w:t xml:space="preserve">) of this Annex. </w:t>
      </w:r>
    </w:p>
    <w:p>
      <w:pPr>
        <w:pStyle w:val="TextBody"/>
        <w:bidi w:val="0"/>
        <w:spacing w:before="240" w:after="0"/>
        <w:jc w:val="left"/>
        <w:rPr/>
      </w:pPr>
      <w:r>
        <w:rPr/>
        <w:t>“</w:t>
      </w:r>
      <w:r>
        <w:rPr>
          <w:rFonts w:ascii="Times New Roman" w:hAnsi="Times New Roman"/>
          <w:b/>
          <w:sz w:val="20"/>
        </w:rPr>
        <w:t>Articles of Association</w:t>
      </w:r>
      <w:r>
        <w:rPr>
          <w:rFonts w:ascii="Times New Roman" w:hAnsi="Times New Roman"/>
          <w:sz w:val="20"/>
        </w:rPr>
        <w:t>” is defined in part 2 (</w:t>
      </w:r>
      <w:r>
        <w:rPr>
          <w:rFonts w:ascii="Times New Roman" w:hAnsi="Times New Roman"/>
          <w:i/>
          <w:sz w:val="20"/>
        </w:rPr>
        <w:t>Company</w:t>
      </w:r>
      <w:r>
        <w:rPr>
          <w:rFonts w:ascii="Times New Roman" w:hAnsi="Times New Roman"/>
          <w:sz w:val="20"/>
        </w:rPr>
        <w:t xml:space="preserve">) of this Annex. </w:t>
      </w:r>
    </w:p>
    <w:p>
      <w:pPr>
        <w:pStyle w:val="TextBody"/>
        <w:bidi w:val="0"/>
        <w:spacing w:before="240" w:after="0"/>
        <w:jc w:val="left"/>
        <w:rPr/>
      </w:pPr>
      <w:r>
        <w:rPr/>
        <w:t>“</w:t>
      </w:r>
      <w:r>
        <w:rPr>
          <w:rFonts w:ascii="Times New Roman" w:hAnsi="Times New Roman"/>
          <w:b/>
          <w:sz w:val="20"/>
        </w:rPr>
        <w:t>Base Indenture</w:t>
      </w:r>
      <w:r>
        <w:rPr>
          <w:rFonts w:ascii="Times New Roman" w:hAnsi="Times New Roman"/>
          <w:sz w:val="20"/>
        </w:rPr>
        <w:t>” is defined in part 3 (</w:t>
      </w:r>
      <w:r>
        <w:rPr>
          <w:rFonts w:ascii="Times New Roman" w:hAnsi="Times New Roman"/>
          <w:i/>
          <w:sz w:val="20"/>
        </w:rPr>
        <w:t>Documents</w:t>
      </w:r>
      <w:r>
        <w:rPr>
          <w:rFonts w:ascii="Times New Roman" w:hAnsi="Times New Roman"/>
          <w:sz w:val="20"/>
        </w:rPr>
        <w:t xml:space="preserve">) of this Annex. </w:t>
      </w:r>
    </w:p>
    <w:p>
      <w:pPr>
        <w:pStyle w:val="TextBody"/>
        <w:bidi w:val="0"/>
        <w:spacing w:before="240" w:after="0"/>
        <w:jc w:val="left"/>
        <w:rPr/>
      </w:pPr>
      <w:r>
        <w:rPr/>
        <w:t>“</w:t>
      </w:r>
      <w:r>
        <w:rPr>
          <w:rFonts w:ascii="Times New Roman" w:hAnsi="Times New Roman"/>
          <w:b/>
          <w:sz w:val="20"/>
        </w:rPr>
        <w:t>Base Prospectus</w:t>
      </w:r>
      <w:r>
        <w:rPr>
          <w:rFonts w:ascii="Times New Roman" w:hAnsi="Times New Roman"/>
          <w:sz w:val="20"/>
        </w:rPr>
        <w:t>” is defined in part 3 (</w:t>
      </w:r>
      <w:r>
        <w:rPr>
          <w:rFonts w:ascii="Times New Roman" w:hAnsi="Times New Roman"/>
          <w:i/>
          <w:sz w:val="20"/>
        </w:rPr>
        <w:t>Documents</w:t>
      </w:r>
      <w:r>
        <w:rPr>
          <w:rFonts w:ascii="Times New Roman" w:hAnsi="Times New Roman"/>
          <w:sz w:val="20"/>
        </w:rPr>
        <w:t xml:space="preserve">) of this Annex. </w:t>
      </w:r>
    </w:p>
    <w:p>
      <w:pPr>
        <w:pStyle w:val="TextBody"/>
        <w:bidi w:val="0"/>
        <w:spacing w:before="240" w:after="0"/>
        <w:jc w:val="left"/>
        <w:rPr/>
      </w:pPr>
      <w:r>
        <w:rPr/>
        <w:t>“</w:t>
      </w:r>
      <w:r>
        <w:rPr>
          <w:rFonts w:ascii="Times New Roman" w:hAnsi="Times New Roman"/>
          <w:b/>
          <w:sz w:val="20"/>
        </w:rPr>
        <w:t>Board Regulations</w:t>
      </w:r>
      <w:r>
        <w:rPr>
          <w:rFonts w:ascii="Times New Roman" w:hAnsi="Times New Roman"/>
          <w:sz w:val="20"/>
        </w:rPr>
        <w:t>” is defined in part 2 (</w:t>
      </w:r>
      <w:r>
        <w:rPr>
          <w:rFonts w:ascii="Times New Roman" w:hAnsi="Times New Roman"/>
          <w:i/>
          <w:sz w:val="20"/>
        </w:rPr>
        <w:t>Company</w:t>
      </w:r>
      <w:r>
        <w:rPr>
          <w:rFonts w:ascii="Times New Roman" w:hAnsi="Times New Roman"/>
          <w:sz w:val="20"/>
        </w:rPr>
        <w:t xml:space="preserve">) of this Annex. </w:t>
      </w:r>
    </w:p>
    <w:p>
      <w:pPr>
        <w:pStyle w:val="TextBody"/>
        <w:bidi w:val="0"/>
        <w:spacing w:before="240" w:after="0"/>
        <w:jc w:val="left"/>
        <w:rPr/>
      </w:pPr>
      <w:r>
        <w:rPr/>
        <w:t>“</w:t>
      </w:r>
      <w:r>
        <w:rPr>
          <w:rFonts w:ascii="Times New Roman" w:hAnsi="Times New Roman"/>
          <w:b/>
          <w:sz w:val="20"/>
        </w:rPr>
        <w:t>Brussels I-bis Regulation</w:t>
      </w:r>
      <w:r>
        <w:rPr>
          <w:rFonts w:ascii="Times New Roman" w:hAnsi="Times New Roman"/>
          <w:sz w:val="20"/>
        </w:rPr>
        <w:t xml:space="preserve">” means Regulation (EU) No 1215/2012 of the European Parliament and of the Council of 12 December 2012 on jurisdiction and the recognition and enforcement of judgments in civil and commercial matters (recast). </w:t>
      </w:r>
    </w:p>
    <w:p>
      <w:pPr>
        <w:pStyle w:val="TextBody"/>
        <w:bidi w:val="0"/>
        <w:spacing w:before="240" w:after="0"/>
        <w:jc w:val="left"/>
        <w:rPr/>
      </w:pPr>
      <w:r>
        <w:rPr/>
        <w:t>“</w:t>
      </w:r>
      <w:r>
        <w:rPr>
          <w:rFonts w:ascii="Times New Roman" w:hAnsi="Times New Roman"/>
          <w:b/>
          <w:sz w:val="20"/>
        </w:rPr>
        <w:t>Company</w:t>
      </w:r>
      <w:r>
        <w:rPr>
          <w:rFonts w:ascii="Times New Roman" w:hAnsi="Times New Roman"/>
          <w:sz w:val="20"/>
        </w:rPr>
        <w:t>” is defined in part 2 (</w:t>
      </w:r>
      <w:r>
        <w:rPr>
          <w:rFonts w:ascii="Times New Roman" w:hAnsi="Times New Roman"/>
          <w:i/>
          <w:sz w:val="20"/>
        </w:rPr>
        <w:t>Company</w:t>
      </w:r>
      <w:r>
        <w:rPr>
          <w:rFonts w:ascii="Times New Roman" w:hAnsi="Times New Roman"/>
          <w:sz w:val="20"/>
        </w:rPr>
        <w:t xml:space="preserve">) of this Annex. </w:t>
      </w:r>
    </w:p>
    <w:p>
      <w:pPr>
        <w:pStyle w:val="TextBody"/>
        <w:bidi w:val="0"/>
        <w:spacing w:before="240" w:after="0"/>
        <w:jc w:val="left"/>
        <w:rPr/>
      </w:pPr>
      <w:r>
        <w:rPr/>
        <w:t>“</w:t>
      </w:r>
      <w:r>
        <w:rPr>
          <w:rFonts w:ascii="Times New Roman" w:hAnsi="Times New Roman"/>
          <w:b/>
          <w:sz w:val="20"/>
        </w:rPr>
        <w:t>Corporate Resolution</w:t>
      </w:r>
      <w:r>
        <w:rPr>
          <w:rFonts w:ascii="Times New Roman" w:hAnsi="Times New Roman"/>
          <w:sz w:val="20"/>
        </w:rPr>
        <w:t>” is defined in part 2 (</w:t>
      </w:r>
      <w:r>
        <w:rPr>
          <w:rFonts w:ascii="Times New Roman" w:hAnsi="Times New Roman"/>
          <w:i/>
          <w:sz w:val="20"/>
        </w:rPr>
        <w:t>Company</w:t>
      </w:r>
      <w:r>
        <w:rPr>
          <w:rFonts w:ascii="Times New Roman" w:hAnsi="Times New Roman"/>
          <w:sz w:val="20"/>
        </w:rPr>
        <w:t xml:space="preserve">) of this Annex. </w:t>
      </w:r>
    </w:p>
    <w:p>
      <w:pPr>
        <w:pStyle w:val="TextBody"/>
        <w:bidi w:val="0"/>
        <w:spacing w:before="240" w:after="0"/>
        <w:jc w:val="left"/>
        <w:rPr/>
      </w:pPr>
      <w:r>
        <w:rPr/>
        <w:t>“</w:t>
      </w:r>
      <w:r>
        <w:rPr>
          <w:rFonts w:ascii="Times New Roman" w:hAnsi="Times New Roman"/>
          <w:b/>
          <w:sz w:val="20"/>
        </w:rPr>
        <w:t>De Brauw</w:t>
      </w:r>
      <w:r>
        <w:rPr>
          <w:rFonts w:ascii="Times New Roman" w:hAnsi="Times New Roman"/>
          <w:sz w:val="20"/>
        </w:rPr>
        <w:t xml:space="preserve">” means De Brauw Blackstone Westbroek N.V. </w:t>
      </w:r>
    </w:p>
    <w:p>
      <w:pPr>
        <w:pStyle w:val="TextBody"/>
        <w:bidi w:val="0"/>
        <w:spacing w:before="240" w:after="0"/>
        <w:jc w:val="left"/>
        <w:rPr/>
      </w:pPr>
      <w:r>
        <w:rPr/>
        <w:t>“</w:t>
      </w:r>
      <w:r>
        <w:rPr>
          <w:rFonts w:ascii="Times New Roman" w:hAnsi="Times New Roman"/>
          <w:b/>
          <w:sz w:val="20"/>
        </w:rPr>
        <w:t>Dutch Insolvency</w:t>
      </w:r>
      <w:r>
        <w:rPr>
          <w:rFonts w:ascii="Times New Roman" w:hAnsi="Times New Roman"/>
          <w:sz w:val="20"/>
        </w:rPr>
        <w:t>” means bankruptcy (</w:t>
      </w:r>
      <w:r>
        <w:rPr>
          <w:rFonts w:ascii="Times New Roman" w:hAnsi="Times New Roman"/>
          <w:i/>
          <w:sz w:val="20"/>
        </w:rPr>
        <w:t>faillissement</w:t>
      </w:r>
      <w:r>
        <w:rPr>
          <w:rFonts w:ascii="Times New Roman" w:hAnsi="Times New Roman"/>
          <w:sz w:val="20"/>
        </w:rPr>
        <w:t>), suspension of payments (</w:t>
      </w:r>
      <w:r>
        <w:rPr>
          <w:rFonts w:ascii="Times New Roman" w:hAnsi="Times New Roman"/>
          <w:i/>
          <w:sz w:val="20"/>
        </w:rPr>
        <w:t>surseance van betaling</w:t>
      </w:r>
      <w:r>
        <w:rPr>
          <w:rFonts w:ascii="Times New Roman" w:hAnsi="Times New Roman"/>
          <w:sz w:val="20"/>
        </w:rPr>
        <w:t>) or restructuring proceedings outside bankruptcy (</w:t>
      </w:r>
      <w:r>
        <w:rPr>
          <w:rFonts w:ascii="Times New Roman" w:hAnsi="Times New Roman"/>
          <w:i/>
          <w:sz w:val="20"/>
        </w:rPr>
        <w:t>akkoordprocedures buiten faillissement</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Dutch law</w:t>
      </w:r>
      <w:r>
        <w:rPr>
          <w:rFonts w:ascii="Times New Roman" w:hAnsi="Times New Roman"/>
          <w:sz w:val="20"/>
        </w:rPr>
        <w:t xml:space="preserve">” means the national law of the Netherlands and European Union and international law to the extent directly applicable in the Netherlands. </w:t>
      </w:r>
    </w:p>
    <w:p>
      <w:pPr>
        <w:pStyle w:val="TextBody"/>
        <w:bidi w:val="0"/>
        <w:spacing w:before="240" w:after="0"/>
        <w:jc w:val="left"/>
        <w:rPr/>
      </w:pPr>
      <w:r>
        <w:rPr/>
        <w:t>“</w:t>
      </w:r>
      <w:r>
        <w:rPr>
          <w:rFonts w:ascii="Times New Roman" w:hAnsi="Times New Roman"/>
          <w:b/>
          <w:sz w:val="20"/>
        </w:rPr>
        <w:t>Guarantees</w:t>
      </w:r>
      <w:r>
        <w:rPr>
          <w:rFonts w:ascii="Times New Roman" w:hAnsi="Times New Roman"/>
          <w:sz w:val="20"/>
        </w:rPr>
        <w:t>” is defined in part 3 (</w:t>
      </w:r>
      <w:r>
        <w:rPr>
          <w:rFonts w:ascii="Times New Roman" w:hAnsi="Times New Roman"/>
          <w:i/>
          <w:sz w:val="20"/>
        </w:rPr>
        <w:t>Documents</w:t>
      </w:r>
      <w:r>
        <w:rPr>
          <w:rFonts w:ascii="Times New Roman" w:hAnsi="Times New Roman"/>
          <w:sz w:val="20"/>
        </w:rPr>
        <w:t xml:space="preserve">) of this Annex. </w:t>
      </w:r>
    </w:p>
    <w:p>
      <w:pPr>
        <w:pStyle w:val="TextBody"/>
        <w:bidi w:val="0"/>
        <w:spacing w:before="240" w:after="0"/>
        <w:jc w:val="left"/>
        <w:rPr/>
      </w:pPr>
      <w:r>
        <w:rPr/>
        <w:t>“</w:t>
      </w:r>
      <w:r>
        <w:rPr>
          <w:rFonts w:ascii="Times New Roman" w:hAnsi="Times New Roman"/>
          <w:b/>
          <w:sz w:val="20"/>
        </w:rPr>
        <w:t>Indenture</w:t>
      </w:r>
      <w:r>
        <w:rPr>
          <w:rFonts w:ascii="Times New Roman" w:hAnsi="Times New Roman"/>
          <w:sz w:val="20"/>
        </w:rPr>
        <w:t>” is defined in part 3 (</w:t>
      </w:r>
      <w:r>
        <w:rPr>
          <w:rFonts w:ascii="Times New Roman" w:hAnsi="Times New Roman"/>
          <w:i/>
          <w:sz w:val="20"/>
        </w:rPr>
        <w:t>Documents</w:t>
      </w:r>
      <w:r>
        <w:rPr>
          <w:rFonts w:ascii="Times New Roman" w:hAnsi="Times New Roman"/>
          <w:sz w:val="20"/>
        </w:rPr>
        <w:t xml:space="preserve">) of this Annex. </w:t>
      </w:r>
    </w:p>
    <w:p>
      <w:pPr>
        <w:pStyle w:val="TextBody"/>
        <w:bidi w:val="0"/>
        <w:spacing w:before="240" w:after="0"/>
        <w:jc w:val="left"/>
        <w:rPr/>
      </w:pPr>
      <w:r>
        <w:rPr/>
        <w:t>“</w:t>
      </w:r>
      <w:r>
        <w:rPr>
          <w:rFonts w:ascii="Times New Roman" w:hAnsi="Times New Roman"/>
          <w:b/>
          <w:sz w:val="20"/>
        </w:rPr>
        <w:t>Insolvency Proceedings</w:t>
      </w:r>
      <w:r>
        <w:rPr>
          <w:rFonts w:ascii="Times New Roman" w:hAnsi="Times New Roman"/>
          <w:sz w:val="20"/>
        </w:rPr>
        <w:t xml:space="preserve">” means insolvency proceedings as defined in Article 2(4) of Regulation (EU) 2015/848 of the European Parliament and of the Council of 20 May 2015 on insolvency proceedings (recast). </w:t>
      </w:r>
    </w:p>
    <w:p>
      <w:pPr>
        <w:pStyle w:val="TextBody"/>
        <w:bidi w:val="0"/>
        <w:spacing w:before="240" w:after="0"/>
        <w:jc w:val="left"/>
        <w:rPr/>
      </w:pPr>
      <w:r>
        <w:rPr/>
        <w:t>“</w:t>
      </w:r>
      <w:r>
        <w:rPr>
          <w:rFonts w:ascii="Times New Roman" w:hAnsi="Times New Roman"/>
          <w:b/>
          <w:sz w:val="20"/>
        </w:rPr>
        <w:t>Issuer</w:t>
      </w:r>
      <w:r>
        <w:rPr>
          <w:rFonts w:ascii="Times New Roman" w:hAnsi="Times New Roman"/>
          <w:sz w:val="20"/>
        </w:rPr>
        <w:t xml:space="preserve">” means Stellantis Finance US Inc.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33"/>
        <w:gridCol w:w="119"/>
        <w:gridCol w:w="653"/>
      </w:tblGrid>
      <w:tr>
        <w:trPr/>
        <w:tc>
          <w:tcPr>
            <w:tcW w:w="9433"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r>
      <w:tr>
        <w:trPr/>
        <w:tc>
          <w:tcPr>
            <w:tcW w:w="9433" w:type="dxa"/>
            <w:tcBorders/>
          </w:tcPr>
          <w:p>
            <w:pPr>
              <w:pStyle w:val="TableContents"/>
              <w:bidi w:val="0"/>
              <w:spacing w:before="0" w:after="283"/>
              <w:jc w:val="left"/>
              <w:rPr/>
            </w:pPr>
            <w:r>
              <w:rPr/>
              <w:t>Legal opinion on Stellantis N.V.</w:t>
            </w:r>
          </w:p>
        </w:tc>
        <w:tc>
          <w:tcPr>
            <w:tcW w:w="119" w:type="dxa"/>
            <w:tcBorders/>
            <w:vAlign w:val="bottom"/>
          </w:tcPr>
          <w:p>
            <w:pPr>
              <w:pStyle w:val="TableContents"/>
              <w:bidi w:val="0"/>
              <w:spacing w:before="0" w:after="283"/>
              <w:jc w:val="left"/>
              <w:rPr/>
            </w:pPr>
            <w:r>
              <w:rPr/>
              <w:t> </w:t>
            </w:r>
          </w:p>
        </w:tc>
        <w:tc>
          <w:tcPr>
            <w:tcW w:w="65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433" w:type="dxa"/>
            <w:tcBorders/>
            <w:vAlign w:val="center"/>
          </w:tcPr>
          <w:p>
            <w:pPr>
              <w:pStyle w:val="TableContents"/>
              <w:bidi w:val="0"/>
              <w:spacing w:before="0" w:after="283"/>
              <w:jc w:val="left"/>
              <w:rPr>
                <w:sz w:val="4"/>
                <w:szCs w:val="4"/>
              </w:rPr>
            </w:pPr>
            <w:r>
              <w:rPr>
                <w:sz w:val="4"/>
                <w:szCs w:val="4"/>
              </w:rPr>
            </w:r>
          </w:p>
        </w:tc>
        <w:tc>
          <w:tcPr>
            <w:tcW w:w="772" w:type="dxa"/>
            <w:gridSpan w:val="2"/>
            <w:tcBorders/>
            <w:vAlign w:val="center"/>
          </w:tcPr>
          <w:p>
            <w:pPr>
              <w:pStyle w:val="TableContents"/>
              <w:bidi w:val="0"/>
              <w:spacing w:before="0" w:after="283"/>
              <w:jc w:val="left"/>
              <w:rPr>
                <w:sz w:val="4"/>
                <w:szCs w:val="4"/>
              </w:rPr>
            </w:pPr>
            <w:r>
              <w:rPr>
                <w:sz w:val="4"/>
                <w:szCs w:val="4"/>
              </w:rPr>
            </w:r>
          </w:p>
        </w:tc>
      </w:tr>
      <w:tr>
        <w:trPr/>
        <w:tc>
          <w:tcPr>
            <w:tcW w:w="9433" w:type="dxa"/>
            <w:tcBorders/>
          </w:tcPr>
          <w:p>
            <w:pPr>
              <w:pStyle w:val="TableContents"/>
              <w:bidi w:val="0"/>
              <w:spacing w:before="0" w:after="283"/>
              <w:jc w:val="left"/>
              <w:rPr/>
            </w:pPr>
            <w:r>
              <w:rPr/>
              <w:t>Our ref. M47850709/5/20731795</w:t>
            </w:r>
          </w:p>
        </w:tc>
        <w:tc>
          <w:tcPr>
            <w:tcW w:w="119" w:type="dxa"/>
            <w:tcBorders/>
            <w:vAlign w:val="bottom"/>
          </w:tcPr>
          <w:p>
            <w:pPr>
              <w:pStyle w:val="TableContents"/>
              <w:bidi w:val="0"/>
              <w:spacing w:before="0" w:after="283"/>
              <w:jc w:val="left"/>
              <w:rPr/>
            </w:pPr>
            <w:r>
              <w:rPr/>
              <w:t> </w:t>
            </w:r>
          </w:p>
        </w:tc>
        <w:tc>
          <w:tcPr>
            <w:tcW w:w="653" w:type="dxa"/>
            <w:tcBorders/>
            <w:vAlign w:val="bottom"/>
          </w:tcPr>
          <w:p>
            <w:pPr>
              <w:pStyle w:val="TableContents"/>
              <w:bidi w:val="0"/>
              <w:spacing w:before="0" w:after="283"/>
              <w:jc w:val="left"/>
              <w:rPr/>
            </w:pPr>
            <w:r>
              <w:rPr>
                <w:b/>
              </w:rPr>
              <w:t>12 / </w:t>
            </w:r>
            <w:r>
              <w:rPr/>
              <w:t>16</w:t>
            </w:r>
          </w:p>
        </w:tc>
      </w:tr>
    </w:tbl>
    <w:p>
      <w:pPr>
        <w:pStyle w:val="HorizontalLine"/>
        <w:pBdr>
          <w:bottom w:val="double" w:sz="6" w:space="0" w:color="808080"/>
        </w:pBdr>
        <w:bidi w:val="0"/>
        <w:jc w:val="left"/>
        <w:rPr/>
      </w:pPr>
      <w:r>
        <w:br w:type="page"/>
      </w:r>
      <w:r>
        <w:rPr/>
      </w:r>
    </w:p>
    <w:p>
      <w:pPr>
        <w:pStyle w:val="TextBody"/>
        <w:bidi w:val="0"/>
        <w:spacing w:before="0" w:after="0"/>
        <w:jc w:val="right"/>
        <w:rPr/>
      </w:pPr>
      <w:r>
        <w:rPr/>
        <w:drawing>
          <wp:inline distT="0" distB="0" distL="0" distR="0">
            <wp:extent cx="1468755" cy="61976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468755" cy="61976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pPr>
      <w:r>
        <w:rPr/>
        <w:t>“</w:t>
      </w:r>
      <w:r>
        <w:rPr>
          <w:rFonts w:ascii="Times New Roman" w:hAnsi="Times New Roman"/>
          <w:b/>
          <w:sz w:val="20"/>
        </w:rPr>
        <w:t>Lugano Convention</w:t>
      </w:r>
      <w:r>
        <w:rPr>
          <w:rFonts w:ascii="Times New Roman" w:hAnsi="Times New Roman"/>
          <w:sz w:val="20"/>
        </w:rPr>
        <w:t xml:space="preserve">” means the 2007 Lugano Convention on jurisdiction and the recognition and enforcement of judgments in civil and commercial matters. </w:t>
      </w:r>
    </w:p>
    <w:p>
      <w:pPr>
        <w:pStyle w:val="TextBody"/>
        <w:bidi w:val="0"/>
        <w:spacing w:before="240" w:after="0"/>
        <w:jc w:val="left"/>
        <w:rPr/>
      </w:pPr>
      <w:r>
        <w:rPr/>
        <w:t>“</w:t>
      </w:r>
      <w:r>
        <w:rPr>
          <w:rFonts w:ascii="Times New Roman" w:hAnsi="Times New Roman"/>
          <w:b/>
          <w:sz w:val="20"/>
        </w:rPr>
        <w:t>New York law</w:t>
      </w:r>
      <w:r>
        <w:rPr>
          <w:rFonts w:ascii="Times New Roman" w:hAnsi="Times New Roman"/>
          <w:sz w:val="20"/>
        </w:rPr>
        <w:t xml:space="preserve">” means the laws of the State of New York without regard to its conflicts of laws principles. </w:t>
      </w:r>
    </w:p>
    <w:p>
      <w:pPr>
        <w:pStyle w:val="TextBody"/>
        <w:bidi w:val="0"/>
        <w:spacing w:before="240" w:after="0"/>
        <w:jc w:val="left"/>
        <w:rPr/>
      </w:pPr>
      <w:r>
        <w:rPr/>
        <w:t>“</w:t>
      </w:r>
      <w:r>
        <w:rPr>
          <w:rFonts w:ascii="Times New Roman" w:hAnsi="Times New Roman"/>
          <w:b/>
          <w:sz w:val="20"/>
        </w:rPr>
        <w:t>New York Court</w:t>
      </w:r>
      <w:r>
        <w:rPr>
          <w:rFonts w:ascii="Times New Roman" w:hAnsi="Times New Roman"/>
          <w:sz w:val="20"/>
        </w:rPr>
        <w:t xml:space="preserve">” means any U.S. federal or state court in the State of New York, New York County. </w:t>
      </w:r>
    </w:p>
    <w:p>
      <w:pPr>
        <w:pStyle w:val="TextBody"/>
        <w:bidi w:val="0"/>
        <w:spacing w:before="240" w:after="0"/>
        <w:jc w:val="left"/>
        <w:rPr/>
      </w:pPr>
      <w:r>
        <w:rPr/>
        <w:t>“</w:t>
      </w:r>
      <w:r>
        <w:rPr>
          <w:rFonts w:ascii="Times New Roman" w:hAnsi="Times New Roman"/>
          <w:b/>
          <w:sz w:val="20"/>
        </w:rPr>
        <w:t>Notes</w:t>
      </w:r>
      <w:r>
        <w:rPr>
          <w:rFonts w:ascii="Times New Roman" w:hAnsi="Times New Roman"/>
          <w:sz w:val="20"/>
        </w:rPr>
        <w:t xml:space="preserve">” means each of the 2031 Notes and the 2036 Notes. </w:t>
      </w:r>
    </w:p>
    <w:p>
      <w:pPr>
        <w:pStyle w:val="TextBody"/>
        <w:bidi w:val="0"/>
        <w:spacing w:before="240" w:after="0"/>
        <w:jc w:val="left"/>
        <w:rPr/>
      </w:pPr>
      <w:r>
        <w:rPr/>
        <w:t>“</w:t>
      </w:r>
      <w:r>
        <w:rPr>
          <w:rFonts w:ascii="Times New Roman" w:hAnsi="Times New Roman"/>
          <w:b/>
          <w:sz w:val="20"/>
        </w:rPr>
        <w:t>Offer Regulations</w:t>
      </w:r>
      <w:r>
        <w:rPr>
          <w:rFonts w:ascii="Times New Roman" w:hAnsi="Times New Roman"/>
          <w:sz w:val="20"/>
        </w:rPr>
        <w:t xml:space="preserve">” means: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Commission Delegated Regulation (EU) 2019/979 of 14 March 2019 supplementing Regulation (EU) 2017/1129 of the European Parliament and of the Council with regard to regulatory technical standards on key financial information in the summary of a prospectus, the publication and classification of prospectuses, advertisements for securities, supplements to a prospectus, and the notification portal, and repealing Commission Delegated Regulation (EU) No 382/2014 and Commission Delegated Regulation (EU) 2016/301;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Commission Delegated Regulation (EU) 2019/980 of 14 March 2019 supplementing Regulation (EU) 2017/1129 of the European Parliament and of the Council as regards the format, content, scrutiny and approval of the prospectus to be published when securities are offered to the public or admitted to trading on a regulated market, and repealing Commission Regulation (EC) No 809/2004;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(c)</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Regulation (EU) No 596/2014 of the European Parliament and of the Council of 16 April 2014 on market abuse (market abuse regulation) and repealing Directive 2003/6/EC of the European Parliament and of the Council and Commission Directives 2003/124/EC, 2003/125/EC and 2004/72/EC;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(d)</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Regulation (EC) No 1060/2009 of the European Parliament and of the Council of 16 September 2009 on credit rating agencies to the extent applicable. </w:t>
            </w:r>
          </w:p>
        </w:tc>
      </w:tr>
    </w:tbl>
    <w:p>
      <w:pPr>
        <w:pStyle w:val="TextBody"/>
        <w:bidi w:val="0"/>
        <w:spacing w:before="240" w:after="0"/>
        <w:jc w:val="left"/>
        <w:rPr/>
      </w:pPr>
      <w:r>
        <w:rPr/>
        <w:t>“</w:t>
      </w:r>
      <w:r>
        <w:rPr>
          <w:rFonts w:ascii="Times New Roman" w:hAnsi="Times New Roman"/>
          <w:b/>
          <w:sz w:val="20"/>
        </w:rPr>
        <w:t>Officer’s Certificate</w:t>
      </w:r>
      <w:r>
        <w:rPr>
          <w:rFonts w:ascii="Times New Roman" w:hAnsi="Times New Roman"/>
          <w:sz w:val="20"/>
        </w:rPr>
        <w:t>” is defined in part 3 (</w:t>
      </w:r>
      <w:r>
        <w:rPr>
          <w:rFonts w:ascii="Times New Roman" w:hAnsi="Times New Roman"/>
          <w:i/>
          <w:sz w:val="20"/>
        </w:rPr>
        <w:t>Documents</w:t>
      </w:r>
      <w:r>
        <w:rPr>
          <w:rFonts w:ascii="Times New Roman" w:hAnsi="Times New Roman"/>
          <w:sz w:val="20"/>
        </w:rPr>
        <w:t xml:space="preserve">) of this Annex. </w:t>
      </w:r>
    </w:p>
    <w:p>
      <w:pPr>
        <w:pStyle w:val="TextBody"/>
        <w:bidi w:val="0"/>
        <w:spacing w:before="240" w:after="0"/>
        <w:jc w:val="left"/>
        <w:rPr/>
      </w:pPr>
      <w:r>
        <w:rPr/>
        <w:t>“</w:t>
      </w:r>
      <w:r>
        <w:rPr>
          <w:rFonts w:ascii="Times New Roman" w:hAnsi="Times New Roman"/>
          <w:b/>
          <w:sz w:val="20"/>
        </w:rPr>
        <w:t>Power of Attorney</w:t>
      </w:r>
      <w:r>
        <w:rPr>
          <w:rFonts w:ascii="Times New Roman" w:hAnsi="Times New Roman"/>
          <w:sz w:val="20"/>
        </w:rPr>
        <w:t>” is defined in part 2 (</w:t>
      </w:r>
      <w:r>
        <w:rPr>
          <w:rFonts w:ascii="Times New Roman" w:hAnsi="Times New Roman"/>
          <w:i/>
          <w:sz w:val="20"/>
        </w:rPr>
        <w:t>Company</w:t>
      </w:r>
      <w:r>
        <w:rPr>
          <w:rFonts w:ascii="Times New Roman" w:hAnsi="Times New Roman"/>
          <w:sz w:val="20"/>
        </w:rPr>
        <w:t xml:space="preserve">) of this Annex. </w:t>
      </w:r>
    </w:p>
    <w:p>
      <w:pPr>
        <w:pStyle w:val="TextBody"/>
        <w:bidi w:val="0"/>
        <w:spacing w:before="240" w:after="0"/>
        <w:jc w:val="left"/>
        <w:rPr/>
      </w:pPr>
      <w:r>
        <w:rPr/>
        <w:t>“</w:t>
      </w:r>
      <w:r>
        <w:rPr>
          <w:rFonts w:ascii="Times New Roman" w:hAnsi="Times New Roman"/>
          <w:b/>
          <w:sz w:val="20"/>
        </w:rPr>
        <w:t>Preliminary Prospectus</w:t>
      </w:r>
      <w:r>
        <w:rPr>
          <w:rFonts w:ascii="Times New Roman" w:hAnsi="Times New Roman"/>
          <w:sz w:val="20"/>
        </w:rPr>
        <w:t>” is defined in part 3 (</w:t>
      </w:r>
      <w:r>
        <w:rPr>
          <w:rFonts w:ascii="Times New Roman" w:hAnsi="Times New Roman"/>
          <w:i/>
          <w:sz w:val="20"/>
        </w:rPr>
        <w:t>Documents</w:t>
      </w:r>
      <w:r>
        <w:rPr>
          <w:rFonts w:ascii="Times New Roman" w:hAnsi="Times New Roman"/>
          <w:sz w:val="20"/>
        </w:rPr>
        <w:t xml:space="preserve">) of this Annex. </w:t>
      </w:r>
    </w:p>
    <w:p>
      <w:pPr>
        <w:pStyle w:val="TextBody"/>
        <w:bidi w:val="0"/>
        <w:spacing w:before="240" w:after="0"/>
        <w:jc w:val="left"/>
        <w:rPr/>
      </w:pPr>
      <w:r>
        <w:rPr/>
        <w:t>“</w:t>
      </w:r>
      <w:r>
        <w:rPr>
          <w:rFonts w:ascii="Times New Roman" w:hAnsi="Times New Roman"/>
          <w:b/>
          <w:sz w:val="20"/>
        </w:rPr>
        <w:t>Prospectus</w:t>
      </w:r>
      <w:r>
        <w:rPr>
          <w:rFonts w:ascii="Times New Roman" w:hAnsi="Times New Roman"/>
          <w:sz w:val="20"/>
        </w:rPr>
        <w:t>” is defined in part 3 (</w:t>
      </w:r>
      <w:r>
        <w:rPr>
          <w:rFonts w:ascii="Times New Roman" w:hAnsi="Times New Roman"/>
          <w:i/>
          <w:sz w:val="20"/>
        </w:rPr>
        <w:t>Documents</w:t>
      </w:r>
      <w:r>
        <w:rPr>
          <w:rFonts w:ascii="Times New Roman" w:hAnsi="Times New Roman"/>
          <w:sz w:val="20"/>
        </w:rPr>
        <w:t xml:space="preserve">) of this Annex. </w:t>
      </w:r>
    </w:p>
    <w:p>
      <w:pPr>
        <w:pStyle w:val="TextBody"/>
        <w:bidi w:val="0"/>
        <w:spacing w:before="240" w:after="0"/>
        <w:jc w:val="left"/>
        <w:rPr/>
      </w:pPr>
      <w:r>
        <w:rPr/>
        <w:t>“</w:t>
      </w:r>
      <w:r>
        <w:rPr>
          <w:rFonts w:ascii="Times New Roman" w:hAnsi="Times New Roman"/>
          <w:b/>
          <w:sz w:val="20"/>
        </w:rPr>
        <w:t>Prospectus Regulation</w:t>
      </w:r>
      <w:r>
        <w:rPr>
          <w:rFonts w:ascii="Times New Roman" w:hAnsi="Times New Roman"/>
          <w:sz w:val="20"/>
        </w:rPr>
        <w:t xml:space="preserve">” means Regulation (EU) 2017/1129 of the European Parliament and of the Council of 14 June 2017 on the prospectus to be published when securities are offered to the public or admitted to trading on a regulated market, and repealing Directive 2003/71/EC.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33"/>
        <w:gridCol w:w="119"/>
        <w:gridCol w:w="653"/>
      </w:tblGrid>
      <w:tr>
        <w:trPr/>
        <w:tc>
          <w:tcPr>
            <w:tcW w:w="9433"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r>
      <w:tr>
        <w:trPr/>
        <w:tc>
          <w:tcPr>
            <w:tcW w:w="9433" w:type="dxa"/>
            <w:tcBorders/>
          </w:tcPr>
          <w:p>
            <w:pPr>
              <w:pStyle w:val="TableContents"/>
              <w:bidi w:val="0"/>
              <w:spacing w:before="0" w:after="283"/>
              <w:jc w:val="left"/>
              <w:rPr/>
            </w:pPr>
            <w:r>
              <w:rPr/>
              <w:t>Legal opinion on Stellantis N.V.</w:t>
            </w:r>
          </w:p>
        </w:tc>
        <w:tc>
          <w:tcPr>
            <w:tcW w:w="119" w:type="dxa"/>
            <w:tcBorders/>
            <w:vAlign w:val="bottom"/>
          </w:tcPr>
          <w:p>
            <w:pPr>
              <w:pStyle w:val="TableContents"/>
              <w:bidi w:val="0"/>
              <w:spacing w:before="0" w:after="283"/>
              <w:jc w:val="left"/>
              <w:rPr/>
            </w:pPr>
            <w:r>
              <w:rPr/>
              <w:t> </w:t>
            </w:r>
          </w:p>
        </w:tc>
        <w:tc>
          <w:tcPr>
            <w:tcW w:w="65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433" w:type="dxa"/>
            <w:tcBorders/>
            <w:vAlign w:val="center"/>
          </w:tcPr>
          <w:p>
            <w:pPr>
              <w:pStyle w:val="TableContents"/>
              <w:bidi w:val="0"/>
              <w:spacing w:before="0" w:after="283"/>
              <w:jc w:val="left"/>
              <w:rPr>
                <w:sz w:val="4"/>
                <w:szCs w:val="4"/>
              </w:rPr>
            </w:pPr>
            <w:r>
              <w:rPr>
                <w:sz w:val="4"/>
                <w:szCs w:val="4"/>
              </w:rPr>
            </w:r>
          </w:p>
        </w:tc>
        <w:tc>
          <w:tcPr>
            <w:tcW w:w="772" w:type="dxa"/>
            <w:gridSpan w:val="2"/>
            <w:tcBorders/>
            <w:vAlign w:val="center"/>
          </w:tcPr>
          <w:p>
            <w:pPr>
              <w:pStyle w:val="TableContents"/>
              <w:bidi w:val="0"/>
              <w:spacing w:before="0" w:after="283"/>
              <w:jc w:val="left"/>
              <w:rPr>
                <w:sz w:val="4"/>
                <w:szCs w:val="4"/>
              </w:rPr>
            </w:pPr>
            <w:r>
              <w:rPr>
                <w:sz w:val="4"/>
                <w:szCs w:val="4"/>
              </w:rPr>
            </w:r>
          </w:p>
        </w:tc>
      </w:tr>
      <w:tr>
        <w:trPr/>
        <w:tc>
          <w:tcPr>
            <w:tcW w:w="9433" w:type="dxa"/>
            <w:tcBorders/>
          </w:tcPr>
          <w:p>
            <w:pPr>
              <w:pStyle w:val="TableContents"/>
              <w:bidi w:val="0"/>
              <w:spacing w:before="0" w:after="283"/>
              <w:jc w:val="left"/>
              <w:rPr/>
            </w:pPr>
            <w:r>
              <w:rPr/>
              <w:t>Our ref. M47850709/5/20731795</w:t>
            </w:r>
          </w:p>
        </w:tc>
        <w:tc>
          <w:tcPr>
            <w:tcW w:w="119" w:type="dxa"/>
            <w:tcBorders/>
            <w:vAlign w:val="bottom"/>
          </w:tcPr>
          <w:p>
            <w:pPr>
              <w:pStyle w:val="TableContents"/>
              <w:bidi w:val="0"/>
              <w:spacing w:before="0" w:after="283"/>
              <w:jc w:val="left"/>
              <w:rPr/>
            </w:pPr>
            <w:r>
              <w:rPr/>
              <w:t> </w:t>
            </w:r>
          </w:p>
        </w:tc>
        <w:tc>
          <w:tcPr>
            <w:tcW w:w="653" w:type="dxa"/>
            <w:tcBorders/>
            <w:vAlign w:val="bottom"/>
          </w:tcPr>
          <w:p>
            <w:pPr>
              <w:pStyle w:val="TableContents"/>
              <w:bidi w:val="0"/>
              <w:spacing w:before="0" w:after="283"/>
              <w:jc w:val="left"/>
              <w:rPr/>
            </w:pPr>
            <w:r>
              <w:rPr>
                <w:b/>
              </w:rPr>
              <w:t>13 / </w:t>
            </w:r>
            <w:r>
              <w:rPr/>
              <w:t>16</w:t>
            </w:r>
          </w:p>
        </w:tc>
      </w:tr>
    </w:tbl>
    <w:p>
      <w:pPr>
        <w:pStyle w:val="HorizontalLine"/>
        <w:pBdr>
          <w:bottom w:val="double" w:sz="6" w:space="0" w:color="808080"/>
        </w:pBdr>
        <w:bidi w:val="0"/>
        <w:jc w:val="left"/>
        <w:rPr/>
      </w:pPr>
      <w:r>
        <w:br w:type="page"/>
      </w:r>
      <w:r>
        <w:rPr/>
      </w:r>
    </w:p>
    <w:p>
      <w:pPr>
        <w:pStyle w:val="TextBody"/>
        <w:bidi w:val="0"/>
        <w:spacing w:before="0" w:after="0"/>
        <w:jc w:val="right"/>
        <w:rPr/>
      </w:pPr>
      <w:r>
        <w:rPr/>
        <w:drawing>
          <wp:inline distT="0" distB="0" distL="0" distR="0">
            <wp:extent cx="1468755" cy="61976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468755" cy="61976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pPr>
      <w:r>
        <w:rPr/>
        <w:t>“</w:t>
      </w:r>
      <w:r>
        <w:rPr>
          <w:rFonts w:ascii="Times New Roman" w:hAnsi="Times New Roman"/>
          <w:b/>
          <w:sz w:val="20"/>
        </w:rPr>
        <w:t>Registration</w:t>
      </w:r>
      <w:r>
        <w:rPr>
          <w:rFonts w:ascii="Times New Roman" w:hAnsi="Times New Roman"/>
          <w:sz w:val="20"/>
        </w:rPr>
        <w:t xml:space="preserve">” means the registration of the Securities with the SEC under the Securities Act. </w:t>
      </w:r>
    </w:p>
    <w:p>
      <w:pPr>
        <w:pStyle w:val="TextBody"/>
        <w:bidi w:val="0"/>
        <w:spacing w:before="240" w:after="0"/>
        <w:jc w:val="left"/>
        <w:rPr/>
      </w:pPr>
      <w:r>
        <w:rPr/>
        <w:t>“</w:t>
      </w:r>
      <w:r>
        <w:rPr>
          <w:rFonts w:ascii="Times New Roman" w:hAnsi="Times New Roman"/>
          <w:b/>
          <w:sz w:val="20"/>
        </w:rPr>
        <w:t>Registration Statement</w:t>
      </w:r>
      <w:r>
        <w:rPr>
          <w:rFonts w:ascii="Times New Roman" w:hAnsi="Times New Roman"/>
          <w:sz w:val="20"/>
        </w:rPr>
        <w:t xml:space="preserve">” means the registration statement on form F-3 (File Nos. 333-297933 and 333-297933-01), including the Prospectus and the Preliminary Prospectus, relating to the Registration, excluding any other documents incorporated by reference into it and any exhibits to it. </w:t>
      </w:r>
    </w:p>
    <w:p>
      <w:pPr>
        <w:pStyle w:val="TextBody"/>
        <w:bidi w:val="0"/>
        <w:spacing w:before="240" w:after="0"/>
        <w:jc w:val="left"/>
        <w:rPr/>
      </w:pPr>
      <w:r>
        <w:rPr/>
        <w:t>“</w:t>
      </w:r>
      <w:r>
        <w:rPr>
          <w:rFonts w:ascii="Times New Roman" w:hAnsi="Times New Roman"/>
          <w:b/>
          <w:sz w:val="20"/>
        </w:rPr>
        <w:t>Sanctions List</w:t>
      </w:r>
      <w:r>
        <w:rPr>
          <w:rFonts w:ascii="Times New Roman" w:hAnsi="Times New Roman"/>
          <w:sz w:val="20"/>
        </w:rPr>
        <w:t xml:space="preserve">” means each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Consolidated list of persons, groups and entities subject to EU financial sanctions;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(b)</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the National sanction list terrorism (</w:t>
            </w:r>
            <w:r>
              <w:rPr>
                <w:rFonts w:ascii="Times New Roman" w:hAnsi="Times New Roman"/>
                <w:i/>
                <w:sz w:val="20"/>
              </w:rPr>
              <w:t>Nationale sanctielijst terrorisme</w:t>
            </w:r>
            <w:r>
              <w:rPr>
                <w:rFonts w:ascii="Times New Roman" w:hAnsi="Times New Roman"/>
                <w:sz w:val="20"/>
              </w:rPr>
              <w:t xml:space="preserve">). </w:t>
            </w:r>
          </w:p>
        </w:tc>
      </w:tr>
    </w:tbl>
    <w:p>
      <w:pPr>
        <w:pStyle w:val="TextBody"/>
        <w:bidi w:val="0"/>
        <w:spacing w:before="240" w:after="0"/>
        <w:jc w:val="left"/>
        <w:rPr/>
      </w:pPr>
      <w:r>
        <w:rPr/>
        <w:t>“</w:t>
      </w:r>
      <w:r>
        <w:rPr>
          <w:rFonts w:ascii="Times New Roman" w:hAnsi="Times New Roman"/>
          <w:b/>
          <w:sz w:val="20"/>
        </w:rPr>
        <w:t>SEC</w:t>
      </w:r>
      <w:r>
        <w:rPr>
          <w:rFonts w:ascii="Times New Roman" w:hAnsi="Times New Roman"/>
          <w:sz w:val="20"/>
        </w:rPr>
        <w:t xml:space="preserve">” means the U.S. Securities and Exchange Commission. </w:t>
      </w:r>
    </w:p>
    <w:p>
      <w:pPr>
        <w:pStyle w:val="TextBody"/>
        <w:bidi w:val="0"/>
        <w:spacing w:before="240" w:after="0"/>
        <w:jc w:val="left"/>
        <w:rPr/>
      </w:pPr>
      <w:r>
        <w:rPr/>
        <w:t>“</w:t>
      </w:r>
      <w:r>
        <w:rPr>
          <w:rFonts w:ascii="Times New Roman" w:hAnsi="Times New Roman"/>
          <w:b/>
          <w:sz w:val="20"/>
        </w:rPr>
        <w:t>Securities</w:t>
      </w:r>
      <w:r>
        <w:rPr>
          <w:rFonts w:ascii="Times New Roman" w:hAnsi="Times New Roman"/>
          <w:sz w:val="20"/>
        </w:rPr>
        <w:t xml:space="preserve">” means each of the Notes and the Guarantees. </w:t>
      </w:r>
    </w:p>
    <w:p>
      <w:pPr>
        <w:pStyle w:val="TextBody"/>
        <w:bidi w:val="0"/>
        <w:spacing w:before="240" w:after="0"/>
        <w:jc w:val="left"/>
        <w:rPr/>
      </w:pPr>
      <w:r>
        <w:rPr/>
        <w:t>“</w:t>
      </w:r>
      <w:r>
        <w:rPr>
          <w:rFonts w:ascii="Times New Roman" w:hAnsi="Times New Roman"/>
          <w:b/>
          <w:sz w:val="20"/>
        </w:rPr>
        <w:t>Securities Act</w:t>
      </w:r>
      <w:r>
        <w:rPr>
          <w:rFonts w:ascii="Times New Roman" w:hAnsi="Times New Roman"/>
          <w:sz w:val="20"/>
        </w:rPr>
        <w:t xml:space="preserve">” means the U.S. Securities Act of 1933, as amended. </w:t>
      </w:r>
    </w:p>
    <w:p>
      <w:pPr>
        <w:pStyle w:val="TextBody"/>
        <w:bidi w:val="0"/>
        <w:spacing w:before="240" w:after="0"/>
        <w:jc w:val="left"/>
        <w:rPr/>
      </w:pPr>
      <w:r>
        <w:rPr/>
        <w:t>“</w:t>
      </w:r>
      <w:r>
        <w:rPr>
          <w:rFonts w:ascii="Times New Roman" w:hAnsi="Times New Roman"/>
          <w:b/>
          <w:sz w:val="20"/>
        </w:rPr>
        <w:t>the Netherlands</w:t>
      </w:r>
      <w:r>
        <w:rPr>
          <w:rFonts w:ascii="Times New Roman" w:hAnsi="Times New Roman"/>
          <w:sz w:val="20"/>
        </w:rPr>
        <w:t xml:space="preserve">” means the European part of the Netherlands. </w:t>
      </w:r>
    </w:p>
    <w:p>
      <w:pPr>
        <w:pStyle w:val="TextBody"/>
        <w:bidi w:val="0"/>
        <w:spacing w:before="240" w:after="0"/>
        <w:jc w:val="left"/>
        <w:rPr/>
      </w:pPr>
      <w:r>
        <w:rPr/>
        <w:t>“</w:t>
      </w:r>
      <w:r>
        <w:rPr>
          <w:rFonts w:ascii="Times New Roman" w:hAnsi="Times New Roman"/>
          <w:b/>
          <w:sz w:val="20"/>
        </w:rPr>
        <w:t>Trade Register Extract</w:t>
      </w:r>
      <w:r>
        <w:rPr>
          <w:rFonts w:ascii="Times New Roman" w:hAnsi="Times New Roman"/>
          <w:sz w:val="20"/>
        </w:rPr>
        <w:t>” is defined in part 2 (</w:t>
      </w:r>
      <w:r>
        <w:rPr>
          <w:rFonts w:ascii="Times New Roman" w:hAnsi="Times New Roman"/>
          <w:i/>
          <w:sz w:val="20"/>
        </w:rPr>
        <w:t>Company</w:t>
      </w:r>
      <w:r>
        <w:rPr>
          <w:rFonts w:ascii="Times New Roman" w:hAnsi="Times New Roman"/>
          <w:sz w:val="20"/>
        </w:rPr>
        <w:t xml:space="preserve">) of this Annex. </w:t>
      </w:r>
    </w:p>
    <w:p>
      <w:pPr>
        <w:pStyle w:val="TextBody"/>
        <w:bidi w:val="0"/>
        <w:spacing w:before="240" w:after="0"/>
        <w:jc w:val="left"/>
        <w:rPr/>
      </w:pPr>
      <w:r>
        <w:rPr/>
        <w:t>“</w:t>
      </w:r>
      <w:r>
        <w:rPr>
          <w:rFonts w:ascii="Times New Roman" w:hAnsi="Times New Roman"/>
          <w:b/>
          <w:sz w:val="20"/>
        </w:rPr>
        <w:t>Trustee</w:t>
      </w:r>
      <w:r>
        <w:rPr>
          <w:rFonts w:ascii="Times New Roman" w:hAnsi="Times New Roman"/>
          <w:sz w:val="20"/>
        </w:rPr>
        <w:t xml:space="preserve">” means The Bank of New York Mellon as trustee under the Indenture.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33"/>
        <w:gridCol w:w="119"/>
        <w:gridCol w:w="653"/>
      </w:tblGrid>
      <w:tr>
        <w:trPr/>
        <w:tc>
          <w:tcPr>
            <w:tcW w:w="9433"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r>
      <w:tr>
        <w:trPr/>
        <w:tc>
          <w:tcPr>
            <w:tcW w:w="9433" w:type="dxa"/>
            <w:tcBorders/>
          </w:tcPr>
          <w:p>
            <w:pPr>
              <w:pStyle w:val="TableContents"/>
              <w:bidi w:val="0"/>
              <w:spacing w:before="0" w:after="283"/>
              <w:jc w:val="left"/>
              <w:rPr/>
            </w:pPr>
            <w:r>
              <w:rPr/>
              <w:t>Legal opinion on Stellantis N.V.</w:t>
            </w:r>
          </w:p>
        </w:tc>
        <w:tc>
          <w:tcPr>
            <w:tcW w:w="119" w:type="dxa"/>
            <w:tcBorders/>
            <w:vAlign w:val="bottom"/>
          </w:tcPr>
          <w:p>
            <w:pPr>
              <w:pStyle w:val="TableContents"/>
              <w:bidi w:val="0"/>
              <w:spacing w:before="0" w:after="283"/>
              <w:jc w:val="left"/>
              <w:rPr/>
            </w:pPr>
            <w:r>
              <w:rPr/>
              <w:t> </w:t>
            </w:r>
          </w:p>
        </w:tc>
        <w:tc>
          <w:tcPr>
            <w:tcW w:w="65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433" w:type="dxa"/>
            <w:tcBorders/>
            <w:vAlign w:val="center"/>
          </w:tcPr>
          <w:p>
            <w:pPr>
              <w:pStyle w:val="TableContents"/>
              <w:bidi w:val="0"/>
              <w:spacing w:before="0" w:after="283"/>
              <w:jc w:val="left"/>
              <w:rPr>
                <w:sz w:val="4"/>
                <w:szCs w:val="4"/>
              </w:rPr>
            </w:pPr>
            <w:r>
              <w:rPr>
                <w:sz w:val="4"/>
                <w:szCs w:val="4"/>
              </w:rPr>
            </w:r>
          </w:p>
        </w:tc>
        <w:tc>
          <w:tcPr>
            <w:tcW w:w="772" w:type="dxa"/>
            <w:gridSpan w:val="2"/>
            <w:tcBorders/>
            <w:vAlign w:val="center"/>
          </w:tcPr>
          <w:p>
            <w:pPr>
              <w:pStyle w:val="TableContents"/>
              <w:bidi w:val="0"/>
              <w:spacing w:before="0" w:after="283"/>
              <w:jc w:val="left"/>
              <w:rPr>
                <w:sz w:val="4"/>
                <w:szCs w:val="4"/>
              </w:rPr>
            </w:pPr>
            <w:r>
              <w:rPr>
                <w:sz w:val="4"/>
                <w:szCs w:val="4"/>
              </w:rPr>
            </w:r>
          </w:p>
        </w:tc>
      </w:tr>
      <w:tr>
        <w:trPr/>
        <w:tc>
          <w:tcPr>
            <w:tcW w:w="9433" w:type="dxa"/>
            <w:tcBorders/>
          </w:tcPr>
          <w:p>
            <w:pPr>
              <w:pStyle w:val="TableContents"/>
              <w:bidi w:val="0"/>
              <w:spacing w:before="0" w:after="283"/>
              <w:jc w:val="left"/>
              <w:rPr/>
            </w:pPr>
            <w:r>
              <w:rPr/>
              <w:t>Our ref. M47850709/5/20731795</w:t>
            </w:r>
          </w:p>
        </w:tc>
        <w:tc>
          <w:tcPr>
            <w:tcW w:w="119" w:type="dxa"/>
            <w:tcBorders/>
            <w:vAlign w:val="bottom"/>
          </w:tcPr>
          <w:p>
            <w:pPr>
              <w:pStyle w:val="TableContents"/>
              <w:bidi w:val="0"/>
              <w:spacing w:before="0" w:after="283"/>
              <w:jc w:val="left"/>
              <w:rPr/>
            </w:pPr>
            <w:r>
              <w:rPr/>
              <w:t> </w:t>
            </w:r>
          </w:p>
        </w:tc>
        <w:tc>
          <w:tcPr>
            <w:tcW w:w="653" w:type="dxa"/>
            <w:tcBorders/>
            <w:vAlign w:val="bottom"/>
          </w:tcPr>
          <w:p>
            <w:pPr>
              <w:pStyle w:val="TableContents"/>
              <w:bidi w:val="0"/>
              <w:spacing w:before="0" w:after="283"/>
              <w:jc w:val="left"/>
              <w:rPr/>
            </w:pPr>
            <w:r>
              <w:rPr>
                <w:b/>
              </w:rPr>
              <w:t>14 / </w:t>
            </w:r>
            <w:r>
              <w:rPr/>
              <w:t>16</w:t>
            </w:r>
          </w:p>
        </w:tc>
      </w:tr>
    </w:tbl>
    <w:p>
      <w:pPr>
        <w:pStyle w:val="HorizontalLine"/>
        <w:pBdr>
          <w:bottom w:val="double" w:sz="6" w:space="0" w:color="808080"/>
        </w:pBdr>
        <w:bidi w:val="0"/>
        <w:jc w:val="left"/>
        <w:rPr/>
      </w:pPr>
      <w:r>
        <w:br w:type="page"/>
      </w:r>
      <w:r>
        <w:rPr/>
      </w:r>
    </w:p>
    <w:p>
      <w:pPr>
        <w:pStyle w:val="TextBody"/>
        <w:bidi w:val="0"/>
        <w:spacing w:before="0" w:after="0"/>
        <w:jc w:val="right"/>
        <w:rPr/>
      </w:pPr>
      <w:r>
        <w:rPr/>
        <w:drawing>
          <wp:inline distT="0" distB="0" distL="0" distR="0">
            <wp:extent cx="1468755" cy="61976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468755" cy="61976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Part 2 – Company </w:t>
      </w:r>
    </w:p>
    <w:p>
      <w:pPr>
        <w:pStyle w:val="TextBody"/>
        <w:bidi w:val="0"/>
        <w:spacing w:before="240" w:after="0"/>
        <w:jc w:val="left"/>
        <w:rPr>
          <w:rFonts w:ascii="Times New Roman" w:hAnsi="Times New Roman"/>
          <w:sz w:val="20"/>
        </w:rPr>
      </w:pPr>
      <w:r>
        <w:rPr>
          <w:rFonts w:ascii="Times New Roman" w:hAnsi="Times New Roman"/>
          <w:sz w:val="20"/>
        </w:rPr>
        <w:t xml:space="preserve">In this opinion: </w:t>
      </w:r>
    </w:p>
    <w:p>
      <w:pPr>
        <w:pStyle w:val="TextBody"/>
        <w:bidi w:val="0"/>
        <w:spacing w:before="120" w:after="0"/>
        <w:jc w:val="left"/>
        <w:rPr/>
      </w:pPr>
      <w:r>
        <w:rPr/>
        <w:t>“</w:t>
      </w:r>
      <w:r>
        <w:rPr>
          <w:rFonts w:ascii="Times New Roman" w:hAnsi="Times New Roman"/>
          <w:b/>
          <w:sz w:val="20"/>
        </w:rPr>
        <w:t>Articles of Association</w:t>
      </w:r>
      <w:r>
        <w:rPr>
          <w:rFonts w:ascii="Times New Roman" w:hAnsi="Times New Roman"/>
          <w:sz w:val="20"/>
        </w:rPr>
        <w:t>” means the articles of association (</w:t>
      </w:r>
      <w:r>
        <w:rPr>
          <w:rFonts w:ascii="Times New Roman" w:hAnsi="Times New Roman"/>
          <w:i/>
          <w:sz w:val="20"/>
        </w:rPr>
        <w:t>statuten</w:t>
      </w:r>
      <w:r>
        <w:rPr>
          <w:rFonts w:ascii="Times New Roman" w:hAnsi="Times New Roman"/>
          <w:sz w:val="20"/>
        </w:rPr>
        <w:t xml:space="preserve">) of the Company, as last amended by deed of amendment dated 10 March 2021. </w:t>
      </w:r>
    </w:p>
    <w:p>
      <w:pPr>
        <w:pStyle w:val="TextBody"/>
        <w:bidi w:val="0"/>
        <w:spacing w:before="240" w:after="0"/>
        <w:jc w:val="left"/>
        <w:rPr/>
      </w:pPr>
      <w:r>
        <w:rPr/>
        <w:t>“</w:t>
      </w:r>
      <w:r>
        <w:rPr>
          <w:rFonts w:ascii="Times New Roman" w:hAnsi="Times New Roman"/>
          <w:b/>
          <w:sz w:val="20"/>
        </w:rPr>
        <w:t>Board Regulations</w:t>
      </w:r>
      <w:r>
        <w:rPr>
          <w:rFonts w:ascii="Times New Roman" w:hAnsi="Times New Roman"/>
          <w:sz w:val="20"/>
        </w:rPr>
        <w:t>” means the management board regulations of the Company’s management board (</w:t>
      </w:r>
      <w:r>
        <w:rPr>
          <w:rFonts w:ascii="Times New Roman" w:hAnsi="Times New Roman"/>
          <w:i/>
          <w:sz w:val="20"/>
        </w:rPr>
        <w:t>bestuur</w:t>
      </w:r>
      <w:r>
        <w:rPr>
          <w:rFonts w:ascii="Times New Roman" w:hAnsi="Times New Roman"/>
          <w:sz w:val="20"/>
        </w:rPr>
        <w:t xml:space="preserve">) dated 10 October 2024 pursuant to Article 20.3 of the Articles of Association. </w:t>
      </w:r>
    </w:p>
    <w:p>
      <w:pPr>
        <w:pStyle w:val="TextBody"/>
        <w:bidi w:val="0"/>
        <w:spacing w:before="240" w:after="0"/>
        <w:jc w:val="left"/>
        <w:rPr/>
      </w:pPr>
      <w:r>
        <w:rPr/>
        <w:t>“</w:t>
      </w:r>
      <w:r>
        <w:rPr>
          <w:rFonts w:ascii="Times New Roman" w:hAnsi="Times New Roman"/>
          <w:b/>
          <w:sz w:val="20"/>
        </w:rPr>
        <w:t>Company</w:t>
      </w:r>
      <w:r>
        <w:rPr>
          <w:rFonts w:ascii="Times New Roman" w:hAnsi="Times New Roman"/>
          <w:sz w:val="20"/>
        </w:rPr>
        <w:t>” means Stellantis N.V., a public limited liability company (</w:t>
      </w:r>
      <w:r>
        <w:rPr>
          <w:rFonts w:ascii="Times New Roman" w:hAnsi="Times New Roman"/>
          <w:i/>
          <w:sz w:val="20"/>
        </w:rPr>
        <w:t>naamloze vennootschap</w:t>
      </w:r>
      <w:r>
        <w:rPr>
          <w:rFonts w:ascii="Times New Roman" w:hAnsi="Times New Roman"/>
          <w:sz w:val="20"/>
        </w:rPr>
        <w:t xml:space="preserve">), with seat in Amsterdam, Trade Register number 60372958. </w:t>
      </w:r>
    </w:p>
    <w:p>
      <w:pPr>
        <w:pStyle w:val="TextBody"/>
        <w:bidi w:val="0"/>
        <w:spacing w:before="240" w:after="0"/>
        <w:jc w:val="left"/>
        <w:rPr/>
      </w:pPr>
      <w:r>
        <w:rPr/>
        <w:t>“</w:t>
      </w:r>
      <w:r>
        <w:rPr>
          <w:rFonts w:ascii="Times New Roman" w:hAnsi="Times New Roman"/>
          <w:b/>
          <w:sz w:val="20"/>
        </w:rPr>
        <w:t>Corporate Resolution</w:t>
      </w:r>
      <w:r>
        <w:rPr>
          <w:rFonts w:ascii="Times New Roman" w:hAnsi="Times New Roman"/>
          <w:sz w:val="20"/>
        </w:rPr>
        <w:t xml:space="preserve">” means each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the redacted minutes of Company’s management board (</w:t>
            </w:r>
            <w:r>
              <w:rPr>
                <w:rFonts w:ascii="Times New Roman" w:hAnsi="Times New Roman"/>
                <w:i/>
                <w:sz w:val="20"/>
              </w:rPr>
              <w:t>bestuur</w:t>
            </w:r>
            <w:r>
              <w:rPr>
                <w:rFonts w:ascii="Times New Roman" w:hAnsi="Times New Roman"/>
                <w:sz w:val="20"/>
              </w:rPr>
              <w:t xml:space="preserve">) held on 5 February 2026, including as an annex thereto the debt issuance authorisation resolution adopted at such meeting, pursuant to which the Company’s management board authorised (i) the issuance of the Notes to be guaranteed by the Company and (ii) granted a power of attorney to the Chairman of the board of directors or the Chief Executive Officer of the Company, and any person designated and authorised so to act by the Chairman or the Chief Executive Officer, to implement such issuance to be guaranteed by the Company on behalf of the Company;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(b)</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a written resolution of the Company’s management board (</w:t>
            </w:r>
            <w:r>
              <w:rPr>
                <w:rFonts w:ascii="Times New Roman" w:hAnsi="Times New Roman"/>
                <w:i/>
                <w:sz w:val="20"/>
              </w:rPr>
              <w:t>bestuur</w:t>
            </w:r>
            <w:r>
              <w:rPr>
                <w:rFonts w:ascii="Times New Roman" w:hAnsi="Times New Roman"/>
                <w:sz w:val="20"/>
              </w:rPr>
              <w:t xml:space="preserve">) dated 4 March 2026, including a power of attorney granted by the Company to each of Joao Eduardo Laranjo Alves Ferreira and Ferrante Zileri Dal Verme. </w:t>
            </w:r>
          </w:p>
        </w:tc>
      </w:tr>
    </w:tbl>
    <w:p>
      <w:pPr>
        <w:pStyle w:val="TextBody"/>
        <w:bidi w:val="0"/>
        <w:spacing w:before="240" w:after="0"/>
        <w:jc w:val="left"/>
        <w:rPr/>
      </w:pPr>
      <w:r>
        <w:rPr/>
        <w:t>“</w:t>
      </w:r>
      <w:r>
        <w:rPr>
          <w:rFonts w:ascii="Times New Roman" w:hAnsi="Times New Roman"/>
          <w:b/>
          <w:sz w:val="20"/>
        </w:rPr>
        <w:t>Power of Attorney</w:t>
      </w:r>
      <w:r>
        <w:rPr>
          <w:rFonts w:ascii="Times New Roman" w:hAnsi="Times New Roman"/>
          <w:sz w:val="20"/>
        </w:rPr>
        <w:t xml:space="preserve">” means each of the powers of attorney included in the resolutions of the Company’s management board referred to in the definition of “Corporate Resolution” above. </w:t>
      </w:r>
    </w:p>
    <w:p>
      <w:pPr>
        <w:pStyle w:val="TextBody"/>
        <w:bidi w:val="0"/>
        <w:spacing w:before="240" w:after="0"/>
        <w:jc w:val="left"/>
        <w:rPr/>
      </w:pPr>
      <w:r>
        <w:rPr/>
        <w:t>“</w:t>
      </w:r>
      <w:r>
        <w:rPr>
          <w:rFonts w:ascii="Times New Roman" w:hAnsi="Times New Roman"/>
          <w:b/>
          <w:sz w:val="20"/>
        </w:rPr>
        <w:t>Trade Register Extract</w:t>
      </w:r>
      <w:r>
        <w:rPr>
          <w:rFonts w:ascii="Times New Roman" w:hAnsi="Times New Roman"/>
          <w:sz w:val="20"/>
        </w:rPr>
        <w:t xml:space="preserve">” means a Trade Register extract relating to the Company provided by the Chamber of Commerce and dated 16 September 2026.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33"/>
        <w:gridCol w:w="119"/>
        <w:gridCol w:w="653"/>
      </w:tblGrid>
      <w:tr>
        <w:trPr/>
        <w:tc>
          <w:tcPr>
            <w:tcW w:w="9433"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r>
      <w:tr>
        <w:trPr/>
        <w:tc>
          <w:tcPr>
            <w:tcW w:w="9433" w:type="dxa"/>
            <w:tcBorders/>
          </w:tcPr>
          <w:p>
            <w:pPr>
              <w:pStyle w:val="TableContents"/>
              <w:bidi w:val="0"/>
              <w:spacing w:before="0" w:after="283"/>
              <w:jc w:val="left"/>
              <w:rPr/>
            </w:pPr>
            <w:r>
              <w:rPr/>
              <w:t>Legal opinion on Stellantis N.V.</w:t>
            </w:r>
          </w:p>
        </w:tc>
        <w:tc>
          <w:tcPr>
            <w:tcW w:w="119" w:type="dxa"/>
            <w:tcBorders/>
            <w:vAlign w:val="bottom"/>
          </w:tcPr>
          <w:p>
            <w:pPr>
              <w:pStyle w:val="TableContents"/>
              <w:bidi w:val="0"/>
              <w:spacing w:before="0" w:after="283"/>
              <w:jc w:val="left"/>
              <w:rPr/>
            </w:pPr>
            <w:r>
              <w:rPr/>
              <w:t> </w:t>
            </w:r>
          </w:p>
        </w:tc>
        <w:tc>
          <w:tcPr>
            <w:tcW w:w="65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433" w:type="dxa"/>
            <w:tcBorders/>
            <w:vAlign w:val="center"/>
          </w:tcPr>
          <w:p>
            <w:pPr>
              <w:pStyle w:val="TableContents"/>
              <w:bidi w:val="0"/>
              <w:spacing w:before="0" w:after="283"/>
              <w:jc w:val="left"/>
              <w:rPr>
                <w:sz w:val="4"/>
                <w:szCs w:val="4"/>
              </w:rPr>
            </w:pPr>
            <w:r>
              <w:rPr>
                <w:sz w:val="4"/>
                <w:szCs w:val="4"/>
              </w:rPr>
            </w:r>
          </w:p>
        </w:tc>
        <w:tc>
          <w:tcPr>
            <w:tcW w:w="772" w:type="dxa"/>
            <w:gridSpan w:val="2"/>
            <w:tcBorders/>
            <w:vAlign w:val="center"/>
          </w:tcPr>
          <w:p>
            <w:pPr>
              <w:pStyle w:val="TableContents"/>
              <w:bidi w:val="0"/>
              <w:spacing w:before="0" w:after="283"/>
              <w:jc w:val="left"/>
              <w:rPr>
                <w:sz w:val="4"/>
                <w:szCs w:val="4"/>
              </w:rPr>
            </w:pPr>
            <w:r>
              <w:rPr>
                <w:sz w:val="4"/>
                <w:szCs w:val="4"/>
              </w:rPr>
            </w:r>
          </w:p>
        </w:tc>
      </w:tr>
      <w:tr>
        <w:trPr/>
        <w:tc>
          <w:tcPr>
            <w:tcW w:w="9433" w:type="dxa"/>
            <w:tcBorders/>
          </w:tcPr>
          <w:p>
            <w:pPr>
              <w:pStyle w:val="TableContents"/>
              <w:bidi w:val="0"/>
              <w:spacing w:before="0" w:after="283"/>
              <w:jc w:val="left"/>
              <w:rPr/>
            </w:pPr>
            <w:r>
              <w:rPr/>
              <w:t>Our ref. M47850709/5/20731795</w:t>
            </w:r>
          </w:p>
        </w:tc>
        <w:tc>
          <w:tcPr>
            <w:tcW w:w="119" w:type="dxa"/>
            <w:tcBorders/>
            <w:vAlign w:val="bottom"/>
          </w:tcPr>
          <w:p>
            <w:pPr>
              <w:pStyle w:val="TableContents"/>
              <w:bidi w:val="0"/>
              <w:spacing w:before="0" w:after="283"/>
              <w:jc w:val="left"/>
              <w:rPr/>
            </w:pPr>
            <w:r>
              <w:rPr/>
              <w:t> </w:t>
            </w:r>
          </w:p>
        </w:tc>
        <w:tc>
          <w:tcPr>
            <w:tcW w:w="653" w:type="dxa"/>
            <w:tcBorders/>
            <w:vAlign w:val="bottom"/>
          </w:tcPr>
          <w:p>
            <w:pPr>
              <w:pStyle w:val="TableContents"/>
              <w:bidi w:val="0"/>
              <w:spacing w:before="0" w:after="283"/>
              <w:jc w:val="left"/>
              <w:rPr/>
            </w:pPr>
            <w:r>
              <w:rPr>
                <w:b/>
              </w:rPr>
              <w:t>15 / </w:t>
            </w:r>
            <w:r>
              <w:rPr/>
              <w:t>16</w:t>
            </w:r>
          </w:p>
        </w:tc>
      </w:tr>
    </w:tbl>
    <w:p>
      <w:pPr>
        <w:pStyle w:val="HorizontalLine"/>
        <w:pBdr>
          <w:bottom w:val="double" w:sz="6" w:space="0" w:color="808080"/>
        </w:pBdr>
        <w:bidi w:val="0"/>
        <w:jc w:val="left"/>
        <w:rPr/>
      </w:pPr>
      <w:r>
        <w:br w:type="page"/>
      </w:r>
      <w:r>
        <w:rPr/>
      </w:r>
    </w:p>
    <w:p>
      <w:pPr>
        <w:pStyle w:val="TextBody"/>
        <w:bidi w:val="0"/>
        <w:spacing w:before="0" w:after="0"/>
        <w:jc w:val="right"/>
        <w:rPr/>
      </w:pPr>
      <w:r>
        <w:rPr/>
        <w:drawing>
          <wp:inline distT="0" distB="0" distL="0" distR="0">
            <wp:extent cx="1468755" cy="61976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468755" cy="61976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Part 3 – Documents </w:t>
      </w:r>
    </w:p>
    <w:p>
      <w:pPr>
        <w:pStyle w:val="TextBody"/>
        <w:bidi w:val="0"/>
        <w:spacing w:before="240" w:after="0"/>
        <w:jc w:val="left"/>
        <w:rPr>
          <w:rFonts w:ascii="Times New Roman" w:hAnsi="Times New Roman"/>
          <w:sz w:val="20"/>
        </w:rPr>
      </w:pPr>
      <w:r>
        <w:rPr>
          <w:rFonts w:ascii="Times New Roman" w:hAnsi="Times New Roman"/>
          <w:sz w:val="20"/>
        </w:rPr>
        <w:t xml:space="preserve">In this opinion: </w:t>
      </w:r>
    </w:p>
    <w:p>
      <w:pPr>
        <w:pStyle w:val="TextBody"/>
        <w:bidi w:val="0"/>
        <w:spacing w:before="120" w:after="0"/>
        <w:jc w:val="left"/>
        <w:rPr/>
      </w:pPr>
      <w:r>
        <w:rPr/>
        <w:t>“</w:t>
      </w:r>
      <w:r>
        <w:rPr>
          <w:rFonts w:ascii="Times New Roman" w:hAnsi="Times New Roman"/>
          <w:b/>
          <w:sz w:val="20"/>
        </w:rPr>
        <w:t>Agreements</w:t>
      </w:r>
      <w:r>
        <w:rPr>
          <w:rFonts w:ascii="Times New Roman" w:hAnsi="Times New Roman"/>
          <w:sz w:val="20"/>
        </w:rPr>
        <w:t xml:space="preserve">” means the Base Indenture and the Guarantees. </w:t>
      </w:r>
    </w:p>
    <w:p>
      <w:pPr>
        <w:pStyle w:val="TextBody"/>
        <w:bidi w:val="0"/>
        <w:spacing w:before="240" w:after="0"/>
        <w:jc w:val="left"/>
        <w:rPr/>
      </w:pPr>
      <w:r>
        <w:rPr/>
        <w:t>“</w:t>
      </w:r>
      <w:r>
        <w:rPr>
          <w:rFonts w:ascii="Times New Roman" w:hAnsi="Times New Roman"/>
          <w:b/>
          <w:sz w:val="20"/>
        </w:rPr>
        <w:t>Base Indenture</w:t>
      </w:r>
      <w:r>
        <w:rPr>
          <w:rFonts w:ascii="Times New Roman" w:hAnsi="Times New Roman"/>
          <w:sz w:val="20"/>
        </w:rPr>
        <w:t xml:space="preserve">” means the indenture dated 16 September 2026 between the Issuer, the Company and the Trustee in relation to the Securities. </w:t>
      </w:r>
    </w:p>
    <w:p>
      <w:pPr>
        <w:pStyle w:val="TextBody"/>
        <w:bidi w:val="0"/>
        <w:spacing w:before="240" w:after="0"/>
        <w:jc w:val="left"/>
        <w:rPr/>
      </w:pPr>
      <w:r>
        <w:rPr/>
        <w:t>“</w:t>
      </w:r>
      <w:r>
        <w:rPr>
          <w:rFonts w:ascii="Times New Roman" w:hAnsi="Times New Roman"/>
          <w:b/>
          <w:sz w:val="20"/>
        </w:rPr>
        <w:t>Base Prospectus</w:t>
      </w:r>
      <w:r>
        <w:rPr>
          <w:rFonts w:ascii="Times New Roman" w:hAnsi="Times New Roman"/>
          <w:sz w:val="20"/>
        </w:rPr>
        <w:t xml:space="preserve">” means the base prospectus, as filed with the Securities and Exchange Commission on 3 August 2026, and to be used in connection with the public offering and sale of debt securities of the Issuer and the Company. </w:t>
      </w:r>
    </w:p>
    <w:p>
      <w:pPr>
        <w:pStyle w:val="TextBody"/>
        <w:bidi w:val="0"/>
        <w:spacing w:before="240" w:after="0"/>
        <w:jc w:val="left"/>
        <w:rPr/>
      </w:pPr>
      <w:r>
        <w:rPr/>
        <w:t>“</w:t>
      </w:r>
      <w:r>
        <w:rPr>
          <w:rFonts w:ascii="Times New Roman" w:hAnsi="Times New Roman"/>
          <w:b/>
          <w:sz w:val="20"/>
        </w:rPr>
        <w:t>Guarantees</w:t>
      </w:r>
      <w:r>
        <w:rPr>
          <w:rFonts w:ascii="Times New Roman" w:hAnsi="Times New Roman"/>
          <w:sz w:val="20"/>
        </w:rPr>
        <w:t xml:space="preserve">” means each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unconditional and irrevocable guarantee by the Company of the due and punctual payments on the 2031 Notes issued by the Issuer.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unconditional and irrevocable guarantee by the Company of the due and punctual payments on the 2036 Notes issued by the Issuer. </w:t>
            </w:r>
          </w:p>
        </w:tc>
      </w:tr>
    </w:tbl>
    <w:p>
      <w:pPr>
        <w:pStyle w:val="TextBody"/>
        <w:bidi w:val="0"/>
        <w:spacing w:before="240" w:after="0"/>
        <w:jc w:val="left"/>
        <w:rPr/>
      </w:pPr>
      <w:r>
        <w:rPr/>
        <w:t>“</w:t>
      </w:r>
      <w:r>
        <w:rPr>
          <w:rFonts w:ascii="Times New Roman" w:hAnsi="Times New Roman"/>
          <w:b/>
          <w:sz w:val="20"/>
        </w:rPr>
        <w:t>Indenture</w:t>
      </w:r>
      <w:r>
        <w:rPr>
          <w:rFonts w:ascii="Times New Roman" w:hAnsi="Times New Roman"/>
          <w:sz w:val="20"/>
        </w:rPr>
        <w:t xml:space="preserve">” means the Base Indenture, together with the Officer’s Certificate. </w:t>
      </w:r>
    </w:p>
    <w:p>
      <w:pPr>
        <w:pStyle w:val="TextBody"/>
        <w:bidi w:val="0"/>
        <w:spacing w:before="240" w:after="0"/>
        <w:jc w:val="left"/>
        <w:rPr/>
      </w:pPr>
      <w:r>
        <w:rPr/>
        <w:t>“</w:t>
      </w:r>
      <w:r>
        <w:rPr>
          <w:rFonts w:ascii="Times New Roman" w:hAnsi="Times New Roman"/>
          <w:b/>
          <w:sz w:val="20"/>
        </w:rPr>
        <w:t>Officer’s Certificate</w:t>
      </w:r>
      <w:r>
        <w:rPr>
          <w:rFonts w:ascii="Times New Roman" w:hAnsi="Times New Roman"/>
          <w:sz w:val="20"/>
        </w:rPr>
        <w:t xml:space="preserve">” means the officer’s certificate of the Company in relation to the Guarantees. </w:t>
      </w:r>
    </w:p>
    <w:p>
      <w:pPr>
        <w:pStyle w:val="TextBody"/>
        <w:bidi w:val="0"/>
        <w:spacing w:before="240" w:after="0"/>
        <w:jc w:val="left"/>
        <w:rPr/>
      </w:pPr>
      <w:r>
        <w:rPr/>
        <w:t>“</w:t>
      </w:r>
      <w:r>
        <w:rPr>
          <w:rFonts w:ascii="Times New Roman" w:hAnsi="Times New Roman"/>
          <w:b/>
          <w:sz w:val="20"/>
        </w:rPr>
        <w:t>Preliminary Prospectus</w:t>
      </w:r>
      <w:r>
        <w:rPr>
          <w:rFonts w:ascii="Times New Roman" w:hAnsi="Times New Roman"/>
          <w:sz w:val="20"/>
        </w:rPr>
        <w:t xml:space="preserve">” means the preliminary prospectus supplement relating to the Securities, together with the Base Prospectus. </w:t>
      </w:r>
    </w:p>
    <w:p>
      <w:pPr>
        <w:pStyle w:val="TextBody"/>
        <w:bidi w:val="0"/>
        <w:spacing w:before="240" w:after="0"/>
        <w:jc w:val="left"/>
        <w:rPr/>
      </w:pPr>
      <w:r>
        <w:rPr/>
        <w:t>“</w:t>
      </w:r>
      <w:r>
        <w:rPr>
          <w:rFonts w:ascii="Times New Roman" w:hAnsi="Times New Roman"/>
          <w:b/>
          <w:sz w:val="20"/>
        </w:rPr>
        <w:t>Prospectus</w:t>
      </w:r>
      <w:r>
        <w:rPr>
          <w:rFonts w:ascii="Times New Roman" w:hAnsi="Times New Roman"/>
          <w:sz w:val="20"/>
        </w:rPr>
        <w:t xml:space="preserve">” means the final prospectus supplement relating to the Securities, together with the Base 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33"/>
        <w:gridCol w:w="119"/>
        <w:gridCol w:w="653"/>
      </w:tblGrid>
      <w:tr>
        <w:trPr/>
        <w:tc>
          <w:tcPr>
            <w:tcW w:w="9433"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r>
      <w:tr>
        <w:trPr/>
        <w:tc>
          <w:tcPr>
            <w:tcW w:w="9433" w:type="dxa"/>
            <w:tcBorders/>
          </w:tcPr>
          <w:p>
            <w:pPr>
              <w:pStyle w:val="TableContents"/>
              <w:bidi w:val="0"/>
              <w:spacing w:before="0" w:after="283"/>
              <w:jc w:val="left"/>
              <w:rPr/>
            </w:pPr>
            <w:r>
              <w:rPr/>
              <w:t>Legal opinion on Stellantis N.V.</w:t>
            </w:r>
          </w:p>
        </w:tc>
        <w:tc>
          <w:tcPr>
            <w:tcW w:w="119" w:type="dxa"/>
            <w:tcBorders/>
            <w:vAlign w:val="bottom"/>
          </w:tcPr>
          <w:p>
            <w:pPr>
              <w:pStyle w:val="TableContents"/>
              <w:bidi w:val="0"/>
              <w:spacing w:before="0" w:after="283"/>
              <w:jc w:val="left"/>
              <w:rPr/>
            </w:pPr>
            <w:r>
              <w:rPr/>
              <w:t> </w:t>
            </w:r>
          </w:p>
        </w:tc>
        <w:tc>
          <w:tcPr>
            <w:tcW w:w="65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433" w:type="dxa"/>
            <w:tcBorders/>
            <w:vAlign w:val="center"/>
          </w:tcPr>
          <w:p>
            <w:pPr>
              <w:pStyle w:val="TableContents"/>
              <w:bidi w:val="0"/>
              <w:spacing w:before="0" w:after="283"/>
              <w:jc w:val="left"/>
              <w:rPr>
                <w:sz w:val="4"/>
                <w:szCs w:val="4"/>
              </w:rPr>
            </w:pPr>
            <w:r>
              <w:rPr>
                <w:sz w:val="4"/>
                <w:szCs w:val="4"/>
              </w:rPr>
            </w:r>
          </w:p>
        </w:tc>
        <w:tc>
          <w:tcPr>
            <w:tcW w:w="772" w:type="dxa"/>
            <w:gridSpan w:val="2"/>
            <w:tcBorders/>
            <w:vAlign w:val="center"/>
          </w:tcPr>
          <w:p>
            <w:pPr>
              <w:pStyle w:val="TableContents"/>
              <w:bidi w:val="0"/>
              <w:spacing w:before="0" w:after="283"/>
              <w:jc w:val="left"/>
              <w:rPr>
                <w:sz w:val="4"/>
                <w:szCs w:val="4"/>
              </w:rPr>
            </w:pPr>
            <w:r>
              <w:rPr>
                <w:sz w:val="4"/>
                <w:szCs w:val="4"/>
              </w:rPr>
            </w:r>
          </w:p>
        </w:tc>
      </w:tr>
      <w:tr>
        <w:trPr/>
        <w:tc>
          <w:tcPr>
            <w:tcW w:w="9433" w:type="dxa"/>
            <w:tcBorders/>
          </w:tcPr>
          <w:p>
            <w:pPr>
              <w:pStyle w:val="TableContents"/>
              <w:bidi w:val="0"/>
              <w:spacing w:before="0" w:after="283"/>
              <w:jc w:val="left"/>
              <w:rPr/>
            </w:pPr>
            <w:r>
              <w:rPr/>
              <w:t>Our ref. M47850709/5/20731795</w:t>
            </w:r>
          </w:p>
        </w:tc>
        <w:tc>
          <w:tcPr>
            <w:tcW w:w="119" w:type="dxa"/>
            <w:tcBorders/>
            <w:vAlign w:val="bottom"/>
          </w:tcPr>
          <w:p>
            <w:pPr>
              <w:pStyle w:val="TableContents"/>
              <w:bidi w:val="0"/>
              <w:spacing w:before="0" w:after="283"/>
              <w:jc w:val="left"/>
              <w:rPr/>
            </w:pPr>
            <w:r>
              <w:rPr/>
              <w:t> </w:t>
            </w:r>
          </w:p>
        </w:tc>
        <w:tc>
          <w:tcPr>
            <w:tcW w:w="653" w:type="dxa"/>
            <w:tcBorders/>
            <w:vAlign w:val="bottom"/>
          </w:tcPr>
          <w:p>
            <w:pPr>
              <w:pStyle w:val="TableContents"/>
              <w:bidi w:val="0"/>
              <w:spacing w:before="0" w:after="283"/>
              <w:jc w:val="left"/>
              <w:rPr/>
            </w:pPr>
            <w:r>
              <w:rPr>
                <w:b/>
              </w:rPr>
              <w:t>16 / </w:t>
            </w:r>
            <w:r>
              <w:rPr/>
              <w:t>16</w:t>
            </w:r>
          </w:p>
        </w:tc>
      </w:tr>
    </w:tbl>
    <w:p>
      <w:pPr>
        <w:pStyle w:val="TextBody"/>
        <w:bidi w:val="0"/>
        <w:spacing w:before="0" w:after="0"/>
        <w:jc w:val="right"/>
        <w:rPr>
          <w:rFonts w:ascii="Times New Roman" w:hAnsi="Times New Roman"/>
          <w:b/>
          <w:sz w:val="20"/>
        </w:rPr>
      </w:pPr>
      <w:bookmarkStart w:id="10" w:name="d71756dex52.htm"/>
      <w:bookmarkStart w:id="11" w:name="ksd71756dex52"/>
      <w:bookmarkEnd w:id="10"/>
      <w:bookmarkEnd w:id="11"/>
      <w:r>
        <w:rPr>
          <w:rFonts w:ascii="Times New Roman" w:hAnsi="Times New Roman"/>
          <w:b/>
          <w:sz w:val="20"/>
        </w:rPr>
        <w:t xml:space="preserve">Exhibit 5.2 </w:t>
      </w:r>
      <w:r>
        <w:br w:type="page"/>
      </w:r>
    </w:p>
    <w:p>
      <w:pPr>
        <w:pStyle w:val="TextBody"/>
        <w:bidi w:val="0"/>
        <w:spacing w:before="240" w:after="0"/>
        <w:jc w:val="right"/>
        <w:rPr>
          <w:rFonts w:ascii="Times New Roman" w:hAnsi="Times New Roman"/>
          <w:sz w:val="20"/>
        </w:rPr>
      </w:pPr>
      <w:r>
        <w:rPr>
          <w:rFonts w:ascii="Times New Roman" w:hAnsi="Times New Roman"/>
          <w:sz w:val="20"/>
        </w:rPr>
        <w:t xml:space="preserve">September 16, 2026 </w:t>
      </w:r>
    </w:p>
    <w:p>
      <w:pPr>
        <w:pStyle w:val="TextBody"/>
        <w:bidi w:val="0"/>
        <w:spacing w:before="240" w:after="0"/>
        <w:jc w:val="left"/>
        <w:rPr>
          <w:rFonts w:ascii="Times New Roman" w:hAnsi="Times New Roman"/>
          <w:sz w:val="20"/>
        </w:rPr>
      </w:pPr>
      <w:r>
        <w:rPr>
          <w:rFonts w:ascii="Times New Roman" w:hAnsi="Times New Roman"/>
          <w:sz w:val="20"/>
        </w:rPr>
        <w:t xml:space="preserve">Stellantis N.V., </w:t>
      </w:r>
    </w:p>
    <w:p>
      <w:pPr>
        <w:pStyle w:val="TextBody"/>
        <w:bidi w:val="0"/>
        <w:spacing w:before="0" w:after="0"/>
        <w:jc w:val="left"/>
        <w:rPr/>
      </w:pPr>
      <w:r>
        <w:rPr/>
        <w:t> </w:t>
      </w:r>
      <w:r>
        <w:rPr>
          <w:rFonts w:ascii="Times New Roman" w:hAnsi="Times New Roman"/>
          <w:sz w:val="20"/>
        </w:rPr>
        <w:t xml:space="preserve">Taurusavenue 1, </w:t>
      </w:r>
    </w:p>
    <w:p>
      <w:pPr>
        <w:pStyle w:val="TextBody"/>
        <w:bidi w:val="0"/>
        <w:spacing w:before="0" w:after="0"/>
        <w:jc w:val="left"/>
        <w:rPr/>
      </w:pPr>
      <w:r>
        <w:rPr/>
        <w:t>  </w:t>
      </w:r>
      <w:r>
        <w:rPr>
          <w:rFonts w:ascii="Times New Roman" w:hAnsi="Times New Roman"/>
          <w:sz w:val="20"/>
        </w:rPr>
        <w:t xml:space="preserve">2132 LS Hoofddorp, </w:t>
      </w:r>
    </w:p>
    <w:p>
      <w:pPr>
        <w:pStyle w:val="TextBody"/>
        <w:bidi w:val="0"/>
        <w:spacing w:before="0" w:after="0"/>
        <w:jc w:val="left"/>
        <w:rPr/>
      </w:pPr>
      <w:r>
        <w:rPr/>
        <w:t>   </w:t>
      </w:r>
      <w:r>
        <w:rPr>
          <w:rFonts w:ascii="Times New Roman" w:hAnsi="Times New Roman"/>
          <w:sz w:val="20"/>
        </w:rPr>
        <w:t xml:space="preserve">The Netherlands. </w:t>
      </w:r>
    </w:p>
    <w:p>
      <w:pPr>
        <w:pStyle w:val="TextBody"/>
        <w:bidi w:val="0"/>
        <w:spacing w:before="240" w:after="0"/>
        <w:jc w:val="left"/>
        <w:rPr>
          <w:rFonts w:ascii="Times New Roman" w:hAnsi="Times New Roman"/>
          <w:sz w:val="20"/>
        </w:rPr>
      </w:pPr>
      <w:r>
        <w:rPr>
          <w:rFonts w:ascii="Times New Roman" w:hAnsi="Times New Roman"/>
          <w:sz w:val="20"/>
        </w:rPr>
        <w:t xml:space="preserve">Stellantis Finance US Inc., </w:t>
      </w:r>
    </w:p>
    <w:p>
      <w:pPr>
        <w:pStyle w:val="TextBody"/>
        <w:bidi w:val="0"/>
        <w:spacing w:before="0" w:after="0"/>
        <w:jc w:val="left"/>
        <w:rPr/>
      </w:pPr>
      <w:r>
        <w:rPr/>
        <w:t> </w:t>
      </w:r>
      <w:r>
        <w:rPr>
          <w:rFonts w:ascii="Times New Roman" w:hAnsi="Times New Roman"/>
          <w:sz w:val="20"/>
        </w:rPr>
        <w:t xml:space="preserve">1000 Chrysler Drive, </w:t>
      </w:r>
    </w:p>
    <w:p>
      <w:pPr>
        <w:pStyle w:val="TextBody"/>
        <w:bidi w:val="0"/>
        <w:spacing w:before="0" w:after="0"/>
        <w:jc w:val="left"/>
        <w:rPr/>
      </w:pPr>
      <w:r>
        <w:rPr/>
        <w:t>  </w:t>
      </w:r>
      <w:r>
        <w:rPr>
          <w:rFonts w:ascii="Times New Roman" w:hAnsi="Times New Roman"/>
          <w:sz w:val="20"/>
        </w:rPr>
        <w:t xml:space="preserve">Auburn Hills, MI 48326, USA.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registration under the Securities Act of 1933 (the “Act”), of (a)(i) $1,250,000,000 aggregate principal amount of 6.750% Fixed Rate Notes due 2031, and (ii) $1,250,000,000 aggregate principal amount of 7.400% Fixed Rate Notes due 2036 (collectively, the “Securities”) of Stellantis Finance US Inc., a Delaware corporation (“Stellantis Finance”), and (b) the related guarantees (the “Guarantees”) of the Securities by Stellantis N.V., a public limited liability company incorporated under the laws of The Netherlands (“Stellantis”), issued pursuant to the Indenture, dated as of September 16, 2026, by and among Stellantis Finance, Stellantis and The Bank of New York Mellon, as Trustee (the “Indenture”), we, as your United States counsel, have examined such corporate records, certificates and other documents, and such questions of law, as we have considered necessary or appropriate for the purposes of this opinion. </w:t>
      </w:r>
    </w:p>
    <w:p>
      <w:pPr>
        <w:pStyle w:val="TextBody"/>
        <w:bidi w:val="0"/>
        <w:spacing w:before="240" w:after="0"/>
        <w:jc w:val="left"/>
        <w:rPr>
          <w:rFonts w:ascii="Times New Roman" w:hAnsi="Times New Roman"/>
          <w:sz w:val="20"/>
        </w:rPr>
      </w:pPr>
      <w:r>
        <w:rPr>
          <w:rFonts w:ascii="Times New Roman" w:hAnsi="Times New Roman"/>
          <w:sz w:val="20"/>
        </w:rPr>
        <w:t xml:space="preserve">Upon the basis of such examination, it is our opinion that (1) the Securities constitute valid and legally binding obligations of Stellantis Finance, and (2) assuming the Guarantees have been duly authorized, executed and delivered by Stellantis insofar as the laws of The Netherlands are concerned, the Guarantees constitute valid and legally binding obligations of Stellantis, subject, in each case, to bankruptcy, insolvency, fraudulent transfer, reorganization, moratorium and similar laws of general applicability relating to or affecting creditors’ rights and to general equity principles.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245"/>
        <w:gridCol w:w="123"/>
        <w:gridCol w:w="4837"/>
      </w:tblGrid>
      <w:tr>
        <w:trPr/>
        <w:tc>
          <w:tcPr>
            <w:tcW w:w="5245"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837" w:type="dxa"/>
            <w:tcBorders/>
            <w:vAlign w:val="center"/>
          </w:tcPr>
          <w:p>
            <w:pPr>
              <w:pStyle w:val="TableContents"/>
              <w:bidi w:val="0"/>
              <w:spacing w:before="0" w:after="283"/>
              <w:jc w:val="left"/>
              <w:rPr>
                <w:sz w:val="4"/>
                <w:szCs w:val="4"/>
              </w:rPr>
            </w:pPr>
            <w:r>
              <w:rPr>
                <w:sz w:val="4"/>
                <w:szCs w:val="4"/>
              </w:rPr>
            </w:r>
          </w:p>
        </w:tc>
      </w:tr>
      <w:tr>
        <w:trPr/>
        <w:tc>
          <w:tcPr>
            <w:tcW w:w="5245" w:type="dxa"/>
            <w:tcBorders/>
          </w:tcPr>
          <w:p>
            <w:pPr>
              <w:pStyle w:val="TableContents"/>
              <w:bidi w:val="0"/>
              <w:spacing w:before="0" w:after="0"/>
              <w:jc w:val="left"/>
              <w:rPr>
                <w:rFonts w:ascii="Times New Roman" w:hAnsi="Times New Roman"/>
                <w:sz w:val="20"/>
              </w:rPr>
            </w:pPr>
            <w:r>
              <w:rPr>
                <w:rFonts w:ascii="Times New Roman" w:hAnsi="Times New Roman"/>
                <w:sz w:val="20"/>
              </w:rPr>
              <w:t>Stellantis N.V.</w:t>
            </w:r>
          </w:p>
          <w:p>
            <w:pPr>
              <w:pStyle w:val="TableContents"/>
              <w:bidi w:val="0"/>
              <w:spacing w:before="0" w:after="20"/>
              <w:jc w:val="left"/>
              <w:rPr>
                <w:rFonts w:ascii="Times New Roman" w:hAnsi="Times New Roman"/>
                <w:sz w:val="20"/>
              </w:rPr>
            </w:pPr>
            <w:r>
              <w:rPr>
                <w:rFonts w:ascii="Times New Roman" w:hAnsi="Times New Roman"/>
                <w:sz w:val="20"/>
              </w:rPr>
              <w:t>Stellantis Finance US Inc.</w:t>
            </w:r>
          </w:p>
        </w:tc>
        <w:tc>
          <w:tcPr>
            <w:tcW w:w="123" w:type="dxa"/>
            <w:tcBorders/>
            <w:vAlign w:val="bottom"/>
          </w:tcPr>
          <w:p>
            <w:pPr>
              <w:pStyle w:val="TableContents"/>
              <w:bidi w:val="0"/>
              <w:spacing w:before="0" w:after="283"/>
              <w:jc w:val="left"/>
              <w:rPr/>
            </w:pPr>
            <w:r>
              <w:rPr/>
              <w:t>  </w:t>
            </w:r>
          </w:p>
        </w:tc>
        <w:tc>
          <w:tcPr>
            <w:tcW w:w="4837" w:type="dxa"/>
            <w:tcBorders/>
            <w:vAlign w:val="center"/>
          </w:tcPr>
          <w:p>
            <w:pPr>
              <w:pStyle w:val="TableContents"/>
              <w:bidi w:val="0"/>
              <w:spacing w:before="0" w:after="283"/>
              <w:jc w:val="right"/>
              <w:rPr/>
            </w:pPr>
            <w:r>
              <w:rPr/>
              <w:t>-2-</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In rendering the foregoing opinions, we are not passing upon, and assume no responsibility for, any disclosure in any registration statement or any related prospectus or other offering material relating to the offer and sale of the Securities and the Guarantees. </w:t>
      </w:r>
    </w:p>
    <w:p>
      <w:pPr>
        <w:pStyle w:val="TextBody"/>
        <w:bidi w:val="0"/>
        <w:spacing w:before="240" w:after="0"/>
        <w:jc w:val="left"/>
        <w:rPr>
          <w:rFonts w:ascii="Times New Roman" w:hAnsi="Times New Roman"/>
          <w:sz w:val="20"/>
        </w:rPr>
      </w:pPr>
      <w:r>
        <w:rPr>
          <w:rFonts w:ascii="Times New Roman" w:hAnsi="Times New Roman"/>
          <w:sz w:val="20"/>
        </w:rPr>
        <w:t>The foregoing opinion is limited to the Federal laws of the United States, the laws of the State of New York and the General Corporation Law of the State of Delaware, and we are expressing no opinion as to the effect of the laws of any other jurisdiction. For the purposes of our opinion, we have assumed that (i) Stellantis has been duly incorporated and is a validly existing public limited liability company (</w:t>
      </w:r>
      <w:r>
        <w:rPr>
          <w:rFonts w:ascii="Times New Roman" w:hAnsi="Times New Roman"/>
          <w:i/>
          <w:sz w:val="20"/>
        </w:rPr>
        <w:t>naamloze vennootschap</w:t>
      </w:r>
      <w:r>
        <w:rPr>
          <w:rFonts w:ascii="Times New Roman" w:hAnsi="Times New Roman"/>
          <w:sz w:val="20"/>
        </w:rPr>
        <w:t xml:space="preserve">) under the laws of The Netherlands, (ii) the Indenture has been duly authorized, executed and delivered by Stellantis under the laws of The Netherlands, (iii) the execution and delivery of the Indenture did not result in any breach or violation of, or conflict with, any Dutch statute, rule or regulation, (iv) the provisions of the Indenture designating the law of the State of New York as the governing law of the Indenture are valid and binding on Stellantis under the laws of The Netherlands, (v) the Indenture has been duly authorized, executed and delivered by the Trustee thereunder, (vi) the Securities and the Guarantees conform to the specimens thereof examined by us, (vii) the Trustee’s certificates of authentication of the Securities have been signed by one of the Trustee’s authorized officers, and (viii) the signatures on all documents examined by us are genuine, assumptions which we have not independently verified. With respect to all matters of Dutch law, we note that you have received an opinion, dated the date hereof, of De Brauw Blackstone Westbroek N.V.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245"/>
        <w:gridCol w:w="123"/>
        <w:gridCol w:w="4837"/>
      </w:tblGrid>
      <w:tr>
        <w:trPr/>
        <w:tc>
          <w:tcPr>
            <w:tcW w:w="5245"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837" w:type="dxa"/>
            <w:tcBorders/>
            <w:vAlign w:val="center"/>
          </w:tcPr>
          <w:p>
            <w:pPr>
              <w:pStyle w:val="TableContents"/>
              <w:bidi w:val="0"/>
              <w:spacing w:before="0" w:after="283"/>
              <w:jc w:val="left"/>
              <w:rPr>
                <w:sz w:val="4"/>
                <w:szCs w:val="4"/>
              </w:rPr>
            </w:pPr>
            <w:r>
              <w:rPr>
                <w:sz w:val="4"/>
                <w:szCs w:val="4"/>
              </w:rPr>
            </w:r>
          </w:p>
        </w:tc>
      </w:tr>
      <w:tr>
        <w:trPr/>
        <w:tc>
          <w:tcPr>
            <w:tcW w:w="5245" w:type="dxa"/>
            <w:tcBorders/>
          </w:tcPr>
          <w:p>
            <w:pPr>
              <w:pStyle w:val="TableContents"/>
              <w:bidi w:val="0"/>
              <w:spacing w:before="0" w:after="0"/>
              <w:jc w:val="left"/>
              <w:rPr>
                <w:rFonts w:ascii="Times New Roman" w:hAnsi="Times New Roman"/>
                <w:sz w:val="20"/>
              </w:rPr>
            </w:pPr>
            <w:r>
              <w:rPr>
                <w:rFonts w:ascii="Times New Roman" w:hAnsi="Times New Roman"/>
                <w:sz w:val="20"/>
              </w:rPr>
              <w:t>Stellantis N.V.</w:t>
            </w:r>
          </w:p>
          <w:p>
            <w:pPr>
              <w:pStyle w:val="TableContents"/>
              <w:bidi w:val="0"/>
              <w:spacing w:before="0" w:after="20"/>
              <w:jc w:val="left"/>
              <w:rPr>
                <w:rFonts w:ascii="Times New Roman" w:hAnsi="Times New Roman"/>
                <w:sz w:val="20"/>
              </w:rPr>
            </w:pPr>
            <w:r>
              <w:rPr>
                <w:rFonts w:ascii="Times New Roman" w:hAnsi="Times New Roman"/>
                <w:sz w:val="20"/>
              </w:rPr>
              <w:t>Stellantis Finance US Inc.</w:t>
            </w:r>
          </w:p>
        </w:tc>
        <w:tc>
          <w:tcPr>
            <w:tcW w:w="123" w:type="dxa"/>
            <w:tcBorders/>
            <w:vAlign w:val="bottom"/>
          </w:tcPr>
          <w:p>
            <w:pPr>
              <w:pStyle w:val="TableContents"/>
              <w:bidi w:val="0"/>
              <w:spacing w:before="0" w:after="283"/>
              <w:jc w:val="left"/>
              <w:rPr/>
            </w:pPr>
            <w:r>
              <w:rPr/>
              <w:t>  </w:t>
            </w:r>
          </w:p>
        </w:tc>
        <w:tc>
          <w:tcPr>
            <w:tcW w:w="4837" w:type="dxa"/>
            <w:tcBorders/>
            <w:vAlign w:val="center"/>
          </w:tcPr>
          <w:p>
            <w:pPr>
              <w:pStyle w:val="TableContents"/>
              <w:bidi w:val="0"/>
              <w:spacing w:before="0" w:after="283"/>
              <w:jc w:val="right"/>
              <w:rPr/>
            </w:pPr>
            <w:r>
              <w:rPr/>
              <w:t>-3-</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We have relied as to certain factual matters on information obtained from public officials, officers of Stellantis and Stellantis Finance and other sources believed by us to be responsible.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filing of this opinion as an exhibit to the Current Report on Form 6-K to be incorporated by reference into the Registration Statement on Form F-3 relating to the Securities and the Guarantees (File Nos. 333-297933 and 333-297933-01) and to the references to us under the heading “Validity of Notes and Guarantees” in the prospectus supplement, dated September 10, 2026, which supplements the prospectus dated August 3, 2026. In giving such consent, we do not thereby admit that we are in the category of persons whose consent is required under Section 7 of the Act.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Very truly yours,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/s/ Sullivan &amp; Cromwell LLP</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2.jpeg"/><Relationship Id="rId6" Type="http://schemas.openxmlformats.org/officeDocument/2006/relationships/image" Target="media/image2.jpeg"/><Relationship Id="rId7" Type="http://schemas.openxmlformats.org/officeDocument/2006/relationships/image" Target="media/image2.jpeg"/><Relationship Id="rId8" Type="http://schemas.openxmlformats.org/officeDocument/2006/relationships/image" Target="media/image2.jpeg"/><Relationship Id="rId9" Type="http://schemas.openxmlformats.org/officeDocument/2006/relationships/image" Target="media/image2.jpeg"/><Relationship Id="rId10" Type="http://schemas.openxmlformats.org/officeDocument/2006/relationships/image" Target="media/image2.jpeg"/><Relationship Id="rId11" Type="http://schemas.openxmlformats.org/officeDocument/2006/relationships/image" Target="media/image2.jpeg"/><Relationship Id="rId12" Type="http://schemas.openxmlformats.org/officeDocument/2006/relationships/image" Target="media/image2.jpeg"/><Relationship Id="rId13" Type="http://schemas.openxmlformats.org/officeDocument/2006/relationships/image" Target="media/image2.jpeg"/><Relationship Id="rId14" Type="http://schemas.openxmlformats.org/officeDocument/2006/relationships/image" Target="media/image2.jpeg"/><Relationship Id="rId15" Type="http://schemas.openxmlformats.org/officeDocument/2006/relationships/image" Target="media/image2.jpeg"/><Relationship Id="rId16" Type="http://schemas.openxmlformats.org/officeDocument/2006/relationships/image" Target="media/image2.jpeg"/><Relationship Id="rId17" Type="http://schemas.openxmlformats.org/officeDocument/2006/relationships/image" Target="media/image2.jpeg"/><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223</Pages>
  <Words>91961</Words>
  <Characters>475391</Characters>
  <CharactersWithSpaces>568381</CharactersWithSpaces>
  <Paragraphs>5081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EX-5.2</dc:title>
</cp:coreProperties>
</file>