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7"/>
        </w:rPr>
      </w:pPr>
      <w:r>
        <w:rPr>
          <w:rFonts w:ascii="Times New Roman;serif" w:hAnsi="Times New Roman;serif"/>
          <w:b/>
          <w:color w:val="000000"/>
          <w:sz w:val="27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/>
          <w:color w:val="000000"/>
          <w:sz w:val="27"/>
        </w:rPr>
        <w:t>SECURITIES AND EXCHANGE COMMISSION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3"/>
        </w:rPr>
      </w:pPr>
      <w:r>
        <w:rPr>
          <w:rFonts w:ascii="Times New Roman;serif" w:hAnsi="Times New Roman;serif"/>
          <w:b/>
          <w:color w:val="000000"/>
          <w:sz w:val="23"/>
        </w:rPr>
        <w:t>Washington, D.C. 20549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16"/>
        </w:rPr>
      </w:pPr>
      <w:r>
        <w:rPr>
          <w:rFonts w:ascii="Times New Roman;serif" w:hAnsi="Times New Roman;serif"/>
          <w:b/>
          <w:color w:val="000000"/>
          <w:sz w:val="16"/>
        </w:rPr>
        <w:t>_______________________________</w:t>
      </w:r>
    </w:p>
    <w:p>
      <w:pPr>
        <w:pStyle w:val="TextBody"/>
        <w:bidi w:val="0"/>
        <w:spacing w:lineRule="auto" w:line="288" w:before="240" w:after="120"/>
        <w:jc w:val="center"/>
        <w:rPr>
          <w:rFonts w:ascii="Times New Roman;serif" w:hAnsi="Times New Roman;serif"/>
          <w:b/>
          <w:color w:val="000000"/>
          <w:sz w:val="27"/>
        </w:rPr>
      </w:pPr>
      <w:r>
        <w:rPr>
          <w:rFonts w:ascii="Times New Roman;serif" w:hAnsi="Times New Roman;serif"/>
          <w:b/>
          <w:color w:val="000000"/>
          <w:sz w:val="27"/>
        </w:rPr>
        <w:t>FORM 6-K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16"/>
        </w:rPr>
      </w:pPr>
      <w:r>
        <w:rPr>
          <w:rFonts w:ascii="Times New Roman;serif" w:hAnsi="Times New Roman;serif"/>
          <w:b/>
          <w:color w:val="000000"/>
          <w:sz w:val="16"/>
        </w:rPr>
        <w:t>_______________________________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7"/>
        </w:rPr>
      </w:pPr>
      <w:r>
        <w:rPr>
          <w:rFonts w:ascii="Times New Roman;serif" w:hAnsi="Times New Roman;serif"/>
          <w:b/>
          <w:color w:val="000000"/>
          <w:sz w:val="27"/>
        </w:rPr>
        <w:t xml:space="preserve">REPORT OF FOREIGN PRIVATE ISSUER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7"/>
        </w:rPr>
      </w:pPr>
      <w:r>
        <w:rPr>
          <w:rFonts w:ascii="Times New Roman;serif" w:hAnsi="Times New Roman;serif"/>
          <w:b/>
          <w:color w:val="000000"/>
          <w:sz w:val="27"/>
        </w:rPr>
        <w:t xml:space="preserve">PURSUANT TO RULE 13a-16 OR 15d-16 OF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7"/>
        </w:rPr>
      </w:pPr>
      <w:r>
        <w:rPr>
          <w:rFonts w:ascii="Times New Roman;serif" w:hAnsi="Times New Roman;serif"/>
          <w:b/>
          <w:color w:val="000000"/>
          <w:sz w:val="27"/>
        </w:rPr>
        <w:t>THE 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For the month of July 2026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Commission File No. 001-36675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16"/>
        </w:rPr>
      </w:pPr>
      <w:r>
        <w:rPr>
          <w:rFonts w:ascii="Times New Roman;serif" w:hAnsi="Times New Roman;serif"/>
          <w:b/>
          <w:color w:val="000000"/>
          <w:sz w:val="16"/>
        </w:rPr>
        <w:t>_______________________________</w:t>
      </w:r>
    </w:p>
    <w:p>
      <w:pPr>
        <w:pStyle w:val="TextBody"/>
        <w:bidi w:val="0"/>
        <w:spacing w:lineRule="auto" w:line="259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 xml:space="preserve">STELLANTIS N.V.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(Translation of Registrant’s Name Into English)</w:t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16"/>
        </w:rPr>
      </w:pPr>
      <w:r>
        <w:rPr>
          <w:rFonts w:ascii="Times New Roman;serif" w:hAnsi="Times New Roman;serif"/>
          <w:b/>
          <w:color w:val="000000"/>
          <w:sz w:val="16"/>
        </w:rPr>
        <w:t>_______________________________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Taurusavenue 1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2132 LS Hoofddorp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The Netherlands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Tel. No.: +31 23 700 1511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8"/>
        </w:rPr>
      </w:pPr>
      <w:r>
        <w:rPr>
          <w:rFonts w:ascii="Times New Roman;serif" w:hAnsi="Times New Roman;serif"/>
          <w:b/>
          <w:color w:val="000000"/>
          <w:sz w:val="18"/>
        </w:rPr>
        <w:t>(Address of Principal Executive Offices)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16"/>
        </w:rPr>
      </w:pPr>
      <w:r>
        <w:rPr>
          <w:rFonts w:ascii="Times New Roman;serif" w:hAnsi="Times New Roman;serif"/>
          <w:b/>
          <w:color w:val="000000"/>
          <w:sz w:val="16"/>
        </w:rPr>
        <w:t>_______________________________</w:t>
      </w:r>
    </w:p>
    <w:p>
      <w:pPr>
        <w:pStyle w:val="TextBody"/>
        <w:bidi w:val="0"/>
        <w:spacing w:before="0" w:after="120"/>
        <w:jc w:val="center"/>
        <w:rPr/>
      </w:pPr>
      <w:r>
        <w:rPr/>
      </w:r>
    </w:p>
    <w:p>
      <w:pPr>
        <w:pStyle w:val="TextBody"/>
        <w:bidi w:val="0"/>
        <w:spacing w:lineRule="auto" w:line="288" w:before="240" w:after="120"/>
        <w:jc w:val="center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lineRule="auto" w:line="288" w:before="240" w:after="120"/>
        <w:jc w:val="center"/>
        <w:rPr/>
      </w:pPr>
      <w:r>
        <w:rPr>
          <w:rFonts w:ascii="Times New Roman;serif" w:hAnsi="Times New Roman;serif"/>
          <w:b w:val="false"/>
          <w:color w:val="000000"/>
          <w:sz w:val="18"/>
        </w:rPr>
        <w:t xml:space="preserve">Form 20-F </w:t>
      </w:r>
      <w:r>
        <w:rPr>
          <w:rFonts w:ascii="Wingdings;sans-serif" w:hAnsi="Wingdings;sans-serif"/>
          <w:b w:val="false"/>
          <w:color w:val="000000"/>
          <w:sz w:val="16"/>
        </w:rPr>
        <w:t>x</w:t>
      </w:r>
      <w:r>
        <w:rPr>
          <w:color w:val="000000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18"/>
        </w:rPr>
        <w:t xml:space="preserve">Form 40-F </w:t>
      </w:r>
      <w:r>
        <w:rPr>
          <w:rFonts w:ascii="Wingdings;sans-serif" w:hAnsi="Wingdings;sans-serif"/>
          <w:b w:val="false"/>
          <w:color w:val="000000"/>
          <w:sz w:val="16"/>
        </w:rPr>
        <w:t>o</w:t>
      </w:r>
    </w:p>
    <w:p>
      <w:pPr>
        <w:pStyle w:val="TextBody"/>
        <w:bidi w:val="0"/>
        <w:spacing w:lineRule="auto" w:line="288" w:before="240" w:after="120"/>
        <w:jc w:val="center"/>
        <w:rPr/>
      </w:pPr>
      <w:r>
        <w:rPr>
          <w:rFonts w:ascii="Times New Roman;serif" w:hAnsi="Times New Roman;serif"/>
          <w:b w:val="false"/>
          <w:color w:val="000000"/>
          <w:sz w:val="18"/>
        </w:rPr>
        <w:t xml:space="preserve">Indicate by check mark if the registrant is submitting the Form 6-K in paper as permitted by Regulation S-T Rule101(b)(1): </w:t>
      </w:r>
      <w:r>
        <w:rPr>
          <w:rFonts w:ascii="Wingdings;sans-serif" w:hAnsi="Wingdings;sans-serif"/>
          <w:b w:val="false"/>
          <w:color w:val="000000"/>
          <w:sz w:val="16"/>
        </w:rPr>
        <w:t>o</w:t>
      </w:r>
    </w:p>
    <w:p>
      <w:pPr>
        <w:pStyle w:val="TextBody"/>
        <w:bidi w:val="0"/>
        <w:spacing w:lineRule="auto" w:line="288" w:before="240" w:after="120"/>
        <w:jc w:val="center"/>
        <w:rPr/>
      </w:pPr>
      <w:r>
        <w:rPr>
          <w:rFonts w:ascii="Times New Roman;serif" w:hAnsi="Times New Roman;serif"/>
          <w:b w:val="false"/>
          <w:color w:val="000000"/>
          <w:sz w:val="18"/>
        </w:rPr>
        <w:t xml:space="preserve">Indicate by check mark if the registrant is submitting the Form 6-K in paper as permitted by Regulation S-T Rule101(b)(7): </w:t>
      </w:r>
      <w:r>
        <w:rPr>
          <w:rFonts w:ascii="Wingdings;sans-serif" w:hAnsi="Wingdings;sans-serif"/>
          <w:b w:val="false"/>
          <w:color w:val="000000"/>
          <w:sz w:val="16"/>
        </w:rPr>
        <w:t>o</w:t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p>
      <w:pPr>
        <w:pStyle w:val="TextBody"/>
        <w:bidi w:val="0"/>
        <w:spacing w:before="240" w:after="120"/>
        <w:jc w:val="center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24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The following exhibit is furnished herewith:</w:t>
      </w:r>
    </w:p>
    <w:p>
      <w:pPr>
        <w:pStyle w:val="TextBody"/>
        <w:bidi w:val="0"/>
        <w:spacing w:lineRule="auto" w:line="288" w:before="0" w:after="0"/>
        <w:ind w:left="0" w:right="0" w:hanging="1305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Exhibit 99.1    Stellantis N.V. Supplemental Information as of and for the three and six months ended June 30, 2026</w:t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1305"/>
        <w:jc w:val="left"/>
        <w:rPr/>
      </w:pPr>
      <w:r>
        <w:rPr/>
      </w:r>
    </w:p>
    <w:p>
      <w:pPr>
        <w:pStyle w:val="TextBody"/>
        <w:bidi w:val="0"/>
        <w:spacing w:before="0" w:after="240"/>
        <w:ind w:left="0" w:right="0" w:hanging="1665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45" w:before="0" w:after="24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SIGNATURE</w:t>
      </w:r>
    </w:p>
    <w:p>
      <w:pPr>
        <w:pStyle w:val="TextBody"/>
        <w:bidi w:val="0"/>
        <w:spacing w:lineRule="auto" w:line="345" w:before="0" w:after="240"/>
        <w:ind w:left="0" w:right="0" w:firstLine="72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240"/>
        <w:ind w:left="0" w:right="0" w:firstLine="720"/>
        <w:jc w:val="left"/>
        <w:rPr/>
      </w:pPr>
      <w:r>
        <w:rPr/>
      </w:r>
    </w:p>
    <w:tbl>
      <w:tblPr>
        <w:tblW w:w="5429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1"/>
        <w:gridCol w:w="625"/>
        <w:gridCol w:w="628"/>
        <w:gridCol w:w="210"/>
        <w:gridCol w:w="210"/>
        <w:gridCol w:w="210"/>
        <w:gridCol w:w="441"/>
        <w:gridCol w:w="441"/>
        <w:gridCol w:w="441"/>
        <w:gridCol w:w="441"/>
        <w:gridCol w:w="441"/>
        <w:gridCol w:w="630"/>
      </w:tblGrid>
      <w:tr>
        <w:trPr/>
        <w:tc>
          <w:tcPr>
            <w:tcW w:w="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Date: July 30, 2026</w:t>
            </w:r>
          </w:p>
        </w:tc>
        <w:tc>
          <w:tcPr>
            <w:tcW w:w="346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STELLANTIS N.V.</w:t>
            </w:r>
          </w:p>
        </w:tc>
      </w:tr>
      <w:tr>
        <w:trPr/>
        <w:tc>
          <w:tcPr>
            <w:tcW w:w="19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righ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By:</w:t>
            </w:r>
          </w:p>
        </w:tc>
        <w:tc>
          <w:tcPr>
            <w:tcW w:w="2835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/s/ Joao Laranjo</w:t>
            </w:r>
          </w:p>
        </w:tc>
      </w:tr>
      <w:tr>
        <w:trPr/>
        <w:tc>
          <w:tcPr>
            <w:tcW w:w="19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5" w:type="dxa"/>
            <w:gridSpan w:val="6"/>
            <w:tcBorders>
              <w:top w:val="single" w:sz="8" w:space="0" w:color="000000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Name: Joao Laranjo</w:t>
            </w:r>
          </w:p>
        </w:tc>
      </w:tr>
      <w:tr>
        <w:trPr/>
        <w:tc>
          <w:tcPr>
            <w:tcW w:w="19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>
                <w:rFonts w:ascii="Times New Roman;serif" w:hAnsi="Times New Roman;serif"/>
                <w:b w:val="false"/>
                <w:color w:val="000000"/>
                <w:sz w:val="22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2"/>
              </w:rPr>
              <w:t>Title: Chief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24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345" w:before="0" w:after="24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Index of Exhibits</w:t>
      </w:r>
    </w:p>
    <w:p>
      <w:pPr>
        <w:pStyle w:val="TextBody"/>
        <w:bidi w:val="0"/>
        <w:spacing w:before="0" w:after="24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Exhibit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2"/>
          <w:u w:val="single"/>
        </w:rPr>
        <w:t>Number</w:t>
      </w:r>
      <w:r>
        <w:rPr>
          <w:color w:val="000000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22"/>
          <w:u w:val="single"/>
        </w:rPr>
        <w:t>Description of Exhibit</w:t>
      </w:r>
    </w:p>
    <w:p>
      <w:pPr>
        <w:pStyle w:val="TextBody"/>
        <w:bidi w:val="0"/>
        <w:spacing w:before="0" w:after="0"/>
        <w:ind w:left="0" w:right="0" w:hanging="945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hanging="945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99.1    Stellantis N.V. Supplemental Information as of and for the three and six months ended June 30, 2026</w:t>
      </w:r>
    </w:p>
    <w:p>
      <w:pPr>
        <w:pStyle w:val="TextBody"/>
        <w:bidi w:val="0"/>
        <w:spacing w:before="0" w:after="0"/>
        <w:ind w:left="0" w:right="0" w:hanging="945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945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00" w:after="283"/>
        <w:jc w:val="center"/>
        <w:rPr/>
      </w:pPr>
      <w:r>
        <w:rPr/>
        <w:drawing>
          <wp:inline distT="0" distB="0" distL="0" distR="0">
            <wp:extent cx="3343275" cy="942975"/>
            <wp:effectExtent l="0" t="0" r="0" b="0"/>
            <wp:docPr id="4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-95.2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right"/>
        <w:rPr>
          <w:rFonts w:ascii="Encode Sans;sans-serif" w:hAnsi="Encode Sans;sans-serif"/>
          <w:b/>
          <w:color w:val="000000"/>
          <w:sz w:val="20"/>
        </w:rPr>
      </w:pPr>
      <w:r>
        <w:rPr>
          <w:rFonts w:ascii="Encode Sans;sans-serif" w:hAnsi="Encode Sans;sans-serif"/>
          <w:b/>
          <w:color w:val="000000"/>
          <w:sz w:val="20"/>
        </w:rPr>
        <w:t>Exhibit 99.1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/>
          <w:color w:val="4C639D"/>
          <w:sz w:val="22"/>
        </w:rPr>
      </w:pPr>
      <w:r>
        <w:rPr>
          <w:rFonts w:ascii="Encode Sans;sans-serif" w:hAnsi="Encode Sans;sans-serif"/>
          <w:b/>
          <w:color w:val="4C639D"/>
          <w:sz w:val="22"/>
        </w:rPr>
        <w:t>Income Statement by activity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 w:val="false"/>
          <w:i/>
          <w:color w:val="4C639D"/>
          <w:sz w:val="20"/>
        </w:rPr>
      </w:pPr>
      <w:r>
        <w:rPr>
          <w:rFonts w:ascii="Encode Sans;sans-serif" w:hAnsi="Encode Sans;sans-serif"/>
          <w:b w:val="false"/>
          <w:i/>
          <w:color w:val="4C639D"/>
          <w:sz w:val="20"/>
        </w:rPr>
        <w:t>Unaudited</w:t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8"/>
        <w:gridCol w:w="426"/>
        <w:gridCol w:w="420"/>
        <w:gridCol w:w="109"/>
        <w:gridCol w:w="109"/>
        <w:gridCol w:w="109"/>
        <w:gridCol w:w="360"/>
        <w:gridCol w:w="361"/>
        <w:gridCol w:w="331"/>
        <w:gridCol w:w="109"/>
        <w:gridCol w:w="109"/>
        <w:gridCol w:w="109"/>
        <w:gridCol w:w="416"/>
        <w:gridCol w:w="371"/>
        <w:gridCol w:w="372"/>
        <w:gridCol w:w="109"/>
        <w:gridCol w:w="109"/>
        <w:gridCol w:w="109"/>
        <w:gridCol w:w="352"/>
        <w:gridCol w:w="352"/>
        <w:gridCol w:w="353"/>
        <w:gridCol w:w="109"/>
        <w:gridCol w:w="109"/>
        <w:gridCol w:w="109"/>
        <w:gridCol w:w="364"/>
        <w:gridCol w:w="365"/>
        <w:gridCol w:w="331"/>
        <w:gridCol w:w="109"/>
        <w:gridCol w:w="109"/>
        <w:gridCol w:w="109"/>
        <w:gridCol w:w="416"/>
        <w:gridCol w:w="371"/>
        <w:gridCol w:w="372"/>
        <w:gridCol w:w="109"/>
        <w:gridCol w:w="109"/>
        <w:gridCol w:w="109"/>
        <w:gridCol w:w="322"/>
        <w:gridCol w:w="322"/>
        <w:gridCol w:w="468"/>
      </w:tblGrid>
      <w:tr>
        <w:trPr/>
        <w:tc>
          <w:tcPr>
            <w:tcW w:w="7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4" w:type="dxa"/>
            <w:gridSpan w:val="3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For the three months ended June 30,</w:t>
            </w:r>
          </w:p>
        </w:tc>
      </w:tr>
      <w:tr>
        <w:trPr/>
        <w:tc>
          <w:tcPr>
            <w:tcW w:w="16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2" w:type="dxa"/>
            <w:gridSpan w:val="15"/>
            <w:tcBorders>
              <w:top w:val="single" w:sz="8" w:space="0" w:color="000000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2026</w:t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5" w:type="dxa"/>
            <w:gridSpan w:val="15"/>
            <w:tcBorders>
              <w:top w:val="single" w:sz="8" w:space="0" w:color="000000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2025</w:t>
            </w:r>
          </w:p>
        </w:tc>
      </w:tr>
      <w:tr>
        <w:trPr/>
        <w:tc>
          <w:tcPr>
            <w:tcW w:w="16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(€ million)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Financial services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Financial services</w:t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Net revenues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43,482 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42,113 </w:t>
            </w:r>
          </w:p>
        </w:tc>
        <w:tc>
          <w:tcPr>
            <w:tcW w:w="372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1,483 </w:t>
            </w:r>
          </w:p>
        </w:tc>
        <w:tc>
          <w:tcPr>
            <w:tcW w:w="353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38,448 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37,598 </w:t>
            </w:r>
          </w:p>
        </w:tc>
        <w:tc>
          <w:tcPr>
            <w:tcW w:w="372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968 </w:t>
            </w:r>
          </w:p>
        </w:tc>
        <w:tc>
          <w:tcPr>
            <w:tcW w:w="46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Cost of revenues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38,708 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37,447 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1,375 </w:t>
            </w:r>
          </w:p>
        </w:tc>
        <w:tc>
          <w:tcPr>
            <w:tcW w:w="353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36,079 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35,317 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880 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Selling, general and other costs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2,483 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2,405 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78 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1,828 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1,789 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39 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Research and development costs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1,308 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1,308 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1,938 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1,938 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Gains/(losses) on disposal of investments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71 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71 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(202)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(201)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(1)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Restructuring costs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384 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384 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399 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399 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Share of the profit/(loss) of equity method investees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32 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(41)</w:t>
            </w:r>
          </w:p>
        </w:tc>
        <w:tc>
          <w:tcPr>
            <w:tcW w:w="372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73 </w:t>
            </w:r>
          </w:p>
        </w:tc>
        <w:tc>
          <w:tcPr>
            <w:tcW w:w="353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(396)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(481)</w:t>
            </w:r>
          </w:p>
        </w:tc>
        <w:tc>
          <w:tcPr>
            <w:tcW w:w="372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85 </w:t>
            </w:r>
          </w:p>
        </w:tc>
        <w:tc>
          <w:tcPr>
            <w:tcW w:w="468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Operating income/(loss)</w:t>
            </w:r>
            <w:r>
              <w:rPr>
                <w:rFonts w:ascii="Encode Sans;sans-serif" w:hAnsi="Encode Sans;sans-serif"/>
                <w:b/>
                <w:color w:val="4C639D"/>
                <w:sz w:val="11"/>
              </w:rPr>
              <w:t>(1)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702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599</w:t>
            </w:r>
            <w:r>
              <w:rPr>
                <w:color w:val="4C639D"/>
              </w:rPr>
              <w:t> </w:t>
            </w:r>
          </w:p>
        </w:tc>
        <w:tc>
          <w:tcPr>
            <w:tcW w:w="372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103</w:t>
            </w:r>
            <w:r>
              <w:rPr>
                <w:color w:val="4C639D"/>
              </w:rPr>
              <w:t> </w:t>
            </w:r>
          </w:p>
        </w:tc>
        <w:tc>
          <w:tcPr>
            <w:tcW w:w="353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(2,394)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(2,527)</w:t>
            </w:r>
          </w:p>
        </w:tc>
        <w:tc>
          <w:tcPr>
            <w:tcW w:w="372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133</w:t>
            </w:r>
            <w:r>
              <w:rPr>
                <w:color w:val="4C639D"/>
              </w:rPr>
              <w:t> </w:t>
            </w:r>
          </w:p>
        </w:tc>
        <w:tc>
          <w:tcPr>
            <w:tcW w:w="468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Net financial expenses/(income)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202 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202 </w:t>
            </w:r>
          </w:p>
        </w:tc>
        <w:tc>
          <w:tcPr>
            <w:tcW w:w="372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3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63 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63 </w:t>
            </w:r>
          </w:p>
        </w:tc>
        <w:tc>
          <w:tcPr>
            <w:tcW w:w="372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8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 xml:space="preserve">Profit/(loss) before taxes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500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397</w:t>
            </w:r>
            <w:r>
              <w:rPr>
                <w:color w:val="4C639D"/>
              </w:rPr>
              <w:t>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103</w:t>
            </w:r>
            <w:r>
              <w:rPr>
                <w:color w:val="4C639D"/>
              </w:rPr>
              <w:t>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(2,457)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(2,590)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133</w:t>
            </w:r>
            <w:r>
              <w:rPr>
                <w:color w:val="4C639D"/>
              </w:rPr>
              <w:t> 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Tax expense/(benefit)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207 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190 </w:t>
            </w:r>
          </w:p>
        </w:tc>
        <w:tc>
          <w:tcPr>
            <w:tcW w:w="372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17 </w:t>
            </w:r>
          </w:p>
        </w:tc>
        <w:tc>
          <w:tcPr>
            <w:tcW w:w="353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(588)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(535)</w:t>
            </w:r>
          </w:p>
        </w:tc>
        <w:tc>
          <w:tcPr>
            <w:tcW w:w="372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(53)</w:t>
            </w:r>
          </w:p>
        </w:tc>
        <w:tc>
          <w:tcPr>
            <w:tcW w:w="468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Result from intersegment investments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86 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186 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Net profit/(loss)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293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293</w:t>
            </w:r>
            <w:r>
              <w:rPr>
                <w:color w:val="4C639D"/>
              </w:rPr>
              <w:t> </w:t>
            </w:r>
          </w:p>
        </w:tc>
        <w:tc>
          <w:tcPr>
            <w:tcW w:w="37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86</w:t>
            </w:r>
            <w:r>
              <w:rPr>
                <w:color w:val="4C639D"/>
              </w:rPr>
              <w:t> </w:t>
            </w:r>
          </w:p>
        </w:tc>
        <w:tc>
          <w:tcPr>
            <w:tcW w:w="353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(1,869)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(1,869)</w:t>
            </w:r>
          </w:p>
        </w:tc>
        <w:tc>
          <w:tcPr>
            <w:tcW w:w="372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186</w:t>
            </w:r>
            <w:r>
              <w:rPr>
                <w:color w:val="4C639D"/>
              </w:rPr>
              <w:t> </w:t>
            </w:r>
          </w:p>
        </w:tc>
        <w:tc>
          <w:tcPr>
            <w:tcW w:w="46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12" w:space="0" w:color="4C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>
              <w:top w:val="single" w:sz="4" w:space="0" w:color="828282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Adjusted operating income/(loss)</w:t>
            </w:r>
            <w:r>
              <w:rPr>
                <w:rFonts w:ascii="Encode Sans;sans-serif" w:hAnsi="Encode Sans;sans-serif"/>
                <w:b/>
                <w:color w:val="4C639D"/>
                <w:sz w:val="11"/>
              </w:rPr>
              <w:t>(1)(2)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773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673</w:t>
            </w:r>
            <w:r>
              <w:rPr>
                <w:color w:val="4C639D"/>
              </w:rPr>
              <w:t> </w:t>
            </w:r>
          </w:p>
        </w:tc>
        <w:tc>
          <w:tcPr>
            <w:tcW w:w="372" w:type="dxa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gridSpan w:val="2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100</w:t>
            </w:r>
            <w:r>
              <w:rPr>
                <w:color w:val="4C639D"/>
              </w:rPr>
              <w:t> </w:t>
            </w:r>
          </w:p>
        </w:tc>
        <w:tc>
          <w:tcPr>
            <w:tcW w:w="353" w:type="dxa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213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gridSpan w:val="2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82</w:t>
            </w:r>
            <w:r>
              <w:rPr>
                <w:color w:val="4C639D"/>
              </w:rPr>
              <w:t> </w:t>
            </w:r>
          </w:p>
        </w:tc>
        <w:tc>
          <w:tcPr>
            <w:tcW w:w="372" w:type="dxa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4" w:type="dxa"/>
            <w:gridSpan w:val="2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131</w:t>
            </w:r>
            <w:r>
              <w:rPr>
                <w:color w:val="4C639D"/>
              </w:rPr>
              <w:t> </w:t>
            </w:r>
          </w:p>
        </w:tc>
        <w:tc>
          <w:tcPr>
            <w:tcW w:w="468" w:type="dxa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4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160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Figures presented for Industrial activities and Financial services include intersegment transactions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(1) Refer to the Stellantis N.V. Interim Report for the three and six months ended June 30, 2026 - Non-GAAP Financial Measures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(2) The reconciliation of Net profit to Adjusted operating income for the Company is included in the Stellantis N.V. Interim Report for the three and six months ended June 30, 2026 - Management discussion and analysis - Company results</w:t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100" w:after="283"/>
        <w:jc w:val="center"/>
        <w:rPr/>
      </w:pPr>
      <w:r>
        <w:rPr/>
        <w:drawing>
          <wp:inline distT="0" distB="0" distL="0" distR="0">
            <wp:extent cx="3343275" cy="942975"/>
            <wp:effectExtent l="0" t="0" r="0" b="0"/>
            <wp:docPr id="6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-95.2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5"/>
        <w:gridCol w:w="422"/>
        <w:gridCol w:w="415"/>
        <w:gridCol w:w="109"/>
        <w:gridCol w:w="109"/>
        <w:gridCol w:w="109"/>
        <w:gridCol w:w="360"/>
        <w:gridCol w:w="361"/>
        <w:gridCol w:w="331"/>
        <w:gridCol w:w="109"/>
        <w:gridCol w:w="109"/>
        <w:gridCol w:w="109"/>
        <w:gridCol w:w="415"/>
        <w:gridCol w:w="370"/>
        <w:gridCol w:w="371"/>
        <w:gridCol w:w="109"/>
        <w:gridCol w:w="109"/>
        <w:gridCol w:w="109"/>
        <w:gridCol w:w="351"/>
        <w:gridCol w:w="351"/>
        <w:gridCol w:w="352"/>
        <w:gridCol w:w="109"/>
        <w:gridCol w:w="109"/>
        <w:gridCol w:w="109"/>
        <w:gridCol w:w="364"/>
        <w:gridCol w:w="365"/>
        <w:gridCol w:w="331"/>
        <w:gridCol w:w="109"/>
        <w:gridCol w:w="109"/>
        <w:gridCol w:w="109"/>
        <w:gridCol w:w="415"/>
        <w:gridCol w:w="370"/>
        <w:gridCol w:w="371"/>
        <w:gridCol w:w="109"/>
        <w:gridCol w:w="109"/>
        <w:gridCol w:w="109"/>
        <w:gridCol w:w="346"/>
        <w:gridCol w:w="321"/>
        <w:gridCol w:w="466"/>
      </w:tblGrid>
      <w:tr>
        <w:trPr/>
        <w:tc>
          <w:tcPr>
            <w:tcW w:w="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6" w:type="dxa"/>
            <w:gridSpan w:val="3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For the six months ended June 30,</w:t>
            </w:r>
          </w:p>
        </w:tc>
      </w:tr>
      <w:tr>
        <w:trPr/>
        <w:tc>
          <w:tcPr>
            <w:tcW w:w="163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gridSpan w:val="15"/>
            <w:tcBorders>
              <w:top w:val="single" w:sz="8" w:space="0" w:color="000000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2026</w:t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3" w:type="dxa"/>
            <w:gridSpan w:val="15"/>
            <w:tcBorders>
              <w:top w:val="single" w:sz="8" w:space="0" w:color="000000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2025</w:t>
            </w:r>
          </w:p>
        </w:tc>
      </w:tr>
      <w:tr>
        <w:trPr/>
        <w:tc>
          <w:tcPr>
            <w:tcW w:w="163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(€ million)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4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Financial services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Financial services</w:t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Net revenues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81,614 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79,141 </w:t>
            </w:r>
          </w:p>
        </w:tc>
        <w:tc>
          <w:tcPr>
            <w:tcW w:w="37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2,689 </w:t>
            </w:r>
          </w:p>
        </w:tc>
        <w:tc>
          <w:tcPr>
            <w:tcW w:w="352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74,261 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72,769 </w:t>
            </w:r>
          </w:p>
        </w:tc>
        <w:tc>
          <w:tcPr>
            <w:tcW w:w="37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1,688 </w:t>
            </w:r>
          </w:p>
        </w:tc>
        <w:tc>
          <w:tcPr>
            <w:tcW w:w="46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Cost of revenues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72,411 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70,196 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2,431 </w:t>
            </w:r>
          </w:p>
        </w:tc>
        <w:tc>
          <w:tcPr>
            <w:tcW w:w="352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68,267 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66,996 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1,467 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Selling, general and other costs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4,785 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4,618 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167 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4,174 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4,042 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132 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Research and development costs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2,748 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2,748 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3,371 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3,371 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Gains/(losses) on disposal of investments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59 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59 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(204)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(203)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(1)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Restructuring costs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482 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482 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522 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522 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Share of the profit/(loss) of equity method investees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143 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(20)</w:t>
            </w:r>
          </w:p>
        </w:tc>
        <w:tc>
          <w:tcPr>
            <w:tcW w:w="371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163 </w:t>
            </w:r>
          </w:p>
        </w:tc>
        <w:tc>
          <w:tcPr>
            <w:tcW w:w="352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(433)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(607)</w:t>
            </w:r>
          </w:p>
        </w:tc>
        <w:tc>
          <w:tcPr>
            <w:tcW w:w="371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174 </w:t>
            </w:r>
          </w:p>
        </w:tc>
        <w:tc>
          <w:tcPr>
            <w:tcW w:w="466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Operating income/(loss)</w:t>
            </w:r>
            <w:r>
              <w:rPr>
                <w:rFonts w:ascii="Encode Sans;sans-serif" w:hAnsi="Encode Sans;sans-serif"/>
                <w:b/>
                <w:color w:val="4C639D"/>
                <w:sz w:val="11"/>
              </w:rPr>
              <w:t>(1)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1,390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1,136</w:t>
            </w:r>
            <w:r>
              <w:rPr>
                <w:color w:val="4C639D"/>
              </w:rPr>
              <w:t> </w:t>
            </w:r>
          </w:p>
        </w:tc>
        <w:tc>
          <w:tcPr>
            <w:tcW w:w="371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254</w:t>
            </w:r>
            <w:r>
              <w:rPr>
                <w:color w:val="4C639D"/>
              </w:rPr>
              <w:t> </w:t>
            </w:r>
          </w:p>
        </w:tc>
        <w:tc>
          <w:tcPr>
            <w:tcW w:w="352" w:type="dxa"/>
            <w:tcBorders>
              <w:top w:val="single" w:sz="4" w:space="0" w:color="92929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(2,710)</w:t>
            </w:r>
          </w:p>
        </w:tc>
        <w:tc>
          <w:tcPr>
            <w:tcW w:w="331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(2,972)</w:t>
            </w:r>
          </w:p>
        </w:tc>
        <w:tc>
          <w:tcPr>
            <w:tcW w:w="371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262</w:t>
            </w:r>
            <w:r>
              <w:rPr>
                <w:color w:val="4C639D"/>
              </w:rPr>
              <w:t> </w:t>
            </w:r>
          </w:p>
        </w:tc>
        <w:tc>
          <w:tcPr>
            <w:tcW w:w="466" w:type="dxa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Net financial expenses/(income)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352 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352 </w:t>
            </w:r>
          </w:p>
        </w:tc>
        <w:tc>
          <w:tcPr>
            <w:tcW w:w="371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2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160 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160 </w:t>
            </w:r>
          </w:p>
        </w:tc>
        <w:tc>
          <w:tcPr>
            <w:tcW w:w="371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6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 xml:space="preserve">Profit/(loss) before taxes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1,038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784</w:t>
            </w:r>
            <w:r>
              <w:rPr>
                <w:color w:val="4C639D"/>
              </w:rPr>
              <w:t>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254</w:t>
            </w:r>
            <w:r>
              <w:rPr>
                <w:color w:val="4C639D"/>
              </w:rPr>
              <w:t>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(2,870)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(3,132)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262</w:t>
            </w:r>
            <w:r>
              <w:rPr>
                <w:color w:val="4C639D"/>
              </w:rPr>
              <w:t> 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Tax expense/(benefit)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368 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320 </w:t>
            </w:r>
          </w:p>
        </w:tc>
        <w:tc>
          <w:tcPr>
            <w:tcW w:w="371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48 </w:t>
            </w:r>
          </w:p>
        </w:tc>
        <w:tc>
          <w:tcPr>
            <w:tcW w:w="352" w:type="dxa"/>
            <w:tcBorders>
              <w:top w:val="single" w:sz="12" w:space="0" w:color="45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(614)</w:t>
            </w:r>
          </w:p>
        </w:tc>
        <w:tc>
          <w:tcPr>
            <w:tcW w:w="331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(522)</w:t>
            </w:r>
          </w:p>
        </w:tc>
        <w:tc>
          <w:tcPr>
            <w:tcW w:w="371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(92)</w:t>
            </w:r>
          </w:p>
        </w:tc>
        <w:tc>
          <w:tcPr>
            <w:tcW w:w="466" w:type="dxa"/>
            <w:tcBorders>
              <w:top w:val="single" w:sz="12" w:space="0" w:color="45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92929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Result from intersegment investments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206 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354 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6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Net profit/(loss)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670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670</w:t>
            </w:r>
            <w:r>
              <w:rPr>
                <w:color w:val="4C639D"/>
              </w:rPr>
              <w:t> </w:t>
            </w:r>
          </w:p>
        </w:tc>
        <w:tc>
          <w:tcPr>
            <w:tcW w:w="37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206</w:t>
            </w:r>
            <w:r>
              <w:rPr>
                <w:color w:val="4C639D"/>
              </w:rPr>
              <w:t> </w:t>
            </w:r>
          </w:p>
        </w:tc>
        <w:tc>
          <w:tcPr>
            <w:tcW w:w="352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(2,256)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(2,256)</w:t>
            </w:r>
          </w:p>
        </w:tc>
        <w:tc>
          <w:tcPr>
            <w:tcW w:w="37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354</w:t>
            </w:r>
            <w:r>
              <w:rPr>
                <w:color w:val="4C639D"/>
              </w:rPr>
              <w:t> </w:t>
            </w:r>
          </w:p>
        </w:tc>
        <w:tc>
          <w:tcPr>
            <w:tcW w:w="46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12" w:space="0" w:color="4C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4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>
              <w:top w:val="single" w:sz="4" w:space="0" w:color="828282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Adjusted operating income/(loss)</w:t>
            </w:r>
            <w:r>
              <w:rPr>
                <w:rFonts w:ascii="Encode Sans;sans-serif" w:hAnsi="Encode Sans;sans-serif"/>
                <w:b/>
                <w:color w:val="4C639D"/>
                <w:sz w:val="11"/>
              </w:rPr>
              <w:t>(1)(2)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gridSpan w:val="2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1,733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1,482</w:t>
            </w:r>
            <w:r>
              <w:rPr>
                <w:color w:val="4C639D"/>
              </w:rPr>
              <w:t> </w:t>
            </w:r>
          </w:p>
        </w:tc>
        <w:tc>
          <w:tcPr>
            <w:tcW w:w="371" w:type="dxa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" w:type="dxa"/>
            <w:gridSpan w:val="2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251</w:t>
            </w:r>
            <w:r>
              <w:rPr>
                <w:color w:val="4C639D"/>
              </w:rPr>
              <w:t> </w:t>
            </w:r>
          </w:p>
        </w:tc>
        <w:tc>
          <w:tcPr>
            <w:tcW w:w="352" w:type="dxa"/>
            <w:tcBorders>
              <w:top w:val="single" w:sz="4" w:space="0" w:color="828282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9" w:type="dxa"/>
            <w:gridSpan w:val="2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540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gridSpan w:val="2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284</w:t>
            </w:r>
            <w:r>
              <w:rPr>
                <w:color w:val="4C639D"/>
              </w:rPr>
              <w:t> </w:t>
            </w:r>
          </w:p>
        </w:tc>
        <w:tc>
          <w:tcPr>
            <w:tcW w:w="371" w:type="dxa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gridSpan w:val="2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256</w:t>
            </w:r>
            <w:r>
              <w:rPr>
                <w:color w:val="4C639D"/>
              </w:rPr>
              <w:t> </w:t>
            </w:r>
          </w:p>
        </w:tc>
        <w:tc>
          <w:tcPr>
            <w:tcW w:w="466" w:type="dxa"/>
            <w:tcBorders>
              <w:top w:val="single" w:sz="4" w:space="0" w:color="828282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160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Figures presented for Industrial activities and Financial services include intersegment transactions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(1) Refer to the Stellantis N.V. Interim Report for the three and six months ended June 30, 2026 - Non-GAAP Financial Measures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(2) The reconciliation of Net profit to Adjusted operating income for the Company is included in the Stellantis N.V. Interim Report for the three and six months ended June 30, 2026 - Management discussion and analysis - Company results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00" w:after="283"/>
        <w:jc w:val="center"/>
        <w:rPr/>
      </w:pPr>
      <w:r>
        <w:rPr/>
        <w:drawing>
          <wp:inline distT="0" distB="0" distL="0" distR="0">
            <wp:extent cx="3343275" cy="942975"/>
            <wp:effectExtent l="0" t="0" r="0" b="0"/>
            <wp:docPr id="8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9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-95.2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/>
          <w:color w:val="4C639D"/>
          <w:sz w:val="22"/>
        </w:rPr>
      </w:pPr>
      <w:r>
        <w:rPr>
          <w:rFonts w:ascii="Encode Sans;sans-serif" w:hAnsi="Encode Sans;sans-serif"/>
          <w:b/>
          <w:color w:val="4C639D"/>
          <w:sz w:val="22"/>
        </w:rPr>
        <w:t>Statement of Financial Position by activity</w:t>
      </w:r>
    </w:p>
    <w:p>
      <w:pPr>
        <w:pStyle w:val="TextBody"/>
        <w:bidi w:val="0"/>
        <w:spacing w:lineRule="auto" w:line="288" w:before="0" w:after="0"/>
        <w:jc w:val="left"/>
        <w:rPr>
          <w:rFonts w:ascii="Encode Sans;sans-serif" w:hAnsi="Encode Sans;sans-serif"/>
          <w:b w:val="false"/>
          <w:i/>
          <w:color w:val="4C639D"/>
          <w:sz w:val="20"/>
        </w:rPr>
      </w:pPr>
      <w:r>
        <w:rPr>
          <w:rFonts w:ascii="Encode Sans;sans-serif" w:hAnsi="Encode Sans;sans-serif"/>
          <w:b w:val="false"/>
          <w:i/>
          <w:color w:val="4C639D"/>
          <w:sz w:val="20"/>
        </w:rPr>
        <w:t>Unaudited</w:t>
      </w:r>
    </w:p>
    <w:tbl>
      <w:tblPr>
        <w:tblW w:w="106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2"/>
        <w:gridCol w:w="301"/>
        <w:gridCol w:w="303"/>
        <w:gridCol w:w="109"/>
        <w:gridCol w:w="109"/>
        <w:gridCol w:w="109"/>
        <w:gridCol w:w="472"/>
        <w:gridCol w:w="474"/>
        <w:gridCol w:w="331"/>
        <w:gridCol w:w="109"/>
        <w:gridCol w:w="109"/>
        <w:gridCol w:w="109"/>
        <w:gridCol w:w="611"/>
        <w:gridCol w:w="335"/>
        <w:gridCol w:w="336"/>
        <w:gridCol w:w="109"/>
        <w:gridCol w:w="109"/>
        <w:gridCol w:w="109"/>
        <w:gridCol w:w="506"/>
        <w:gridCol w:w="320"/>
        <w:gridCol w:w="321"/>
        <w:gridCol w:w="109"/>
        <w:gridCol w:w="109"/>
        <w:gridCol w:w="109"/>
        <w:gridCol w:w="472"/>
        <w:gridCol w:w="474"/>
        <w:gridCol w:w="331"/>
        <w:gridCol w:w="109"/>
        <w:gridCol w:w="109"/>
        <w:gridCol w:w="109"/>
        <w:gridCol w:w="611"/>
        <w:gridCol w:w="335"/>
        <w:gridCol w:w="336"/>
        <w:gridCol w:w="109"/>
        <w:gridCol w:w="109"/>
        <w:gridCol w:w="109"/>
        <w:gridCol w:w="532"/>
        <w:gridCol w:w="294"/>
        <w:gridCol w:w="418"/>
      </w:tblGrid>
      <w:tr>
        <w:trPr/>
        <w:tc>
          <w:tcPr>
            <w:tcW w:w="5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0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At June 30, 2026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7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At December 31, 2025</w:t>
            </w:r>
          </w:p>
        </w:tc>
      </w:tr>
      <w:tr>
        <w:trPr/>
        <w:tc>
          <w:tcPr>
            <w:tcW w:w="118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(€ million)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Century Gothic;sans-serif" w:hAnsi="Century Gothic;sans-serif"/>
                <w:b/>
                <w:color w:val="4C639D"/>
                <w:sz w:val="17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7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6"/>
              </w:rPr>
            </w:pPr>
            <w:r>
              <w:rPr>
                <w:rFonts w:ascii="Encode Sans;sans-serif" w:hAnsi="Encode Sans;sans-serif"/>
                <w:b/>
                <w:color w:val="4C639D"/>
                <w:sz w:val="16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6"/>
              </w:rPr>
            </w:pPr>
            <w:r>
              <w:rPr>
                <w:rFonts w:ascii="Encode Sans;sans-serif" w:hAnsi="Encode Sans;sans-serif"/>
                <w:b/>
                <w:color w:val="4C639D"/>
                <w:sz w:val="16"/>
              </w:rPr>
              <w:t>Financial services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6"/>
              </w:rPr>
            </w:pPr>
            <w:r>
              <w:rPr>
                <w:rFonts w:ascii="Encode Sans;sans-serif" w:hAnsi="Encode Sans;sans-serif"/>
                <w:b/>
                <w:color w:val="4C639D"/>
                <w:sz w:val="16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6"/>
              </w:rPr>
            </w:pPr>
            <w:r>
              <w:rPr>
                <w:rFonts w:ascii="Encode Sans;sans-serif" w:hAnsi="Encode Sans;sans-serif"/>
                <w:b/>
                <w:color w:val="4C639D"/>
                <w:sz w:val="16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6"/>
              </w:rPr>
            </w:pPr>
            <w:r>
              <w:rPr>
                <w:rFonts w:ascii="Encode Sans;sans-serif" w:hAnsi="Encode Sans;sans-serif"/>
                <w:b/>
                <w:color w:val="4C639D"/>
                <w:sz w:val="16"/>
              </w:rPr>
              <w:t>Financial services</w:t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24242"/>
                <w:sz w:val="17"/>
              </w:rPr>
            </w:pPr>
            <w:r>
              <w:rPr>
                <w:rFonts w:ascii="Encode Sans;sans-serif" w:hAnsi="Encode Sans;sans-serif"/>
                <w:b/>
                <w:color w:val="424242"/>
                <w:sz w:val="17"/>
              </w:rPr>
              <w:t>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>
              <w:top w:val="single" w:sz="4" w:space="0" w:color="828282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>
              <w:top w:val="single" w:sz="4" w:space="0" w:color="828282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gridSpan w:val="3"/>
            <w:tcBorders>
              <w:top w:val="single" w:sz="4" w:space="0" w:color="828282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>
              <w:top w:val="single" w:sz="4" w:space="0" w:color="82828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>
              <w:top w:val="single" w:sz="4" w:space="0" w:color="82828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gridSpan w:val="3"/>
            <w:tcBorders>
              <w:top w:val="single" w:sz="4" w:space="0" w:color="82828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Goodwill and intangible assets with indefinite useful lives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29,977 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29,843 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134 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29,176 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29,046 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130 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Other intangible 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15,793 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15,618 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175 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15,709 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15,540 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169 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Property, plant and equipment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46,133 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32,508 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13,625 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42,958 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32,108 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10,850 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Equity method investments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7,343 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13,076 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3,607 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7,276 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12,336 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3,516 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Deferred tax assets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6,558 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6,478 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80 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6,383 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6,297 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86 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Inventories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23,987 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23,820 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167 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22,153 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22,080 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73 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Assets sold with a buy-back commitment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4,912 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4,912 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3,616 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3,616 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Trade receivables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7,291 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7,445 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144 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5,662 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5,812 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115 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Tax receivables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1,169 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1,120 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49 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1,393 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1,464 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53 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Other assets and prepaid expenses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32,689 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15,117 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19,972 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26,895 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13,773 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15,937 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Financial 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3,864 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3,259 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605 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3,781 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3,235 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546 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Cash and cash equivalents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33,697 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31,217 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2,480 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30,146 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28,198 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1,948 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Assets held for sale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10 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10 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ind w:left="0" w:right="0" w:hanging="180"/>
              <w:jc w:val="lef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TOTAL 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213,423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184,423</w:t>
            </w:r>
            <w:r>
              <w:rPr>
                <w:color w:val="4C639D"/>
              </w:rPr>
              <w:t>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41,038</w:t>
            </w:r>
            <w:r>
              <w:rPr>
                <w:color w:val="4C639D"/>
              </w:rPr>
              <w:t>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195,153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173,510</w:t>
            </w:r>
            <w:r>
              <w:rPr>
                <w:color w:val="4C639D"/>
              </w:rPr>
              <w:t>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33,423</w:t>
            </w:r>
            <w:r>
              <w:rPr>
                <w:color w:val="4C639D"/>
              </w:rPr>
              <w:t>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12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24242"/>
                <w:sz w:val="17"/>
              </w:rPr>
            </w:pPr>
            <w:r>
              <w:rPr>
                <w:rFonts w:ascii="Encode Sans;sans-serif" w:hAnsi="Encode Sans;sans-serif"/>
                <w:b/>
                <w:color w:val="424242"/>
                <w:sz w:val="17"/>
              </w:rPr>
              <w:t>Equity and Liabilities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>
              <w:top w:val="single" w:sz="12" w:space="0" w:color="45639D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>
              <w:top w:val="single" w:sz="12" w:space="0" w:color="45639D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gridSpan w:val="3"/>
            <w:tcBorders>
              <w:top w:val="single" w:sz="12" w:space="0" w:color="45639D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gridSpan w:val="3"/>
            <w:tcBorders>
              <w:top w:val="single" w:sz="12" w:space="0" w:color="4563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Equity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61,737 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61,737 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9,340 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54,001 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54,001 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8,576 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Employee benefits liabilities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5,223 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5,219 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4 </w:t>
            </w:r>
          </w:p>
        </w:tc>
        <w:tc>
          <w:tcPr>
            <w:tcW w:w="321" w:type="dxa"/>
            <w:tcBorders>
              <w:top w:val="single" w:sz="4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5,312 </w:t>
            </w:r>
          </w:p>
        </w:tc>
        <w:tc>
          <w:tcPr>
            <w:tcW w:w="331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5,308 </w:t>
            </w:r>
          </w:p>
        </w:tc>
        <w:tc>
          <w:tcPr>
            <w:tcW w:w="336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4 </w:t>
            </w:r>
          </w:p>
        </w:tc>
        <w:tc>
          <w:tcPr>
            <w:tcW w:w="418" w:type="dxa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Provisions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31,168 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31,015 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153 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32,913 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32,809 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104 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Deferred tax liabilities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1,263 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835 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428 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1,294 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874 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420 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Debt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52,062 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24,390 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29,936 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45,947 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25,630 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23,035 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Trade payables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33,604 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33,724 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260 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29,999 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30,082 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211 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Other financial liabilities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36 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25 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11 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36 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19 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17 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B3B3B3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Tax liabilities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926 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852 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74 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911 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826 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209 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 xml:space="preserve">Other liabilities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27,390 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26,612 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832 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24,740 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23,961 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847 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B3B3B3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424242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24242"/>
                <w:sz w:val="17"/>
              </w:rPr>
              <w:t>Liabilities held for sale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14 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7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7"/>
              </w:rPr>
              <w:t>14 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21" w:type="dxa"/>
            <w:tcBorders>
              <w:top w:val="single" w:sz="4" w:space="0" w:color="616161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31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36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418" w:type="dxa"/>
            <w:tcBorders>
              <w:top w:val="single" w:sz="4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>
              <w:top w:val="single" w:sz="4" w:space="0" w:color="828282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00" w:after="100"/>
              <w:ind w:left="0" w:right="0" w:hanging="180"/>
              <w:jc w:val="left"/>
              <w:rPr>
                <w:rFonts w:ascii="Encode Sans;sans-serif" w:hAnsi="Encode Sans;sans-serif"/>
                <w:b/>
                <w:color w:val="4C639D"/>
                <w:sz w:val="17"/>
              </w:rPr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 xml:space="preserve">TOTAL EQUITY AND LIABILITIES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  <w:bottom w:val="single" w:sz="12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213,423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616161"/>
              <w:bottom w:val="single" w:sz="12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  <w:bottom w:val="single" w:sz="12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184,423</w:t>
            </w:r>
            <w:r>
              <w:rPr>
                <w:color w:val="4C639D"/>
              </w:rPr>
              <w:t> </w:t>
            </w:r>
          </w:p>
        </w:tc>
        <w:tc>
          <w:tcPr>
            <w:tcW w:w="336" w:type="dxa"/>
            <w:tcBorders>
              <w:top w:val="single" w:sz="4" w:space="0" w:color="616161"/>
              <w:bottom w:val="single" w:sz="12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41,038</w:t>
            </w:r>
            <w:r>
              <w:rPr>
                <w:color w:val="4C639D"/>
              </w:rPr>
              <w:t> </w:t>
            </w:r>
          </w:p>
        </w:tc>
        <w:tc>
          <w:tcPr>
            <w:tcW w:w="321" w:type="dxa"/>
            <w:tcBorders>
              <w:top w:val="single" w:sz="4" w:space="0" w:color="616161"/>
              <w:bottom w:val="single" w:sz="12" w:space="0" w:color="45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195,153</w:t>
            </w:r>
            <w:r>
              <w:rPr>
                <w:color w:val="4C639D"/>
              </w:rPr>
              <w:t> </w:t>
            </w:r>
          </w:p>
        </w:tc>
        <w:tc>
          <w:tcPr>
            <w:tcW w:w="331" w:type="dxa"/>
            <w:tcBorders>
              <w:top w:val="single" w:sz="4" w:space="0" w:color="616161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gridSpan w:val="2"/>
            <w:tcBorders>
              <w:top w:val="single" w:sz="4" w:space="0" w:color="616161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173,510</w:t>
            </w:r>
            <w:r>
              <w:rPr>
                <w:color w:val="4C639D"/>
              </w:rPr>
              <w:t> </w:t>
            </w:r>
          </w:p>
        </w:tc>
        <w:tc>
          <w:tcPr>
            <w:tcW w:w="336" w:type="dxa"/>
            <w:tcBorders>
              <w:top w:val="single" w:sz="4" w:space="0" w:color="616161"/>
              <w:bottom w:val="single" w:sz="12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gridSpan w:val="2"/>
            <w:tcBorders>
              <w:top w:val="single" w:sz="4" w:space="0" w:color="616161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7"/>
              </w:rPr>
              <w:t>33,423</w:t>
            </w:r>
            <w:r>
              <w:rPr>
                <w:color w:val="4C639D"/>
              </w:rPr>
              <w:t> </w:t>
            </w:r>
          </w:p>
        </w:tc>
        <w:tc>
          <w:tcPr>
            <w:tcW w:w="418" w:type="dxa"/>
            <w:tcBorders>
              <w:top w:val="single" w:sz="4" w:space="0" w:color="616161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00" w:after="283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Figures presented for Industrial activities and Financial services include intersegment transactions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00" w:after="283"/>
        <w:jc w:val="center"/>
        <w:rPr/>
      </w:pPr>
      <w:r>
        <w:rPr/>
        <w:drawing>
          <wp:inline distT="0" distB="0" distL="0" distR="0">
            <wp:extent cx="3343275" cy="942975"/>
            <wp:effectExtent l="0" t="0" r="0" b="0"/>
            <wp:docPr id="10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1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-95.2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left"/>
        <w:rPr>
          <w:rFonts w:ascii="Century Gothic;sans-serif" w:hAnsi="Century Gothic;sans-serif"/>
          <w:b/>
          <w:color w:val="4C639D"/>
          <w:sz w:val="22"/>
        </w:rPr>
      </w:pPr>
      <w:r>
        <w:rPr>
          <w:rFonts w:ascii="Century Gothic;sans-serif" w:hAnsi="Century Gothic;sans-serif"/>
          <w:b/>
          <w:color w:val="4C639D"/>
          <w:sz w:val="22"/>
        </w:rPr>
        <w:t>Statement of Cash Flows by activity</w:t>
      </w:r>
    </w:p>
    <w:p>
      <w:pPr>
        <w:pStyle w:val="TextBody"/>
        <w:bidi w:val="0"/>
        <w:spacing w:lineRule="auto" w:line="288" w:before="0" w:after="0"/>
        <w:jc w:val="left"/>
        <w:rPr>
          <w:rFonts w:ascii="Century Gothic;sans-serif" w:hAnsi="Century Gothic;sans-serif"/>
          <w:b w:val="false"/>
          <w:i/>
          <w:color w:val="4C639D"/>
          <w:sz w:val="20"/>
        </w:rPr>
      </w:pPr>
      <w:r>
        <w:rPr>
          <w:rFonts w:ascii="Century Gothic;sans-serif" w:hAnsi="Century Gothic;sans-serif"/>
          <w:b w:val="false"/>
          <w:i/>
          <w:color w:val="4C639D"/>
          <w:sz w:val="20"/>
        </w:rPr>
        <w:t>Unaudited</w:t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54"/>
        <w:gridCol w:w="595"/>
        <w:gridCol w:w="597"/>
        <w:gridCol w:w="109"/>
        <w:gridCol w:w="109"/>
        <w:gridCol w:w="109"/>
        <w:gridCol w:w="329"/>
        <w:gridCol w:w="332"/>
        <w:gridCol w:w="266"/>
        <w:gridCol w:w="109"/>
        <w:gridCol w:w="109"/>
        <w:gridCol w:w="109"/>
        <w:gridCol w:w="411"/>
        <w:gridCol w:w="299"/>
        <w:gridCol w:w="300"/>
        <w:gridCol w:w="109"/>
        <w:gridCol w:w="109"/>
        <w:gridCol w:w="109"/>
        <w:gridCol w:w="337"/>
        <w:gridCol w:w="285"/>
        <w:gridCol w:w="286"/>
        <w:gridCol w:w="109"/>
        <w:gridCol w:w="109"/>
        <w:gridCol w:w="109"/>
        <w:gridCol w:w="329"/>
        <w:gridCol w:w="332"/>
        <w:gridCol w:w="266"/>
        <w:gridCol w:w="109"/>
        <w:gridCol w:w="109"/>
        <w:gridCol w:w="109"/>
        <w:gridCol w:w="411"/>
        <w:gridCol w:w="299"/>
        <w:gridCol w:w="300"/>
        <w:gridCol w:w="109"/>
        <w:gridCol w:w="109"/>
        <w:gridCol w:w="109"/>
        <w:gridCol w:w="301"/>
        <w:gridCol w:w="278"/>
        <w:gridCol w:w="536"/>
      </w:tblGrid>
      <w:tr>
        <w:trPr/>
        <w:tc>
          <w:tcPr>
            <w:tcW w:w="1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2" w:type="dxa"/>
            <w:gridSpan w:val="3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Six months ended June 30,</w:t>
            </w:r>
          </w:p>
        </w:tc>
      </w:tr>
      <w:tr>
        <w:trPr/>
        <w:tc>
          <w:tcPr>
            <w:tcW w:w="2346" w:type="dxa"/>
            <w:gridSpan w:val="3"/>
            <w:tcBorders>
              <w:bottom w:val="single" w:sz="2" w:space="0" w:color="82828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9" w:type="dxa"/>
            <w:gridSpan w:val="15"/>
            <w:tcBorders>
              <w:top w:val="single" w:sz="8" w:space="0" w:color="000000"/>
              <w:bottom w:val="single" w:sz="8" w:space="0" w:color="616161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2026</w:t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6" w:type="dxa"/>
            <w:gridSpan w:val="15"/>
            <w:tcBorders>
              <w:top w:val="single" w:sz="8" w:space="0" w:color="000000"/>
              <w:bottom w:val="single" w:sz="8" w:space="0" w:color="616161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2025</w:t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(€ million)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Financial services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Stellantis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Industrial activities</w:t>
            </w:r>
          </w:p>
        </w:tc>
        <w:tc>
          <w:tcPr>
            <w:tcW w:w="327" w:type="dxa"/>
            <w:gridSpan w:val="3"/>
            <w:tcBorders>
              <w:top w:val="single" w:sz="8" w:space="0" w:color="61616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5" w:type="dxa"/>
            <w:gridSpan w:val="3"/>
            <w:tcBorders>
              <w:top w:val="single" w:sz="8" w:space="0" w:color="616161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Financial services</w:t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24242"/>
                <w:sz w:val="14"/>
              </w:rPr>
            </w:pPr>
            <w:r>
              <w:rPr>
                <w:rFonts w:ascii="Encode Sans;sans-serif" w:hAnsi="Encode Sans;sans-serif"/>
                <w:b/>
                <w:color w:val="424242"/>
                <w:sz w:val="14"/>
              </w:rPr>
              <w:t>Profit/(loss) before taxes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1,038</w:t>
            </w:r>
            <w:r>
              <w:rPr>
                <w:color w:val="4C639D"/>
              </w:rPr>
              <w:t>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990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254</w:t>
            </w:r>
            <w:r>
              <w:rPr>
                <w:color w:val="4C639D"/>
              </w:rPr>
              <w:t> </w:t>
            </w:r>
          </w:p>
        </w:tc>
        <w:tc>
          <w:tcPr>
            <w:tcW w:w="28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(2,870)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(2,778)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262</w:t>
            </w:r>
            <w:r>
              <w:rPr>
                <w:color w:val="4C639D"/>
              </w:rPr>
              <w:t>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8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4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Adjustments for non-cash items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>
              <w:top w:val="single" w:sz="2" w:space="0" w:color="828282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>
              <w:top w:val="single" w:sz="2" w:space="0" w:color="828282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gridSpan w:val="3"/>
            <w:tcBorders>
              <w:top w:val="single" w:sz="2" w:space="0" w:color="828282"/>
            </w:tcBorders>
            <w:shd w:fill="D9DEEC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>
              <w:top w:val="single" w:sz="2" w:space="0" w:color="999999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>
              <w:top w:val="single" w:sz="2" w:space="0" w:color="999999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5" w:type="dxa"/>
            <w:gridSpan w:val="3"/>
            <w:tcBorders>
              <w:top w:val="single" w:sz="2" w:space="0" w:color="999999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3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3"/>
              </w:rPr>
              <w:t>depreciation and amortization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3,164 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3,142 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22 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3,582 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3,557 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25 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3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3"/>
              </w:rPr>
              <w:t>other non-cash items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794 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649 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145 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2,155 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2,030 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125 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3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3"/>
              </w:rPr>
              <w:t>(gains)/losses on disposals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(51)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(51)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154 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154 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3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3"/>
              </w:rPr>
              <w:t>share of the (profit)/loss of equity method investees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(143)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(186)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(163)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433 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254 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(175)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 in provisions and employee benefits liabilities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(1,985)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(1,990)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5 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(833)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(835)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Net change in receivables related to financial services activities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(3,048)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(3,048)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(1,738)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(1,738)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8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 in carrying amount of leased vehicles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(2,076)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328 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(2,404)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(2,824)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291 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(3,115)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8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Dividends received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185 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295 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110 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227 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208 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169 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Income tax received/(paid), net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165 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204 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(39)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80 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(168)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248 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 in working capital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(930)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(824)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(106)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(653)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(603)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(50)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Net cash from/(used in) operating activities of discontinued operations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2" w:space="0" w:color="999999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Net cash from/(used in) operating activities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(2,887)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2,557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(5,224)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(2,287)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2,110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(4,247)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Proceeds from disposals of shares in consolidated companies and of investments in non-consolidated companies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20 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(27)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47 </w:t>
            </w:r>
          </w:p>
        </w:tc>
        <w:tc>
          <w:tcPr>
            <w:tcW w:w="28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389 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314 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75 </w:t>
            </w:r>
          </w:p>
        </w:tc>
        <w:tc>
          <w:tcPr>
            <w:tcW w:w="53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Acquisitions of consolidated subsidiaries and equity method investments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(258)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(424)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(29)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(247)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(480)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(65)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Proceeds from disposals of property, plant and equipment and intangible 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22 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22 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150 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150 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Investments in property, plant and equipment and intangible 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(2,744)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(2,720)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(24)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(4,447)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(4,425)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(22)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 in amounts payable on property, plant and equipment and intangible assets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(346)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(346)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(711)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(711)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Changes in loans to joint ventures and associates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(173)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(173)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275 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275 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 in securities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462 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490 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(28)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2,444 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2,452 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(8)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Other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9 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(8)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Net cash from/(used in) investing activities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(3,020)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(3,180)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(35)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(2,146)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(2,416)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(28)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Distributions paid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(2)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(2)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(220)</w:t>
            </w:r>
          </w:p>
        </w:tc>
        <w:tc>
          <w:tcPr>
            <w:tcW w:w="28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(1,962)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(1,962)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(150)</w:t>
            </w:r>
          </w:p>
        </w:tc>
        <w:tc>
          <w:tcPr>
            <w:tcW w:w="53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Proceeds from issuance of shares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14 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14 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195 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298 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(Purchases)/sales of treasury shares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Changes in debt and other financial assets and liabilities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4,184 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(1,568)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5,752 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3,899 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(307)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4,206 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Issuance/(repayment) of perpetual notes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4,927 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4,927 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Coupon paid on perpetual notes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(35)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(35)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Other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(39)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(39)</w:t>
            </w:r>
          </w:p>
        </w:tc>
        <w:tc>
          <w:tcPr>
            <w:tcW w:w="300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Net cash from/(used in) financing activities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9,049</w:t>
            </w:r>
            <w:r>
              <w:rPr>
                <w:color w:val="4C639D"/>
              </w:rPr>
              <w:t>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3,297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5,727</w:t>
            </w:r>
            <w:r>
              <w:rPr>
                <w:color w:val="4C639D"/>
              </w:rPr>
              <w:t>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1,937</w:t>
            </w:r>
            <w:r>
              <w:rPr>
                <w:color w:val="4C639D"/>
              </w:rPr>
              <w:t>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(2,269)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4,354</w:t>
            </w:r>
            <w:r>
              <w:rPr>
                <w:color w:val="4C639D"/>
              </w:rPr>
              <w:t> 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Effect of changes in exchange rates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413 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349 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64 </w:t>
            </w:r>
          </w:p>
        </w:tc>
        <w:tc>
          <w:tcPr>
            <w:tcW w:w="28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(1,236)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(1,165)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(71)</w:t>
            </w:r>
          </w:p>
        </w:tc>
        <w:tc>
          <w:tcPr>
            <w:tcW w:w="53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Less: increase/(decrease) in cash and cash equivalents included in asset held for sale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(4)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(4)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color w:val="4C639D"/>
              </w:rPr>
            </w:pPr>
            <w:r>
              <w:rPr>
                <w:color w:val="4C639D"/>
              </w:rPr>
              <w:t>—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292 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295 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(3)</w:t>
            </w:r>
          </w:p>
        </w:tc>
        <w:tc>
          <w:tcPr>
            <w:tcW w:w="536" w:type="dxa"/>
            <w:tcBorders>
              <w:top w:val="single" w:sz="2" w:space="0" w:color="828282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Increase/(decrease) in cash and cash equivalents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3,551</w:t>
            </w:r>
            <w:r>
              <w:rPr>
                <w:color w:val="4C639D"/>
              </w:rPr>
              <w:t> </w:t>
            </w:r>
          </w:p>
        </w:tc>
        <w:tc>
          <w:tcPr>
            <w:tcW w:w="266" w:type="dxa"/>
            <w:tcBorders>
              <w:top w:val="single" w:sz="2" w:space="0" w:color="828282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3,019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532</w:t>
            </w:r>
            <w:r>
              <w:rPr>
                <w:color w:val="4C639D"/>
              </w:rPr>
              <w:t> </w:t>
            </w:r>
          </w:p>
        </w:tc>
        <w:tc>
          <w:tcPr>
            <w:tcW w:w="286" w:type="dxa"/>
            <w:tcBorders>
              <w:top w:val="single" w:sz="2" w:space="0" w:color="999999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(3,440)</w:t>
            </w:r>
          </w:p>
        </w:tc>
        <w:tc>
          <w:tcPr>
            <w:tcW w:w="26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Century Gothic;sans-serif" w:hAnsi="Century Gothic;sans-serif"/>
                <w:b/>
                <w:color w:val="4C639D"/>
                <w:sz w:val="14"/>
              </w:rPr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(3,445)</w:t>
            </w:r>
          </w:p>
        </w:tc>
        <w:tc>
          <w:tcPr>
            <w:tcW w:w="300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5</w:t>
            </w:r>
            <w:r>
              <w:rPr>
                <w:color w:val="4C639D"/>
              </w:rPr>
              <w:t> </w:t>
            </w:r>
          </w:p>
        </w:tc>
        <w:tc>
          <w:tcPr>
            <w:tcW w:w="536" w:type="dxa"/>
            <w:tcBorders>
              <w:top w:val="single" w:sz="2" w:space="0" w:color="999999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 w:val="false"/>
                <w:color w:val="000000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000000"/>
                <w:sz w:val="14"/>
              </w:rPr>
              <w:t>Net cash and cash equivalents at beginning of period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30,146 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28,198 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1,948 </w:t>
            </w:r>
          </w:p>
        </w:tc>
        <w:tc>
          <w:tcPr>
            <w:tcW w:w="286" w:type="dxa"/>
            <w:tcBorders>
              <w:top w:val="single" w:sz="8" w:space="0" w:color="4C639D"/>
            </w:tcBorders>
            <w:shd w:fill="D9DEEC" w:val="clear"/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34,100 </w:t>
            </w:r>
          </w:p>
        </w:tc>
        <w:tc>
          <w:tcPr>
            <w:tcW w:w="26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32,409 </w:t>
            </w:r>
          </w:p>
        </w:tc>
        <w:tc>
          <w:tcPr>
            <w:tcW w:w="300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Encode Sans;sans-serif" w:hAnsi="Encode Sans;sans-serif"/>
                <w:b w:val="false"/>
                <w:color w:val="4C639D"/>
                <w:sz w:val="14"/>
              </w:rPr>
            </w:pPr>
            <w:r>
              <w:rPr>
                <w:rFonts w:ascii="Encode Sans;sans-serif" w:hAnsi="Encode Sans;sans-serif"/>
                <w:b w:val="false"/>
                <w:color w:val="4C639D"/>
                <w:sz w:val="14"/>
              </w:rPr>
              <w:t>1,691 </w:t>
            </w:r>
          </w:p>
        </w:tc>
        <w:tc>
          <w:tcPr>
            <w:tcW w:w="536" w:type="dxa"/>
            <w:tcBorders>
              <w:top w:val="single" w:sz="8" w:space="0" w:color="4C639D"/>
            </w:tcBorders>
            <w:tcMar>
              <w:top w:w="52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6" w:type="dxa"/>
            <w:gridSpan w:val="3"/>
            <w:tcBorders>
              <w:top w:val="single" w:sz="4" w:space="0" w:color="999999"/>
              <w:bottom w:val="single" w:sz="12" w:space="0" w:color="45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ncode Sans;sans-serif" w:hAnsi="Encode Sans;sans-serif"/>
                <w:b/>
                <w:color w:val="4C639D"/>
                <w:sz w:val="14"/>
              </w:rPr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NET CASH AND CASH EQUIVALENTS AT END OF PERIOD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828282"/>
              <w:bottom w:val="single" w:sz="8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33,697</w:t>
            </w:r>
            <w:r>
              <w:rPr>
                <w:color w:val="4C639D"/>
              </w:rPr>
              <w:t> </w:t>
            </w:r>
          </w:p>
        </w:tc>
        <w:tc>
          <w:tcPr>
            <w:tcW w:w="266" w:type="dxa"/>
            <w:tcBorders>
              <w:top w:val="single" w:sz="2" w:space="0" w:color="828282"/>
              <w:bottom w:val="single" w:sz="8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  <w:bottom w:val="single" w:sz="8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31,217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999999"/>
              <w:bottom w:val="single" w:sz="8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gridSpan w:val="2"/>
            <w:tcBorders>
              <w:top w:val="single" w:sz="2" w:space="0" w:color="999999"/>
              <w:bottom w:val="single" w:sz="8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Encode Sans;sans-serif" w:hAnsi="Encode Sans;sans-serif"/>
                <w:b/>
                <w:color w:val="4C639D"/>
                <w:sz w:val="14"/>
              </w:rPr>
              <w:t>2,480</w:t>
            </w:r>
            <w:r>
              <w:rPr>
                <w:color w:val="4C639D"/>
              </w:rPr>
              <w:t> </w:t>
            </w:r>
          </w:p>
        </w:tc>
        <w:tc>
          <w:tcPr>
            <w:tcW w:w="286" w:type="dxa"/>
            <w:tcBorders>
              <w:top w:val="single" w:sz="2" w:space="0" w:color="999999"/>
              <w:bottom w:val="single" w:sz="8" w:space="0" w:color="4C639D"/>
            </w:tcBorders>
            <w:shd w:fill="D9DEEC" w:val="clear"/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gridSpan w:val="2"/>
            <w:tcBorders>
              <w:top w:val="single" w:sz="2" w:space="0" w:color="999999"/>
              <w:bottom w:val="single" w:sz="8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30,660</w:t>
            </w:r>
            <w:r>
              <w:rPr>
                <w:color w:val="4C639D"/>
              </w:rPr>
              <w:t> </w:t>
            </w:r>
          </w:p>
        </w:tc>
        <w:tc>
          <w:tcPr>
            <w:tcW w:w="266" w:type="dxa"/>
            <w:tcBorders>
              <w:top w:val="single" w:sz="2" w:space="0" w:color="999999"/>
              <w:bottom w:val="single" w:sz="8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0" w:type="dxa"/>
            <w:gridSpan w:val="2"/>
            <w:tcBorders>
              <w:top w:val="single" w:sz="2" w:space="0" w:color="999999"/>
              <w:bottom w:val="single" w:sz="8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28,964</w:t>
            </w:r>
            <w:r>
              <w:rPr>
                <w:color w:val="4C639D"/>
              </w:rPr>
              <w:t> </w:t>
            </w:r>
          </w:p>
        </w:tc>
        <w:tc>
          <w:tcPr>
            <w:tcW w:w="300" w:type="dxa"/>
            <w:tcBorders>
              <w:top w:val="single" w:sz="2" w:space="0" w:color="999999"/>
              <w:bottom w:val="single" w:sz="8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9" w:type="dxa"/>
            <w:gridSpan w:val="2"/>
            <w:tcBorders>
              <w:top w:val="single" w:sz="2" w:space="0" w:color="999999"/>
              <w:bottom w:val="single" w:sz="8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/>
            </w:pPr>
            <w:r>
              <w:rPr>
                <w:rFonts w:ascii="Century Gothic;sans-serif" w:hAnsi="Century Gothic;sans-serif"/>
                <w:b/>
                <w:color w:val="4C639D"/>
                <w:sz w:val="14"/>
              </w:rPr>
              <w:t>1,696</w:t>
            </w:r>
            <w:r>
              <w:rPr>
                <w:color w:val="4C639D"/>
              </w:rPr>
              <w:t> </w:t>
            </w:r>
          </w:p>
        </w:tc>
        <w:tc>
          <w:tcPr>
            <w:tcW w:w="536" w:type="dxa"/>
            <w:tcBorders>
              <w:top w:val="single" w:sz="2" w:space="0" w:color="999999"/>
              <w:bottom w:val="single" w:sz="8" w:space="0" w:color="4C639D"/>
            </w:tcBorders>
            <w:tcMar>
              <w:top w:w="52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/>
        <w:jc w:val="left"/>
        <w:rPr>
          <w:rFonts w:ascii="Encode Sans;sans-serif" w:hAnsi="Encode Sans;sans-serif"/>
          <w:b w:val="false"/>
          <w:i/>
          <w:color w:val="000000"/>
          <w:sz w:val="14"/>
        </w:rPr>
      </w:pPr>
      <w:r>
        <w:rPr>
          <w:rFonts w:ascii="Encode Sans;sans-serif" w:hAnsi="Encode Sans;sans-serif"/>
          <w:b w:val="false"/>
          <w:i/>
          <w:color w:val="000000"/>
          <w:sz w:val="14"/>
        </w:rPr>
        <w:t>Figures presented for Industrial activities and Financial services include intersegment transactions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2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Encode Sans">
    <w:altName w:val="sans-serif"/>
    <w:charset w:val="01"/>
    <w:family w:val="auto"/>
    <w:pitch w:val="default"/>
  </w:font>
  <w:font w:name="Century Gothic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1365</Words>
  <Characters>7759</Characters>
  <CharactersWithSpaces>8923</CharactersWithSpaces>
  <Paragraphs>716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