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5.jpeg" ContentType="image/jpeg"/>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12.jpeg" ContentType="image/jpeg"/>
  <Override PartName="/word/media/image10.jpeg" ContentType="image/jpeg"/>
  <Override PartName="/word/media/image8.jpeg" ContentType="image/jpeg"/>
  <Override PartName="/word/media/image1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7"/>
        </w:rPr>
      </w:pPr>
      <w:r>
        <w:rPr>
          <w:rFonts w:ascii="Times New Roman;serif" w:hAnsi="Times New Roman;serif"/>
          <w:b/>
          <w:color w:val="000000"/>
          <w:sz w:val="27"/>
        </w:rPr>
        <w:t>UNITED STATES</w:t>
      </w:r>
    </w:p>
    <w:p>
      <w:pPr>
        <w:pStyle w:val="TextBody"/>
        <w:bidi w:val="0"/>
        <w:spacing w:lineRule="auto" w:line="288" w:before="0" w:after="0"/>
        <w:jc w:val="center"/>
        <w:rPr/>
      </w:pPr>
      <w:r>
        <w:rPr>
          <w:rFonts w:ascii="Times New Roman;serif" w:hAnsi="Times New Roman;serif"/>
          <w:b/>
          <w:color w:val="000000"/>
          <w:sz w:val="27"/>
        </w:rPr>
        <w:t>SECURITIES AND EXCHANGE COMMISSION</w:t>
      </w:r>
      <w:r>
        <w:rPr>
          <w:color w:val="000000"/>
        </w:rPr>
        <w:t xml:space="preserve"> </w:t>
      </w:r>
    </w:p>
    <w:p>
      <w:pPr>
        <w:pStyle w:val="TextBody"/>
        <w:bidi w:val="0"/>
        <w:spacing w:lineRule="auto" w:line="288" w:before="0" w:after="0"/>
        <w:jc w:val="center"/>
        <w:rPr>
          <w:rFonts w:ascii="Times New Roman;serif" w:hAnsi="Times New Roman;serif"/>
          <w:b/>
          <w:color w:val="000000"/>
          <w:sz w:val="23"/>
        </w:rPr>
      </w:pPr>
      <w:r>
        <w:rPr>
          <w:rFonts w:ascii="Times New Roman;serif" w:hAnsi="Times New Roman;serif"/>
          <w:b/>
          <w:color w:val="000000"/>
          <w:sz w:val="23"/>
        </w:rPr>
        <w:t>Washington, D.C. 20549</w:t>
      </w:r>
    </w:p>
    <w:p>
      <w:pPr>
        <w:pStyle w:val="TextBody"/>
        <w:bidi w:val="0"/>
        <w:spacing w:lineRule="auto" w:line="288" w:before="0" w:after="120"/>
        <w:jc w:val="center"/>
        <w:rPr>
          <w:rFonts w:ascii="Times New Roman;serif" w:hAnsi="Times New Roman;serif"/>
          <w:b/>
          <w:color w:val="000000"/>
          <w:sz w:val="16"/>
        </w:rPr>
      </w:pPr>
      <w:r>
        <w:rPr>
          <w:rFonts w:ascii="Times New Roman;serif" w:hAnsi="Times New Roman;serif"/>
          <w:b/>
          <w:color w:val="000000"/>
          <w:sz w:val="16"/>
        </w:rPr>
        <w:t>_______________________________</w:t>
      </w:r>
    </w:p>
    <w:p>
      <w:pPr>
        <w:pStyle w:val="TextBody"/>
        <w:bidi w:val="0"/>
        <w:spacing w:lineRule="auto" w:line="288" w:before="240" w:after="120"/>
        <w:jc w:val="center"/>
        <w:rPr>
          <w:rFonts w:ascii="Times New Roman;serif" w:hAnsi="Times New Roman;serif"/>
          <w:b/>
          <w:color w:val="000000"/>
          <w:sz w:val="27"/>
        </w:rPr>
      </w:pPr>
      <w:r>
        <w:rPr>
          <w:rFonts w:ascii="Times New Roman;serif" w:hAnsi="Times New Roman;serif"/>
          <w:b/>
          <w:color w:val="000000"/>
          <w:sz w:val="27"/>
        </w:rPr>
        <w:t>FORM 6-K</w:t>
      </w:r>
    </w:p>
    <w:p>
      <w:pPr>
        <w:pStyle w:val="TextBody"/>
        <w:bidi w:val="0"/>
        <w:spacing w:lineRule="auto" w:line="288" w:before="0" w:after="120"/>
        <w:jc w:val="center"/>
        <w:rPr>
          <w:rFonts w:ascii="Times New Roman;serif" w:hAnsi="Times New Roman;serif"/>
          <w:b/>
          <w:color w:val="000000"/>
          <w:sz w:val="16"/>
        </w:rPr>
      </w:pPr>
      <w:r>
        <w:rPr>
          <w:rFonts w:ascii="Times New Roman;serif" w:hAnsi="Times New Roman;serif"/>
          <w:b/>
          <w:color w:val="000000"/>
          <w:sz w:val="16"/>
        </w:rPr>
        <w:t>_______________________________</w:t>
      </w:r>
    </w:p>
    <w:p>
      <w:pPr>
        <w:pStyle w:val="TextBody"/>
        <w:bidi w:val="0"/>
        <w:spacing w:lineRule="auto" w:line="288" w:before="0" w:after="0"/>
        <w:jc w:val="center"/>
        <w:rPr>
          <w:rFonts w:ascii="Times New Roman;serif" w:hAnsi="Times New Roman;serif"/>
          <w:b/>
          <w:color w:val="000000"/>
          <w:sz w:val="27"/>
        </w:rPr>
      </w:pPr>
      <w:r>
        <w:rPr>
          <w:rFonts w:ascii="Times New Roman;serif" w:hAnsi="Times New Roman;serif"/>
          <w:b/>
          <w:color w:val="000000"/>
          <w:sz w:val="27"/>
        </w:rPr>
        <w:t xml:space="preserve">REPORT OF FOREIGN PRIVATE ISSUER </w:t>
      </w:r>
    </w:p>
    <w:p>
      <w:pPr>
        <w:pStyle w:val="TextBody"/>
        <w:bidi w:val="0"/>
        <w:spacing w:lineRule="auto" w:line="288" w:before="0" w:after="0"/>
        <w:jc w:val="center"/>
        <w:rPr>
          <w:rFonts w:ascii="Times New Roman;serif" w:hAnsi="Times New Roman;serif"/>
          <w:b/>
          <w:color w:val="000000"/>
          <w:sz w:val="27"/>
        </w:rPr>
      </w:pPr>
      <w:r>
        <w:rPr>
          <w:rFonts w:ascii="Times New Roman;serif" w:hAnsi="Times New Roman;serif"/>
          <w:b/>
          <w:color w:val="000000"/>
          <w:sz w:val="27"/>
        </w:rPr>
        <w:t xml:space="preserve">PURSUANT TO RULE 13a-16 OR 15d-16 OF </w:t>
      </w:r>
    </w:p>
    <w:p>
      <w:pPr>
        <w:pStyle w:val="TextBody"/>
        <w:bidi w:val="0"/>
        <w:spacing w:lineRule="auto" w:line="288" w:before="0" w:after="0"/>
        <w:jc w:val="center"/>
        <w:rPr>
          <w:rFonts w:ascii="Times New Roman;serif" w:hAnsi="Times New Roman;serif"/>
          <w:b/>
          <w:color w:val="000000"/>
          <w:sz w:val="27"/>
        </w:rPr>
      </w:pPr>
      <w:r>
        <w:rPr>
          <w:rFonts w:ascii="Times New Roman;serif" w:hAnsi="Times New Roman;serif"/>
          <w:b/>
          <w:color w:val="000000"/>
          <w:sz w:val="27"/>
        </w:rPr>
        <w:t>THE SECURITIES EXCHANGE ACT OF 1934</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For the month of July 2026</w:t>
      </w:r>
    </w:p>
    <w:p>
      <w:pPr>
        <w:pStyle w:val="TextBody"/>
        <w:bidi w:val="0"/>
        <w:spacing w:lineRule="auto" w:line="288" w:before="0" w:after="120"/>
        <w:jc w:val="center"/>
        <w:rPr>
          <w:rFonts w:ascii="Times New Roman;serif" w:hAnsi="Times New Roman;serif"/>
          <w:b/>
          <w:color w:val="000000"/>
          <w:sz w:val="18"/>
        </w:rPr>
      </w:pPr>
      <w:r>
        <w:rPr>
          <w:rFonts w:ascii="Times New Roman;serif" w:hAnsi="Times New Roman;serif"/>
          <w:b/>
          <w:color w:val="000000"/>
          <w:sz w:val="18"/>
        </w:rPr>
        <w:t>Commission File No. 001-36675</w:t>
      </w:r>
    </w:p>
    <w:p>
      <w:pPr>
        <w:pStyle w:val="TextBody"/>
        <w:bidi w:val="0"/>
        <w:spacing w:lineRule="auto" w:line="288" w:before="0" w:after="120"/>
        <w:jc w:val="center"/>
        <w:rPr>
          <w:rFonts w:ascii="Times New Roman;serif" w:hAnsi="Times New Roman;serif"/>
          <w:b/>
          <w:color w:val="000000"/>
          <w:sz w:val="16"/>
        </w:rPr>
      </w:pPr>
      <w:r>
        <w:rPr>
          <w:rFonts w:ascii="Times New Roman;serif" w:hAnsi="Times New Roman;serif"/>
          <w:b/>
          <w:color w:val="000000"/>
          <w:sz w:val="16"/>
        </w:rPr>
        <w:t>_______________________________</w:t>
      </w:r>
    </w:p>
    <w:p>
      <w:pPr>
        <w:pStyle w:val="TextBody"/>
        <w:bidi w:val="0"/>
        <w:spacing w:lineRule="auto" w:line="259" w:before="0" w:after="0"/>
        <w:jc w:val="center"/>
        <w:rPr>
          <w:rFonts w:ascii="Times New Roman;serif" w:hAnsi="Times New Roman;serif"/>
          <w:b/>
          <w:color w:val="000000"/>
          <w:sz w:val="36"/>
        </w:rPr>
      </w:pPr>
      <w:r>
        <w:rPr>
          <w:rFonts w:ascii="Times New Roman;serif" w:hAnsi="Times New Roman;serif"/>
          <w:b/>
          <w:color w:val="000000"/>
          <w:sz w:val="36"/>
        </w:rPr>
        <w:t xml:space="preserve">STELLANTIS N.V.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(Translation of Registrant’s Name Into English)</w:t>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color w:val="000000"/>
          <w:sz w:val="16"/>
        </w:rPr>
      </w:pPr>
      <w:r>
        <w:rPr>
          <w:rFonts w:ascii="Times New Roman;serif" w:hAnsi="Times New Roman;serif"/>
          <w:b/>
          <w:color w:val="000000"/>
          <w:sz w:val="16"/>
        </w:rPr>
        <w:t>_______________________________</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Taurusavenue 1</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2132 LS Hoofddorp</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The Netherlands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Tel. No.: +31 23 700 1511</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(Address of Principal Executive Offices)</w:t>
      </w:r>
    </w:p>
    <w:p>
      <w:pPr>
        <w:pStyle w:val="TextBody"/>
        <w:bidi w:val="0"/>
        <w:spacing w:lineRule="auto" w:line="288" w:before="0" w:after="120"/>
        <w:jc w:val="center"/>
        <w:rPr>
          <w:rFonts w:ascii="Times New Roman;serif" w:hAnsi="Times New Roman;serif"/>
          <w:b/>
          <w:color w:val="000000"/>
          <w:sz w:val="16"/>
        </w:rPr>
      </w:pPr>
      <w:r>
        <w:rPr>
          <w:rFonts w:ascii="Times New Roman;serif" w:hAnsi="Times New Roman;serif"/>
          <w:b/>
          <w:color w:val="000000"/>
          <w:sz w:val="16"/>
        </w:rPr>
        <w:t>_______________________________</w:t>
      </w:r>
    </w:p>
    <w:p>
      <w:pPr>
        <w:pStyle w:val="TextBody"/>
        <w:bidi w:val="0"/>
        <w:spacing w:before="0" w:after="120"/>
        <w:jc w:val="center"/>
        <w:rPr/>
      </w:pPr>
      <w:r>
        <w:rPr/>
      </w:r>
    </w:p>
    <w:p>
      <w:pPr>
        <w:pStyle w:val="TextBody"/>
        <w:bidi w:val="0"/>
        <w:spacing w:lineRule="auto" w:line="288" w:before="240" w:after="120"/>
        <w:jc w:val="center"/>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files or will file annual reports under cover of Form 20-F or Form 40-F.</w:t>
      </w:r>
    </w:p>
    <w:p>
      <w:pPr>
        <w:pStyle w:val="TextBody"/>
        <w:bidi w:val="0"/>
        <w:spacing w:lineRule="auto" w:line="288" w:before="240" w:after="120"/>
        <w:jc w:val="center"/>
        <w:rPr/>
      </w:pPr>
      <w:r>
        <w:rPr>
          <w:rFonts w:ascii="Times New Roman;serif" w:hAnsi="Times New Roman;serif"/>
          <w:b w:val="false"/>
          <w:color w:val="000000"/>
          <w:sz w:val="18"/>
        </w:rPr>
        <w:t xml:space="preserve">Form 20-F </w:t>
      </w:r>
      <w:r>
        <w:rPr>
          <w:rFonts w:ascii="Wingdings;sans-serif" w:hAnsi="Wingdings;sans-serif"/>
          <w:b w:val="false"/>
          <w:color w:val="000000"/>
          <w:sz w:val="16"/>
        </w:rPr>
        <w:t>x</w:t>
      </w:r>
      <w:r>
        <w:rPr>
          <w:color w:val="000000"/>
        </w:rPr>
        <w:t xml:space="preserve"> </w:t>
      </w:r>
      <w:r>
        <w:rPr>
          <w:rFonts w:ascii="Times New Roman;serif" w:hAnsi="Times New Roman;serif"/>
          <w:b w:val="false"/>
          <w:color w:val="000000"/>
          <w:sz w:val="18"/>
        </w:rPr>
        <w:t xml:space="preserve">Form 40-F </w:t>
      </w:r>
      <w:r>
        <w:rPr>
          <w:rFonts w:ascii="Wingdings;sans-serif" w:hAnsi="Wingdings;sans-serif"/>
          <w:b w:val="false"/>
          <w:color w:val="000000"/>
          <w:sz w:val="16"/>
        </w:rPr>
        <w:t>o</w:t>
      </w:r>
    </w:p>
    <w:p>
      <w:pPr>
        <w:pStyle w:val="TextBody"/>
        <w:bidi w:val="0"/>
        <w:spacing w:lineRule="auto" w:line="288" w:before="240" w:after="120"/>
        <w:jc w:val="center"/>
        <w:rPr/>
      </w:pPr>
      <w:r>
        <w:rPr>
          <w:rFonts w:ascii="Times New Roman;serif" w:hAnsi="Times New Roman;serif"/>
          <w:b w:val="false"/>
          <w:color w:val="000000"/>
          <w:sz w:val="18"/>
        </w:rPr>
        <w:t xml:space="preserve">Indicate by check mark if the registrant is submitting the Form 6-K in paper as permitted by Regulation S-T Rule101(b)(1): </w:t>
      </w:r>
      <w:r>
        <w:rPr>
          <w:rFonts w:ascii="Wingdings;sans-serif" w:hAnsi="Wingdings;sans-serif"/>
          <w:b w:val="false"/>
          <w:color w:val="000000"/>
          <w:sz w:val="16"/>
        </w:rPr>
        <w:t>o</w:t>
      </w:r>
    </w:p>
    <w:p>
      <w:pPr>
        <w:pStyle w:val="TextBody"/>
        <w:bidi w:val="0"/>
        <w:spacing w:lineRule="auto" w:line="288" w:before="240" w:after="120"/>
        <w:jc w:val="center"/>
        <w:rPr/>
      </w:pPr>
      <w:r>
        <w:rPr>
          <w:rFonts w:ascii="Times New Roman;serif" w:hAnsi="Times New Roman;serif"/>
          <w:b w:val="false"/>
          <w:color w:val="000000"/>
          <w:sz w:val="18"/>
        </w:rPr>
        <w:t xml:space="preserve">Indicate by check mark if the registrant is submitting the Form 6-K in paper as permitted by Regulation S-T Rule101(b)(7): </w:t>
      </w:r>
      <w:r>
        <w:rPr>
          <w:rFonts w:ascii="Wingdings;sans-serif" w:hAnsi="Wingdings;sans-serif"/>
          <w:b w:val="false"/>
          <w:color w:val="000000"/>
          <w:sz w:val="16"/>
        </w:rPr>
        <w:t>o</w:t>
      </w:r>
    </w:p>
    <w:p>
      <w:pPr>
        <w:pStyle w:val="TextBody"/>
        <w:bidi w:val="0"/>
        <w:spacing w:before="240" w:after="120"/>
        <w:jc w:val="center"/>
        <w:rPr/>
      </w:pPr>
      <w:r>
        <w:rPr/>
      </w:r>
    </w:p>
    <w:p>
      <w:pPr>
        <w:pStyle w:val="TextBody"/>
        <w:bidi w:val="0"/>
        <w:spacing w:before="240" w:after="120"/>
        <w:jc w:val="center"/>
        <w:rPr/>
      </w:pPr>
      <w:r>
        <w:rPr/>
      </w:r>
    </w:p>
    <w:p>
      <w:pPr>
        <w:pStyle w:val="TextBody"/>
        <w:bidi w:val="0"/>
        <w:spacing w:before="240" w:after="120"/>
        <w:jc w:val="center"/>
        <w:rPr/>
      </w:pPr>
      <w:r>
        <w:rPr/>
      </w:r>
    </w:p>
    <w:p>
      <w:pPr>
        <w:pStyle w:val="TextBody"/>
        <w:bidi w:val="0"/>
        <w:spacing w:before="240" w:after="120"/>
        <w:jc w:val="center"/>
        <w:rPr/>
      </w:pPr>
      <w:r>
        <w:rPr/>
      </w:r>
    </w:p>
    <w:p>
      <w:pPr>
        <w:pStyle w:val="TextBody"/>
        <w:bidi w:val="0"/>
        <w:spacing w:before="240" w:after="120"/>
        <w:jc w:val="center"/>
        <w:rPr/>
      </w:pPr>
      <w:r>
        <w:rPr/>
      </w:r>
    </w:p>
    <w:p>
      <w:pPr>
        <w:pStyle w:val="TextBody"/>
        <w:bidi w:val="0"/>
        <w:spacing w:before="240" w:after="120"/>
        <w:jc w:val="center"/>
        <w:rPr/>
      </w:pPr>
      <w:r>
        <w:rPr/>
      </w:r>
    </w:p>
    <w:p>
      <w:pPr>
        <w:pStyle w:val="TextBody"/>
        <w:bidi w:val="0"/>
        <w:spacing w:before="240" w:after="120"/>
        <w:jc w:val="center"/>
        <w:rPr/>
      </w:pPr>
      <w:r>
        <w:rPr/>
      </w:r>
    </w:p>
    <w:p>
      <w:pPr>
        <w:pStyle w:val="TextBody"/>
        <w:bidi w:val="0"/>
        <w:spacing w:before="240" w:after="120"/>
        <w:jc w:val="center"/>
        <w:rPr/>
      </w:pPr>
      <w:r>
        <w:rPr/>
      </w:r>
    </w:p>
    <w:p>
      <w:pPr>
        <w:pStyle w:val="TextBody"/>
        <w:bidi w:val="0"/>
        <w:spacing w:before="240" w:after="120"/>
        <w:jc w:val="center"/>
        <w:rPr/>
      </w:pPr>
      <w:r>
        <w:rPr/>
      </w:r>
    </w:p>
    <w:p>
      <w:pPr>
        <w:pStyle w:val="TextBody"/>
        <w:bidi w:val="0"/>
        <w:spacing w:before="240" w:after="12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The following exhibit is furnished herewith:</w:t>
      </w:r>
    </w:p>
    <w:p>
      <w:pPr>
        <w:pStyle w:val="TextBody"/>
        <w:bidi w:val="0"/>
        <w:spacing w:lineRule="auto" w:line="288" w:before="0" w:after="0"/>
        <w:ind w:left="0" w:right="0" w:hanging="1305"/>
        <w:jc w:val="left"/>
        <w:rPr>
          <w:rFonts w:ascii="Times New Roman;serif" w:hAnsi="Times New Roman;serif"/>
          <w:b w:val="false"/>
          <w:color w:val="000000"/>
          <w:sz w:val="22"/>
        </w:rPr>
      </w:pPr>
      <w:r>
        <w:rPr>
          <w:rFonts w:ascii="Times New Roman;serif" w:hAnsi="Times New Roman;serif"/>
          <w:b w:val="false"/>
          <w:color w:val="000000"/>
          <w:sz w:val="22"/>
        </w:rPr>
        <w:t>Exhibit 99.1    Stellantis N.V. Interim Report as of and for the three and six months ended June 30, 2026</w:t>
      </w:r>
    </w:p>
    <w:p>
      <w:pPr>
        <w:pStyle w:val="TextBody"/>
        <w:bidi w:val="0"/>
        <w:spacing w:before="0" w:after="0"/>
        <w:ind w:left="0" w:right="0" w:hanging="1305"/>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345" w:before="0" w:after="240"/>
        <w:jc w:val="center"/>
        <w:rPr>
          <w:rFonts w:ascii="Times New Roman;serif" w:hAnsi="Times New Roman;serif"/>
          <w:b/>
          <w:color w:val="000000"/>
          <w:sz w:val="22"/>
        </w:rPr>
      </w:pPr>
      <w:r>
        <w:rPr>
          <w:rFonts w:ascii="Times New Roman;serif" w:hAnsi="Times New Roman;serif"/>
          <w:b/>
          <w:color w:val="000000"/>
          <w:sz w:val="22"/>
        </w:rPr>
        <w:t>SIGNATURE</w:t>
      </w:r>
    </w:p>
    <w:p>
      <w:pPr>
        <w:pStyle w:val="TextBody"/>
        <w:bidi w:val="0"/>
        <w:spacing w:lineRule="auto" w:line="345" w:before="0" w:after="240"/>
        <w:jc w:val="left"/>
        <w:rPr/>
      </w:pPr>
      <w:r>
        <w:rPr>
          <w:color w:val="000000"/>
        </w:rPr>
        <w:t>    </w:t>
      </w:r>
      <w:r>
        <w:rPr>
          <w:rFonts w:ascii="Times New Roman;serif" w:hAnsi="Times New Roman;serif"/>
          <w:b w:val="false"/>
          <w:color w:val="000000"/>
          <w:sz w:val="22"/>
        </w:rPr>
        <w:t>Pursuant to the requirements of the Securities Exchange Act of 1934, the registrant has duly caused this report to be signed on its behalf by the undersigned, thereunto duly authorized.</w:t>
      </w:r>
    </w:p>
    <w:p>
      <w:pPr>
        <w:pStyle w:val="TextBody"/>
        <w:bidi w:val="0"/>
        <w:spacing w:before="0" w:after="240"/>
        <w:jc w:val="left"/>
        <w:rPr/>
      </w:pPr>
      <w:r>
        <w:rPr/>
      </w:r>
    </w:p>
    <w:tbl>
      <w:tblPr>
        <w:tblW w:w="5429" w:type="dxa"/>
        <w:jc w:val="center"/>
        <w:tblInd w:w="0" w:type="dxa"/>
        <w:tblLayout w:type="fixed"/>
        <w:tblCellMar>
          <w:top w:w="28" w:type="dxa"/>
          <w:left w:w="28" w:type="dxa"/>
          <w:bottom w:w="28" w:type="dxa"/>
          <w:right w:w="28" w:type="dxa"/>
        </w:tblCellMar>
      </w:tblPr>
      <w:tblGrid>
        <w:gridCol w:w="711"/>
        <w:gridCol w:w="625"/>
        <w:gridCol w:w="628"/>
        <w:gridCol w:w="210"/>
        <w:gridCol w:w="210"/>
        <w:gridCol w:w="210"/>
        <w:gridCol w:w="441"/>
        <w:gridCol w:w="441"/>
        <w:gridCol w:w="441"/>
        <w:gridCol w:w="441"/>
        <w:gridCol w:w="441"/>
        <w:gridCol w:w="630"/>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Date: July 30, 2026</w:t>
            </w:r>
          </w:p>
        </w:tc>
        <w:tc>
          <w:tcPr>
            <w:tcW w:w="3465"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STELLANTIS N.V.</w:t>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2"/>
              </w:rPr>
            </w:pPr>
            <w:r>
              <w:rPr>
                <w:rFonts w:ascii="Times New Roman;serif" w:hAnsi="Times New Roman;serif"/>
                <w:b w:val="false"/>
                <w:color w:val="000000"/>
                <w:sz w:val="22"/>
              </w:rPr>
              <w:t>By:</w:t>
            </w:r>
          </w:p>
        </w:tc>
        <w:tc>
          <w:tcPr>
            <w:tcW w:w="2835"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both"/>
              <w:rPr>
                <w:rFonts w:ascii="Times New Roman;serif" w:hAnsi="Times New Roman;serif"/>
                <w:b w:val="false"/>
                <w:color w:val="000000"/>
                <w:sz w:val="22"/>
              </w:rPr>
            </w:pPr>
            <w:r>
              <w:rPr>
                <w:rFonts w:ascii="Times New Roman;serif" w:hAnsi="Times New Roman;serif"/>
                <w:b w:val="false"/>
                <w:color w:val="000000"/>
                <w:sz w:val="22"/>
              </w:rPr>
              <w:t>/s/ Joao Laranjo</w:t>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Name: Joao Laranjo</w:t>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6"/>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2"/>
              </w:rPr>
            </w:pPr>
            <w:r>
              <w:rPr>
                <w:rFonts w:ascii="Times New Roman;serif" w:hAnsi="Times New Roman;serif"/>
                <w:b w:val="false"/>
                <w:color w:val="000000"/>
                <w:sz w:val="22"/>
              </w:rPr>
              <w:t>Title: Chief Financial Officer</w:t>
            </w:r>
          </w:p>
        </w:tc>
      </w:tr>
    </w:tbl>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45" w:before="0" w:after="240"/>
        <w:jc w:val="center"/>
        <w:rPr>
          <w:rFonts w:ascii="Times New Roman;serif" w:hAnsi="Times New Roman;serif"/>
          <w:b/>
          <w:color w:val="000000"/>
          <w:sz w:val="22"/>
        </w:rPr>
      </w:pPr>
      <w:r>
        <w:rPr>
          <w:rFonts w:ascii="Times New Roman;serif" w:hAnsi="Times New Roman;serif"/>
          <w:b/>
          <w:color w:val="000000"/>
          <w:sz w:val="22"/>
        </w:rPr>
        <w:t>Index of Exhibits</w:t>
      </w:r>
    </w:p>
    <w:p>
      <w:pPr>
        <w:pStyle w:val="TextBody"/>
        <w:bidi w:val="0"/>
        <w:spacing w:before="0" w:after="24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Exhibit</w:t>
      </w:r>
    </w:p>
    <w:p>
      <w:pPr>
        <w:pStyle w:val="TextBody"/>
        <w:bidi w:val="0"/>
        <w:spacing w:lineRule="auto" w:line="288" w:before="0" w:after="0"/>
        <w:jc w:val="left"/>
        <w:rPr/>
      </w:pPr>
      <w:r>
        <w:rPr>
          <w:rFonts w:ascii="Times New Roman;serif" w:hAnsi="Times New Roman;serif"/>
          <w:b w:val="false"/>
          <w:color w:val="000000"/>
          <w:sz w:val="22"/>
          <w:u w:val="single"/>
        </w:rPr>
        <w:t>Number</w:t>
      </w:r>
      <w:r>
        <w:rPr>
          <w:color w:val="000000"/>
        </w:rPr>
        <w:t>    </w:t>
      </w:r>
      <w:r>
        <w:rPr>
          <w:rFonts w:ascii="Times New Roman;serif" w:hAnsi="Times New Roman;serif"/>
          <w:b w:val="false"/>
          <w:color w:val="000000"/>
          <w:sz w:val="22"/>
          <w:u w:val="single"/>
        </w:rPr>
        <w:t>Description of Exhibit</w:t>
      </w:r>
    </w:p>
    <w:p>
      <w:pPr>
        <w:pStyle w:val="TextBody"/>
        <w:bidi w:val="0"/>
        <w:spacing w:before="0" w:after="0"/>
        <w:ind w:left="0" w:right="0" w:hanging="945"/>
        <w:jc w:val="left"/>
        <w:rPr/>
      </w:pPr>
      <w:r>
        <w:rPr/>
      </w:r>
    </w:p>
    <w:p>
      <w:pPr>
        <w:pStyle w:val="TextBody"/>
        <w:bidi w:val="0"/>
        <w:spacing w:lineRule="auto" w:line="288" w:before="0" w:after="0"/>
        <w:ind w:left="0" w:right="0" w:hanging="945"/>
        <w:jc w:val="left"/>
        <w:rPr>
          <w:rFonts w:ascii="Times New Roman;serif" w:hAnsi="Times New Roman;serif"/>
          <w:b w:val="false"/>
          <w:color w:val="000000"/>
          <w:sz w:val="22"/>
        </w:rPr>
      </w:pPr>
      <w:r>
        <w:rPr>
          <w:rFonts w:ascii="Times New Roman;serif" w:hAnsi="Times New Roman;serif"/>
          <w:b w:val="false"/>
          <w:color w:val="000000"/>
          <w:sz w:val="22"/>
        </w:rPr>
        <w:t>99.1        Stellantis N.V. Interim Report as of and for the three and six months ended June 30, 2026</w:t>
      </w:r>
    </w:p>
    <w:p>
      <w:pPr>
        <w:pStyle w:val="TextBody"/>
        <w:bidi w:val="0"/>
        <w:ind w:left="0" w:right="0" w:hanging="945"/>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right"/>
        <w:rPr/>
      </w:pPr>
      <w:r>
        <w:rPr/>
      </w:r>
    </w:p>
    <w:p>
      <w:pPr>
        <w:pStyle w:val="TextBody"/>
        <w:bidi w:val="0"/>
        <w:spacing w:lineRule="auto" w:line="256" w:before="0" w:after="240"/>
        <w:jc w:val="right"/>
        <w:rPr>
          <w:rFonts w:ascii="Helvetica;sans-serif" w:hAnsi="Helvetica;sans-serif"/>
          <w:b/>
          <w:color w:val="000000"/>
          <w:sz w:val="20"/>
        </w:rPr>
      </w:pPr>
      <w:r>
        <w:rPr>
          <w:rFonts w:ascii="Helvetica;sans-serif" w:hAnsi="Helvetica;sans-serif"/>
          <w:b/>
          <w:color w:val="000000"/>
          <w:sz w:val="20"/>
        </w:rPr>
        <w:t>Exhibit 99.1</w:t>
      </w:r>
    </w:p>
    <w:p>
      <w:pPr>
        <w:pStyle w:val="TextBody"/>
        <w:bidi w:val="0"/>
        <w:spacing w:before="100" w:after="100"/>
        <w:jc w:val="center"/>
        <w:rPr/>
      </w:pPr>
      <w:r>
        <w:rPr/>
        <w:drawing>
          <wp:inline distT="0" distB="0" distL="0" distR="0">
            <wp:extent cx="3343275" cy="942975"/>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2"/>
                    <a:stretch>
                      <a:fillRect/>
                    </a:stretch>
                  </pic:blipFill>
                  <pic:spPr bwMode="auto">
                    <a:xfrm>
                      <a:off x="0" y="0"/>
                      <a:ext cx="3343275" cy="942975"/>
                    </a:xfrm>
                    <a:prstGeom prst="rect">
                      <a:avLst/>
                    </a:prstGeom>
                  </pic:spPr>
                </pic:pic>
              </a:graphicData>
            </a:graphic>
          </wp:inline>
        </w:drawing>
      </w:r>
    </w:p>
    <w:p>
      <w:pPr>
        <w:pStyle w:val="TextBody"/>
        <w:bidi w:val="0"/>
        <w:spacing w:before="100" w:after="100"/>
        <w:jc w:val="left"/>
        <w:rPr/>
      </w:pPr>
      <w:r>
        <w:rPr/>
      </w:r>
    </w:p>
    <w:p>
      <w:pPr>
        <w:pStyle w:val="TextBody"/>
        <w:bidi w:val="0"/>
        <w:spacing w:lineRule="auto" w:line="288" w:before="0" w:after="0"/>
        <w:jc w:val="center"/>
        <w:rPr>
          <w:rFonts w:ascii="Helvetica Light;sans-serif" w:hAnsi="Helvetica Light;sans-serif"/>
          <w:b w:val="false"/>
          <w:color w:val="000000"/>
          <w:sz w:val="40"/>
        </w:rPr>
      </w:pPr>
      <w:r>
        <w:rPr>
          <w:rFonts w:ascii="Helvetica Light;sans-serif" w:hAnsi="Helvetica Light;sans-serif"/>
          <w:b w:val="false"/>
          <w:color w:val="000000"/>
          <w:sz w:val="40"/>
        </w:rPr>
        <w:t>Interim Report</w:t>
      </w:r>
    </w:p>
    <w:p>
      <w:pPr>
        <w:pStyle w:val="TextBody"/>
        <w:bidi w:val="0"/>
        <w:spacing w:lineRule="auto" w:line="288" w:before="0" w:after="0"/>
        <w:jc w:val="center"/>
        <w:rPr>
          <w:rFonts w:ascii="Helvetica Light;sans-serif" w:hAnsi="Helvetica Light;sans-serif"/>
          <w:b w:val="false"/>
          <w:color w:val="000000"/>
          <w:sz w:val="40"/>
        </w:rPr>
      </w:pPr>
      <w:r>
        <w:rPr>
          <w:rFonts w:ascii="Helvetica Light;sans-serif" w:hAnsi="Helvetica Light;sans-serif"/>
          <w:b w:val="false"/>
          <w:color w:val="000000"/>
          <w:sz w:val="40"/>
        </w:rPr>
        <w:t>As of and for the three and six months ended June 30, 2026</w:t>
      </w:r>
    </w:p>
    <w:p>
      <w:pPr>
        <w:pStyle w:val="TextBody"/>
        <w:bidi w:val="0"/>
        <w:spacing w:before="100" w:after="1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88" w:before="0" w:after="0"/>
        <w:jc w:val="left"/>
        <w:rPr>
          <w:rFonts w:ascii="Helvetica Light;sans-serif" w:hAnsi="Helvetica Light;sans-serif"/>
          <w:b w:val="false"/>
          <w:color w:val="143A84"/>
          <w:sz w:val="28"/>
        </w:rPr>
      </w:pPr>
      <w:r>
        <w:rPr>
          <w:rFonts w:ascii="Helvetica Light;sans-serif" w:hAnsi="Helvetica Light;sans-serif"/>
          <w:b w:val="false"/>
          <w:color w:val="143A84"/>
          <w:sz w:val="28"/>
        </w:rPr>
        <w:t>TABLE OF CONTENTS</w:t>
      </w:r>
    </w:p>
    <w:tbl>
      <w:tblPr>
        <w:tblW w:w="10205" w:type="dxa"/>
        <w:jc w:val="center"/>
        <w:tblInd w:w="0" w:type="dxa"/>
        <w:tblLayout w:type="fixed"/>
        <w:tblCellMar>
          <w:top w:w="28" w:type="dxa"/>
          <w:left w:w="28" w:type="dxa"/>
          <w:bottom w:w="28" w:type="dxa"/>
          <w:right w:w="28" w:type="dxa"/>
        </w:tblCellMar>
      </w:tblPr>
      <w:tblGrid>
        <w:gridCol w:w="3656"/>
        <w:gridCol w:w="2960"/>
        <w:gridCol w:w="2971"/>
        <w:gridCol w:w="180"/>
        <w:gridCol w:w="180"/>
        <w:gridCol w:w="258"/>
      </w:tblGrid>
      <w:tr>
        <w:trPr/>
        <w:tc>
          <w:tcPr>
            <w:tcW w:w="3656" w:type="dxa"/>
            <w:tcBorders/>
            <w:vAlign w:val="center"/>
          </w:tcPr>
          <w:p>
            <w:pPr>
              <w:pStyle w:val="TableContents"/>
              <w:bidi w:val="0"/>
              <w:spacing w:before="0" w:after="283"/>
              <w:jc w:val="left"/>
              <w:rPr>
                <w:sz w:val="4"/>
                <w:szCs w:val="4"/>
              </w:rPr>
            </w:pPr>
            <w:r>
              <w:rPr>
                <w:sz w:val="4"/>
                <w:szCs w:val="4"/>
              </w:rPr>
            </w:r>
          </w:p>
        </w:tc>
        <w:tc>
          <w:tcPr>
            <w:tcW w:w="2960" w:type="dxa"/>
            <w:tcBorders/>
            <w:vAlign w:val="center"/>
          </w:tcPr>
          <w:p>
            <w:pPr>
              <w:pStyle w:val="TableContents"/>
              <w:bidi w:val="0"/>
              <w:spacing w:before="0" w:after="283"/>
              <w:jc w:val="left"/>
              <w:rPr>
                <w:sz w:val="4"/>
                <w:szCs w:val="4"/>
              </w:rPr>
            </w:pPr>
            <w:r>
              <w:rPr>
                <w:sz w:val="4"/>
                <w:szCs w:val="4"/>
              </w:rPr>
            </w:r>
          </w:p>
        </w:tc>
        <w:tc>
          <w:tcPr>
            <w:tcW w:w="297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r>
      <w:tr>
        <w:trPr/>
        <w:tc>
          <w:tcPr>
            <w:tcW w:w="95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143A84"/>
                <w:sz w:val="20"/>
              </w:rPr>
            </w:pPr>
            <w:r>
              <w:rPr>
                <w:rFonts w:ascii="Helvetica;sans-serif" w:hAnsi="Helvetica;sans-serif"/>
                <w:b/>
                <w:color w:val="143A84"/>
                <w:sz w:val="20"/>
              </w:rPr>
              <w:t>Page</w:t>
            </w:r>
          </w:p>
        </w:tc>
      </w:tr>
      <w:tr>
        <w:trPr/>
        <w:tc>
          <w:tcPr>
            <w:tcW w:w="95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00a62d3ac7a466aaf00b0d46335032a_10">
              <w:r>
                <w:rPr>
                  <w:rStyle w:val="InternetLink"/>
                  <w:rFonts w:ascii="Helvetica;sans-serif" w:hAnsi="Helvetica;sans-serif"/>
                  <w:b/>
                  <w:strike w:val="false"/>
                  <w:dstrike w:val="false"/>
                  <w:color w:val="000000"/>
                  <w:sz w:val="20"/>
                  <w:u w:val="none"/>
                  <w:effect w:val="none"/>
                </w:rPr>
                <w:t>CERTAIN DEFINED TERMS</w:t>
              </w:r>
            </w:hyperlink>
          </w:p>
        </w:tc>
        <w:tc>
          <w:tcPr>
            <w:tcW w:w="618"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600a62d3ac7a466aaf00b0d46335032a_10">
              <w:r>
                <w:rPr>
                  <w:rStyle w:val="InternetLink"/>
                  <w:rFonts w:ascii="Helvetica;sans-serif" w:hAnsi="Helvetica;sans-serif"/>
                  <w:b/>
                  <w:strike w:val="false"/>
                  <w:dstrike w:val="false"/>
                  <w:color w:val="000000"/>
                  <w:sz w:val="20"/>
                  <w:u w:val="none"/>
                  <w:effect w:val="none"/>
                </w:rPr>
                <w:t>5</w:t>
              </w:r>
            </w:hyperlink>
          </w:p>
        </w:tc>
      </w:tr>
      <w:tr>
        <w:trPr/>
        <w:tc>
          <w:tcPr>
            <w:tcW w:w="9587"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40" w:before="0" w:after="0"/>
              <w:jc w:val="left"/>
              <w:rPr/>
            </w:pPr>
            <w:hyperlink w:anchor="i600a62d3ac7a466aaf00b0d46335032a_13">
              <w:r>
                <w:rPr>
                  <w:rStyle w:val="InternetLink"/>
                  <w:rFonts w:ascii="Helvetica;sans-serif" w:hAnsi="Helvetica;sans-serif"/>
                  <w:b/>
                  <w:strike w:val="false"/>
                  <w:dstrike w:val="false"/>
                  <w:color w:val="000000"/>
                  <w:sz w:val="20"/>
                  <w:u w:val="none"/>
                  <w:effect w:val="none"/>
                </w:rPr>
                <w:t>MANAGEMENT DISCUSSION AND ANALYSIS</w:t>
              </w:r>
            </w:hyperlink>
          </w:p>
        </w:tc>
        <w:tc>
          <w:tcPr>
            <w:tcW w:w="618"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0"/>
              <w:jc w:val="center"/>
              <w:rPr/>
            </w:pPr>
            <w:hyperlink w:anchor="i600a62d3ac7a466aaf00b0d46335032a_13">
              <w:r>
                <w:rPr>
                  <w:rStyle w:val="InternetLink"/>
                  <w:rFonts w:ascii="Helvetica;sans-serif" w:hAnsi="Helvetica;sans-serif"/>
                  <w:b/>
                  <w:strike w:val="false"/>
                  <w:dstrike w:val="false"/>
                  <w:color w:val="000000"/>
                  <w:sz w:val="20"/>
                  <w:u w:val="none"/>
                  <w:effect w:val="none"/>
                </w:rPr>
                <w:t>6</w:t>
              </w:r>
            </w:hyperlink>
          </w:p>
        </w:tc>
      </w:tr>
      <w:tr>
        <w:trPr/>
        <w:tc>
          <w:tcPr>
            <w:tcW w:w="9587"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40" w:before="0" w:after="0"/>
              <w:jc w:val="left"/>
              <w:rPr/>
            </w:pPr>
            <w:hyperlink w:anchor="i600a62d3ac7a466aaf00b0d46335032a_16">
              <w:r>
                <w:rPr>
                  <w:rStyle w:val="InternetLink"/>
                  <w:rFonts w:ascii="Helvetica Light;sans-serif" w:hAnsi="Helvetica Light;sans-serif"/>
                  <w:b w:val="false"/>
                  <w:strike w:val="false"/>
                  <w:dstrike w:val="false"/>
                  <w:color w:val="000000"/>
                  <w:sz w:val="20"/>
                  <w:u w:val="none"/>
                  <w:effect w:val="none"/>
                </w:rPr>
                <w:t>Highlights</w:t>
              </w:r>
            </w:hyperlink>
            <w:r>
              <w:rPr>
                <w:rFonts w:ascii="Helvetica Light;sans-serif" w:hAnsi="Helvetica Light;sans-serif"/>
                <w:b w:val="false"/>
                <w:color w:val="000000"/>
                <w:sz w:val="20"/>
              </w:rPr>
              <w:t xml:space="preserve"> </w:t>
            </w:r>
          </w:p>
        </w:tc>
        <w:tc>
          <w:tcPr>
            <w:tcW w:w="618"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0"/>
              <w:jc w:val="center"/>
              <w:rPr/>
            </w:pPr>
            <w:hyperlink w:anchor="i600a62d3ac7a466aaf00b0d46335032a_16">
              <w:r>
                <w:rPr>
                  <w:rStyle w:val="InternetLink"/>
                  <w:rFonts w:ascii="Helvetica Light;sans-serif" w:hAnsi="Helvetica Light;sans-serif"/>
                  <w:b w:val="false"/>
                  <w:strike w:val="false"/>
                  <w:dstrike w:val="false"/>
                  <w:color w:val="000000"/>
                  <w:sz w:val="20"/>
                  <w:u w:val="none"/>
                  <w:effect w:val="none"/>
                </w:rPr>
                <w:t>6</w:t>
              </w:r>
            </w:hyperlink>
          </w:p>
        </w:tc>
      </w:tr>
      <w:tr>
        <w:trPr/>
        <w:tc>
          <w:tcPr>
            <w:tcW w:w="95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00a62d3ac7a466aaf00b0d46335032a_19">
              <w:r>
                <w:rPr>
                  <w:rStyle w:val="InternetLink"/>
                  <w:rFonts w:ascii="Helvetica Light;sans-serif" w:hAnsi="Helvetica Light;sans-serif"/>
                  <w:b w:val="false"/>
                  <w:strike w:val="false"/>
                  <w:dstrike w:val="false"/>
                  <w:color w:val="000000"/>
                  <w:sz w:val="20"/>
                  <w:u w:val="none"/>
                  <w:effect w:val="none"/>
                </w:rPr>
                <w:t>Non-GAAP financial measures</w:t>
              </w:r>
            </w:hyperlink>
          </w:p>
        </w:tc>
        <w:tc>
          <w:tcPr>
            <w:tcW w:w="618"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600a62d3ac7a466aaf00b0d46335032a_19">
              <w:r>
                <w:rPr>
                  <w:rStyle w:val="InternetLink"/>
                  <w:rFonts w:ascii="Helvetica Light;sans-serif" w:hAnsi="Helvetica Light;sans-serif"/>
                  <w:b w:val="false"/>
                  <w:strike w:val="false"/>
                  <w:dstrike w:val="false"/>
                  <w:color w:val="000000"/>
                  <w:sz w:val="20"/>
                  <w:u w:val="none"/>
                  <w:effect w:val="none"/>
                </w:rPr>
                <w:t>7</w:t>
              </w:r>
            </w:hyperlink>
          </w:p>
        </w:tc>
      </w:tr>
      <w:tr>
        <w:trPr/>
        <w:tc>
          <w:tcPr>
            <w:tcW w:w="95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00a62d3ac7a466aaf00b0d46335032a_22">
              <w:r>
                <w:rPr>
                  <w:rStyle w:val="InternetLink"/>
                  <w:rFonts w:ascii="Helvetica Light;sans-serif" w:hAnsi="Helvetica Light;sans-serif"/>
                  <w:b w:val="false"/>
                  <w:strike w:val="false"/>
                  <w:dstrike w:val="false"/>
                  <w:color w:val="000000"/>
                  <w:sz w:val="20"/>
                  <w:u w:val="none"/>
                  <w:effect w:val="none"/>
                </w:rPr>
                <w:t>Company results</w:t>
              </w:r>
            </w:hyperlink>
          </w:p>
        </w:tc>
        <w:tc>
          <w:tcPr>
            <w:tcW w:w="618"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600a62d3ac7a466aaf00b0d46335032a_22">
              <w:r>
                <w:rPr>
                  <w:rStyle w:val="InternetLink"/>
                  <w:rFonts w:ascii="Helvetica Light;sans-serif" w:hAnsi="Helvetica Light;sans-serif"/>
                  <w:b w:val="false"/>
                  <w:strike w:val="false"/>
                  <w:dstrike w:val="false"/>
                  <w:color w:val="000000"/>
                  <w:sz w:val="20"/>
                  <w:u w:val="none"/>
                  <w:effect w:val="none"/>
                </w:rPr>
                <w:t>9</w:t>
              </w:r>
            </w:hyperlink>
          </w:p>
        </w:tc>
      </w:tr>
      <w:tr>
        <w:trPr/>
        <w:tc>
          <w:tcPr>
            <w:tcW w:w="95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00a62d3ac7a466aaf00b0d46335032a_25">
              <w:r>
                <w:rPr>
                  <w:rStyle w:val="InternetLink"/>
                  <w:rFonts w:ascii="Helvetica Light;sans-serif" w:hAnsi="Helvetica Light;sans-serif"/>
                  <w:b w:val="false"/>
                  <w:strike w:val="false"/>
                  <w:dstrike w:val="false"/>
                  <w:color w:val="000000"/>
                  <w:sz w:val="20"/>
                  <w:u w:val="none"/>
                  <w:effect w:val="none"/>
                </w:rPr>
                <w:t>Results by segment</w:t>
              </w:r>
            </w:hyperlink>
          </w:p>
        </w:tc>
        <w:tc>
          <w:tcPr>
            <w:tcW w:w="618"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600a62d3ac7a466aaf00b0d46335032a_25">
              <w:r>
                <w:rPr>
                  <w:rStyle w:val="InternetLink"/>
                  <w:rFonts w:ascii="Helvetica Light;sans-serif" w:hAnsi="Helvetica Light;sans-serif"/>
                  <w:b w:val="false"/>
                  <w:strike w:val="false"/>
                  <w:dstrike w:val="false"/>
                  <w:color w:val="000000"/>
                  <w:sz w:val="20"/>
                  <w:u w:val="none"/>
                  <w:effect w:val="none"/>
                </w:rPr>
                <w:t>22</w:t>
              </w:r>
            </w:hyperlink>
          </w:p>
        </w:tc>
      </w:tr>
      <w:tr>
        <w:trPr/>
        <w:tc>
          <w:tcPr>
            <w:tcW w:w="95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00a62d3ac7a466aaf00b0d46335032a_43">
              <w:r>
                <w:rPr>
                  <w:rStyle w:val="InternetLink"/>
                  <w:rFonts w:ascii="Helvetica Light;sans-serif" w:hAnsi="Helvetica Light;sans-serif"/>
                  <w:b w:val="false"/>
                  <w:strike w:val="false"/>
                  <w:dstrike w:val="false"/>
                  <w:color w:val="000000"/>
                  <w:sz w:val="20"/>
                  <w:u w:val="none"/>
                  <w:effect w:val="none"/>
                </w:rPr>
                <w:t>Liquidity and capital resources</w:t>
              </w:r>
            </w:hyperlink>
          </w:p>
        </w:tc>
        <w:tc>
          <w:tcPr>
            <w:tcW w:w="618"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600a62d3ac7a466aaf00b0d46335032a_43">
              <w:r>
                <w:rPr>
                  <w:rStyle w:val="InternetLink"/>
                  <w:rFonts w:ascii="Helvetica Light;sans-serif" w:hAnsi="Helvetica Light;sans-serif"/>
                  <w:b w:val="false"/>
                  <w:strike w:val="false"/>
                  <w:dstrike w:val="false"/>
                  <w:color w:val="000000"/>
                  <w:sz w:val="20"/>
                  <w:u w:val="none"/>
                  <w:effect w:val="none"/>
                </w:rPr>
                <w:t>40</w:t>
              </w:r>
            </w:hyperlink>
          </w:p>
        </w:tc>
      </w:tr>
      <w:tr>
        <w:trPr/>
        <w:tc>
          <w:tcPr>
            <w:tcW w:w="95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00a62d3ac7a466aaf00b0d46335032a_58">
              <w:r>
                <w:rPr>
                  <w:rStyle w:val="InternetLink"/>
                  <w:rFonts w:ascii="Helvetica Light;sans-serif" w:hAnsi="Helvetica Light;sans-serif"/>
                  <w:b w:val="false"/>
                  <w:strike w:val="false"/>
                  <w:dstrike w:val="false"/>
                  <w:color w:val="000000"/>
                  <w:sz w:val="20"/>
                  <w:u w:val="none"/>
                  <w:effect w:val="none"/>
                </w:rPr>
                <w:t>Important events</w:t>
              </w:r>
            </w:hyperlink>
          </w:p>
        </w:tc>
        <w:tc>
          <w:tcPr>
            <w:tcW w:w="618"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600a62d3ac7a466aaf00b0d46335032a_58">
              <w:r>
                <w:rPr>
                  <w:rStyle w:val="InternetLink"/>
                  <w:rFonts w:ascii="Helvetica Light;sans-serif" w:hAnsi="Helvetica Light;sans-serif"/>
                  <w:b w:val="false"/>
                  <w:strike w:val="false"/>
                  <w:dstrike w:val="false"/>
                  <w:color w:val="000000"/>
                  <w:sz w:val="20"/>
                  <w:u w:val="none"/>
                  <w:effect w:val="none"/>
                </w:rPr>
                <w:t>48</w:t>
              </w:r>
            </w:hyperlink>
          </w:p>
        </w:tc>
      </w:tr>
      <w:tr>
        <w:trPr/>
        <w:tc>
          <w:tcPr>
            <w:tcW w:w="95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00a62d3ac7a466aaf00b0d46335032a_1238">
              <w:r>
                <w:rPr>
                  <w:rStyle w:val="InternetLink"/>
                  <w:rFonts w:ascii="Helvetica Light;sans-serif" w:hAnsi="Helvetica Light;sans-serif"/>
                  <w:b w:val="false"/>
                  <w:strike w:val="false"/>
                  <w:dstrike w:val="false"/>
                  <w:color w:val="000080"/>
                  <w:sz w:val="20"/>
                  <w:u w:val="single"/>
                  <w:effect w:val="none"/>
                </w:rPr>
                <w:t>Fa</w:t>
              </w:r>
            </w:hyperlink>
            <w:hyperlink w:anchor="i600a62d3ac7a466aaf00b0d46335032a_1238">
              <w:r>
                <w:rPr>
                  <w:rStyle w:val="InternetLink"/>
                  <w:rFonts w:ascii="Helvetica Light;sans-serif" w:hAnsi="Helvetica Light;sans-serif"/>
                  <w:b w:val="false"/>
                  <w:strike w:val="false"/>
                  <w:dstrike w:val="false"/>
                  <w:color w:val="000080"/>
                  <w:sz w:val="20"/>
                  <w:u w:val="single"/>
                  <w:effect w:val="none"/>
                </w:rPr>
                <w:t>STLAne 2030 strategic plan</w:t>
              </w:r>
            </w:hyperlink>
          </w:p>
        </w:tc>
        <w:tc>
          <w:tcPr>
            <w:tcW w:w="618"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600a62d3ac7a466aaf00b0d46335032a_1238">
              <w:r>
                <w:rPr>
                  <w:rStyle w:val="InternetLink"/>
                  <w:rFonts w:ascii="Helvetica Light;sans-serif" w:hAnsi="Helvetica Light;sans-serif"/>
                  <w:b w:val="false"/>
                  <w:strike w:val="false"/>
                  <w:dstrike w:val="false"/>
                  <w:color w:val="000000"/>
                  <w:sz w:val="20"/>
                  <w:u w:val="none"/>
                  <w:effect w:val="none"/>
                </w:rPr>
                <w:t>48</w:t>
              </w:r>
            </w:hyperlink>
          </w:p>
        </w:tc>
      </w:tr>
      <w:tr>
        <w:trPr/>
        <w:tc>
          <w:tcPr>
            <w:tcW w:w="95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00a62d3ac7a466aaf00b0d46335032a_61">
              <w:r>
                <w:rPr>
                  <w:rStyle w:val="InternetLink"/>
                  <w:rFonts w:ascii="Helvetica Light;sans-serif" w:hAnsi="Helvetica Light;sans-serif"/>
                  <w:b w:val="false"/>
                  <w:strike w:val="false"/>
                  <w:dstrike w:val="false"/>
                  <w:color w:val="000000"/>
                  <w:sz w:val="20"/>
                  <w:u w:val="none"/>
                  <w:effect w:val="none"/>
                </w:rPr>
                <w:t>Risks and uncertainties</w:t>
              </w:r>
            </w:hyperlink>
          </w:p>
        </w:tc>
        <w:tc>
          <w:tcPr>
            <w:tcW w:w="618"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600a62d3ac7a466aaf00b0d46335032a_61">
              <w:r>
                <w:rPr>
                  <w:rStyle w:val="InternetLink"/>
                  <w:rFonts w:ascii="Helvetica Light;sans-serif" w:hAnsi="Helvetica Light;sans-serif"/>
                  <w:b w:val="false"/>
                  <w:strike w:val="false"/>
                  <w:dstrike w:val="false"/>
                  <w:color w:val="000000"/>
                  <w:sz w:val="20"/>
                  <w:u w:val="none"/>
                  <w:effect w:val="none"/>
                </w:rPr>
                <w:t>52</w:t>
              </w:r>
            </w:hyperlink>
          </w:p>
        </w:tc>
      </w:tr>
      <w:tr>
        <w:trPr/>
        <w:tc>
          <w:tcPr>
            <w:tcW w:w="95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00a62d3ac7a466aaf00b0d46335032a_64">
              <w:r>
                <w:rPr>
                  <w:rStyle w:val="InternetLink"/>
                  <w:rFonts w:ascii="Helvetica Light;sans-serif" w:hAnsi="Helvetica Light;sans-serif"/>
                  <w:b w:val="false"/>
                  <w:strike w:val="false"/>
                  <w:dstrike w:val="false"/>
                  <w:color w:val="000000"/>
                  <w:sz w:val="20"/>
                  <w:u w:val="none"/>
                  <w:effect w:val="none"/>
                </w:rPr>
                <w:t>Guidance and outlook</w:t>
              </w:r>
            </w:hyperlink>
          </w:p>
        </w:tc>
        <w:tc>
          <w:tcPr>
            <w:tcW w:w="618"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600a62d3ac7a466aaf00b0d46335032a_64">
              <w:r>
                <w:rPr>
                  <w:rStyle w:val="InternetLink"/>
                  <w:rFonts w:ascii="Helvetica Light;sans-serif" w:hAnsi="Helvetica Light;sans-serif"/>
                  <w:b w:val="false"/>
                  <w:strike w:val="false"/>
                  <w:dstrike w:val="false"/>
                  <w:color w:val="000000"/>
                  <w:sz w:val="20"/>
                  <w:u w:val="none"/>
                  <w:effect w:val="none"/>
                </w:rPr>
                <w:t>53</w:t>
              </w:r>
            </w:hyperlink>
          </w:p>
        </w:tc>
      </w:tr>
      <w:tr>
        <w:trPr/>
        <w:tc>
          <w:tcPr>
            <w:tcW w:w="9587"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40" w:before="0" w:after="0"/>
              <w:jc w:val="left"/>
              <w:rPr/>
            </w:pPr>
            <w:hyperlink w:anchor="i600a62d3ac7a466aaf00b0d46335032a_67">
              <w:r>
                <w:rPr>
                  <w:rStyle w:val="InternetLink"/>
                  <w:rFonts w:ascii="Helvetica;sans-serif" w:hAnsi="Helvetica;sans-serif"/>
                  <w:b/>
                  <w:strike w:val="false"/>
                  <w:dstrike w:val="false"/>
                  <w:color w:val="000080"/>
                  <w:sz w:val="20"/>
                  <w:u w:val="single"/>
                  <w:effect w:val="none"/>
                </w:rPr>
                <w:t xml:space="preserve">INTERIM CONDENSED CONSOLIDATED FINANCIAL STATEMENTS AND NOTES AS OF AND FOR THE </w:t>
              </w:r>
            </w:hyperlink>
            <w:hyperlink w:anchor="i600a62d3ac7a466aaf00b0d46335032a_67">
              <w:r>
                <w:rPr>
                  <w:rStyle w:val="InternetLink"/>
                  <w:rFonts w:ascii="Helvetica;sans-serif" w:hAnsi="Helvetica;sans-serif"/>
                  <w:b/>
                  <w:strike w:val="false"/>
                  <w:dstrike w:val="false"/>
                  <w:color w:val="000080"/>
                  <w:sz w:val="20"/>
                  <w:u w:val="single"/>
                  <w:effect w:val="none"/>
                </w:rPr>
                <w:t xml:space="preserve">THREE AND </w:t>
              </w:r>
            </w:hyperlink>
            <w:hyperlink w:anchor="i600a62d3ac7a466aaf00b0d46335032a_67">
              <w:r>
                <w:rPr>
                  <w:rStyle w:val="InternetLink"/>
                  <w:rFonts w:ascii="Helvetica;sans-serif" w:hAnsi="Helvetica;sans-serif"/>
                  <w:b/>
                  <w:strike w:val="false"/>
                  <w:dstrike w:val="false"/>
                  <w:color w:val="000080"/>
                  <w:sz w:val="20"/>
                  <w:u w:val="single"/>
                  <w:effect w:val="none"/>
                </w:rPr>
                <w:t>SIX MONTHS ENDED JUNE 30, 2026</w:t>
              </w:r>
            </w:hyperlink>
          </w:p>
        </w:tc>
        <w:tc>
          <w:tcPr>
            <w:tcW w:w="618"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0"/>
              <w:jc w:val="center"/>
              <w:rPr/>
            </w:pPr>
            <w:hyperlink w:anchor="i600a62d3ac7a466aaf00b0d46335032a_67">
              <w:r>
                <w:rPr>
                  <w:rStyle w:val="InternetLink"/>
                  <w:rFonts w:ascii="Helvetica;sans-serif" w:hAnsi="Helvetica;sans-serif"/>
                  <w:b/>
                  <w:strike w:val="false"/>
                  <w:dstrike w:val="false"/>
                  <w:color w:val="000000"/>
                  <w:sz w:val="20"/>
                  <w:u w:val="none"/>
                  <w:effect w:val="none"/>
                </w:rPr>
                <w:t>54</w:t>
              </w:r>
            </w:hyperlink>
          </w:p>
        </w:tc>
      </w:tr>
      <w:tr>
        <w:trPr/>
        <w:tc>
          <w:tcPr>
            <w:tcW w:w="9587"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40" w:before="0" w:after="0"/>
              <w:jc w:val="left"/>
              <w:rPr/>
            </w:pPr>
            <w:hyperlink w:anchor="i600a62d3ac7a466aaf00b0d46335032a_70">
              <w:r>
                <w:rPr>
                  <w:rStyle w:val="InternetLink"/>
                  <w:rFonts w:ascii="Helvetica Light;sans-serif" w:hAnsi="Helvetica Light;sans-serif"/>
                  <w:b w:val="false"/>
                  <w:strike w:val="false"/>
                  <w:dstrike w:val="false"/>
                  <w:color w:val="000000"/>
                  <w:sz w:val="20"/>
                  <w:u w:val="none"/>
                  <w:effect w:val="none"/>
                </w:rPr>
                <w:t>Interim Condensed Consolidated Income Statement</w:t>
              </w:r>
            </w:hyperlink>
          </w:p>
        </w:tc>
        <w:tc>
          <w:tcPr>
            <w:tcW w:w="618"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0"/>
              <w:jc w:val="center"/>
              <w:rPr/>
            </w:pPr>
            <w:hyperlink w:anchor="i600a62d3ac7a466aaf00b0d46335032a_70">
              <w:r>
                <w:rPr>
                  <w:rStyle w:val="InternetLink"/>
                  <w:rFonts w:ascii="Helvetica Light;sans-serif" w:hAnsi="Helvetica Light;sans-serif"/>
                  <w:b w:val="false"/>
                  <w:strike w:val="false"/>
                  <w:dstrike w:val="false"/>
                  <w:color w:val="000000"/>
                  <w:sz w:val="20"/>
                  <w:u w:val="none"/>
                  <w:effect w:val="none"/>
                </w:rPr>
                <w:t>55</w:t>
              </w:r>
            </w:hyperlink>
          </w:p>
        </w:tc>
      </w:tr>
      <w:tr>
        <w:trPr/>
        <w:tc>
          <w:tcPr>
            <w:tcW w:w="95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00a62d3ac7a466aaf00b0d46335032a_73">
              <w:r>
                <w:rPr>
                  <w:rStyle w:val="InternetLink"/>
                  <w:rFonts w:ascii="Helvetica Light;sans-serif" w:hAnsi="Helvetica Light;sans-serif"/>
                  <w:b w:val="false"/>
                  <w:strike w:val="false"/>
                  <w:dstrike w:val="false"/>
                  <w:color w:val="000000"/>
                  <w:sz w:val="20"/>
                  <w:u w:val="none"/>
                  <w:effect w:val="none"/>
                </w:rPr>
                <w:t>Interim Condensed Consolidated Statement of Comprehensive Income</w:t>
              </w:r>
            </w:hyperlink>
          </w:p>
        </w:tc>
        <w:tc>
          <w:tcPr>
            <w:tcW w:w="618"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600a62d3ac7a466aaf00b0d46335032a_73">
              <w:r>
                <w:rPr>
                  <w:rStyle w:val="InternetLink"/>
                  <w:rFonts w:ascii="Helvetica Light;sans-serif" w:hAnsi="Helvetica Light;sans-serif"/>
                  <w:b w:val="false"/>
                  <w:strike w:val="false"/>
                  <w:dstrike w:val="false"/>
                  <w:color w:val="000000"/>
                  <w:sz w:val="20"/>
                  <w:u w:val="none"/>
                  <w:effect w:val="none"/>
                </w:rPr>
                <w:t>56</w:t>
              </w:r>
            </w:hyperlink>
          </w:p>
        </w:tc>
      </w:tr>
      <w:tr>
        <w:trPr/>
        <w:tc>
          <w:tcPr>
            <w:tcW w:w="95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00a62d3ac7a466aaf00b0d46335032a_76">
              <w:r>
                <w:rPr>
                  <w:rStyle w:val="InternetLink"/>
                  <w:rFonts w:ascii="Helvetica Light;sans-serif" w:hAnsi="Helvetica Light;sans-serif"/>
                  <w:b w:val="false"/>
                  <w:strike w:val="false"/>
                  <w:dstrike w:val="false"/>
                  <w:color w:val="000000"/>
                  <w:sz w:val="20"/>
                  <w:u w:val="none"/>
                  <w:effect w:val="none"/>
                </w:rPr>
                <w:t>Interim Condensed Consolidated Statement of Financial Position</w:t>
              </w:r>
            </w:hyperlink>
          </w:p>
        </w:tc>
        <w:tc>
          <w:tcPr>
            <w:tcW w:w="618"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600a62d3ac7a466aaf00b0d46335032a_76">
              <w:r>
                <w:rPr>
                  <w:rStyle w:val="InternetLink"/>
                  <w:rFonts w:ascii="Helvetica Light;sans-serif" w:hAnsi="Helvetica Light;sans-serif"/>
                  <w:b w:val="false"/>
                  <w:strike w:val="false"/>
                  <w:dstrike w:val="false"/>
                  <w:color w:val="000000"/>
                  <w:sz w:val="20"/>
                  <w:u w:val="none"/>
                  <w:effect w:val="none"/>
                </w:rPr>
                <w:t>57</w:t>
              </w:r>
            </w:hyperlink>
          </w:p>
        </w:tc>
      </w:tr>
      <w:tr>
        <w:trPr/>
        <w:tc>
          <w:tcPr>
            <w:tcW w:w="95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00a62d3ac7a466aaf00b0d46335032a_79">
              <w:r>
                <w:rPr>
                  <w:rStyle w:val="InternetLink"/>
                  <w:rFonts w:ascii="Helvetica Light;sans-serif" w:hAnsi="Helvetica Light;sans-serif"/>
                  <w:b w:val="false"/>
                  <w:strike w:val="false"/>
                  <w:dstrike w:val="false"/>
                  <w:color w:val="000000"/>
                  <w:sz w:val="20"/>
                  <w:u w:val="none"/>
                  <w:effect w:val="none"/>
                </w:rPr>
                <w:t>Interim Condensed Consolidated Statement of Cash Flows</w:t>
              </w:r>
            </w:hyperlink>
          </w:p>
        </w:tc>
        <w:tc>
          <w:tcPr>
            <w:tcW w:w="618"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600a62d3ac7a466aaf00b0d46335032a_79">
              <w:r>
                <w:rPr>
                  <w:rStyle w:val="InternetLink"/>
                  <w:rFonts w:ascii="Helvetica Light;sans-serif" w:hAnsi="Helvetica Light;sans-serif"/>
                  <w:b w:val="false"/>
                  <w:strike w:val="false"/>
                  <w:dstrike w:val="false"/>
                  <w:color w:val="000000"/>
                  <w:sz w:val="20"/>
                  <w:u w:val="none"/>
                  <w:effect w:val="none"/>
                </w:rPr>
                <w:t>58</w:t>
              </w:r>
            </w:hyperlink>
          </w:p>
        </w:tc>
      </w:tr>
      <w:tr>
        <w:trPr/>
        <w:tc>
          <w:tcPr>
            <w:tcW w:w="95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00a62d3ac7a466aaf00b0d46335032a_82">
              <w:r>
                <w:rPr>
                  <w:rStyle w:val="InternetLink"/>
                  <w:rFonts w:ascii="Helvetica Light;sans-serif" w:hAnsi="Helvetica Light;sans-serif"/>
                  <w:b w:val="false"/>
                  <w:strike w:val="false"/>
                  <w:dstrike w:val="false"/>
                  <w:color w:val="000000"/>
                  <w:sz w:val="20"/>
                  <w:u w:val="none"/>
                  <w:effect w:val="none"/>
                </w:rPr>
                <w:t>Interim Condensed Consolidated Statement of Changes in Equity</w:t>
              </w:r>
            </w:hyperlink>
          </w:p>
        </w:tc>
        <w:tc>
          <w:tcPr>
            <w:tcW w:w="618"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600a62d3ac7a466aaf00b0d46335032a_82">
              <w:r>
                <w:rPr>
                  <w:rStyle w:val="InternetLink"/>
                  <w:rFonts w:ascii="Helvetica Light;sans-serif" w:hAnsi="Helvetica Light;sans-serif"/>
                  <w:b w:val="false"/>
                  <w:strike w:val="false"/>
                  <w:dstrike w:val="false"/>
                  <w:color w:val="000000"/>
                  <w:sz w:val="20"/>
                  <w:u w:val="none"/>
                  <w:effect w:val="none"/>
                </w:rPr>
                <w:t>59</w:t>
              </w:r>
            </w:hyperlink>
          </w:p>
        </w:tc>
      </w:tr>
      <w:tr>
        <w:trPr/>
        <w:tc>
          <w:tcPr>
            <w:tcW w:w="95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00a62d3ac7a466aaf00b0d46335032a_85">
              <w:r>
                <w:rPr>
                  <w:rStyle w:val="InternetLink"/>
                  <w:rFonts w:ascii="Helvetica Light;sans-serif" w:hAnsi="Helvetica Light;sans-serif"/>
                  <w:b w:val="false"/>
                  <w:strike w:val="false"/>
                  <w:dstrike w:val="false"/>
                  <w:color w:val="000000"/>
                  <w:sz w:val="20"/>
                  <w:u w:val="none"/>
                  <w:effect w:val="none"/>
                </w:rPr>
                <w:t>Notes to the Interim Condensed Consolidated Financial Statements</w:t>
              </w:r>
            </w:hyperlink>
          </w:p>
        </w:tc>
        <w:tc>
          <w:tcPr>
            <w:tcW w:w="618"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600a62d3ac7a466aaf00b0d46335032a_85">
              <w:r>
                <w:rPr>
                  <w:rStyle w:val="InternetLink"/>
                  <w:rFonts w:ascii="Helvetica Light;sans-serif" w:hAnsi="Helvetica Light;sans-serif"/>
                  <w:b w:val="false"/>
                  <w:strike w:val="false"/>
                  <w:dstrike w:val="false"/>
                  <w:color w:val="000000"/>
                  <w:sz w:val="20"/>
                  <w:u w:val="none"/>
                  <w:effect w:val="none"/>
                </w:rPr>
                <w:t>60</w:t>
              </w:r>
            </w:hyperlink>
          </w:p>
        </w:tc>
      </w:tr>
      <w:tr>
        <w:trPr/>
        <w:tc>
          <w:tcPr>
            <w:tcW w:w="95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00a62d3ac7a466aaf00b0d46335032a_88">
              <w:r>
                <w:rPr>
                  <w:rStyle w:val="InternetLink"/>
                  <w:rFonts w:ascii="Helvetica Light;sans-serif" w:hAnsi="Helvetica Light;sans-serif"/>
                  <w:b w:val="false"/>
                  <w:strike w:val="false"/>
                  <w:dstrike w:val="false"/>
                  <w:color w:val="000000"/>
                  <w:sz w:val="20"/>
                  <w:u w:val="none"/>
                  <w:effect w:val="none"/>
                </w:rPr>
                <w:t>1. Basis of preparation</w:t>
              </w:r>
            </w:hyperlink>
          </w:p>
        </w:tc>
        <w:tc>
          <w:tcPr>
            <w:tcW w:w="618"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600a62d3ac7a466aaf00b0d46335032a_88">
              <w:r>
                <w:rPr>
                  <w:rStyle w:val="InternetLink"/>
                  <w:rFonts w:ascii="Helvetica Light;sans-serif" w:hAnsi="Helvetica Light;sans-serif"/>
                  <w:b w:val="false"/>
                  <w:strike w:val="false"/>
                  <w:dstrike w:val="false"/>
                  <w:color w:val="000000"/>
                  <w:sz w:val="20"/>
                  <w:u w:val="none"/>
                  <w:effect w:val="none"/>
                </w:rPr>
                <w:t>60</w:t>
              </w:r>
            </w:hyperlink>
          </w:p>
        </w:tc>
      </w:tr>
      <w:tr>
        <w:trPr/>
        <w:tc>
          <w:tcPr>
            <w:tcW w:w="95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00a62d3ac7a466aaf00b0d46335032a_91">
              <w:r>
                <w:rPr>
                  <w:rStyle w:val="InternetLink"/>
                  <w:rFonts w:ascii="Helvetica Light;sans-serif" w:hAnsi="Helvetica Light;sans-serif"/>
                  <w:b w:val="false"/>
                  <w:strike w:val="false"/>
                  <w:dstrike w:val="false"/>
                  <w:color w:val="000000"/>
                  <w:sz w:val="20"/>
                  <w:u w:val="none"/>
                  <w:effect w:val="none"/>
                </w:rPr>
                <w:t>2. Scope of consolidation</w:t>
              </w:r>
            </w:hyperlink>
          </w:p>
        </w:tc>
        <w:tc>
          <w:tcPr>
            <w:tcW w:w="618"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600a62d3ac7a466aaf00b0d46335032a_91">
              <w:r>
                <w:rPr>
                  <w:rStyle w:val="InternetLink"/>
                  <w:rFonts w:ascii="Helvetica Light;sans-serif" w:hAnsi="Helvetica Light;sans-serif"/>
                  <w:b w:val="false"/>
                  <w:strike w:val="false"/>
                  <w:dstrike w:val="false"/>
                  <w:color w:val="000000"/>
                  <w:sz w:val="20"/>
                  <w:u w:val="none"/>
                  <w:effect w:val="none"/>
                </w:rPr>
                <w:t>63</w:t>
              </w:r>
            </w:hyperlink>
          </w:p>
        </w:tc>
      </w:tr>
      <w:tr>
        <w:trPr/>
        <w:tc>
          <w:tcPr>
            <w:tcW w:w="95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00a62d3ac7a466aaf00b0d46335032a_94">
              <w:r>
                <w:rPr>
                  <w:rStyle w:val="InternetLink"/>
                  <w:rFonts w:ascii="Helvetica Light;sans-serif" w:hAnsi="Helvetica Light;sans-serif"/>
                  <w:b w:val="false"/>
                  <w:strike w:val="false"/>
                  <w:dstrike w:val="false"/>
                  <w:color w:val="000000"/>
                  <w:sz w:val="20"/>
                  <w:u w:val="none"/>
                  <w:effect w:val="none"/>
                </w:rPr>
                <w:t>3. Net revenues</w:t>
              </w:r>
            </w:hyperlink>
          </w:p>
        </w:tc>
        <w:tc>
          <w:tcPr>
            <w:tcW w:w="618"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600a62d3ac7a466aaf00b0d46335032a_94">
              <w:r>
                <w:rPr>
                  <w:rStyle w:val="InternetLink"/>
                  <w:rFonts w:ascii="Helvetica Light;sans-serif" w:hAnsi="Helvetica Light;sans-serif"/>
                  <w:b w:val="false"/>
                  <w:strike w:val="false"/>
                  <w:dstrike w:val="false"/>
                  <w:color w:val="000000"/>
                  <w:sz w:val="20"/>
                  <w:u w:val="none"/>
                  <w:effect w:val="none"/>
                </w:rPr>
                <w:t>63</w:t>
              </w:r>
            </w:hyperlink>
          </w:p>
        </w:tc>
      </w:tr>
      <w:tr>
        <w:trPr/>
        <w:tc>
          <w:tcPr>
            <w:tcW w:w="95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00a62d3ac7a466aaf00b0d46335032a_97">
              <w:r>
                <w:rPr>
                  <w:rStyle w:val="InternetLink"/>
                  <w:rFonts w:ascii="Helvetica Light;sans-serif" w:hAnsi="Helvetica Light;sans-serif"/>
                  <w:b w:val="false"/>
                  <w:strike w:val="false"/>
                  <w:dstrike w:val="false"/>
                  <w:color w:val="000000"/>
                  <w:sz w:val="20"/>
                  <w:u w:val="none"/>
                  <w:effect w:val="none"/>
                </w:rPr>
                <w:t>4. Net financial expenses/(income)</w:t>
              </w:r>
            </w:hyperlink>
          </w:p>
        </w:tc>
        <w:tc>
          <w:tcPr>
            <w:tcW w:w="618"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600a62d3ac7a466aaf00b0d46335032a_97">
              <w:r>
                <w:rPr>
                  <w:rStyle w:val="InternetLink"/>
                  <w:rFonts w:ascii="Helvetica Light;sans-serif" w:hAnsi="Helvetica Light;sans-serif"/>
                  <w:b w:val="false"/>
                  <w:strike w:val="false"/>
                  <w:dstrike w:val="false"/>
                  <w:color w:val="000000"/>
                  <w:sz w:val="20"/>
                  <w:u w:val="none"/>
                  <w:effect w:val="none"/>
                </w:rPr>
                <w:t>65</w:t>
              </w:r>
            </w:hyperlink>
          </w:p>
        </w:tc>
      </w:tr>
      <w:tr>
        <w:trPr/>
        <w:tc>
          <w:tcPr>
            <w:tcW w:w="95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00a62d3ac7a466aaf00b0d46335032a_100">
              <w:r>
                <w:rPr>
                  <w:rStyle w:val="InternetLink"/>
                  <w:rFonts w:ascii="Helvetica Light;sans-serif" w:hAnsi="Helvetica Light;sans-serif"/>
                  <w:b w:val="false"/>
                  <w:strike w:val="false"/>
                  <w:dstrike w:val="false"/>
                  <w:color w:val="000000"/>
                  <w:sz w:val="20"/>
                  <w:u w:val="none"/>
                  <w:effect w:val="none"/>
                </w:rPr>
                <w:t>5. Tax expense/(benefit)</w:t>
              </w:r>
            </w:hyperlink>
          </w:p>
        </w:tc>
        <w:tc>
          <w:tcPr>
            <w:tcW w:w="618"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600a62d3ac7a466aaf00b0d46335032a_100">
              <w:r>
                <w:rPr>
                  <w:rStyle w:val="InternetLink"/>
                  <w:rFonts w:ascii="Helvetica Light;sans-serif" w:hAnsi="Helvetica Light;sans-serif"/>
                  <w:b w:val="false"/>
                  <w:strike w:val="false"/>
                  <w:dstrike w:val="false"/>
                  <w:color w:val="000000"/>
                  <w:sz w:val="20"/>
                  <w:u w:val="none"/>
                  <w:effect w:val="none"/>
                </w:rPr>
                <w:t>66</w:t>
              </w:r>
            </w:hyperlink>
          </w:p>
        </w:tc>
      </w:tr>
      <w:tr>
        <w:trPr/>
        <w:tc>
          <w:tcPr>
            <w:tcW w:w="95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00a62d3ac7a466aaf00b0d46335032a_103">
              <w:r>
                <w:rPr>
                  <w:rStyle w:val="InternetLink"/>
                  <w:rFonts w:ascii="Helvetica Light;sans-serif" w:hAnsi="Helvetica Light;sans-serif"/>
                  <w:b w:val="false"/>
                  <w:strike w:val="false"/>
                  <w:dstrike w:val="false"/>
                  <w:color w:val="000000"/>
                  <w:sz w:val="20"/>
                  <w:u w:val="none"/>
                  <w:effect w:val="none"/>
                </w:rPr>
                <w:t>6. Goodwill and intangible assets with indefinite useful lives</w:t>
              </w:r>
            </w:hyperlink>
          </w:p>
        </w:tc>
        <w:tc>
          <w:tcPr>
            <w:tcW w:w="618"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600a62d3ac7a466aaf00b0d46335032a_103">
              <w:r>
                <w:rPr>
                  <w:rStyle w:val="InternetLink"/>
                  <w:rFonts w:ascii="Helvetica Light;sans-serif" w:hAnsi="Helvetica Light;sans-serif"/>
                  <w:b w:val="false"/>
                  <w:strike w:val="false"/>
                  <w:dstrike w:val="false"/>
                  <w:color w:val="000000"/>
                  <w:sz w:val="20"/>
                  <w:u w:val="none"/>
                  <w:effect w:val="none"/>
                </w:rPr>
                <w:t>66</w:t>
              </w:r>
            </w:hyperlink>
          </w:p>
        </w:tc>
      </w:tr>
      <w:tr>
        <w:trPr/>
        <w:tc>
          <w:tcPr>
            <w:tcW w:w="95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00a62d3ac7a466aaf00b0d46335032a_106">
              <w:r>
                <w:rPr>
                  <w:rStyle w:val="InternetLink"/>
                  <w:rFonts w:ascii="Helvetica Light;sans-serif" w:hAnsi="Helvetica Light;sans-serif"/>
                  <w:b w:val="false"/>
                  <w:strike w:val="false"/>
                  <w:dstrike w:val="false"/>
                  <w:color w:val="000000"/>
                  <w:sz w:val="20"/>
                  <w:u w:val="none"/>
                  <w:effect w:val="none"/>
                </w:rPr>
                <w:t>7. Other assets and prepaid expenses</w:t>
              </w:r>
            </w:hyperlink>
          </w:p>
        </w:tc>
        <w:tc>
          <w:tcPr>
            <w:tcW w:w="618"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600a62d3ac7a466aaf00b0d46335032a_106">
              <w:r>
                <w:rPr>
                  <w:rStyle w:val="InternetLink"/>
                  <w:rFonts w:ascii="Helvetica Light;sans-serif" w:hAnsi="Helvetica Light;sans-serif"/>
                  <w:b w:val="false"/>
                  <w:strike w:val="false"/>
                  <w:dstrike w:val="false"/>
                  <w:color w:val="000000"/>
                  <w:sz w:val="20"/>
                  <w:u w:val="none"/>
                  <w:effect w:val="none"/>
                </w:rPr>
                <w:t>67</w:t>
              </w:r>
            </w:hyperlink>
          </w:p>
        </w:tc>
      </w:tr>
      <w:tr>
        <w:trPr/>
        <w:tc>
          <w:tcPr>
            <w:tcW w:w="95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00a62d3ac7a466aaf00b0d46335032a_109">
              <w:r>
                <w:rPr>
                  <w:rStyle w:val="InternetLink"/>
                  <w:rFonts w:ascii="Helvetica Light;sans-serif" w:hAnsi="Helvetica Light;sans-serif"/>
                  <w:b w:val="false"/>
                  <w:strike w:val="false"/>
                  <w:dstrike w:val="false"/>
                  <w:color w:val="000000"/>
                  <w:sz w:val="20"/>
                  <w:u w:val="none"/>
                  <w:effect w:val="none"/>
                </w:rPr>
                <w:t>8. Financial assets</w:t>
              </w:r>
            </w:hyperlink>
          </w:p>
        </w:tc>
        <w:tc>
          <w:tcPr>
            <w:tcW w:w="618"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600a62d3ac7a466aaf00b0d46335032a_109">
              <w:r>
                <w:rPr>
                  <w:rStyle w:val="InternetLink"/>
                  <w:rFonts w:ascii="Helvetica Light;sans-serif" w:hAnsi="Helvetica Light;sans-serif"/>
                  <w:b w:val="false"/>
                  <w:strike w:val="false"/>
                  <w:dstrike w:val="false"/>
                  <w:color w:val="000000"/>
                  <w:sz w:val="20"/>
                  <w:u w:val="none"/>
                  <w:effect w:val="none"/>
                </w:rPr>
                <w:t>67</w:t>
              </w:r>
            </w:hyperlink>
          </w:p>
        </w:tc>
      </w:tr>
      <w:tr>
        <w:trPr/>
        <w:tc>
          <w:tcPr>
            <w:tcW w:w="95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00a62d3ac7a466aaf00b0d46335032a_112">
              <w:r>
                <w:rPr>
                  <w:rStyle w:val="InternetLink"/>
                  <w:rFonts w:ascii="Helvetica Light;sans-serif" w:hAnsi="Helvetica Light;sans-serif"/>
                  <w:b w:val="false"/>
                  <w:strike w:val="false"/>
                  <w:dstrike w:val="false"/>
                  <w:color w:val="000000"/>
                  <w:sz w:val="20"/>
                  <w:u w:val="none"/>
                  <w:effect w:val="none"/>
                </w:rPr>
                <w:t>9. Inventories</w:t>
              </w:r>
            </w:hyperlink>
          </w:p>
        </w:tc>
        <w:tc>
          <w:tcPr>
            <w:tcW w:w="618"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600a62d3ac7a466aaf00b0d46335032a_112">
              <w:r>
                <w:rPr>
                  <w:rStyle w:val="InternetLink"/>
                  <w:rFonts w:ascii="Helvetica Light;sans-serif" w:hAnsi="Helvetica Light;sans-serif"/>
                  <w:b w:val="false"/>
                  <w:strike w:val="false"/>
                  <w:dstrike w:val="false"/>
                  <w:color w:val="000000"/>
                  <w:sz w:val="20"/>
                  <w:u w:val="none"/>
                  <w:effect w:val="none"/>
                </w:rPr>
                <w:t>68</w:t>
              </w:r>
            </w:hyperlink>
          </w:p>
        </w:tc>
      </w:tr>
      <w:tr>
        <w:trPr/>
        <w:tc>
          <w:tcPr>
            <w:tcW w:w="95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00a62d3ac7a466aaf00b0d46335032a_115">
              <w:r>
                <w:rPr>
                  <w:rStyle w:val="InternetLink"/>
                  <w:rFonts w:ascii="Helvetica Light;sans-serif" w:hAnsi="Helvetica Light;sans-serif"/>
                  <w:b w:val="false"/>
                  <w:strike w:val="false"/>
                  <w:dstrike w:val="false"/>
                  <w:color w:val="000000"/>
                  <w:sz w:val="20"/>
                  <w:u w:val="none"/>
                  <w:effect w:val="none"/>
                </w:rPr>
                <w:t>10. Share-based compensation</w:t>
              </w:r>
            </w:hyperlink>
          </w:p>
        </w:tc>
        <w:tc>
          <w:tcPr>
            <w:tcW w:w="618"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600a62d3ac7a466aaf00b0d46335032a_115">
              <w:r>
                <w:rPr>
                  <w:rStyle w:val="InternetLink"/>
                  <w:rFonts w:ascii="Helvetica Light;sans-serif" w:hAnsi="Helvetica Light;sans-serif"/>
                  <w:b w:val="false"/>
                  <w:strike w:val="false"/>
                  <w:dstrike w:val="false"/>
                  <w:color w:val="000000"/>
                  <w:sz w:val="20"/>
                  <w:u w:val="none"/>
                  <w:effect w:val="none"/>
                </w:rPr>
                <w:t>68</w:t>
              </w:r>
            </w:hyperlink>
          </w:p>
        </w:tc>
      </w:tr>
      <w:tr>
        <w:trPr/>
        <w:tc>
          <w:tcPr>
            <w:tcW w:w="95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00a62d3ac7a466aaf00b0d46335032a_118">
              <w:r>
                <w:rPr>
                  <w:rStyle w:val="InternetLink"/>
                  <w:rFonts w:ascii="Helvetica Light;sans-serif" w:hAnsi="Helvetica Light;sans-serif"/>
                  <w:b w:val="false"/>
                  <w:strike w:val="false"/>
                  <w:dstrike w:val="false"/>
                  <w:color w:val="000000"/>
                  <w:sz w:val="20"/>
                  <w:u w:val="none"/>
                  <w:effect w:val="none"/>
                </w:rPr>
                <w:t>11. Employee benefits liabilities</w:t>
              </w:r>
            </w:hyperlink>
          </w:p>
        </w:tc>
        <w:tc>
          <w:tcPr>
            <w:tcW w:w="618"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600a62d3ac7a466aaf00b0d46335032a_118">
              <w:r>
                <w:rPr>
                  <w:rStyle w:val="InternetLink"/>
                  <w:rFonts w:ascii="Helvetica Light;sans-serif" w:hAnsi="Helvetica Light;sans-serif"/>
                  <w:b w:val="false"/>
                  <w:strike w:val="false"/>
                  <w:dstrike w:val="false"/>
                  <w:color w:val="000000"/>
                  <w:sz w:val="20"/>
                  <w:u w:val="none"/>
                  <w:effect w:val="none"/>
                </w:rPr>
                <w:t>68</w:t>
              </w:r>
            </w:hyperlink>
          </w:p>
        </w:tc>
      </w:tr>
      <w:tr>
        <w:trPr/>
        <w:tc>
          <w:tcPr>
            <w:tcW w:w="95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00a62d3ac7a466aaf00b0d46335032a_121">
              <w:r>
                <w:rPr>
                  <w:rStyle w:val="InternetLink"/>
                  <w:rFonts w:ascii="Helvetica Light;sans-serif" w:hAnsi="Helvetica Light;sans-serif"/>
                  <w:b w:val="false"/>
                  <w:strike w:val="false"/>
                  <w:dstrike w:val="false"/>
                  <w:color w:val="000000"/>
                  <w:sz w:val="20"/>
                  <w:u w:val="none"/>
                  <w:effect w:val="none"/>
                </w:rPr>
                <w:t>12. Provisions</w:t>
              </w:r>
            </w:hyperlink>
          </w:p>
        </w:tc>
        <w:tc>
          <w:tcPr>
            <w:tcW w:w="618"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600a62d3ac7a466aaf00b0d46335032a_121">
              <w:r>
                <w:rPr>
                  <w:rStyle w:val="InternetLink"/>
                  <w:rFonts w:ascii="Helvetica Light;sans-serif" w:hAnsi="Helvetica Light;sans-serif"/>
                  <w:b w:val="false"/>
                  <w:strike w:val="false"/>
                  <w:dstrike w:val="false"/>
                  <w:color w:val="000000"/>
                  <w:sz w:val="20"/>
                  <w:u w:val="none"/>
                  <w:effect w:val="none"/>
                </w:rPr>
                <w:t>70</w:t>
              </w:r>
            </w:hyperlink>
          </w:p>
        </w:tc>
      </w:tr>
      <w:tr>
        <w:trPr/>
        <w:tc>
          <w:tcPr>
            <w:tcW w:w="95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00a62d3ac7a466aaf00b0d46335032a_124">
              <w:r>
                <w:rPr>
                  <w:rStyle w:val="InternetLink"/>
                  <w:rFonts w:ascii="Helvetica Light;sans-serif" w:hAnsi="Helvetica Light;sans-serif"/>
                  <w:b w:val="false"/>
                  <w:strike w:val="false"/>
                  <w:dstrike w:val="false"/>
                  <w:color w:val="000000"/>
                  <w:sz w:val="20"/>
                  <w:u w:val="none"/>
                  <w:effect w:val="none"/>
                </w:rPr>
                <w:t>13. Debt</w:t>
              </w:r>
            </w:hyperlink>
          </w:p>
        </w:tc>
        <w:tc>
          <w:tcPr>
            <w:tcW w:w="618"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600a62d3ac7a466aaf00b0d46335032a_124">
              <w:r>
                <w:rPr>
                  <w:rStyle w:val="InternetLink"/>
                  <w:rFonts w:ascii="Helvetica Light;sans-serif" w:hAnsi="Helvetica Light;sans-serif"/>
                  <w:b w:val="false"/>
                  <w:strike w:val="false"/>
                  <w:dstrike w:val="false"/>
                  <w:color w:val="000000"/>
                  <w:sz w:val="20"/>
                  <w:u w:val="none"/>
                  <w:effect w:val="none"/>
                </w:rPr>
                <w:t>70</w:t>
              </w:r>
            </w:hyperlink>
          </w:p>
        </w:tc>
      </w:tr>
      <w:tr>
        <w:trPr/>
        <w:tc>
          <w:tcPr>
            <w:tcW w:w="95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00a62d3ac7a466aaf00b0d46335032a_127">
              <w:r>
                <w:rPr>
                  <w:rStyle w:val="InternetLink"/>
                  <w:rFonts w:ascii="Helvetica Light;sans-serif" w:hAnsi="Helvetica Light;sans-serif"/>
                  <w:b w:val="false"/>
                  <w:strike w:val="false"/>
                  <w:dstrike w:val="false"/>
                  <w:color w:val="000000"/>
                  <w:sz w:val="20"/>
                  <w:u w:val="none"/>
                  <w:effect w:val="none"/>
                </w:rPr>
                <w:t>14. Other liabilities</w:t>
              </w:r>
            </w:hyperlink>
          </w:p>
        </w:tc>
        <w:tc>
          <w:tcPr>
            <w:tcW w:w="618"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600a62d3ac7a466aaf00b0d46335032a_127">
              <w:r>
                <w:rPr>
                  <w:rStyle w:val="InternetLink"/>
                  <w:rFonts w:ascii="Helvetica Light;sans-serif" w:hAnsi="Helvetica Light;sans-serif"/>
                  <w:b w:val="false"/>
                  <w:strike w:val="false"/>
                  <w:dstrike w:val="false"/>
                  <w:color w:val="000000"/>
                  <w:sz w:val="20"/>
                  <w:u w:val="none"/>
                  <w:effect w:val="none"/>
                </w:rPr>
                <w:t>73</w:t>
              </w:r>
            </w:hyperlink>
          </w:p>
        </w:tc>
      </w:tr>
      <w:tr>
        <w:trPr/>
        <w:tc>
          <w:tcPr>
            <w:tcW w:w="95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00a62d3ac7a466aaf00b0d46335032a_130">
              <w:r>
                <w:rPr>
                  <w:rStyle w:val="InternetLink"/>
                  <w:rFonts w:ascii="Helvetica Light;sans-serif" w:hAnsi="Helvetica Light;sans-serif"/>
                  <w:b w:val="false"/>
                  <w:strike w:val="false"/>
                  <w:dstrike w:val="false"/>
                  <w:color w:val="000000"/>
                  <w:sz w:val="20"/>
                  <w:u w:val="none"/>
                  <w:effect w:val="none"/>
                </w:rPr>
                <w:t>15. Fair value measurement</w:t>
              </w:r>
            </w:hyperlink>
          </w:p>
        </w:tc>
        <w:tc>
          <w:tcPr>
            <w:tcW w:w="618"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600a62d3ac7a466aaf00b0d46335032a_130">
              <w:r>
                <w:rPr>
                  <w:rStyle w:val="InternetLink"/>
                  <w:rFonts w:ascii="Helvetica Light;sans-serif" w:hAnsi="Helvetica Light;sans-serif"/>
                  <w:b w:val="false"/>
                  <w:strike w:val="false"/>
                  <w:dstrike w:val="false"/>
                  <w:color w:val="000000"/>
                  <w:sz w:val="20"/>
                  <w:u w:val="none"/>
                  <w:effect w:val="none"/>
                </w:rPr>
                <w:t>73</w:t>
              </w:r>
            </w:hyperlink>
          </w:p>
        </w:tc>
      </w:tr>
      <w:tr>
        <w:trPr/>
        <w:tc>
          <w:tcPr>
            <w:tcW w:w="95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00a62d3ac7a466aaf00b0d46335032a_133">
              <w:r>
                <w:rPr>
                  <w:rStyle w:val="InternetLink"/>
                  <w:rFonts w:ascii="Helvetica Light;sans-serif" w:hAnsi="Helvetica Light;sans-serif"/>
                  <w:b w:val="false"/>
                  <w:strike w:val="false"/>
                  <w:dstrike w:val="false"/>
                  <w:color w:val="000000"/>
                  <w:sz w:val="20"/>
                  <w:u w:val="none"/>
                  <w:effect w:val="none"/>
                </w:rPr>
                <w:t>16. Related party transactions</w:t>
              </w:r>
            </w:hyperlink>
          </w:p>
        </w:tc>
        <w:tc>
          <w:tcPr>
            <w:tcW w:w="618"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600a62d3ac7a466aaf00b0d46335032a_133">
              <w:r>
                <w:rPr>
                  <w:rStyle w:val="InternetLink"/>
                  <w:rFonts w:ascii="Helvetica Light;sans-serif" w:hAnsi="Helvetica Light;sans-serif"/>
                  <w:b w:val="false"/>
                  <w:strike w:val="false"/>
                  <w:dstrike w:val="false"/>
                  <w:color w:val="000000"/>
                  <w:sz w:val="20"/>
                  <w:u w:val="none"/>
                  <w:effect w:val="none"/>
                </w:rPr>
                <w:t>77</w:t>
              </w:r>
            </w:hyperlink>
          </w:p>
        </w:tc>
      </w:tr>
      <w:tr>
        <w:trPr/>
        <w:tc>
          <w:tcPr>
            <w:tcW w:w="95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00a62d3ac7a466aaf00b0d46335032a_136">
              <w:r>
                <w:rPr>
                  <w:rStyle w:val="InternetLink"/>
                  <w:rFonts w:ascii="Helvetica Light;sans-serif" w:hAnsi="Helvetica Light;sans-serif"/>
                  <w:b w:val="false"/>
                  <w:strike w:val="false"/>
                  <w:dstrike w:val="false"/>
                  <w:color w:val="000000"/>
                  <w:sz w:val="20"/>
                  <w:u w:val="none"/>
                  <w:effect w:val="none"/>
                </w:rPr>
                <w:t>17. Guarantees granted, commitments and contingent liabilities</w:t>
              </w:r>
            </w:hyperlink>
          </w:p>
        </w:tc>
        <w:tc>
          <w:tcPr>
            <w:tcW w:w="618"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600a62d3ac7a466aaf00b0d46335032a_136">
              <w:r>
                <w:rPr>
                  <w:rStyle w:val="InternetLink"/>
                  <w:rFonts w:ascii="Helvetica Light;sans-serif" w:hAnsi="Helvetica Light;sans-serif"/>
                  <w:b w:val="false"/>
                  <w:strike w:val="false"/>
                  <w:dstrike w:val="false"/>
                  <w:color w:val="000000"/>
                  <w:sz w:val="20"/>
                  <w:u w:val="none"/>
                  <w:effect w:val="none"/>
                </w:rPr>
                <w:t>78</w:t>
              </w:r>
            </w:hyperlink>
          </w:p>
        </w:tc>
      </w:tr>
      <w:tr>
        <w:trPr/>
        <w:tc>
          <w:tcPr>
            <w:tcW w:w="95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00a62d3ac7a466aaf00b0d46335032a_139">
              <w:r>
                <w:rPr>
                  <w:rStyle w:val="InternetLink"/>
                  <w:rFonts w:ascii="Helvetica Light;sans-serif" w:hAnsi="Helvetica Light;sans-serif"/>
                  <w:b w:val="false"/>
                  <w:strike w:val="false"/>
                  <w:dstrike w:val="false"/>
                  <w:color w:val="000000"/>
                  <w:sz w:val="20"/>
                  <w:u w:val="none"/>
                  <w:effect w:val="none"/>
                </w:rPr>
                <w:t>18. Equity</w:t>
              </w:r>
            </w:hyperlink>
          </w:p>
        </w:tc>
        <w:tc>
          <w:tcPr>
            <w:tcW w:w="618"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600a62d3ac7a466aaf00b0d46335032a_139">
              <w:r>
                <w:rPr>
                  <w:rStyle w:val="InternetLink"/>
                  <w:rFonts w:ascii="Helvetica Light;sans-serif" w:hAnsi="Helvetica Light;sans-serif"/>
                  <w:b w:val="false"/>
                  <w:strike w:val="false"/>
                  <w:dstrike w:val="false"/>
                  <w:color w:val="000000"/>
                  <w:sz w:val="20"/>
                  <w:u w:val="none"/>
                  <w:effect w:val="none"/>
                </w:rPr>
                <w:t>79</w:t>
              </w:r>
            </w:hyperlink>
          </w:p>
        </w:tc>
      </w:tr>
      <w:tr>
        <w:trPr/>
        <w:tc>
          <w:tcPr>
            <w:tcW w:w="95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00a62d3ac7a466aaf00b0d46335032a_142">
              <w:r>
                <w:rPr>
                  <w:rStyle w:val="InternetLink"/>
                  <w:rFonts w:ascii="Helvetica Light;sans-serif" w:hAnsi="Helvetica Light;sans-serif"/>
                  <w:b w:val="false"/>
                  <w:strike w:val="false"/>
                  <w:dstrike w:val="false"/>
                  <w:color w:val="000000"/>
                  <w:sz w:val="20"/>
                  <w:u w:val="none"/>
                  <w:effect w:val="none"/>
                </w:rPr>
                <w:t>19. Earnings/(loss) per share</w:t>
              </w:r>
            </w:hyperlink>
          </w:p>
        </w:tc>
        <w:tc>
          <w:tcPr>
            <w:tcW w:w="618"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600a62d3ac7a466aaf00b0d46335032a_142">
              <w:r>
                <w:rPr>
                  <w:rStyle w:val="InternetLink"/>
                  <w:rFonts w:ascii="Helvetica Light;sans-serif" w:hAnsi="Helvetica Light;sans-serif"/>
                  <w:b w:val="false"/>
                  <w:strike w:val="false"/>
                  <w:dstrike w:val="false"/>
                  <w:color w:val="000000"/>
                  <w:sz w:val="20"/>
                  <w:u w:val="none"/>
                  <w:effect w:val="none"/>
                </w:rPr>
                <w:t>81</w:t>
              </w:r>
            </w:hyperlink>
          </w:p>
        </w:tc>
      </w:tr>
      <w:tr>
        <w:trPr/>
        <w:tc>
          <w:tcPr>
            <w:tcW w:w="95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00a62d3ac7a466aaf00b0d46335032a_145">
              <w:r>
                <w:rPr>
                  <w:rStyle w:val="InternetLink"/>
                  <w:rFonts w:ascii="Helvetica Light;sans-serif" w:hAnsi="Helvetica Light;sans-serif"/>
                  <w:b w:val="false"/>
                  <w:strike w:val="false"/>
                  <w:dstrike w:val="false"/>
                  <w:color w:val="000000"/>
                  <w:sz w:val="20"/>
                  <w:u w:val="none"/>
                  <w:effect w:val="none"/>
                </w:rPr>
                <w:t>20. Segment reporting</w:t>
              </w:r>
            </w:hyperlink>
          </w:p>
        </w:tc>
        <w:tc>
          <w:tcPr>
            <w:tcW w:w="618"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600a62d3ac7a466aaf00b0d46335032a_145">
              <w:r>
                <w:rPr>
                  <w:rStyle w:val="InternetLink"/>
                  <w:rFonts w:ascii="Helvetica Light;sans-serif" w:hAnsi="Helvetica Light;sans-serif"/>
                  <w:b w:val="false"/>
                  <w:strike w:val="false"/>
                  <w:dstrike w:val="false"/>
                  <w:color w:val="000000"/>
                  <w:sz w:val="20"/>
                  <w:u w:val="none"/>
                  <w:effect w:val="none"/>
                </w:rPr>
                <w:t>82</w:t>
              </w:r>
            </w:hyperlink>
          </w:p>
        </w:tc>
      </w:tr>
      <w:tr>
        <w:trPr/>
        <w:tc>
          <w:tcPr>
            <w:tcW w:w="95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00a62d3ac7a466aaf00b0d46335032a_148">
              <w:r>
                <w:rPr>
                  <w:rStyle w:val="InternetLink"/>
                  <w:rFonts w:ascii="Helvetica Light;sans-serif" w:hAnsi="Helvetica Light;sans-serif"/>
                  <w:b w:val="false"/>
                  <w:strike w:val="false"/>
                  <w:dstrike w:val="false"/>
                  <w:color w:val="000000"/>
                  <w:sz w:val="20"/>
                  <w:u w:val="none"/>
                  <w:effect w:val="none"/>
                </w:rPr>
                <w:t>21. Subsequent events</w:t>
              </w:r>
            </w:hyperlink>
          </w:p>
        </w:tc>
        <w:tc>
          <w:tcPr>
            <w:tcW w:w="618"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600a62d3ac7a466aaf00b0d46335032a_148">
              <w:r>
                <w:rPr>
                  <w:rStyle w:val="InternetLink"/>
                  <w:rFonts w:ascii="Helvetica Light;sans-serif" w:hAnsi="Helvetica Light;sans-serif"/>
                  <w:b w:val="false"/>
                  <w:strike w:val="false"/>
                  <w:dstrike w:val="false"/>
                  <w:color w:val="000000"/>
                  <w:sz w:val="20"/>
                  <w:u w:val="none"/>
                  <w:effect w:val="none"/>
                </w:rPr>
                <w:t>87</w:t>
              </w:r>
            </w:hyperlink>
          </w:p>
        </w:tc>
      </w:tr>
      <w:tr>
        <w:trPr/>
        <w:tc>
          <w:tcPr>
            <w:tcW w:w="9587" w:type="dxa"/>
            <w:gridSpan w:val="3"/>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lineRule="auto" w:line="240" w:before="0" w:after="0"/>
              <w:jc w:val="left"/>
              <w:rPr/>
            </w:pPr>
            <w:hyperlink w:anchor="i600a62d3ac7a466aaf00b0d46335032a_151">
              <w:r>
                <w:rPr>
                  <w:rStyle w:val="InternetLink"/>
                  <w:rFonts w:ascii="Helvetica;sans-serif" w:hAnsi="Helvetica;sans-serif"/>
                  <w:b/>
                  <w:strike w:val="false"/>
                  <w:dstrike w:val="false"/>
                  <w:color w:val="000000"/>
                  <w:sz w:val="20"/>
                  <w:u w:val="none"/>
                  <w:effect w:val="none"/>
                </w:rPr>
                <w:t>RESPONSIBILITY STATEMENT</w:t>
              </w:r>
            </w:hyperlink>
          </w:p>
        </w:tc>
        <w:tc>
          <w:tcPr>
            <w:tcW w:w="618" w:type="dxa"/>
            <w:gridSpan w:val="3"/>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lineRule="auto" w:line="288" w:before="0" w:after="0"/>
              <w:jc w:val="center"/>
              <w:rPr/>
            </w:pPr>
            <w:hyperlink w:anchor="i600a62d3ac7a466aaf00b0d46335032a_151">
              <w:r>
                <w:rPr>
                  <w:rStyle w:val="InternetLink"/>
                  <w:rFonts w:ascii="Helvetica;sans-serif" w:hAnsi="Helvetica;sans-serif"/>
                  <w:b/>
                  <w:strike w:val="false"/>
                  <w:dstrike w:val="false"/>
                  <w:color w:val="000000"/>
                  <w:sz w:val="20"/>
                  <w:u w:val="none"/>
                  <w:effect w:val="none"/>
                </w:rPr>
                <w:t>88</w:t>
              </w:r>
            </w:hyperlink>
          </w:p>
        </w:tc>
      </w:tr>
    </w:tbl>
    <w:p>
      <w:pPr>
        <w:pStyle w:val="TextBody"/>
        <w:bidi w:val="0"/>
        <w:spacing w:lineRule="auto" w:line="288" w:before="100" w:after="240"/>
        <w:jc w:val="center"/>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88" w:before="0" w:after="240"/>
        <w:jc w:val="left"/>
        <w:rPr>
          <w:rFonts w:ascii="Helvetica Light;sans-serif" w:hAnsi="Helvetica Light;sans-serif"/>
          <w:b w:val="false"/>
          <w:color w:val="143A84"/>
          <w:sz w:val="28"/>
        </w:rPr>
      </w:pPr>
      <w:r>
        <w:rPr>
          <w:rFonts w:ascii="Helvetica Light;sans-serif" w:hAnsi="Helvetica Light;sans-serif"/>
          <w:b w:val="false"/>
          <w:color w:val="143A84"/>
          <w:sz w:val="28"/>
        </w:rPr>
        <w:t>Cautionary Statements Concerning Forward Looking Statements</w:t>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Statements contained in this report, particularly those regarding possible or assumed future performance, competitive strengths, costs, dividends, reserves, our growth, industry growth and other trends and projections and estimated company earnings are “forward-looking statements” that contain risks and uncertainties. In some cases, words such as “may”, “will”, “expect”, “could”, “should”, “intend”, “estimate”, “anticipate”, “believe”, “remain”, “on track”, “design”, “target”, “objective”, “goal”, “forecast”, “projection”, “outlook”, “prospects”, “plan”, or similar terms are used to identify forward-looking statements. These forward-looking statements reflect our current views with respect to future events and involve significant risks and uncertainties that could cause actual results to differ materially.</w:t>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These risks and uncertainties include, without limitation:</w:t>
      </w:r>
    </w:p>
    <w:p>
      <w:pPr>
        <w:pStyle w:val="TextBody"/>
        <w:bidi w:val="0"/>
        <w:spacing w:lineRule="auto" w:line="343" w:before="0" w:after="120"/>
        <w:ind w:left="0" w:right="0" w:hanging="173"/>
        <w:jc w:val="left"/>
        <w:rPr/>
      </w:pPr>
      <w:r>
        <w:rPr>
          <w:color w:val="143A84"/>
        </w:rPr>
        <w:t>•</w:t>
      </w:r>
      <w:r>
        <w:rPr>
          <w:rFonts w:ascii="Helvetica Light;sans-serif" w:hAnsi="Helvetica Light;sans-serif"/>
          <w:b w:val="false"/>
          <w:color w:val="000000"/>
          <w:sz w:val="20"/>
        </w:rPr>
        <w:t>our ability to maintain vehicle shipment volumes;</w:t>
      </w:r>
    </w:p>
    <w:p>
      <w:pPr>
        <w:pStyle w:val="TextBody"/>
        <w:bidi w:val="0"/>
        <w:spacing w:lineRule="auto" w:line="343" w:before="0" w:after="120"/>
        <w:ind w:left="0" w:right="0" w:hanging="173"/>
        <w:jc w:val="left"/>
        <w:rPr/>
      </w:pPr>
      <w:r>
        <w:rPr>
          <w:color w:val="143A84"/>
        </w:rPr>
        <w:t>•</w:t>
      </w:r>
      <w:r>
        <w:rPr>
          <w:rFonts w:ascii="Helvetica Light;sans-serif" w:hAnsi="Helvetica Light;sans-serif"/>
          <w:b w:val="false"/>
          <w:color w:val="000000"/>
          <w:sz w:val="20"/>
        </w:rPr>
        <w:t>changes in the global financial markets, general economic environment and changes in demand for automotive products, which is subject to cyclicality;</w:t>
      </w:r>
    </w:p>
    <w:p>
      <w:pPr>
        <w:pStyle w:val="TextBody"/>
        <w:bidi w:val="0"/>
        <w:spacing w:lineRule="auto" w:line="343" w:before="0" w:after="120"/>
        <w:ind w:left="0" w:right="0" w:hanging="173"/>
        <w:jc w:val="left"/>
        <w:rPr/>
      </w:pPr>
      <w:r>
        <w:rPr>
          <w:color w:val="143A84"/>
        </w:rPr>
        <w:t>•</w:t>
      </w:r>
      <w:r>
        <w:rPr>
          <w:rFonts w:ascii="Helvetica Light;sans-serif" w:hAnsi="Helvetica Light;sans-serif"/>
          <w:b w:val="false"/>
          <w:color w:val="000000"/>
          <w:sz w:val="20"/>
        </w:rPr>
        <w:t xml:space="preserve">changes in trade policy, the imposition of global and regional tariffs or tariffs targeted to the automotive industry; </w:t>
      </w:r>
    </w:p>
    <w:p>
      <w:pPr>
        <w:pStyle w:val="TextBody"/>
        <w:bidi w:val="0"/>
        <w:spacing w:lineRule="auto" w:line="343" w:before="0" w:after="120"/>
        <w:ind w:left="0" w:right="0" w:hanging="173"/>
        <w:jc w:val="left"/>
        <w:rPr/>
      </w:pPr>
      <w:r>
        <w:rPr>
          <w:color w:val="143A84"/>
        </w:rPr>
        <w:t>•</w:t>
      </w:r>
      <w:r>
        <w:rPr>
          <w:rFonts w:ascii="Helvetica Light;sans-serif" w:hAnsi="Helvetica Light;sans-serif"/>
          <w:b w:val="false"/>
          <w:color w:val="000000"/>
          <w:sz w:val="20"/>
        </w:rPr>
        <w:t>our ability to accurately predict the market demand for electrified vehicles;</w:t>
      </w:r>
    </w:p>
    <w:p>
      <w:pPr>
        <w:pStyle w:val="TextBody"/>
        <w:bidi w:val="0"/>
        <w:spacing w:lineRule="auto" w:line="343" w:before="0" w:after="120"/>
        <w:ind w:left="0" w:right="0" w:hanging="173"/>
        <w:jc w:val="left"/>
        <w:rPr/>
      </w:pPr>
      <w:r>
        <w:rPr>
          <w:color w:val="143A84"/>
        </w:rPr>
        <w:t>•</w:t>
      </w:r>
      <w:r>
        <w:rPr>
          <w:rFonts w:ascii="Helvetica Light;sans-serif" w:hAnsi="Helvetica Light;sans-serif"/>
          <w:b w:val="false"/>
          <w:color w:val="000000"/>
          <w:sz w:val="20"/>
        </w:rPr>
        <w:t>our ability to offer innovative, attractive and relevant products;</w:t>
      </w:r>
    </w:p>
    <w:p>
      <w:pPr>
        <w:pStyle w:val="TextBody"/>
        <w:bidi w:val="0"/>
        <w:spacing w:lineRule="auto" w:line="343" w:before="0" w:after="120"/>
        <w:ind w:left="0" w:right="0" w:hanging="173"/>
        <w:jc w:val="left"/>
        <w:rPr/>
      </w:pPr>
      <w:r>
        <w:rPr>
          <w:color w:val="143A84"/>
        </w:rPr>
        <w:t>•</w:t>
      </w:r>
      <w:r>
        <w:rPr>
          <w:rFonts w:ascii="Helvetica Light;sans-serif" w:hAnsi="Helvetica Light;sans-serif"/>
          <w:b w:val="false"/>
          <w:color w:val="000000"/>
          <w:sz w:val="20"/>
        </w:rPr>
        <w:t>a significant malfunction, disruption or security breach compromising information technology systems or the electronic control systems contained in our vehicles;</w:t>
      </w:r>
    </w:p>
    <w:p>
      <w:pPr>
        <w:pStyle w:val="TextBody"/>
        <w:bidi w:val="0"/>
        <w:spacing w:lineRule="auto" w:line="343" w:before="0" w:after="120"/>
        <w:ind w:left="0" w:right="0" w:hanging="173"/>
        <w:jc w:val="left"/>
        <w:rPr/>
      </w:pPr>
      <w:r>
        <w:rPr>
          <w:color w:val="143A84"/>
        </w:rPr>
        <w:t>•</w:t>
      </w:r>
      <w:r>
        <w:rPr>
          <w:rFonts w:ascii="Helvetica Light;sans-serif" w:hAnsi="Helvetica Light;sans-serif"/>
          <w:b w:val="false"/>
          <w:color w:val="000000"/>
          <w:sz w:val="20"/>
        </w:rPr>
        <w:t>the level of competition in the automotive industry, which may increase due to consolidation and new entrants;</w:t>
      </w:r>
    </w:p>
    <w:p>
      <w:pPr>
        <w:pStyle w:val="TextBody"/>
        <w:bidi w:val="0"/>
        <w:spacing w:lineRule="auto" w:line="343" w:before="0" w:after="120"/>
        <w:ind w:left="0" w:right="0" w:hanging="173"/>
        <w:jc w:val="left"/>
        <w:rPr/>
      </w:pPr>
      <w:r>
        <w:rPr>
          <w:color w:val="143A84"/>
        </w:rPr>
        <w:t>•</w:t>
      </w:r>
      <w:r>
        <w:rPr>
          <w:rFonts w:ascii="Helvetica Light;sans-serif" w:hAnsi="Helvetica Light;sans-serif"/>
          <w:b w:val="false"/>
          <w:color w:val="000000"/>
          <w:sz w:val="20"/>
        </w:rPr>
        <w:t>our ability to attract and retain experienced management and employees;</w:t>
      </w:r>
    </w:p>
    <w:p>
      <w:pPr>
        <w:pStyle w:val="TextBody"/>
        <w:bidi w:val="0"/>
        <w:spacing w:lineRule="auto" w:line="343" w:before="0" w:after="120"/>
        <w:ind w:left="0" w:right="0" w:hanging="173"/>
        <w:jc w:val="left"/>
        <w:rPr/>
      </w:pPr>
      <w:r>
        <w:rPr>
          <w:color w:val="143A84"/>
        </w:rPr>
        <w:t>•</w:t>
      </w:r>
      <w:r>
        <w:rPr>
          <w:rFonts w:ascii="Helvetica Light;sans-serif" w:hAnsi="Helvetica Light;sans-serif"/>
          <w:b w:val="false"/>
          <w:color w:val="000000"/>
          <w:sz w:val="20"/>
        </w:rPr>
        <w:t>exchange rate fluctuations, interest rate changes, credit risk and other market risks;</w:t>
      </w:r>
    </w:p>
    <w:p>
      <w:pPr>
        <w:pStyle w:val="TextBody"/>
        <w:bidi w:val="0"/>
        <w:spacing w:lineRule="auto" w:line="343" w:before="0" w:after="120"/>
        <w:ind w:left="0" w:right="0" w:hanging="173"/>
        <w:jc w:val="left"/>
        <w:rPr/>
      </w:pPr>
      <w:r>
        <w:rPr>
          <w:color w:val="143A84"/>
        </w:rPr>
        <w:t>•</w:t>
      </w:r>
      <w:r>
        <w:rPr>
          <w:rFonts w:ascii="Helvetica Light;sans-serif" w:hAnsi="Helvetica Light;sans-serif"/>
          <w:b w:val="false"/>
          <w:color w:val="000000"/>
          <w:sz w:val="20"/>
        </w:rPr>
        <w:t>increases in costs, disruptions of supply or shortages of raw materials, parts, components and systems used in our vehicles;</w:t>
      </w:r>
    </w:p>
    <w:p>
      <w:pPr>
        <w:pStyle w:val="TextBody"/>
        <w:bidi w:val="0"/>
        <w:spacing w:lineRule="auto" w:line="343" w:before="0" w:after="120"/>
        <w:ind w:left="0" w:right="0" w:hanging="173"/>
        <w:jc w:val="left"/>
        <w:rPr/>
      </w:pPr>
      <w:r>
        <w:rPr>
          <w:color w:val="143A84"/>
        </w:rPr>
        <w:t>•</w:t>
      </w:r>
      <w:r>
        <w:rPr>
          <w:rFonts w:ascii="Helvetica Light;sans-serif" w:hAnsi="Helvetica Light;sans-serif"/>
          <w:b w:val="false"/>
          <w:color w:val="000000"/>
          <w:sz w:val="20"/>
        </w:rPr>
        <w:t>changes in local economic and political conditions;</w:t>
      </w:r>
    </w:p>
    <w:p>
      <w:pPr>
        <w:pStyle w:val="TextBody"/>
        <w:bidi w:val="0"/>
        <w:spacing w:lineRule="auto" w:line="343" w:before="0" w:after="120"/>
        <w:ind w:left="0" w:right="0" w:hanging="173"/>
        <w:jc w:val="left"/>
        <w:rPr/>
      </w:pPr>
      <w:r>
        <w:rPr>
          <w:color w:val="143A84"/>
        </w:rPr>
        <w:t>•</w:t>
      </w:r>
      <w:r>
        <w:rPr>
          <w:rFonts w:ascii="Helvetica Light;sans-serif" w:hAnsi="Helvetica Light;sans-serif"/>
          <w:b w:val="false"/>
          <w:color w:val="000000"/>
          <w:sz w:val="20"/>
        </w:rPr>
        <w:t>the enactment of tax reforms or other changes in laws and regulations;</w:t>
      </w:r>
    </w:p>
    <w:p>
      <w:pPr>
        <w:pStyle w:val="TextBody"/>
        <w:bidi w:val="0"/>
        <w:spacing w:lineRule="auto" w:line="343" w:before="0" w:after="120"/>
        <w:ind w:left="0" w:right="0" w:hanging="173"/>
        <w:jc w:val="left"/>
        <w:rPr/>
      </w:pPr>
      <w:r>
        <w:rPr>
          <w:color w:val="143A84"/>
        </w:rPr>
        <w:t>•</w:t>
      </w:r>
      <w:r>
        <w:rPr>
          <w:rFonts w:ascii="Helvetica Light;sans-serif" w:hAnsi="Helvetica Light;sans-serif"/>
          <w:b w:val="false"/>
          <w:color w:val="000000"/>
          <w:sz w:val="20"/>
        </w:rPr>
        <w:t>the level of governmental economic incentives available to support the adoption of battery electric vehicles;</w:t>
      </w:r>
    </w:p>
    <w:p>
      <w:pPr>
        <w:pStyle w:val="TextBody"/>
        <w:bidi w:val="0"/>
        <w:spacing w:lineRule="auto" w:line="343" w:before="0" w:after="120"/>
        <w:ind w:left="0" w:right="0" w:hanging="173"/>
        <w:jc w:val="left"/>
        <w:rPr/>
      </w:pPr>
      <w:r>
        <w:rPr>
          <w:color w:val="143A84"/>
        </w:rPr>
        <w:t>•</w:t>
      </w:r>
      <w:r>
        <w:rPr>
          <w:rFonts w:ascii="Helvetica Light;sans-serif" w:hAnsi="Helvetica Light;sans-serif"/>
          <w:b w:val="false"/>
          <w:color w:val="000000"/>
          <w:sz w:val="20"/>
        </w:rPr>
        <w:t>the impact of increasingly stringent regulations regarding fuel efficiency and greenhouse gas (“GHG”) and tailpipe emissions;</w:t>
      </w:r>
    </w:p>
    <w:p>
      <w:pPr>
        <w:pStyle w:val="TextBody"/>
        <w:bidi w:val="0"/>
        <w:spacing w:lineRule="auto" w:line="343" w:before="0" w:after="120"/>
        <w:ind w:left="0" w:right="0" w:hanging="173"/>
        <w:jc w:val="left"/>
        <w:rPr/>
      </w:pPr>
      <w:r>
        <w:rPr>
          <w:color w:val="143A84"/>
        </w:rPr>
        <w:t>•</w:t>
      </w:r>
      <w:r>
        <w:rPr>
          <w:rFonts w:ascii="Helvetica Light;sans-serif" w:hAnsi="Helvetica Light;sans-serif"/>
          <w:b w:val="false"/>
          <w:color w:val="000000"/>
          <w:sz w:val="20"/>
        </w:rPr>
        <w:t>various types of claims, lawsuits, governmental investigations and other contingencies, including product liability and warranty claims and environmental claims, investigations and lawsuits;</w:t>
      </w:r>
    </w:p>
    <w:p>
      <w:pPr>
        <w:pStyle w:val="TextBody"/>
        <w:bidi w:val="0"/>
        <w:spacing w:lineRule="auto" w:line="343" w:before="0" w:after="120"/>
        <w:ind w:left="0" w:right="0" w:hanging="173"/>
        <w:jc w:val="left"/>
        <w:rPr/>
      </w:pPr>
      <w:r>
        <w:rPr>
          <w:color w:val="143A84"/>
        </w:rPr>
        <w:t>•</w:t>
      </w:r>
      <w:r>
        <w:rPr>
          <w:rFonts w:ascii="Helvetica Light;sans-serif" w:hAnsi="Helvetica Light;sans-serif"/>
          <w:b w:val="false"/>
          <w:color w:val="000000"/>
          <w:sz w:val="20"/>
        </w:rPr>
        <w:t>material operating expenditures in relation to compliance with environmental, health and safety regulations;</w:t>
      </w:r>
    </w:p>
    <w:p>
      <w:pPr>
        <w:pStyle w:val="TextBody"/>
        <w:bidi w:val="0"/>
        <w:spacing w:lineRule="auto" w:line="343" w:before="0" w:after="120"/>
        <w:ind w:left="0" w:right="0" w:hanging="173"/>
        <w:jc w:val="left"/>
        <w:rPr/>
      </w:pPr>
      <w:r>
        <w:rPr>
          <w:color w:val="143A84"/>
        </w:rPr>
        <w:t>•</w:t>
      </w:r>
      <w:r>
        <w:rPr>
          <w:rFonts w:ascii="Helvetica Light;sans-serif" w:hAnsi="Helvetica Light;sans-serif"/>
          <w:b w:val="false"/>
          <w:color w:val="000000"/>
          <w:sz w:val="20"/>
        </w:rPr>
        <w:t>exposure to shortfalls in the funding of our defined benefit pension plans;</w:t>
      </w:r>
    </w:p>
    <w:p>
      <w:pPr>
        <w:pStyle w:val="TextBody"/>
        <w:bidi w:val="0"/>
        <w:spacing w:lineRule="auto" w:line="343" w:before="0" w:after="120"/>
        <w:ind w:left="0" w:right="0" w:hanging="173"/>
        <w:jc w:val="left"/>
        <w:rPr/>
      </w:pPr>
      <w:r>
        <w:rPr>
          <w:color w:val="143A84"/>
        </w:rPr>
        <w:t>•</w:t>
      </w:r>
      <w:r>
        <w:rPr>
          <w:rFonts w:ascii="Helvetica Light;sans-serif" w:hAnsi="Helvetica Light;sans-serif"/>
          <w:b w:val="false"/>
          <w:color w:val="000000"/>
          <w:sz w:val="20"/>
        </w:rPr>
        <w:t>our ability to provide or arrange for access to adequate financing for dealers and retail customers;</w:t>
      </w:r>
    </w:p>
    <w:p>
      <w:pPr>
        <w:pStyle w:val="TextBody"/>
        <w:bidi w:val="0"/>
        <w:spacing w:lineRule="auto" w:line="343" w:before="0" w:after="120"/>
        <w:ind w:left="0" w:right="0" w:hanging="173"/>
        <w:jc w:val="left"/>
        <w:rPr/>
      </w:pPr>
      <w:r>
        <w:rPr>
          <w:color w:val="143A84"/>
        </w:rPr>
        <w:t>•</w:t>
      </w:r>
      <w:r>
        <w:rPr>
          <w:rFonts w:ascii="Helvetica Light;sans-serif" w:hAnsi="Helvetica Light;sans-serif"/>
          <w:b w:val="false"/>
          <w:color w:val="000000"/>
          <w:sz w:val="20"/>
        </w:rPr>
        <w:t>risks related to the operation of financial services companies;</w:t>
      </w:r>
    </w:p>
    <w:p>
      <w:pPr>
        <w:pStyle w:val="TextBody"/>
        <w:bidi w:val="0"/>
        <w:spacing w:lineRule="auto" w:line="343" w:before="0" w:after="120"/>
        <w:ind w:left="0" w:right="0" w:hanging="173"/>
        <w:jc w:val="left"/>
        <w:rPr/>
      </w:pPr>
      <w:r>
        <w:rPr>
          <w:color w:val="143A84"/>
        </w:rPr>
        <w:t>•</w:t>
      </w:r>
      <w:r>
        <w:rPr>
          <w:rFonts w:ascii="Helvetica Light;sans-serif" w:hAnsi="Helvetica Light;sans-serif"/>
          <w:b w:val="false"/>
          <w:color w:val="000000"/>
          <w:sz w:val="20"/>
        </w:rPr>
        <w:t>our ability to access funding to execute our business plan;</w:t>
      </w:r>
    </w:p>
    <w:p>
      <w:pPr>
        <w:pStyle w:val="TextBody"/>
        <w:bidi w:val="0"/>
        <w:spacing w:lineRule="auto" w:line="343" w:before="0" w:after="120"/>
        <w:ind w:left="0" w:right="0" w:hanging="173"/>
        <w:jc w:val="left"/>
        <w:rPr/>
      </w:pPr>
      <w:r>
        <w:rPr>
          <w:color w:val="143A84"/>
        </w:rPr>
        <w:t>•</w:t>
      </w:r>
      <w:r>
        <w:rPr>
          <w:rFonts w:ascii="Helvetica Light;sans-serif" w:hAnsi="Helvetica Light;sans-serif"/>
          <w:b w:val="false"/>
          <w:color w:val="000000"/>
          <w:sz w:val="20"/>
        </w:rPr>
        <w:t>our ability to realize anticipated benefits from joint venture arrangements;</w:t>
      </w:r>
    </w:p>
    <w:p>
      <w:pPr>
        <w:pStyle w:val="TextBody"/>
        <w:bidi w:val="0"/>
        <w:spacing w:before="0" w:after="24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343" w:before="0" w:after="120"/>
        <w:ind w:left="0" w:right="0" w:hanging="173"/>
        <w:jc w:val="left"/>
        <w:rPr/>
      </w:pPr>
      <w:r>
        <w:rPr>
          <w:color w:val="143A84"/>
        </w:rPr>
        <w:t>•</w:t>
      </w:r>
      <w:r>
        <w:rPr>
          <w:rFonts w:ascii="Helvetica Light;sans-serif" w:hAnsi="Helvetica Light;sans-serif"/>
          <w:b w:val="false"/>
          <w:color w:val="000000"/>
          <w:sz w:val="20"/>
        </w:rPr>
        <w:t>disruptions arising from political, social and economic instability;</w:t>
      </w:r>
    </w:p>
    <w:p>
      <w:pPr>
        <w:pStyle w:val="TextBody"/>
        <w:bidi w:val="0"/>
        <w:spacing w:lineRule="auto" w:line="343" w:before="0" w:after="120"/>
        <w:ind w:left="0" w:right="0" w:hanging="173"/>
        <w:jc w:val="left"/>
        <w:rPr/>
      </w:pPr>
      <w:r>
        <w:rPr>
          <w:color w:val="143A84"/>
        </w:rPr>
        <w:t>•</w:t>
      </w:r>
      <w:r>
        <w:rPr>
          <w:rFonts w:ascii="Helvetica Light;sans-serif" w:hAnsi="Helvetica Light;sans-serif"/>
          <w:b w:val="false"/>
          <w:color w:val="000000"/>
          <w:sz w:val="20"/>
        </w:rPr>
        <w:t>risks associated with our relationships with employees, dealers and suppliers;</w:t>
      </w:r>
    </w:p>
    <w:p>
      <w:pPr>
        <w:pStyle w:val="TextBody"/>
        <w:bidi w:val="0"/>
        <w:spacing w:lineRule="auto" w:line="343" w:before="0" w:after="120"/>
        <w:ind w:left="0" w:right="0" w:hanging="173"/>
        <w:jc w:val="left"/>
        <w:rPr/>
      </w:pPr>
      <w:r>
        <w:rPr>
          <w:color w:val="143A84"/>
        </w:rPr>
        <w:t>•</w:t>
      </w:r>
      <w:r>
        <w:rPr>
          <w:rFonts w:ascii="Helvetica Light;sans-serif" w:hAnsi="Helvetica Light;sans-serif"/>
          <w:b w:val="false"/>
          <w:color w:val="000000"/>
          <w:sz w:val="20"/>
        </w:rPr>
        <w:t xml:space="preserve">our ability to maintain effective internal controls over financial reporting; </w:t>
      </w:r>
    </w:p>
    <w:p>
      <w:pPr>
        <w:pStyle w:val="TextBody"/>
        <w:bidi w:val="0"/>
        <w:spacing w:lineRule="auto" w:line="343" w:before="0" w:after="120"/>
        <w:ind w:left="0" w:right="0" w:hanging="173"/>
        <w:jc w:val="left"/>
        <w:rPr/>
      </w:pPr>
      <w:r>
        <w:rPr>
          <w:color w:val="143A84"/>
        </w:rPr>
        <w:t>•</w:t>
      </w:r>
      <w:r>
        <w:rPr>
          <w:rFonts w:ascii="Helvetica Light;sans-serif" w:hAnsi="Helvetica Light;sans-serif"/>
          <w:b w:val="false"/>
          <w:color w:val="000000"/>
          <w:sz w:val="20"/>
        </w:rPr>
        <w:t>developments in labor and industrial relations and developments in applicable labor laws;</w:t>
      </w:r>
    </w:p>
    <w:p>
      <w:pPr>
        <w:pStyle w:val="TextBody"/>
        <w:bidi w:val="0"/>
        <w:spacing w:lineRule="auto" w:line="343" w:before="0" w:after="120"/>
        <w:ind w:left="0" w:right="0" w:hanging="173"/>
        <w:jc w:val="left"/>
        <w:rPr/>
      </w:pPr>
      <w:r>
        <w:rPr>
          <w:color w:val="143A84"/>
        </w:rPr>
        <w:t>•</w:t>
      </w:r>
      <w:r>
        <w:rPr>
          <w:rFonts w:ascii="Helvetica Light;sans-serif" w:hAnsi="Helvetica Light;sans-serif"/>
          <w:b w:val="false"/>
          <w:color w:val="000000"/>
          <w:sz w:val="20"/>
        </w:rPr>
        <w:t>earthquakes or other disasters; and</w:t>
      </w:r>
    </w:p>
    <w:p>
      <w:pPr>
        <w:pStyle w:val="TextBody"/>
        <w:bidi w:val="0"/>
        <w:spacing w:lineRule="auto" w:line="343" w:before="0" w:after="240"/>
        <w:ind w:left="0" w:right="0" w:hanging="173"/>
        <w:jc w:val="left"/>
        <w:rPr/>
      </w:pPr>
      <w:r>
        <w:rPr>
          <w:color w:val="143A84"/>
        </w:rPr>
        <w:t>•</w:t>
      </w:r>
      <w:r>
        <w:rPr>
          <w:rFonts w:ascii="Helvetica Light;sans-serif" w:hAnsi="Helvetica Light;sans-serif"/>
          <w:b w:val="false"/>
          <w:color w:val="000000"/>
          <w:sz w:val="20"/>
        </w:rPr>
        <w:t>other factors discussed elsewhere in this report.</w:t>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Furthermore, in light of the inherent difficulty in forecasting future results, any estimates or forecasts of particular periods that are provided in this report are uncertain. We expressly disclaim and do not assume any liability in connection with any inaccuracies in any of the forward-looking statements in this report or in connection with any use by any third party of such forward-looking statements. Actual results could differ materially from those anticipated in such forward-looking statements. We do not undertake an obligation to update or revise publicly any forward-looking statements.</w:t>
      </w:r>
    </w:p>
    <w:p>
      <w:pPr>
        <w:pStyle w:val="TextBody"/>
        <w:bidi w:val="0"/>
        <w:spacing w:lineRule="auto" w:line="343" w:before="0" w:after="240"/>
        <w:jc w:val="left"/>
        <w:rPr/>
      </w:pPr>
      <w:r>
        <w:rPr>
          <w:rFonts w:ascii="Helvetica Light;sans-serif" w:hAnsi="Helvetica Light;sans-serif"/>
          <w:b w:val="false"/>
          <w:color w:val="000000"/>
          <w:sz w:val="20"/>
        </w:rPr>
        <w:t>Additional factors which could cause actual results and developments to differ from those expressed or implied by the forward-looking statements are included in the section —</w:t>
      </w:r>
      <w:r>
        <w:rPr>
          <w:color w:val="000000"/>
        </w:rPr>
        <w:t xml:space="preserve"> </w:t>
      </w:r>
      <w:r>
        <w:rPr>
          <w:rFonts w:ascii="Helvetica Light;sans-serif" w:hAnsi="Helvetica Light;sans-serif"/>
          <w:b w:val="false"/>
          <w:i/>
          <w:color w:val="000000"/>
          <w:sz w:val="20"/>
        </w:rPr>
        <w:t>Risks and uncertainties</w:t>
      </w:r>
      <w:r>
        <w:rPr>
          <w:color w:val="000000"/>
          <w:shd w:fill="FFFFFF" w:val="clear"/>
        </w:rPr>
        <w:t xml:space="preserve"> </w:t>
      </w:r>
      <w:r>
        <w:rPr>
          <w:rFonts w:ascii="Helvetica Light;sans-serif" w:hAnsi="Helvetica Light;sans-serif"/>
          <w:b w:val="false"/>
          <w:color w:val="000000"/>
          <w:sz w:val="20"/>
          <w:shd w:fill="FFFFFF" w:val="clear"/>
        </w:rPr>
        <w:t>of this Interim Report.</w:t>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88" w:before="0" w:after="240"/>
        <w:jc w:val="left"/>
        <w:rPr>
          <w:rFonts w:ascii="Helvetica Light;sans-serif" w:hAnsi="Helvetica Light;sans-serif"/>
          <w:b w:val="false"/>
          <w:color w:val="143A84"/>
          <w:sz w:val="28"/>
        </w:rPr>
      </w:pPr>
      <w:r>
        <w:rPr>
          <w:rFonts w:ascii="Helvetica Light;sans-serif" w:hAnsi="Helvetica Light;sans-serif"/>
          <w:b w:val="false"/>
          <w:color w:val="143A84"/>
          <w:sz w:val="28"/>
        </w:rPr>
        <w:t>CERTAIN DEFINED TERMS</w:t>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In this Interim Report, unless otherwise specified, the terms “we”, “our”, “us”, the “Company” and “Stellantis” refer to Stellantis N.V., together with its consolidated subsidiaries, or any one or more of them, as the context may require. This terminology does not affect the separate corporate status of the referenced legal entities, each of which is only responsible for its own obligations.</w:t>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 xml:space="preserve">References to “the merger” refer to the merger between PSA and FCA completed on January 16, 2021 and resulting in the creation of Stellantis. </w:t>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References to “FCA” mean Fiat Chrysler Automobiles N.V. together with its consolidated subsidiaries, or any one or more of them, as the context may require.</w:t>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References to “PSA” mean Peugeot S.A. together with its consolidated subsidiaries, or any one or more of them, as the context may require.</w:t>
      </w:r>
    </w:p>
    <w:p>
      <w:pPr>
        <w:pStyle w:val="TextBody"/>
        <w:bidi w:val="0"/>
        <w:spacing w:lineRule="auto" w:line="343" w:before="0" w:after="240"/>
        <w:jc w:val="left"/>
        <w:rPr/>
      </w:pPr>
      <w:r>
        <w:rPr>
          <w:rFonts w:ascii="Helvetica Light;sans-serif" w:hAnsi="Helvetica Light;sans-serif"/>
          <w:b w:val="false"/>
          <w:color w:val="000000"/>
          <w:sz w:val="20"/>
        </w:rPr>
        <w:t>References to “Leapmotor” or “LPM” mean Zhejiang Leapmotor Technology Co., Ltd. For further details on this relationship, refer to Note 12,</w:t>
      </w:r>
      <w:r>
        <w:rPr>
          <w:color w:val="000000"/>
        </w:rPr>
        <w:t xml:space="preserve"> </w:t>
      </w:r>
      <w:r>
        <w:rPr>
          <w:rFonts w:ascii="Helvetica Light;sans-serif" w:hAnsi="Helvetica Light;sans-serif"/>
          <w:b w:val="false"/>
          <w:i/>
          <w:color w:val="000000"/>
          <w:sz w:val="20"/>
        </w:rPr>
        <w:t>Investments accounted for using the equity method</w:t>
      </w:r>
      <w:r>
        <w:rPr>
          <w:color w:val="000000"/>
        </w:rPr>
        <w:t xml:space="preserve"> </w:t>
      </w:r>
      <w:r>
        <w:rPr>
          <w:rFonts w:ascii="Helvetica Light;sans-serif" w:hAnsi="Helvetica Light;sans-serif"/>
          <w:b w:val="false"/>
          <w:color w:val="000000"/>
          <w:sz w:val="20"/>
        </w:rPr>
        <w:t>of the Consolidated Financial Statements for the year ended December 31, 2025.</w:t>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References to “Leapmotor International” means a jointly established Stellantis-controlled company created in 2024 and owned 51 percent by Stellantis and 49 percent by Leapmotor, to distribute Leapmotor-branded vehicles outside of China.</w:t>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All references in this Interim Report to “Euro” and “€” refer to the currency issued by the European Central Bank. Stellantis’ financial information is presented in Euro. All references to “U.S. Dollars”, “U.S. Dollar”, “USD” and “$” refer to the currency of the United States of America (“U.S.”). All figures shown are rounded to the nearest tenth of unit presented. Certain totals in the tables included in this report may not add due to rounding.</w:t>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The Interim Report is furnished to the U.S. Securities and Exchange Commission (“SEC”) on Form 6-K.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503555"/>
                <wp:effectExtent l="0" t="0" r="0" b="0"/>
                <wp:wrapNone/>
                <wp:docPr id="10" name="Frame9"/>
                <a:graphic xmlns:a="http://schemas.openxmlformats.org/drawingml/2006/main">
                  <a:graphicData uri="http://schemas.microsoft.com/office/word/2010/wordprocessingShape">
                    <wps:wsp>
                      <wps:cNvSpPr txBox="1"/>
                      <wps:spPr>
                        <a:xfrm>
                          <a:off x="0" y="0"/>
                          <a:ext cx="6480175" cy="5035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w:t>
                      </w:r>
                    </w:p>
                    <w:p>
                      <w:pPr>
                        <w:pStyle w:val="TextBody"/>
                        <w:bidi w:val="0"/>
                        <w:spacing w:before="0" w:after="24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88" w:before="0" w:after="240"/>
        <w:jc w:val="left"/>
        <w:rPr>
          <w:rFonts w:ascii="Helvetica Light;sans-serif" w:hAnsi="Helvetica Light;sans-serif"/>
          <w:b w:val="false"/>
          <w:color w:val="143A84"/>
          <w:sz w:val="28"/>
        </w:rPr>
      </w:pPr>
      <w:r>
        <w:rPr>
          <w:rFonts w:ascii="Helvetica Light;sans-serif" w:hAnsi="Helvetica Light;sans-serif"/>
          <w:b w:val="false"/>
          <w:color w:val="143A84"/>
          <w:sz w:val="28"/>
        </w:rPr>
        <w:t>MANAGEMENT DISCUSSION AND ANALYSIS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Helvetica;sans-serif" w:hAnsi="Helvetica;sans-serif"/>
          <w:b/>
          <w:color w:val="143A84"/>
          <w:sz w:val="20"/>
        </w:rPr>
      </w:pPr>
      <w:r>
        <w:rPr>
          <w:rFonts w:ascii="Helvetica;sans-serif" w:hAnsi="Helvetica;sans-serif"/>
          <w:b/>
          <w:color w:val="143A84"/>
          <w:sz w:val="20"/>
        </w:rPr>
        <w:t>Highlights</w:t>
      </w:r>
    </w:p>
    <w:tbl>
      <w:tblPr>
        <w:tblW w:w="10205" w:type="dxa"/>
        <w:jc w:val="left"/>
        <w:tblInd w:w="0" w:type="dxa"/>
        <w:tblLayout w:type="fixed"/>
        <w:tblCellMar>
          <w:top w:w="28" w:type="dxa"/>
          <w:left w:w="28" w:type="dxa"/>
          <w:bottom w:w="28" w:type="dxa"/>
          <w:right w:w="28" w:type="dxa"/>
        </w:tblCellMar>
      </w:tblPr>
      <w:tblGrid>
        <w:gridCol w:w="471"/>
        <w:gridCol w:w="280"/>
        <w:gridCol w:w="221"/>
        <w:gridCol w:w="221"/>
        <w:gridCol w:w="221"/>
        <w:gridCol w:w="221"/>
        <w:gridCol w:w="498"/>
        <w:gridCol w:w="264"/>
        <w:gridCol w:w="221"/>
        <w:gridCol w:w="109"/>
        <w:gridCol w:w="109"/>
        <w:gridCol w:w="109"/>
        <w:gridCol w:w="1536"/>
        <w:gridCol w:w="1424"/>
        <w:gridCol w:w="1428"/>
        <w:gridCol w:w="109"/>
        <w:gridCol w:w="109"/>
        <w:gridCol w:w="109"/>
        <w:gridCol w:w="447"/>
        <w:gridCol w:w="274"/>
        <w:gridCol w:w="202"/>
        <w:gridCol w:w="202"/>
        <w:gridCol w:w="202"/>
        <w:gridCol w:w="202"/>
        <w:gridCol w:w="447"/>
        <w:gridCol w:w="274"/>
        <w:gridCol w:w="295"/>
      </w:tblGrid>
      <w:tr>
        <w:trPr/>
        <w:tc>
          <w:tcPr>
            <w:tcW w:w="471"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6"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r>
      <w:tr>
        <w:trPr/>
        <w:tc>
          <w:tcPr>
            <w:tcW w:w="261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Six Months Ended June 30,</w:t>
            </w:r>
          </w:p>
        </w:tc>
      </w:tr>
      <w:tr>
        <w:trPr/>
        <w:tc>
          <w:tcPr>
            <w:tcW w:w="972"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shd w:fill="F3F3F9" w:val="clear"/>
              </w:rPr>
            </w:pPr>
            <w:r>
              <w:rPr>
                <w:rFonts w:ascii="Helvetica;sans-serif" w:hAnsi="Helvetica;sans-serif"/>
                <w:b/>
                <w:color w:val="243782"/>
                <w:sz w:val="18"/>
                <w:shd w:fill="F3F3F9" w:val="clear"/>
              </w:rPr>
              <w:t>2026</w:t>
            </w:r>
          </w:p>
        </w:tc>
        <w:tc>
          <w:tcPr>
            <w:tcW w:w="663"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8"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Helvetica;sans-serif" w:hAnsi="Helvetica;sans-serif"/>
                <w:b w:val="false"/>
                <w:i/>
                <w:color w:val="000000"/>
                <w:sz w:val="16"/>
              </w:rPr>
            </w:pPr>
            <w:r>
              <w:rPr>
                <w:rFonts w:ascii="Helvetica;sans-serif" w:hAnsi="Helvetica;sans-serif"/>
                <w:b w:val="false"/>
                <w:i/>
                <w:color w:val="000000"/>
                <w:sz w:val="16"/>
              </w:rPr>
              <w:t>(€ million, except shipments, which are in thousands of units, and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shd w:fill="F3F3F9" w:val="clear"/>
              </w:rPr>
            </w:pPr>
            <w:r>
              <w:rPr>
                <w:rFonts w:ascii="Helvetica;sans-serif" w:hAnsi="Helvetica;sans-serif"/>
                <w:b/>
                <w:color w:val="243782"/>
                <w:sz w:val="18"/>
                <w:shd w:fill="F3F3F9" w:val="clear"/>
              </w:rPr>
              <w:t>2026</w:t>
            </w:r>
          </w:p>
        </w:tc>
        <w:tc>
          <w:tcPr>
            <w:tcW w:w="606"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2025</w:t>
            </w:r>
          </w:p>
        </w:tc>
      </w:tr>
      <w:tr>
        <w:trPr/>
        <w:tc>
          <w:tcPr>
            <w:tcW w:w="751" w:type="dxa"/>
            <w:gridSpan w:val="2"/>
            <w:tcBorders>
              <w:top w:val="single" w:sz="2" w:space="0" w:color="143A84"/>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shd w:fill="F3F3F9" w:val="clear"/>
              </w:rPr>
            </w:pPr>
            <w:r>
              <w:rPr>
                <w:rFonts w:ascii="Helvetica;sans-serif" w:hAnsi="Helvetica;sans-serif"/>
                <w:b w:val="false"/>
                <w:color w:val="000000"/>
                <w:sz w:val="18"/>
                <w:shd w:fill="F3F3F9" w:val="clear"/>
              </w:rPr>
              <w:t>1,603 </w:t>
            </w:r>
          </w:p>
        </w:tc>
        <w:tc>
          <w:tcPr>
            <w:tcW w:w="221" w:type="dxa"/>
            <w:tcBorders>
              <w:top w:val="single" w:sz="2" w:space="0" w:color="143A84"/>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single" w:sz="2" w:space="0" w:color="143A84"/>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1,457 </w:t>
            </w:r>
          </w:p>
        </w:tc>
        <w:tc>
          <w:tcPr>
            <w:tcW w:w="221" w:type="dxa"/>
            <w:tcBorders>
              <w:top w:val="single" w:sz="2" w:space="0" w:color="143A84"/>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8" w:type="dxa"/>
            <w:gridSpan w:val="3"/>
            <w:tcBorders>
              <w:top w:val="single" w:sz="2" w:space="0" w:color="143A84"/>
            </w:tcBorders>
            <w:tcMar>
              <w:top w:w="52" w:type="dxa"/>
              <w:left w:w="0" w:type="dxa"/>
              <w:bottom w:w="0" w:type="dxa"/>
              <w:right w:w="0" w:type="dxa"/>
            </w:tcMar>
            <w:vAlign w:val="center"/>
          </w:tcPr>
          <w:p>
            <w:pPr>
              <w:pStyle w:val="TableContents"/>
              <w:bidi w:val="0"/>
              <w:spacing w:lineRule="auto" w:line="288" w:before="0" w:after="0"/>
              <w:jc w:val="left"/>
              <w:rPr/>
            </w:pPr>
            <w:r>
              <w:rPr>
                <w:rFonts w:ascii="Helvetica;sans-serif" w:hAnsi="Helvetica;sans-serif"/>
                <w:b w:val="false"/>
                <w:color w:val="000000"/>
                <w:sz w:val="18"/>
              </w:rPr>
              <w:t>Combined shipments</w:t>
            </w:r>
            <w:r>
              <w:rPr>
                <w:rFonts w:ascii="Helvetica;sans-serif" w:hAnsi="Helvetica;sans-serif"/>
                <w:b w:val="false"/>
                <w:color w:val="000000"/>
                <w:sz w:val="12"/>
              </w:rPr>
              <w:t>(1)</w:t>
            </w:r>
          </w:p>
        </w:tc>
        <w:tc>
          <w:tcPr>
            <w:tcW w:w="327"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143A84"/>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shd w:fill="F3F3F9" w:val="clear"/>
              </w:rPr>
            </w:pPr>
            <w:r>
              <w:rPr>
                <w:rFonts w:ascii="Helvetica;sans-serif" w:hAnsi="Helvetica;sans-serif"/>
                <w:b w:val="false"/>
                <w:color w:val="000000"/>
                <w:sz w:val="18"/>
                <w:shd w:fill="F3F3F9" w:val="clear"/>
              </w:rPr>
              <w:t>2,968 </w:t>
            </w:r>
          </w:p>
        </w:tc>
        <w:tc>
          <w:tcPr>
            <w:tcW w:w="202" w:type="dxa"/>
            <w:tcBorders>
              <w:top w:val="single" w:sz="2" w:space="0" w:color="143A84"/>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143A84"/>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2,690 </w:t>
            </w:r>
          </w:p>
        </w:tc>
        <w:tc>
          <w:tcPr>
            <w:tcW w:w="295" w:type="dxa"/>
            <w:tcBorders>
              <w:top w:val="single" w:sz="2" w:space="0" w:color="143A84"/>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shd w:fill="F3F3F9" w:val="clear"/>
              </w:rPr>
            </w:pPr>
            <w:r>
              <w:rPr>
                <w:rFonts w:ascii="Helvetica;sans-serif" w:hAnsi="Helvetica;sans-serif"/>
                <w:b w:val="false"/>
                <w:color w:val="000000"/>
                <w:sz w:val="18"/>
                <w:shd w:fill="F3F3F9" w:val="clear"/>
              </w:rPr>
              <w:t>1.597 </w:t>
            </w:r>
          </w:p>
        </w:tc>
        <w:tc>
          <w:tcPr>
            <w:tcW w:w="221"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1.447 </w:t>
            </w:r>
          </w:p>
        </w:tc>
        <w:tc>
          <w:tcPr>
            <w:tcW w:w="221"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8"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0"/>
              <w:jc w:val="left"/>
              <w:rPr/>
            </w:pPr>
            <w:r>
              <w:rPr>
                <w:rFonts w:ascii="Helvetica;sans-serif" w:hAnsi="Helvetica;sans-serif"/>
                <w:b w:val="false"/>
                <w:color w:val="000000"/>
                <w:sz w:val="18"/>
              </w:rPr>
              <w:t>Consolidated shipments</w:t>
            </w:r>
            <w:r>
              <w:rPr>
                <w:rFonts w:ascii="Helvetica;sans-serif" w:hAnsi="Helvetica;sans-serif"/>
                <w:b w:val="false"/>
                <w:color w:val="000000"/>
                <w:sz w:val="12"/>
              </w:rPr>
              <w:t>(2)</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shd w:fill="F3F3F9" w:val="clear"/>
              </w:rPr>
            </w:pPr>
            <w:r>
              <w:rPr>
                <w:rFonts w:ascii="Helvetica;sans-serif" w:hAnsi="Helvetica;sans-serif"/>
                <w:b w:val="false"/>
                <w:color w:val="000000"/>
                <w:sz w:val="18"/>
                <w:shd w:fill="F3F3F9" w:val="clear"/>
              </w:rPr>
              <w:t>2,958 </w:t>
            </w:r>
          </w:p>
        </w:tc>
        <w:tc>
          <w:tcPr>
            <w:tcW w:w="202"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2,664 </w:t>
            </w:r>
          </w:p>
        </w:tc>
        <w:tc>
          <w:tcPr>
            <w:tcW w:w="295"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2"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8"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shd w:fill="F3F3F9" w:val="clear"/>
              </w:rPr>
            </w:pPr>
            <w:r>
              <w:rPr>
                <w:rFonts w:ascii="Helvetica;sans-serif" w:hAnsi="Helvetica;sans-serif"/>
                <w:b w:val="false"/>
                <w:color w:val="000000"/>
                <w:sz w:val="18"/>
                <w:shd w:fill="F3F3F9" w:val="clear"/>
              </w:rPr>
              <w:t>43,482 </w:t>
            </w:r>
          </w:p>
        </w:tc>
        <w:tc>
          <w:tcPr>
            <w:tcW w:w="221"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38,448 </w:t>
            </w:r>
          </w:p>
        </w:tc>
        <w:tc>
          <w:tcPr>
            <w:tcW w:w="221"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8"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Net revenues</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shd w:fill="F3F3F9" w:val="clear"/>
              </w:rPr>
            </w:pPr>
            <w:r>
              <w:rPr>
                <w:rFonts w:ascii="Helvetica;sans-serif" w:hAnsi="Helvetica;sans-serif"/>
                <w:b w:val="false"/>
                <w:color w:val="000000"/>
                <w:sz w:val="18"/>
                <w:shd w:fill="F3F3F9" w:val="clear"/>
              </w:rPr>
              <w:t>81,614 </w:t>
            </w:r>
          </w:p>
        </w:tc>
        <w:tc>
          <w:tcPr>
            <w:tcW w:w="202"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74,261 </w:t>
            </w:r>
          </w:p>
        </w:tc>
        <w:tc>
          <w:tcPr>
            <w:tcW w:w="295"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shd w:fill="F3F3F9" w:val="clear"/>
              </w:rPr>
            </w:pPr>
            <w:r>
              <w:rPr>
                <w:rFonts w:ascii="Helvetica;sans-serif" w:hAnsi="Helvetica;sans-serif"/>
                <w:b w:val="false"/>
                <w:color w:val="000000"/>
                <w:sz w:val="18"/>
                <w:shd w:fill="F3F3F9" w:val="clear"/>
              </w:rPr>
              <w:t>293 </w:t>
            </w:r>
          </w:p>
        </w:tc>
        <w:tc>
          <w:tcPr>
            <w:tcW w:w="221"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(1,869)</w:t>
            </w:r>
          </w:p>
        </w:tc>
        <w:tc>
          <w:tcPr>
            <w:tcW w:w="221"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8"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Net profit/(loss)</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shd w:fill="F3F3F9" w:val="clear"/>
              </w:rPr>
            </w:pPr>
            <w:r>
              <w:rPr>
                <w:rFonts w:ascii="Helvetica;sans-serif" w:hAnsi="Helvetica;sans-serif"/>
                <w:b w:val="false"/>
                <w:color w:val="000000"/>
                <w:sz w:val="18"/>
                <w:shd w:fill="F3F3F9" w:val="clear"/>
              </w:rPr>
              <w:t>670 </w:t>
            </w:r>
          </w:p>
        </w:tc>
        <w:tc>
          <w:tcPr>
            <w:tcW w:w="202"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(2,256)</w:t>
            </w:r>
          </w:p>
        </w:tc>
        <w:tc>
          <w:tcPr>
            <w:tcW w:w="295"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3"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r>
      <w:tr>
        <w:trPr/>
        <w:tc>
          <w:tcPr>
            <w:tcW w:w="97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3"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r>
      <w:tr>
        <w:trPr/>
        <w:tc>
          <w:tcPr>
            <w:tcW w:w="751"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shd w:fill="F3F3F9" w:val="clear"/>
              </w:rPr>
            </w:pPr>
            <w:r>
              <w:rPr>
                <w:rFonts w:ascii="Helvetica;sans-serif" w:hAnsi="Helvetica;sans-serif"/>
                <w:b w:val="false"/>
                <w:color w:val="000000"/>
                <w:sz w:val="18"/>
                <w:shd w:fill="F3F3F9" w:val="clear"/>
              </w:rPr>
              <w:t>773 </w:t>
            </w:r>
          </w:p>
        </w:tc>
        <w:tc>
          <w:tcPr>
            <w:tcW w:w="221"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213 </w:t>
            </w:r>
          </w:p>
        </w:tc>
        <w:tc>
          <w:tcPr>
            <w:tcW w:w="221"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8"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0"/>
              <w:jc w:val="left"/>
              <w:rPr/>
            </w:pPr>
            <w:r>
              <w:rPr>
                <w:rFonts w:ascii="Helvetica;sans-serif" w:hAnsi="Helvetica;sans-serif"/>
                <w:b w:val="false"/>
                <w:color w:val="000000"/>
                <w:sz w:val="18"/>
              </w:rPr>
              <w:t>Adjusted operating income (“AOI”)</w:t>
            </w:r>
            <w:r>
              <w:rPr>
                <w:rFonts w:ascii="Helvetica;sans-serif" w:hAnsi="Helvetica;sans-serif"/>
                <w:b w:val="false"/>
                <w:color w:val="000000"/>
                <w:sz w:val="12"/>
              </w:rPr>
              <w:t>(3)</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shd w:fill="F3F3F9" w:val="clear"/>
              </w:rPr>
            </w:pPr>
            <w:r>
              <w:rPr>
                <w:rFonts w:ascii="Helvetica;sans-serif" w:hAnsi="Helvetica;sans-serif"/>
                <w:b w:val="false"/>
                <w:color w:val="000000"/>
                <w:sz w:val="18"/>
                <w:shd w:fill="F3F3F9" w:val="clear"/>
              </w:rPr>
              <w:t>1,733 </w:t>
            </w:r>
          </w:p>
        </w:tc>
        <w:tc>
          <w:tcPr>
            <w:tcW w:w="202"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540 </w:t>
            </w:r>
          </w:p>
        </w:tc>
        <w:tc>
          <w:tcPr>
            <w:tcW w:w="295"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2"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8"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3"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r>
      <w:tr>
        <w:trPr/>
        <w:tc>
          <w:tcPr>
            <w:tcW w:w="97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3"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r>
      <w:tr>
        <w:trPr/>
        <w:tc>
          <w:tcPr>
            <w:tcW w:w="97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3"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r>
      <w:tr>
        <w:trPr/>
        <w:tc>
          <w:tcPr>
            <w:tcW w:w="97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3"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r>
      <w:tr>
        <w:trPr/>
        <w:tc>
          <w:tcPr>
            <w:tcW w:w="972"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8"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0"/>
              <w:jc w:val="left"/>
              <w:rPr/>
            </w:pPr>
            <w:r>
              <w:rPr>
                <w:rFonts w:ascii="Helvetica;sans-serif" w:hAnsi="Helvetica;sans-serif"/>
                <w:b w:val="false"/>
                <w:color w:val="000000"/>
                <w:sz w:val="18"/>
              </w:rPr>
              <w:t>Earnings/(loss) per share (“EPS”)</w:t>
            </w:r>
            <w:r>
              <w:rPr>
                <w:rFonts w:ascii="Helvetica;sans-serif" w:hAnsi="Helvetica;sans-serif"/>
                <w:b w:val="false"/>
                <w:color w:val="000000"/>
                <w:sz w:val="12"/>
              </w:rPr>
              <w:t>(4)</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shd w:fill="F3F3F9" w:val="clear"/>
              </w:rPr>
            </w:pPr>
            <w:r>
              <w:rPr>
                <w:rFonts w:ascii="Helvetica;sans-serif" w:hAnsi="Helvetica;sans-serif"/>
                <w:b w:val="false"/>
                <w:color w:val="000000"/>
                <w:sz w:val="18"/>
                <w:shd w:fill="F3F3F9" w:val="clear"/>
              </w:rPr>
              <w:t>0.07 </w:t>
            </w:r>
          </w:p>
        </w:tc>
        <w:tc>
          <w:tcPr>
            <w:tcW w:w="221"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(0.65)</w:t>
            </w:r>
          </w:p>
        </w:tc>
        <w:tc>
          <w:tcPr>
            <w:tcW w:w="221"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8"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Basic (loss)/earnings per share (€)</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shd w:fill="F3F3F9" w:val="clear"/>
              </w:rPr>
            </w:pPr>
            <w:r>
              <w:rPr>
                <w:rFonts w:ascii="Helvetica;sans-serif" w:hAnsi="Helvetica;sans-serif"/>
                <w:b w:val="false"/>
                <w:color w:val="000000"/>
                <w:sz w:val="18"/>
                <w:shd w:fill="F3F3F9" w:val="clear"/>
              </w:rPr>
              <w:t>0.20 </w:t>
            </w:r>
          </w:p>
        </w:tc>
        <w:tc>
          <w:tcPr>
            <w:tcW w:w="202"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(0.78)</w:t>
            </w:r>
          </w:p>
        </w:tc>
        <w:tc>
          <w:tcPr>
            <w:tcW w:w="295"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shd w:fill="F3F3F9" w:val="clear"/>
              </w:rPr>
            </w:pPr>
            <w:r>
              <w:rPr>
                <w:rFonts w:ascii="Helvetica;sans-serif" w:hAnsi="Helvetica;sans-serif"/>
                <w:b w:val="false"/>
                <w:color w:val="000000"/>
                <w:sz w:val="18"/>
                <w:shd w:fill="F3F3F9" w:val="clear"/>
              </w:rPr>
              <w:t>0.07 </w:t>
            </w:r>
          </w:p>
        </w:tc>
        <w:tc>
          <w:tcPr>
            <w:tcW w:w="221"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(0.65)</w:t>
            </w:r>
          </w:p>
        </w:tc>
        <w:tc>
          <w:tcPr>
            <w:tcW w:w="221"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8"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Diluted (loss)/earnings per share (€)</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shd w:fill="F3F3F9" w:val="clear"/>
              </w:rPr>
            </w:pPr>
            <w:r>
              <w:rPr>
                <w:rFonts w:ascii="Helvetica;sans-serif" w:hAnsi="Helvetica;sans-serif"/>
                <w:b w:val="false"/>
                <w:color w:val="000000"/>
                <w:sz w:val="18"/>
                <w:shd w:fill="F3F3F9" w:val="clear"/>
              </w:rPr>
              <w:t>0.20 </w:t>
            </w:r>
          </w:p>
        </w:tc>
        <w:tc>
          <w:tcPr>
            <w:tcW w:w="202"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(0.78)</w:t>
            </w:r>
          </w:p>
        </w:tc>
        <w:tc>
          <w:tcPr>
            <w:tcW w:w="295"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0.12 </w:t>
            </w:r>
          </w:p>
        </w:tc>
        <w:tc>
          <w:tcPr>
            <w:tcW w:w="221"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0.15 </w:t>
            </w:r>
          </w:p>
        </w:tc>
        <w:tc>
          <w:tcPr>
            <w:tcW w:w="221"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8"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0"/>
              <w:jc w:val="left"/>
              <w:rPr/>
            </w:pPr>
            <w:r>
              <w:rPr>
                <w:rFonts w:ascii="Helvetica;sans-serif" w:hAnsi="Helvetica;sans-serif"/>
                <w:b w:val="false"/>
                <w:color w:val="000000"/>
                <w:sz w:val="18"/>
              </w:rPr>
              <w:t>Adjusted diluted earnings/(loss) per share (€)</w:t>
            </w:r>
            <w:r>
              <w:rPr>
                <w:rFonts w:ascii="Helvetica;sans-serif" w:hAnsi="Helvetica;sans-serif"/>
                <w:b w:val="false"/>
                <w:color w:val="000000"/>
                <w:sz w:val="12"/>
              </w:rPr>
              <w:t>(5)</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0.32 </w:t>
            </w:r>
          </w:p>
        </w:tc>
        <w:tc>
          <w:tcPr>
            <w:tcW w:w="202"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0.18 </w:t>
            </w:r>
          </w:p>
        </w:tc>
        <w:tc>
          <w:tcPr>
            <w:tcW w:w="295"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2"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8"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2"/>
            <w:tcBorders>
              <w:top w:val="single" w:sz="2" w:space="0" w:color="8E939F"/>
              <w:bottom w:val="single" w:sz="2" w:space="0" w:color="8E939F"/>
            </w:tcBorders>
            <w:shd w:fill="F3F3F9" w:val="clear"/>
            <w:tcMar>
              <w:top w:w="52" w:type="dxa"/>
              <w:left w:w="0" w:type="dxa"/>
              <w:bottom w:w="30" w:type="dxa"/>
              <w:right w:w="0" w:type="dxa"/>
            </w:tcMar>
            <w:vAlign w:val="center"/>
          </w:tcPr>
          <w:p>
            <w:pPr>
              <w:pStyle w:val="TableContents"/>
              <w:bidi w:val="0"/>
              <w:spacing w:lineRule="auto" w:line="288" w:before="0" w:after="283"/>
              <w:jc w:val="right"/>
              <w:rPr>
                <w:color w:val="000000"/>
                <w:shd w:fill="F3F3F9" w:val="clear"/>
              </w:rPr>
            </w:pPr>
            <w:r>
              <w:rPr>
                <w:color w:val="000000"/>
                <w:shd w:fill="F3F3F9" w:val="clear"/>
              </w:rPr>
              <w:t>— </w:t>
            </w:r>
          </w:p>
        </w:tc>
        <w:tc>
          <w:tcPr>
            <w:tcW w:w="221" w:type="dxa"/>
            <w:tcBorders>
              <w:top w:val="single" w:sz="2" w:space="0" w:color="8E939F"/>
              <w:bottom w:val="single" w:sz="2" w:space="0" w:color="8E939F"/>
            </w:tcBorders>
            <w:shd w:fill="F3F3F9"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op w:val="single" w:sz="2" w:space="0" w:color="8E939F"/>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21" w:type="dxa"/>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4388" w:type="dxa"/>
            <w:gridSpan w:val="3"/>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Ordinary dividends, per share (€)</w:t>
            </w:r>
          </w:p>
        </w:tc>
        <w:tc>
          <w:tcPr>
            <w:tcW w:w="327" w:type="dxa"/>
            <w:gridSpan w:val="3"/>
            <w:tcBorders>
              <w:top w:val="single" w:sz="2" w:space="0" w:color="8E939F"/>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8E939F"/>
              <w:bottom w:val="single" w:sz="2" w:space="0" w:color="8E939F"/>
            </w:tcBorders>
            <w:shd w:fill="F3F3F9" w:val="clear"/>
            <w:tcMar>
              <w:top w:w="52" w:type="dxa"/>
              <w:left w:w="0" w:type="dxa"/>
              <w:bottom w:w="30" w:type="dxa"/>
              <w:right w:w="0" w:type="dxa"/>
            </w:tcMar>
            <w:vAlign w:val="center"/>
          </w:tcPr>
          <w:p>
            <w:pPr>
              <w:pStyle w:val="TableContents"/>
              <w:bidi w:val="0"/>
              <w:spacing w:lineRule="auto" w:line="288" w:before="0" w:after="283"/>
              <w:jc w:val="right"/>
              <w:rPr>
                <w:color w:val="000000"/>
                <w:shd w:fill="F3F3F9" w:val="clear"/>
              </w:rPr>
            </w:pPr>
            <w:r>
              <w:rPr>
                <w:color w:val="000000"/>
                <w:shd w:fill="F3F3F9" w:val="clear"/>
              </w:rPr>
              <w:t>— </w:t>
            </w:r>
          </w:p>
        </w:tc>
        <w:tc>
          <w:tcPr>
            <w:tcW w:w="202" w:type="dxa"/>
            <w:tcBorders>
              <w:top w:val="single" w:sz="2" w:space="0" w:color="8E939F"/>
              <w:bottom w:val="single" w:sz="2" w:space="0" w:color="8E939F"/>
            </w:tcBorders>
            <w:shd w:fill="F3F3F9"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op w:val="single" w:sz="2" w:space="0" w:color="8E939F"/>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0.68 </w:t>
            </w:r>
          </w:p>
        </w:tc>
        <w:tc>
          <w:tcPr>
            <w:tcW w:w="295" w:type="dxa"/>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97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3"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r>
    </w:tbl>
    <w:tbl>
      <w:tblPr>
        <w:tblW w:w="6885" w:type="dxa"/>
        <w:jc w:val="center"/>
        <w:tblInd w:w="0" w:type="dxa"/>
        <w:tblLayout w:type="fixed"/>
        <w:tblCellMar>
          <w:top w:w="28" w:type="dxa"/>
          <w:left w:w="28" w:type="dxa"/>
          <w:bottom w:w="28" w:type="dxa"/>
          <w:right w:w="28" w:type="dxa"/>
        </w:tblCellMar>
      </w:tblPr>
      <w:tblGrid>
        <w:gridCol w:w="1298"/>
        <w:gridCol w:w="1137"/>
        <w:gridCol w:w="1150"/>
        <w:gridCol w:w="109"/>
        <w:gridCol w:w="109"/>
        <w:gridCol w:w="109"/>
        <w:gridCol w:w="415"/>
        <w:gridCol w:w="275"/>
        <w:gridCol w:w="266"/>
        <w:gridCol w:w="266"/>
        <w:gridCol w:w="266"/>
        <w:gridCol w:w="266"/>
        <w:gridCol w:w="415"/>
        <w:gridCol w:w="275"/>
        <w:gridCol w:w="266"/>
        <w:gridCol w:w="109"/>
        <w:gridCol w:w="154"/>
      </w:tblGrid>
      <w:tr>
        <w:trPr/>
        <w:tc>
          <w:tcPr>
            <w:tcW w:w="1298"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Helvetica;sans-serif" w:hAnsi="Helvetica;sans-serif"/>
                <w:b w:val="false"/>
                <w:i/>
                <w:color w:val="000000"/>
                <w:sz w:val="16"/>
              </w:rPr>
            </w:pPr>
            <w:r>
              <w:rPr>
                <w:rFonts w:ascii="Helvetica;sans-serif" w:hAnsi="Helvetica;sans-serif"/>
                <w:b w:val="false"/>
                <w:i/>
                <w:color w:val="000000"/>
                <w:sz w:val="16"/>
              </w:rPr>
              <w:t>(€ million)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2026</w:t>
            </w:r>
          </w:p>
        </w:tc>
        <w:tc>
          <w:tcPr>
            <w:tcW w:w="798"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top w:val="single" w:sz="2" w:space="0" w:color="143A84"/>
            </w:tcBorders>
            <w:tcMar>
              <w:top w:w="52" w:type="dxa"/>
              <w:left w:w="0" w:type="dxa"/>
              <w:bottom w:w="0" w:type="dxa"/>
              <w:right w:w="0" w:type="dxa"/>
            </w:tcMar>
            <w:vAlign w:val="center"/>
          </w:tcPr>
          <w:p>
            <w:pPr>
              <w:pStyle w:val="TableContents"/>
              <w:bidi w:val="0"/>
              <w:spacing w:lineRule="auto" w:line="288" w:before="100" w:after="100"/>
              <w:jc w:val="left"/>
              <w:rPr>
                <w:rFonts w:ascii="Helvetica;sans-serif" w:hAnsi="Helvetica;sans-serif"/>
                <w:b w:val="false"/>
                <w:color w:val="000000"/>
                <w:sz w:val="18"/>
              </w:rPr>
            </w:pPr>
            <w:r>
              <w:rPr>
                <w:rFonts w:ascii="Helvetica;sans-serif" w:hAnsi="Helvetica;sans-serif"/>
                <w:b w:val="false"/>
                <w:color w:val="000000"/>
                <w:sz w:val="18"/>
              </w:rPr>
              <w:t>Net cash from/(used in) operating activities</w:t>
            </w:r>
          </w:p>
        </w:tc>
        <w:tc>
          <w:tcPr>
            <w:tcW w:w="327"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2" w:space="0" w:color="143A84"/>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(2,887)</w:t>
            </w:r>
          </w:p>
        </w:tc>
        <w:tc>
          <w:tcPr>
            <w:tcW w:w="266" w:type="dxa"/>
            <w:tcBorders>
              <w:top w:val="single" w:sz="2" w:space="0" w:color="143A84"/>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2" w:space="0" w:color="143A84"/>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(2,287)</w:t>
            </w:r>
          </w:p>
        </w:tc>
        <w:tc>
          <w:tcPr>
            <w:tcW w:w="266" w:type="dxa"/>
            <w:tcBorders>
              <w:top w:val="single" w:sz="2" w:space="0" w:color="143A84"/>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top w:val="single" w:sz="2" w:space="0" w:color="B6B6B6"/>
              <w:bottom w:val="single" w:sz="2" w:space="0" w:color="B6B6B6"/>
            </w:tcBorders>
            <w:tcMar>
              <w:top w:w="52" w:type="dxa"/>
              <w:left w:w="0" w:type="dxa"/>
              <w:bottom w:w="30" w:type="dxa"/>
              <w:right w:w="0" w:type="dxa"/>
            </w:tcMar>
            <w:vAlign w:val="center"/>
          </w:tcPr>
          <w:p>
            <w:pPr>
              <w:pStyle w:val="TableContents"/>
              <w:bidi w:val="0"/>
              <w:spacing w:lineRule="auto" w:line="288" w:before="100" w:after="100"/>
              <w:jc w:val="left"/>
              <w:rPr/>
            </w:pPr>
            <w:r>
              <w:rPr>
                <w:rFonts w:ascii="Helvetica;sans-serif" w:hAnsi="Helvetica;sans-serif"/>
                <w:b w:val="false"/>
                <w:color w:val="000000"/>
                <w:sz w:val="18"/>
              </w:rPr>
              <w:t>Industrial free cash flows (“IFCF”)</w:t>
            </w:r>
            <w:r>
              <w:rPr>
                <w:rFonts w:ascii="Helvetica;sans-serif" w:hAnsi="Helvetica;sans-serif"/>
                <w:b w:val="false"/>
                <w:color w:val="000000"/>
                <w:sz w:val="12"/>
              </w:rPr>
              <w:t>(6)</w:t>
            </w:r>
          </w:p>
        </w:tc>
        <w:tc>
          <w:tcPr>
            <w:tcW w:w="327" w:type="dxa"/>
            <w:gridSpan w:val="3"/>
            <w:tcBorders>
              <w:top w:val="single" w:sz="2" w:space="0" w:color="B6B6B6"/>
              <w:bottom w:val="single" w:sz="2" w:space="0" w:color="B6B6B6"/>
            </w:tcBorders>
            <w:tcMar>
              <w:left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2" w:space="0" w:color="B6B6B6"/>
              <w:bottom w:val="single" w:sz="2" w:space="0" w:color="B6B6B6"/>
            </w:tcBorders>
            <w:shd w:fill="F3F3F9" w:val="clear"/>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(921)</w:t>
            </w:r>
          </w:p>
        </w:tc>
        <w:tc>
          <w:tcPr>
            <w:tcW w:w="266" w:type="dxa"/>
            <w:tcBorders>
              <w:top w:val="single" w:sz="2" w:space="0" w:color="B6B6B6"/>
              <w:bottom w:val="single" w:sz="2" w:space="0" w:color="B6B6B6"/>
            </w:tcBorders>
            <w:shd w:fill="F3F3F9"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2" w:space="0" w:color="B6B6B6"/>
              <w:bottom w:val="single" w:sz="2" w:space="0" w:color="B6B6B6"/>
            </w:tcBorders>
            <w:tcMar>
              <w:left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2" w:space="0" w:color="B6B6B6"/>
              <w:bottom w:val="single" w:sz="2" w:space="0" w:color="B6B6B6"/>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(3,005)</w:t>
            </w:r>
          </w:p>
        </w:tc>
        <w:tc>
          <w:tcPr>
            <w:tcW w:w="266" w:type="dxa"/>
            <w:tcBorders>
              <w:top w:val="single" w:sz="2" w:space="0" w:color="B6B6B6"/>
              <w:bottom w:val="single" w:sz="2" w:space="0" w:color="B6B6B6"/>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7591" w:type="dxa"/>
        <w:jc w:val="center"/>
        <w:tblInd w:w="0" w:type="dxa"/>
        <w:tblLayout w:type="fixed"/>
        <w:tblCellMar>
          <w:top w:w="28" w:type="dxa"/>
          <w:left w:w="28" w:type="dxa"/>
          <w:bottom w:w="28" w:type="dxa"/>
          <w:right w:w="28" w:type="dxa"/>
        </w:tblCellMar>
      </w:tblPr>
      <w:tblGrid>
        <w:gridCol w:w="1133"/>
        <w:gridCol w:w="994"/>
        <w:gridCol w:w="1008"/>
        <w:gridCol w:w="109"/>
        <w:gridCol w:w="109"/>
        <w:gridCol w:w="109"/>
        <w:gridCol w:w="109"/>
        <w:gridCol w:w="109"/>
        <w:gridCol w:w="509"/>
        <w:gridCol w:w="509"/>
        <w:gridCol w:w="512"/>
        <w:gridCol w:w="109"/>
        <w:gridCol w:w="109"/>
        <w:gridCol w:w="109"/>
        <w:gridCol w:w="600"/>
        <w:gridCol w:w="600"/>
        <w:gridCol w:w="854"/>
      </w:tblGrid>
      <w:tr>
        <w:trPr/>
        <w:tc>
          <w:tcPr>
            <w:tcW w:w="1133"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Helvetica;sans-serif" w:hAnsi="Helvetica;sans-serif"/>
                <w:b w:val="false"/>
                <w:i/>
                <w:color w:val="000000"/>
                <w:sz w:val="16"/>
              </w:rPr>
            </w:pPr>
            <w:r>
              <w:rPr>
                <w:rFonts w:ascii="Helvetica;sans-serif" w:hAnsi="Helvetica;sans-serif"/>
                <w:b w:val="false"/>
                <w:i/>
                <w:color w:val="000000"/>
                <w:sz w:val="16"/>
              </w:rPr>
              <w:t>(€ million)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F3F3F9"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At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At December 31, 2025</w:t>
            </w:r>
          </w:p>
        </w:tc>
      </w:tr>
      <w:tr>
        <w:trPr/>
        <w:tc>
          <w:tcPr>
            <w:tcW w:w="3135" w:type="dxa"/>
            <w:gridSpan w:val="3"/>
            <w:tcBorders>
              <w:top w:val="single" w:sz="2" w:space="0" w:color="143A84"/>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 xml:space="preserve">Available liquidity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top w:val="single" w:sz="2" w:space="0" w:color="143A84"/>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48,420 </w:t>
            </w:r>
          </w:p>
        </w:tc>
        <w:tc>
          <w:tcPr>
            <w:tcW w:w="512" w:type="dxa"/>
            <w:tcBorders>
              <w:top w:val="single" w:sz="2" w:space="0" w:color="143A84"/>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op w:val="single" w:sz="2" w:space="0" w:color="143A84"/>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49,795 </w:t>
            </w:r>
          </w:p>
        </w:tc>
        <w:tc>
          <w:tcPr>
            <w:tcW w:w="854" w:type="dxa"/>
            <w:tcBorders>
              <w:top w:val="single" w:sz="2" w:space="0" w:color="143A84"/>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Of which: Industrial available liquidity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44,145 </w:t>
            </w:r>
          </w:p>
        </w:tc>
        <w:tc>
          <w:tcPr>
            <w:tcW w:w="512"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45,711 </w:t>
            </w:r>
          </w:p>
        </w:tc>
        <w:tc>
          <w:tcPr>
            <w:tcW w:w="854"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lineRule="auto" w:line="288" w:before="0" w:after="0"/>
              <w:jc w:val="left"/>
              <w:rPr/>
            </w:pPr>
            <w:r>
              <w:rPr>
                <w:rFonts w:ascii="Helvetica;sans-serif" w:hAnsi="Helvetica;sans-serif"/>
                <w:b w:val="false"/>
                <w:color w:val="000000"/>
                <w:sz w:val="18"/>
              </w:rPr>
              <w:t>Industrial net financial position</w:t>
            </w:r>
            <w:r>
              <w:rPr>
                <w:rFonts w:ascii="Helvetica;sans-serif" w:hAnsi="Helvetica;sans-serif"/>
                <w:b w:val="false"/>
                <w:color w:val="000000"/>
                <w:sz w:val="12"/>
              </w:rPr>
              <w:t>(6)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top w:val="single" w:sz="2" w:space="0" w:color="8E939F"/>
              <w:bottom w:val="single" w:sz="2" w:space="0" w:color="8E939F"/>
            </w:tcBorders>
            <w:shd w:fill="F3F3F9" w:val="clear"/>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10,035 </w:t>
            </w:r>
          </w:p>
        </w:tc>
        <w:tc>
          <w:tcPr>
            <w:tcW w:w="512" w:type="dxa"/>
            <w:tcBorders>
              <w:top w:val="single" w:sz="2" w:space="0" w:color="8E939F"/>
              <w:bottom w:val="single" w:sz="2" w:space="0" w:color="8E939F"/>
            </w:tcBorders>
            <w:shd w:fill="F3F3F9"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6,694 </w:t>
            </w:r>
          </w:p>
        </w:tc>
        <w:tc>
          <w:tcPr>
            <w:tcW w:w="854" w:type="dxa"/>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left"/>
        <w:rPr/>
      </w:pPr>
      <w:r>
        <w:rPr>
          <w:rFonts w:ascii="Helvetica Light;sans-serif" w:hAnsi="Helvetica Light;sans-serif"/>
          <w:b w:val="false"/>
          <w:color w:val="000000"/>
          <w:sz w:val="10"/>
        </w:rPr>
        <w:t>(1)</w:t>
      </w:r>
      <w:r>
        <w:rPr>
          <w:color w:val="000000"/>
        </w:rPr>
        <w:t xml:space="preserve"> </w:t>
      </w:r>
      <w:r>
        <w:rPr>
          <w:rFonts w:ascii="Helvetica Light;sans-serif" w:hAnsi="Helvetica Light;sans-serif"/>
          <w:b w:val="false"/>
          <w:color w:val="000000"/>
          <w:sz w:val="16"/>
        </w:rPr>
        <w:t>Combined shipments also includes the Stellantis branded vehicles distributed by our joint ventures (such as Tofas) and associates</w:t>
      </w:r>
    </w:p>
    <w:p>
      <w:pPr>
        <w:pStyle w:val="TextBody"/>
        <w:bidi w:val="0"/>
        <w:spacing w:lineRule="auto" w:line="268" w:before="0" w:after="0"/>
        <w:jc w:val="left"/>
        <w:rPr/>
      </w:pPr>
      <w:r>
        <w:rPr>
          <w:rFonts w:ascii="Helvetica Light;sans-serif" w:hAnsi="Helvetica Light;sans-serif"/>
          <w:b w:val="false"/>
          <w:color w:val="000000"/>
          <w:sz w:val="10"/>
        </w:rPr>
        <w:t>(2)</w:t>
      </w:r>
      <w:r>
        <w:rPr>
          <w:color w:val="000000"/>
        </w:rPr>
        <w:t xml:space="preserve"> </w:t>
      </w:r>
      <w:r>
        <w:rPr>
          <w:rFonts w:ascii="Helvetica Light;sans-serif" w:hAnsi="Helvetica Light;sans-serif"/>
          <w:b w:val="false"/>
          <w:color w:val="000000"/>
          <w:sz w:val="16"/>
        </w:rPr>
        <w:t>Consolidated Shipments includes the vehicles produced by our joint ventures and associates (including Leapmotor) which are distributed by our consolidated subsidiaries</w:t>
      </w:r>
    </w:p>
    <w:p>
      <w:pPr>
        <w:pStyle w:val="TextBody"/>
        <w:bidi w:val="0"/>
        <w:spacing w:lineRule="auto" w:line="288" w:before="0" w:after="0"/>
        <w:jc w:val="left"/>
        <w:rPr/>
      </w:pPr>
      <w:r>
        <w:rPr>
          <w:rFonts w:ascii="Helvetica Light;sans-serif" w:hAnsi="Helvetica Light;sans-serif"/>
          <w:b w:val="false"/>
          <w:color w:val="000000"/>
          <w:sz w:val="10"/>
        </w:rPr>
        <w:t>(3)</w:t>
      </w:r>
      <w:r>
        <w:rPr>
          <w:color w:val="000000"/>
        </w:rPr>
        <w:t xml:space="preserve"> </w:t>
      </w:r>
      <w:r>
        <w:rPr>
          <w:rFonts w:ascii="Helvetica Light;sans-serif" w:hAnsi="Helvetica Light;sans-serif"/>
          <w:b w:val="false"/>
          <w:color w:val="000000"/>
          <w:sz w:val="16"/>
        </w:rPr>
        <w:t xml:space="preserve">Refer to sections — </w:t>
      </w:r>
      <w:r>
        <w:rPr>
          <w:rFonts w:ascii="Helvetica Light;sans-serif" w:hAnsi="Helvetica Light;sans-serif"/>
          <w:b w:val="false"/>
          <w:i/>
          <w:color w:val="000000"/>
          <w:sz w:val="16"/>
        </w:rPr>
        <w:t>Non-GAAP financial measures</w:t>
      </w:r>
      <w:r>
        <w:rPr>
          <w:rFonts w:ascii="Helvetica Light;sans-serif" w:hAnsi="Helvetica Light;sans-serif"/>
          <w:b w:val="false"/>
          <w:color w:val="000000"/>
          <w:sz w:val="16"/>
        </w:rPr>
        <w:t xml:space="preserve">, </w:t>
      </w:r>
      <w:r>
        <w:rPr>
          <w:rFonts w:ascii="Helvetica Light;sans-serif" w:hAnsi="Helvetica Light;sans-serif"/>
          <w:b w:val="false"/>
          <w:i/>
          <w:color w:val="000000"/>
          <w:sz w:val="16"/>
        </w:rPr>
        <w:t>Company results and Results by segment</w:t>
      </w:r>
      <w:r>
        <w:rPr>
          <w:color w:val="000000"/>
        </w:rPr>
        <w:t xml:space="preserve"> </w:t>
      </w:r>
      <w:r>
        <w:rPr>
          <w:rFonts w:ascii="Helvetica Light;sans-serif" w:hAnsi="Helvetica Light;sans-serif"/>
          <w:b w:val="false"/>
          <w:color w:val="000000"/>
          <w:sz w:val="16"/>
        </w:rPr>
        <w:t>in this Interim Report for further discussion</w:t>
      </w:r>
    </w:p>
    <w:p>
      <w:pPr>
        <w:pStyle w:val="TextBody"/>
        <w:bidi w:val="0"/>
        <w:spacing w:lineRule="auto" w:line="288" w:before="0" w:after="0"/>
        <w:jc w:val="left"/>
        <w:rPr/>
      </w:pPr>
      <w:r>
        <w:rPr>
          <w:rFonts w:ascii="Helvetica Light;sans-serif" w:hAnsi="Helvetica Light;sans-serif"/>
          <w:b w:val="false"/>
          <w:color w:val="000000"/>
          <w:sz w:val="10"/>
        </w:rPr>
        <w:t>(4)</w:t>
      </w:r>
      <w:r>
        <w:rPr>
          <w:color w:val="000000"/>
        </w:rPr>
        <w:t xml:space="preserve"> </w:t>
      </w:r>
      <w:r>
        <w:rPr>
          <w:rFonts w:ascii="Helvetica Light;sans-serif" w:hAnsi="Helvetica Light;sans-serif"/>
          <w:b w:val="false"/>
          <w:color w:val="000000"/>
          <w:sz w:val="16"/>
        </w:rPr>
        <w:t xml:space="preserve">Refer to Note 19, </w:t>
      </w:r>
      <w:r>
        <w:rPr>
          <w:rFonts w:ascii="Helvetica Light;sans-serif" w:hAnsi="Helvetica Light;sans-serif"/>
          <w:b w:val="false"/>
          <w:i/>
          <w:color w:val="000000"/>
          <w:sz w:val="16"/>
        </w:rPr>
        <w:t>Earnings/(loss) per share</w:t>
      </w:r>
      <w:r>
        <w:rPr>
          <w:rFonts w:ascii="Helvetica Light;sans-serif" w:hAnsi="Helvetica Light;sans-serif"/>
          <w:b w:val="false"/>
          <w:color w:val="000000"/>
          <w:sz w:val="16"/>
        </w:rPr>
        <w:t>, in the Interim Condensed Consolidated Financial Statements included in this Interim Report for additional information</w:t>
      </w:r>
    </w:p>
    <w:p>
      <w:pPr>
        <w:pStyle w:val="TextBody"/>
        <w:bidi w:val="0"/>
        <w:spacing w:lineRule="auto" w:line="288" w:before="0" w:after="0"/>
        <w:jc w:val="left"/>
        <w:rPr/>
      </w:pPr>
      <w:r>
        <w:rPr>
          <w:rFonts w:ascii="Helvetica Light;sans-serif" w:hAnsi="Helvetica Light;sans-serif"/>
          <w:b w:val="false"/>
          <w:color w:val="000000"/>
          <w:sz w:val="10"/>
        </w:rPr>
        <w:t>(5)</w:t>
      </w:r>
      <w:r>
        <w:rPr>
          <w:color w:val="000000"/>
        </w:rPr>
        <w:t xml:space="preserve"> </w:t>
      </w:r>
      <w:r>
        <w:rPr>
          <w:rFonts w:ascii="Helvetica Light;sans-serif" w:hAnsi="Helvetica Light;sans-serif"/>
          <w:b w:val="false"/>
          <w:color w:val="000000"/>
          <w:sz w:val="16"/>
        </w:rPr>
        <w:t xml:space="preserve">Refer to sections — </w:t>
      </w:r>
      <w:r>
        <w:rPr>
          <w:rFonts w:ascii="Helvetica Light;sans-serif" w:hAnsi="Helvetica Light;sans-serif"/>
          <w:b w:val="false"/>
          <w:i/>
          <w:color w:val="000000"/>
          <w:sz w:val="16"/>
        </w:rPr>
        <w:t>Non-GAAP financial measures</w:t>
      </w:r>
      <w:r>
        <w:rPr>
          <w:color w:val="000000"/>
        </w:rPr>
        <w:t xml:space="preserve"> </w:t>
      </w:r>
      <w:r>
        <w:rPr>
          <w:rFonts w:ascii="Helvetica Light;sans-serif" w:hAnsi="Helvetica Light;sans-serif"/>
          <w:b w:val="false"/>
          <w:color w:val="000000"/>
          <w:sz w:val="16"/>
        </w:rPr>
        <w:t xml:space="preserve">and </w:t>
      </w:r>
      <w:r>
        <w:rPr>
          <w:rFonts w:ascii="Helvetica Light;sans-serif" w:hAnsi="Helvetica Light;sans-serif"/>
          <w:b w:val="false"/>
          <w:i/>
          <w:color w:val="000000"/>
          <w:sz w:val="16"/>
        </w:rPr>
        <w:t>Company results</w:t>
      </w:r>
      <w:r>
        <w:rPr>
          <w:color w:val="000000"/>
        </w:rPr>
        <w:t xml:space="preserve"> </w:t>
      </w:r>
      <w:r>
        <w:rPr>
          <w:rFonts w:ascii="Helvetica Light;sans-serif" w:hAnsi="Helvetica Light;sans-serif"/>
          <w:b w:val="false"/>
          <w:color w:val="000000"/>
          <w:sz w:val="16"/>
        </w:rPr>
        <w:t>in this Interim Report for further discussion</w:t>
      </w:r>
    </w:p>
    <w:p>
      <w:pPr>
        <w:pStyle w:val="TextBody"/>
        <w:bidi w:val="0"/>
        <w:spacing w:lineRule="auto" w:line="288" w:before="0" w:after="0"/>
        <w:jc w:val="left"/>
        <w:rPr/>
      </w:pPr>
      <w:r>
        <w:rPr>
          <w:rFonts w:ascii="Helvetica Light;sans-serif" w:hAnsi="Helvetica Light;sans-serif"/>
          <w:b w:val="false"/>
          <w:color w:val="000000"/>
          <w:sz w:val="10"/>
        </w:rPr>
        <w:t>(6)</w:t>
      </w:r>
      <w:r>
        <w:rPr>
          <w:color w:val="000000"/>
        </w:rPr>
        <w:t xml:space="preserve"> </w:t>
      </w:r>
      <w:r>
        <w:rPr>
          <w:rFonts w:ascii="Helvetica Light;sans-serif" w:hAnsi="Helvetica Light;sans-serif"/>
          <w:b w:val="false"/>
          <w:color w:val="000000"/>
          <w:sz w:val="16"/>
        </w:rPr>
        <w:t xml:space="preserve">Refer to sections — </w:t>
      </w:r>
      <w:r>
        <w:rPr>
          <w:rFonts w:ascii="Helvetica Light;sans-serif" w:hAnsi="Helvetica Light;sans-serif"/>
          <w:b w:val="false"/>
          <w:i/>
          <w:color w:val="000000"/>
          <w:sz w:val="16"/>
        </w:rPr>
        <w:t>Non-GAAP financial measures</w:t>
      </w:r>
      <w:r>
        <w:rPr>
          <w:color w:val="000000"/>
        </w:rPr>
        <w:t xml:space="preserve"> </w:t>
      </w:r>
      <w:r>
        <w:rPr>
          <w:rFonts w:ascii="Helvetica Light;sans-serif" w:hAnsi="Helvetica Light;sans-serif"/>
          <w:b w:val="false"/>
          <w:color w:val="000000"/>
          <w:sz w:val="16"/>
        </w:rPr>
        <w:t xml:space="preserve">and </w:t>
      </w:r>
      <w:r>
        <w:rPr>
          <w:rFonts w:ascii="Helvetica Light;sans-serif" w:hAnsi="Helvetica Light;sans-serif"/>
          <w:b w:val="false"/>
          <w:i/>
          <w:color w:val="000000"/>
          <w:sz w:val="16"/>
        </w:rPr>
        <w:t>Liquidity and capital resources</w:t>
      </w:r>
      <w:r>
        <w:rPr>
          <w:color w:val="000000"/>
        </w:rPr>
        <w:t xml:space="preserve"> </w:t>
      </w:r>
      <w:r>
        <w:rPr>
          <w:rFonts w:ascii="Helvetica Light;sans-serif" w:hAnsi="Helvetica Light;sans-serif"/>
          <w:b w:val="false"/>
          <w:color w:val="000000"/>
          <w:sz w:val="16"/>
        </w:rPr>
        <w:t>in this Interim Report for further discussion</w:t>
      </w:r>
    </w:p>
    <w:p>
      <w:pPr>
        <w:pStyle w:val="TextBody"/>
        <w:bidi w:val="0"/>
        <w:spacing w:before="0" w:after="240"/>
        <w:ind w:left="0" w:right="0" w:hanging="180"/>
        <w:jc w:val="left"/>
        <w:rPr/>
      </w:pPr>
      <w:r>
        <w:rPr/>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503555"/>
                <wp:effectExtent l="0" t="0" r="0" b="0"/>
                <wp:wrapNone/>
                <wp:docPr id="11" name="Frame10"/>
                <a:graphic xmlns:a="http://schemas.openxmlformats.org/drawingml/2006/main">
                  <a:graphicData uri="http://schemas.microsoft.com/office/word/2010/wordprocessingShape">
                    <wps:wsp>
                      <wps:cNvSpPr txBox="1"/>
                      <wps:spPr>
                        <a:xfrm>
                          <a:off x="0" y="0"/>
                          <a:ext cx="6480175" cy="5035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w:t>
                      </w:r>
                    </w:p>
                    <w:p>
                      <w:pPr>
                        <w:pStyle w:val="TextBody"/>
                        <w:bidi w:val="0"/>
                        <w:spacing w:before="0" w:after="24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88" w:before="0" w:after="240"/>
        <w:jc w:val="left"/>
        <w:rPr>
          <w:rFonts w:ascii="Helvetica;sans-serif" w:hAnsi="Helvetica;sans-serif"/>
          <w:b/>
          <w:color w:val="143A84"/>
          <w:sz w:val="20"/>
        </w:rPr>
      </w:pPr>
      <w:r>
        <w:rPr>
          <w:rFonts w:ascii="Helvetica;sans-serif" w:hAnsi="Helvetica;sans-serif"/>
          <w:b/>
          <w:color w:val="143A84"/>
          <w:sz w:val="20"/>
        </w:rPr>
        <w:t xml:space="preserve">Non-GAAP financial measures </w:t>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We monitor our operations through the use of several non-generally accepted accounting principles (“non-GAAP”) financial measures: Adjusted operating income/(loss), Adjusted operating income margin, Industrial free cash flows and Industrial net financial position. We believe that these non-GAAP financial measures provide useful and relevant information regarding our operating results and enhance the overall ability to assess our financial performance and financial position. They provide us with comparable measures which facilitate management’s ability to identify operational trends, as well as make decisions regarding future spending, resource allocations and other operational decisions. We also present the non-GAAP measure, Adjusted diluted EPS which is not used to monitor our operations but which we believe provides investors with a more meaningful comparison of the Company’s ongoing quality of earnings. These and similar measures are widely used in the industry in which we operate, however, these financial measures may not be comparable to other similarly titled measures of other companies and are not intended to be substitutes for measures of financial performance as prepared in accordance with International Financial Reporting Standards (“IFRS”) as issued by the International Accounting Standards Board (“IASB”), as well as IFRS as adopted by the European Union.</w:t>
      </w:r>
    </w:p>
    <w:p>
      <w:pPr>
        <w:pStyle w:val="TextBody"/>
        <w:bidi w:val="0"/>
        <w:spacing w:lineRule="auto" w:line="343" w:before="0" w:after="240"/>
        <w:jc w:val="left"/>
        <w:rPr/>
      </w:pPr>
      <w:r>
        <w:rPr>
          <w:rFonts w:ascii="Helvetica Light;sans-serif" w:hAnsi="Helvetica Light;sans-serif"/>
          <w:b w:val="false"/>
          <w:i/>
          <w:color w:val="000000"/>
          <w:sz w:val="20"/>
        </w:rPr>
        <w:t>Adjusted operating income/(loss):</w:t>
      </w:r>
      <w:r>
        <w:rPr>
          <w:color w:val="000000"/>
        </w:rPr>
        <w:t xml:space="preserve"> </w:t>
      </w:r>
      <w:r>
        <w:rPr>
          <w:rFonts w:ascii="Helvetica Light;sans-serif" w:hAnsi="Helvetica Light;sans-serif"/>
          <w:b w:val="false"/>
          <w:color w:val="000000"/>
          <w:sz w:val="20"/>
        </w:rPr>
        <w:t>Adjusted operating income/(loss) excludes from Net profit/(loss) adjustments comprising restructuring and other termination costs, impairments, asset write-offs, disposals of investments and unusual operating income/(expense) that are considered rare or discrete events and are infrequent in nature, as inclusion of such items is not considered to be indicative of the Company's ongoing operating performance, and also excludes Net financial expenses/(income) and Tax expense/(benefit).</w:t>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Unusual operating income/(expense) are impacts from strategic decisions, as well as events considered rare or discrete and infrequent in nature, as inclusion of such items is not considered to be indicative of the Company's ongoing operating performance. Unusual operating income/(expense) includes, but may not be limited to:</w:t>
      </w:r>
    </w:p>
    <w:p>
      <w:pPr>
        <w:pStyle w:val="TextBody"/>
        <w:bidi w:val="0"/>
        <w:spacing w:lineRule="auto" w:line="343" w:before="0" w:after="120"/>
        <w:ind w:left="0" w:right="0" w:hanging="173"/>
        <w:jc w:val="left"/>
        <w:rPr/>
      </w:pPr>
      <w:r>
        <w:rPr>
          <w:color w:val="143A84"/>
        </w:rPr>
        <w:t>•</w:t>
      </w:r>
      <w:r>
        <w:rPr>
          <w:rFonts w:ascii="Helvetica Light;sans-serif" w:hAnsi="Helvetica Light;sans-serif"/>
          <w:b w:val="false"/>
          <w:color w:val="000000"/>
          <w:sz w:val="20"/>
        </w:rPr>
        <w:t>Impacts from strategic decisions to rationalize Stellantis’ core operations;</w:t>
      </w:r>
    </w:p>
    <w:p>
      <w:pPr>
        <w:pStyle w:val="TextBody"/>
        <w:bidi w:val="0"/>
        <w:spacing w:lineRule="auto" w:line="343" w:before="0" w:after="120"/>
        <w:ind w:left="0" w:right="0" w:hanging="173"/>
        <w:jc w:val="left"/>
        <w:rPr/>
      </w:pPr>
      <w:r>
        <w:rPr>
          <w:color w:val="143A84"/>
        </w:rPr>
        <w:t>•</w:t>
      </w:r>
      <w:r>
        <w:rPr>
          <w:rFonts w:ascii="Helvetica Light;sans-serif" w:hAnsi="Helvetica Light;sans-serif"/>
          <w:b w:val="false"/>
          <w:color w:val="000000"/>
          <w:sz w:val="20"/>
        </w:rPr>
        <w:t>Facility-related costs stemming from Stellantis’ plans to match production capacity and cost structure to market demand; and</w:t>
      </w:r>
    </w:p>
    <w:p>
      <w:pPr>
        <w:pStyle w:val="TextBody"/>
        <w:bidi w:val="0"/>
        <w:spacing w:lineRule="auto" w:line="343" w:before="0" w:after="120"/>
        <w:ind w:left="0" w:right="0" w:hanging="173"/>
        <w:jc w:val="left"/>
        <w:rPr/>
      </w:pPr>
      <w:r>
        <w:rPr>
          <w:color w:val="143A84"/>
        </w:rPr>
        <w:t>•</w:t>
      </w:r>
      <w:r>
        <w:rPr>
          <w:rFonts w:ascii="Helvetica Light;sans-serif" w:hAnsi="Helvetica Light;sans-serif"/>
          <w:b w:val="false"/>
          <w:color w:val="000000"/>
          <w:sz w:val="20"/>
        </w:rPr>
        <w:t>Convergence and integration costs directly related to significant acquisitions or mergers.</w:t>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Adjusted operating income/(loss) is used for internal reporting to assess performance and as part of the Company's forecasting, budgeting and decision making processes as it provides additional transparency to the Company's core operations. We believe this non-GAAP measure is useful because it excludes items that we do not believe are indicative of the Company’s ongoing operating performance and allows management to view operating trends, perform analytical comparisons and benchmark performance between periods and among our segments. We also believe that Adjusted operating income/(loss) is useful for analysts and investors to understand how management assesses the Company’s ongoing operating performance on a consistent basis. In addition, Adjusted operating income/(loss) is one of the metrics used in the determination of the annual performance bonus for eligible employees, including members of the senior management.</w:t>
      </w:r>
    </w:p>
    <w:p>
      <w:pPr>
        <w:pStyle w:val="TextBody"/>
        <w:bidi w:val="0"/>
        <w:spacing w:lineRule="auto" w:line="343" w:before="0" w:after="240"/>
        <w:jc w:val="left"/>
        <w:rPr/>
      </w:pPr>
      <w:r>
        <w:rPr>
          <w:rFonts w:ascii="Helvetica Light;sans-serif" w:hAnsi="Helvetica Light;sans-serif"/>
          <w:b w:val="false"/>
          <w:color w:val="000000"/>
          <w:sz w:val="20"/>
        </w:rPr>
        <w:t>Refer to the sections</w:t>
      </w:r>
      <w:r>
        <w:rPr>
          <w:color w:val="000000"/>
        </w:rPr>
        <w:t xml:space="preserve"> “</w:t>
      </w:r>
      <w:r>
        <w:rPr>
          <w:rFonts w:ascii="Helvetica Light;sans-serif" w:hAnsi="Helvetica Light;sans-serif"/>
          <w:b w:val="false"/>
          <w:i/>
          <w:color w:val="000000"/>
          <w:sz w:val="20"/>
        </w:rPr>
        <w:t>Company results</w:t>
      </w:r>
      <w:r>
        <w:rPr>
          <w:color w:val="000000"/>
        </w:rPr>
        <w:t xml:space="preserve">” </w:t>
      </w:r>
      <w:r>
        <w:rPr>
          <w:rFonts w:ascii="Helvetica Light;sans-serif" w:hAnsi="Helvetica Light;sans-serif"/>
          <w:b w:val="false"/>
          <w:color w:val="000000"/>
          <w:sz w:val="20"/>
        </w:rPr>
        <w:t>and</w:t>
      </w:r>
      <w:r>
        <w:rPr>
          <w:color w:val="000000"/>
        </w:rPr>
        <w:t xml:space="preserve"> “</w:t>
      </w:r>
      <w:r>
        <w:rPr>
          <w:rFonts w:ascii="Helvetica Light;sans-serif" w:hAnsi="Helvetica Light;sans-serif"/>
          <w:b w:val="false"/>
          <w:i/>
          <w:color w:val="000000"/>
          <w:sz w:val="20"/>
        </w:rPr>
        <w:t>Results by segment</w:t>
      </w:r>
      <w:r>
        <w:rPr>
          <w:color w:val="000000"/>
        </w:rPr>
        <w:t xml:space="preserve">” </w:t>
      </w:r>
      <w:r>
        <w:rPr>
          <w:rFonts w:ascii="Helvetica Light;sans-serif" w:hAnsi="Helvetica Light;sans-serif"/>
          <w:b w:val="false"/>
          <w:color w:val="000000"/>
          <w:sz w:val="20"/>
        </w:rPr>
        <w:t>below for further discussion and for a reconciliation of this non-GAAP measure to Net profit/(loss), which is the most directly comparable measure included in our Interim Condensed Consolidated Income Statement. Adjusted operating income/(loss) should not be considered as a substitute for Net profit/(loss), cash flow or other methods of analyzing our results as reported under IFRS.</w:t>
      </w:r>
    </w:p>
    <w:p>
      <w:pPr>
        <w:pStyle w:val="TextBody"/>
        <w:bidi w:val="0"/>
        <w:spacing w:lineRule="auto" w:line="343" w:before="0" w:after="240"/>
        <w:jc w:val="left"/>
        <w:rPr/>
      </w:pPr>
      <w:r>
        <w:rPr>
          <w:rFonts w:ascii="Helvetica Light;sans-serif" w:hAnsi="Helvetica Light;sans-serif"/>
          <w:b w:val="false"/>
          <w:i/>
          <w:color w:val="000000"/>
          <w:sz w:val="20"/>
        </w:rPr>
        <w:t>Adjusted operating income/(loss) margin:</w:t>
      </w:r>
      <w:r>
        <w:rPr>
          <w:color w:val="000000"/>
        </w:rPr>
        <w:t xml:space="preserve"> </w:t>
      </w:r>
      <w:r>
        <w:rPr>
          <w:rFonts w:ascii="Helvetica Light;sans-serif" w:hAnsi="Helvetica Light;sans-serif"/>
          <w:b w:val="false"/>
          <w:color w:val="000000"/>
          <w:sz w:val="20"/>
        </w:rPr>
        <w:t>is calculated as Adjusted operating income/(loss) divided by Net revenues.</w:t>
      </w:r>
    </w:p>
    <w:p>
      <w:pPr>
        <w:pStyle w:val="TextBody"/>
        <w:bidi w:val="0"/>
        <w:spacing w:before="0" w:after="24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503555"/>
                <wp:effectExtent l="0" t="0" r="0" b="0"/>
                <wp:wrapNone/>
                <wp:docPr id="12" name="Frame11"/>
                <a:graphic xmlns:a="http://schemas.openxmlformats.org/drawingml/2006/main">
                  <a:graphicData uri="http://schemas.microsoft.com/office/word/2010/wordprocessingShape">
                    <wps:wsp>
                      <wps:cNvSpPr txBox="1"/>
                      <wps:spPr>
                        <a:xfrm>
                          <a:off x="0" y="0"/>
                          <a:ext cx="6480175" cy="5035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w:t>
                      </w:r>
                    </w:p>
                    <w:p>
                      <w:pPr>
                        <w:pStyle w:val="TextBody"/>
                        <w:bidi w:val="0"/>
                        <w:spacing w:before="0" w:after="24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343" w:before="0" w:after="240"/>
        <w:jc w:val="left"/>
        <w:rPr/>
      </w:pPr>
      <w:r>
        <w:rPr>
          <w:rFonts w:ascii="Helvetica Light;sans-serif" w:hAnsi="Helvetica Light;sans-serif"/>
          <w:b w:val="false"/>
          <w:i/>
          <w:color w:val="000000"/>
          <w:sz w:val="20"/>
        </w:rPr>
        <w:t>Adjusted diluted EPS:</w:t>
      </w:r>
      <w:r>
        <w:rPr>
          <w:color w:val="000000"/>
        </w:rPr>
        <w:t xml:space="preserve"> </w:t>
      </w:r>
      <w:r>
        <w:rPr>
          <w:rFonts w:ascii="Helvetica Light;sans-serif" w:hAnsi="Helvetica Light;sans-serif"/>
          <w:b w:val="false"/>
          <w:color w:val="000000"/>
          <w:sz w:val="20"/>
        </w:rPr>
        <w:t>is calculated by adjusting Diluted earnings per share for the post-tax impact per share of the same items excluded from Adjusted operating income/(loss) as well as tax expense/(benefit) items that are considered rare or infrequent, or whose nature would distort the presentation of the ongoing tax charge of the Company. We believe this non-GAAP measure is useful because it also excludes items that we do not believe are indicative of the Company’s ongoing operating performance and provides investors with a more meaningful comparison of the Company’s ongoing quality of earnings. Refer to the section “</w:t>
      </w:r>
      <w:r>
        <w:rPr>
          <w:rFonts w:ascii="Helvetica Light;sans-serif" w:hAnsi="Helvetica Light;sans-serif"/>
          <w:b w:val="false"/>
          <w:i/>
          <w:color w:val="000000"/>
          <w:sz w:val="20"/>
        </w:rPr>
        <w:t>Company results</w:t>
      </w:r>
      <w:r>
        <w:rPr>
          <w:color w:val="000000"/>
        </w:rPr>
        <w:t xml:space="preserve">” </w:t>
      </w:r>
      <w:r>
        <w:rPr>
          <w:rFonts w:ascii="Helvetica Light;sans-serif" w:hAnsi="Helvetica Light;sans-serif"/>
          <w:b w:val="false"/>
          <w:color w:val="000000"/>
          <w:sz w:val="20"/>
        </w:rPr>
        <w:t xml:space="preserve">below for a reconciliation of this non-GAAP measure to Diluted earnings per share from operations, which is the most directly comparable measure included in our Interim Condensed Consolidated Financial Statements. Adjusted diluted EPS should not be considered as a substitute for Basic earnings per share, Diluted earnings per share from operations or other methods of analyzing our quality of earnings as reported under IFRS. </w:t>
      </w:r>
    </w:p>
    <w:p>
      <w:pPr>
        <w:pStyle w:val="TextBody"/>
        <w:bidi w:val="0"/>
        <w:spacing w:lineRule="auto" w:line="343" w:before="0" w:after="240"/>
        <w:jc w:val="left"/>
        <w:rPr/>
      </w:pPr>
      <w:r>
        <w:rPr>
          <w:rFonts w:ascii="Helvetica Light;sans-serif" w:hAnsi="Helvetica Light;sans-serif"/>
          <w:b w:val="false"/>
          <w:i/>
          <w:color w:val="000000"/>
          <w:sz w:val="20"/>
        </w:rPr>
        <w:t>Industrial free cash flows:</w:t>
      </w:r>
      <w:r>
        <w:rPr>
          <w:color w:val="000000"/>
        </w:rPr>
        <w:t xml:space="preserve"> </w:t>
      </w:r>
      <w:r>
        <w:rPr>
          <w:rFonts w:ascii="Helvetica Light;sans-serif" w:hAnsi="Helvetica Light;sans-serif"/>
          <w:b w:val="false"/>
          <w:color w:val="000000"/>
          <w:sz w:val="20"/>
        </w:rPr>
        <w:t>is our key cash flow metric and is calculated as Cash flows from operating activities less: (i) cash flows from operating activities from discontinued operations; (ii) cash flows from operating activities related to financial services, net of eliminations; (iii) investments in property, plant and equipment and intangible assets for industrial activities and (iv) contributions of equity to joint ventures and minor acquisitions of consolidated subsidiaries and equity method and other investments; and adjusted for: (i) net intercompany payments between continuing operations and discontinued operations; (ii) proceeds from disposal of assets and (iii) contributions to defined benefit pension plans, net of tax. The timing of Industrial free cash flows may be affected by the timing of monetization of receivables, factoring and the payment of accounts payables, as well as changes in other components of working capital, which can vary from period to period due to, among other things, cash management initiatives and other factors, some of which may be outside of the Company’s control. In addition, Industrial free cash flows is one of the metrics used in the determination of the annual performance bonus for eligible employees, including members of the senior management. We believe that this measure is useful for investors to facilitate their review and evaluation of the cash generation of our industrial operations, net of investing needs.</w:t>
      </w:r>
      <w:r>
        <w:rPr>
          <w:color w:val="000000"/>
        </w:rPr>
        <w:t xml:space="preserve">     </w:t>
      </w:r>
    </w:p>
    <w:p>
      <w:pPr>
        <w:pStyle w:val="TextBody"/>
        <w:bidi w:val="0"/>
        <w:spacing w:lineRule="auto" w:line="343" w:before="0" w:after="240"/>
        <w:jc w:val="left"/>
        <w:rPr/>
      </w:pPr>
      <w:r>
        <w:rPr>
          <w:rFonts w:ascii="Helvetica Light;sans-serif" w:hAnsi="Helvetica Light;sans-serif"/>
          <w:b w:val="false"/>
          <w:color w:val="000000"/>
          <w:sz w:val="20"/>
        </w:rPr>
        <w:t>Refer to “</w:t>
      </w:r>
      <w:r>
        <w:rPr>
          <w:rFonts w:ascii="Helvetica Light;sans-serif" w:hAnsi="Helvetica Light;sans-serif"/>
          <w:b w:val="false"/>
          <w:i/>
          <w:color w:val="000000"/>
          <w:sz w:val="20"/>
        </w:rPr>
        <w:t>Liquidity and capital resources</w:t>
      </w:r>
      <w:r>
        <w:rPr>
          <w:color w:val="000000"/>
        </w:rPr>
        <w:t>” — “</w:t>
      </w:r>
      <w:r>
        <w:rPr>
          <w:rFonts w:ascii="Helvetica Light;sans-serif" w:hAnsi="Helvetica Light;sans-serif"/>
          <w:b w:val="false"/>
          <w:i/>
          <w:color w:val="000000"/>
          <w:sz w:val="20"/>
        </w:rPr>
        <w:t>Industrial free cash flows</w:t>
      </w:r>
      <w:r>
        <w:rPr>
          <w:color w:val="000000"/>
        </w:rPr>
        <w:t xml:space="preserve">” </w:t>
      </w:r>
      <w:r>
        <w:rPr>
          <w:rFonts w:ascii="Helvetica Light;sans-serif" w:hAnsi="Helvetica Light;sans-serif"/>
          <w:b w:val="false"/>
          <w:color w:val="000000"/>
          <w:sz w:val="20"/>
        </w:rPr>
        <w:t>for further information and the reconciliation of this non-GAAP measure to Cash flows from operating activities, which is the most directly comparable measure included in our Interim Condensed Consolidated Statement of Cash Flows. Industrial free cash flows should not be considered as a substitute for Net profit/(loss), cash flow or other methods of analyzing our results as reported under IFRS.</w:t>
      </w:r>
    </w:p>
    <w:p>
      <w:pPr>
        <w:pStyle w:val="TextBody"/>
        <w:bidi w:val="0"/>
        <w:spacing w:lineRule="auto" w:line="343" w:before="0" w:after="240"/>
        <w:jc w:val="left"/>
        <w:rPr/>
      </w:pPr>
      <w:r>
        <w:rPr>
          <w:rFonts w:ascii="Helvetica Light;sans-serif" w:hAnsi="Helvetica Light;sans-serif"/>
          <w:b w:val="false"/>
          <w:i/>
          <w:color w:val="000000"/>
          <w:sz w:val="20"/>
        </w:rPr>
        <w:t>Industrial net financial position</w:t>
      </w:r>
      <w:r>
        <w:rPr>
          <w:color w:val="000000"/>
        </w:rPr>
        <w:t xml:space="preserve"> </w:t>
      </w:r>
      <w:r>
        <w:rPr>
          <w:rFonts w:ascii="Helvetica Light;sans-serif" w:hAnsi="Helvetica Light;sans-serif"/>
          <w:b w:val="false"/>
          <w:color w:val="000000"/>
          <w:sz w:val="20"/>
        </w:rPr>
        <w:t>is calculated as: Debt plus derivative financial liabilities related to industrial activities less (i) cash and cash equivalents; (ii) financial securities that are considered liquid; (iii) current financial receivables from the Company or its jointly controlled financial services entities and (iv) derivative financial assets and collateral deposits. Therefore, debt, cash and cash equivalents and other financial assets/liabilities pertaining to Stellantis’ financial services entities are excluded from the computation of the Industrial net financial position. Industrial net financial position includes the Industrial net financial position classified as held for sale. We believe it is useful for investors to report the Industrial net financial position to assist in comparability with the industrial operations of our peers. Refer to “</w:t>
      </w:r>
      <w:r>
        <w:rPr>
          <w:rFonts w:ascii="Helvetica Light;sans-serif" w:hAnsi="Helvetica Light;sans-serif"/>
          <w:b w:val="false"/>
          <w:i/>
          <w:color w:val="000000"/>
          <w:sz w:val="20"/>
        </w:rPr>
        <w:t>Liquidity and capital resources</w:t>
      </w:r>
      <w:r>
        <w:rPr>
          <w:color w:val="000000"/>
        </w:rPr>
        <w:t>” — “</w:t>
      </w:r>
      <w:r>
        <w:rPr>
          <w:rFonts w:ascii="Helvetica Light;sans-serif" w:hAnsi="Helvetica Light;sans-serif"/>
          <w:b w:val="false"/>
          <w:color w:val="000000"/>
          <w:sz w:val="20"/>
        </w:rPr>
        <w:t>Industrial net financial position” for further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503555"/>
                <wp:effectExtent l="0" t="0" r="0" b="0"/>
                <wp:wrapNone/>
                <wp:docPr id="13" name="Frame12"/>
                <a:graphic xmlns:a="http://schemas.openxmlformats.org/drawingml/2006/main">
                  <a:graphicData uri="http://schemas.microsoft.com/office/word/2010/wordprocessingShape">
                    <wps:wsp>
                      <wps:cNvSpPr txBox="1"/>
                      <wps:spPr>
                        <a:xfrm>
                          <a:off x="0" y="0"/>
                          <a:ext cx="6480175" cy="5035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w:t>
                      </w:r>
                    </w:p>
                    <w:p>
                      <w:pPr>
                        <w:pStyle w:val="TextBody"/>
                        <w:bidi w:val="0"/>
                        <w:spacing w:before="0" w:after="24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88" w:before="0" w:after="240"/>
        <w:jc w:val="left"/>
        <w:rPr>
          <w:rFonts w:ascii="Helvetica;sans-serif" w:hAnsi="Helvetica;sans-serif"/>
          <w:b/>
          <w:color w:val="143A84"/>
          <w:sz w:val="20"/>
        </w:rPr>
      </w:pPr>
      <w:r>
        <w:rPr>
          <w:rFonts w:ascii="Helvetica;sans-serif" w:hAnsi="Helvetica;sans-serif"/>
          <w:b/>
          <w:color w:val="143A84"/>
          <w:sz w:val="20"/>
        </w:rPr>
        <w:t xml:space="preserve">Company results </w:t>
      </w:r>
    </w:p>
    <w:p>
      <w:pPr>
        <w:pStyle w:val="TextBody"/>
        <w:bidi w:val="0"/>
        <w:spacing w:lineRule="auto" w:line="343" w:before="0" w:after="240"/>
        <w:jc w:val="left"/>
        <w:rPr/>
      </w:pPr>
      <w:r>
        <w:rPr>
          <w:rFonts w:ascii="Helvetica Light;sans-serif" w:hAnsi="Helvetica Light;sans-serif"/>
          <w:b w:val="false"/>
          <w:color w:val="000000"/>
          <w:sz w:val="20"/>
        </w:rPr>
        <w:t xml:space="preserve">Effective January 2026, the Company’s segment structure was updated to align with how the Chief Operating Decision Maker (“CODM”) reviews performance and allocates resources. Under the revised structure, the CODM reviews the business through the following operating and reportable segments: North America; Enlarged Europe; Middle East &amp; Africa; South America; and Asia Pacific. Refer to Note 1, </w:t>
      </w:r>
      <w:r>
        <w:rPr>
          <w:rFonts w:ascii="Helvetica Light;sans-serif" w:hAnsi="Helvetica Light;sans-serif"/>
          <w:b w:val="false"/>
          <w:i/>
          <w:color w:val="000000"/>
          <w:sz w:val="20"/>
        </w:rPr>
        <w:t>Basis of Preparation</w:t>
      </w:r>
      <w:r>
        <w:rPr>
          <w:color w:val="000000"/>
        </w:rPr>
        <w:t xml:space="preserve"> </w:t>
      </w:r>
      <w:r>
        <w:rPr>
          <w:rFonts w:ascii="Helvetica Light;sans-serif" w:hAnsi="Helvetica Light;sans-serif"/>
          <w:b w:val="false"/>
          <w:color w:val="000000"/>
          <w:sz w:val="20"/>
        </w:rPr>
        <w:t xml:space="preserve">in the Interim Condensed Consolidated Financial Statements included in this Interim Report for additional information. </w:t>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The following is a discussion of the Company's results of operations for the three and six months ended June 30, 2026 compared to the three and six months ended June 30, 2025.</w:t>
      </w:r>
    </w:p>
    <w:tbl>
      <w:tblPr>
        <w:tblW w:w="10205" w:type="dxa"/>
        <w:jc w:val="left"/>
        <w:tblInd w:w="0" w:type="dxa"/>
        <w:tblLayout w:type="fixed"/>
        <w:tblCellMar>
          <w:top w:w="28" w:type="dxa"/>
          <w:left w:w="28" w:type="dxa"/>
          <w:bottom w:w="28" w:type="dxa"/>
          <w:right w:w="28" w:type="dxa"/>
        </w:tblCellMar>
      </w:tblPr>
      <w:tblGrid>
        <w:gridCol w:w="550"/>
        <w:gridCol w:w="275"/>
        <w:gridCol w:w="265"/>
        <w:gridCol w:w="265"/>
        <w:gridCol w:w="265"/>
        <w:gridCol w:w="265"/>
        <w:gridCol w:w="499"/>
        <w:gridCol w:w="280"/>
        <w:gridCol w:w="265"/>
        <w:gridCol w:w="109"/>
        <w:gridCol w:w="109"/>
        <w:gridCol w:w="109"/>
        <w:gridCol w:w="1329"/>
        <w:gridCol w:w="1265"/>
        <w:gridCol w:w="1285"/>
        <w:gridCol w:w="109"/>
        <w:gridCol w:w="109"/>
        <w:gridCol w:w="109"/>
        <w:gridCol w:w="447"/>
        <w:gridCol w:w="274"/>
        <w:gridCol w:w="239"/>
        <w:gridCol w:w="239"/>
        <w:gridCol w:w="239"/>
        <w:gridCol w:w="239"/>
        <w:gridCol w:w="447"/>
        <w:gridCol w:w="274"/>
        <w:gridCol w:w="345"/>
      </w:tblGrid>
      <w:tr>
        <w:trPr/>
        <w:tc>
          <w:tcPr>
            <w:tcW w:w="55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r>
      <w:tr>
        <w:trPr/>
        <w:tc>
          <w:tcPr>
            <w:tcW w:w="29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Six Months Ended June 30,</w:t>
            </w:r>
          </w:p>
        </w:tc>
      </w:tr>
      <w:tr>
        <w:trPr/>
        <w:tc>
          <w:tcPr>
            <w:tcW w:w="1090" w:type="dxa"/>
            <w:gridSpan w:val="3"/>
            <w:tcBorders>
              <w:top w:val="single" w:sz="2" w:space="0" w:color="8E939F"/>
              <w:bottom w:val="single" w:sz="2" w:space="0" w:color="143A84"/>
            </w:tcBorders>
            <w:shd w:fill="F3F3F9" w:val="clear"/>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2026</w:t>
            </w:r>
          </w:p>
        </w:tc>
        <w:tc>
          <w:tcPr>
            <w:tcW w:w="795" w:type="dxa"/>
            <w:gridSpan w:val="3"/>
            <w:tcBorders>
              <w:top w:val="single" w:sz="2" w:space="0" w:color="8E939F"/>
              <w:bottom w:val="single" w:sz="2" w:space="0" w:color="143A84"/>
            </w:tcBorders>
            <w:tcMar>
              <w:left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2" w:space="0" w:color="8E939F"/>
              <w:bottom w:val="single" w:sz="2" w:space="0" w:color="143A84"/>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2025</w:t>
            </w:r>
          </w:p>
        </w:tc>
        <w:tc>
          <w:tcPr>
            <w:tcW w:w="327" w:type="dxa"/>
            <w:gridSpan w:val="3"/>
            <w:tcBorders>
              <w:bottom w:val="single" w:sz="2" w:space="0" w:color="143A8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79" w:type="dxa"/>
            <w:gridSpan w:val="3"/>
            <w:tcBorders>
              <w:bottom w:val="single" w:sz="2" w:space="0" w:color="143A84"/>
            </w:tcBorders>
            <w:tcMar>
              <w:top w:w="0" w:type="dxa"/>
              <w:left w:w="0" w:type="dxa"/>
              <w:bottom w:w="30" w:type="dxa"/>
              <w:right w:w="0" w:type="dxa"/>
            </w:tcMar>
            <w:vAlign w:val="center"/>
          </w:tcPr>
          <w:p>
            <w:pPr>
              <w:pStyle w:val="TableContents"/>
              <w:bidi w:val="0"/>
              <w:spacing w:lineRule="auto" w:line="288" w:before="0" w:after="240"/>
              <w:jc w:val="left"/>
              <w:rPr>
                <w:rFonts w:ascii="Helvetica;sans-serif" w:hAnsi="Helvetica;sans-serif"/>
                <w:b w:val="false"/>
                <w:i/>
                <w:color w:val="000000"/>
                <w:sz w:val="16"/>
              </w:rPr>
            </w:pPr>
            <w:r>
              <w:rPr>
                <w:rFonts w:ascii="Helvetica;sans-serif" w:hAnsi="Helvetica;sans-serif"/>
                <w:b w:val="false"/>
                <w:i/>
                <w:color w:val="000000"/>
                <w:sz w:val="16"/>
              </w:rPr>
              <w:t>(€ million)</w:t>
            </w:r>
          </w:p>
        </w:tc>
        <w:tc>
          <w:tcPr>
            <w:tcW w:w="327" w:type="dxa"/>
            <w:gridSpan w:val="3"/>
            <w:tcBorders>
              <w:bottom w:val="single" w:sz="2" w:space="0" w:color="143A8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2" w:space="0" w:color="8E939F"/>
              <w:bottom w:val="single" w:sz="2" w:space="0" w:color="143A84"/>
            </w:tcBorders>
            <w:shd w:fill="F3F3F9" w:val="clear"/>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2026</w:t>
            </w:r>
          </w:p>
        </w:tc>
        <w:tc>
          <w:tcPr>
            <w:tcW w:w="717" w:type="dxa"/>
            <w:gridSpan w:val="3"/>
            <w:tcBorders>
              <w:top w:val="single" w:sz="2" w:space="0" w:color="8E939F"/>
              <w:bottom w:val="single" w:sz="2" w:space="0" w:color="143A84"/>
            </w:tcBorders>
            <w:tcMar>
              <w:left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2" w:space="0" w:color="8E939F"/>
              <w:bottom w:val="single" w:sz="2" w:space="0" w:color="143A84"/>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2025</w:t>
            </w:r>
          </w:p>
        </w:tc>
      </w:tr>
      <w:tr>
        <w:trPr/>
        <w:tc>
          <w:tcPr>
            <w:tcW w:w="825" w:type="dxa"/>
            <w:gridSpan w:val="2"/>
            <w:tcBorders>
              <w:top w:val="single" w:sz="2" w:space="0" w:color="143A84"/>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43,482 </w:t>
            </w:r>
          </w:p>
        </w:tc>
        <w:tc>
          <w:tcPr>
            <w:tcW w:w="265" w:type="dxa"/>
            <w:tcBorders>
              <w:top w:val="single" w:sz="2" w:space="0" w:color="143A84"/>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top w:val="single" w:sz="2" w:space="0" w:color="143A84"/>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38,448 </w:t>
            </w:r>
          </w:p>
        </w:tc>
        <w:tc>
          <w:tcPr>
            <w:tcW w:w="265" w:type="dxa"/>
            <w:tcBorders>
              <w:top w:val="single" w:sz="2" w:space="0" w:color="143A84"/>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9" w:type="dxa"/>
            <w:gridSpan w:val="3"/>
            <w:tcBorders>
              <w:top w:val="single" w:sz="2" w:space="0" w:color="143A84"/>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Net revenues</w:t>
            </w:r>
          </w:p>
        </w:tc>
        <w:tc>
          <w:tcPr>
            <w:tcW w:w="327"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143A84"/>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81,614 </w:t>
            </w:r>
          </w:p>
        </w:tc>
        <w:tc>
          <w:tcPr>
            <w:tcW w:w="239" w:type="dxa"/>
            <w:tcBorders>
              <w:top w:val="single" w:sz="2" w:space="0" w:color="143A84"/>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143A84"/>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74,261 </w:t>
            </w:r>
          </w:p>
        </w:tc>
        <w:tc>
          <w:tcPr>
            <w:tcW w:w="345" w:type="dxa"/>
            <w:tcBorders>
              <w:top w:val="single" w:sz="2" w:space="0" w:color="143A84"/>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5"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38,708 </w:t>
            </w:r>
          </w:p>
        </w:tc>
        <w:tc>
          <w:tcPr>
            <w:tcW w:w="265"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36,079 </w:t>
            </w:r>
          </w:p>
        </w:tc>
        <w:tc>
          <w:tcPr>
            <w:tcW w:w="265"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9"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Cost of revenues</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72,411 </w:t>
            </w:r>
          </w:p>
        </w:tc>
        <w:tc>
          <w:tcPr>
            <w:tcW w:w="239"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68,267 </w:t>
            </w:r>
          </w:p>
        </w:tc>
        <w:tc>
          <w:tcPr>
            <w:tcW w:w="345"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5"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2,483 </w:t>
            </w:r>
          </w:p>
        </w:tc>
        <w:tc>
          <w:tcPr>
            <w:tcW w:w="265"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1,828 </w:t>
            </w:r>
          </w:p>
        </w:tc>
        <w:tc>
          <w:tcPr>
            <w:tcW w:w="265"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9"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Selling, general and other costs</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4,785 </w:t>
            </w:r>
          </w:p>
        </w:tc>
        <w:tc>
          <w:tcPr>
            <w:tcW w:w="239"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4,174 </w:t>
            </w:r>
          </w:p>
        </w:tc>
        <w:tc>
          <w:tcPr>
            <w:tcW w:w="345"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5"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1,308 </w:t>
            </w:r>
          </w:p>
        </w:tc>
        <w:tc>
          <w:tcPr>
            <w:tcW w:w="265"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1,938 </w:t>
            </w:r>
          </w:p>
        </w:tc>
        <w:tc>
          <w:tcPr>
            <w:tcW w:w="265"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9"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Research and development costs</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2,748 </w:t>
            </w:r>
          </w:p>
        </w:tc>
        <w:tc>
          <w:tcPr>
            <w:tcW w:w="239"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3,371 </w:t>
            </w:r>
          </w:p>
        </w:tc>
        <w:tc>
          <w:tcPr>
            <w:tcW w:w="345"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5"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71 </w:t>
            </w:r>
          </w:p>
        </w:tc>
        <w:tc>
          <w:tcPr>
            <w:tcW w:w="265"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(202)</w:t>
            </w:r>
          </w:p>
        </w:tc>
        <w:tc>
          <w:tcPr>
            <w:tcW w:w="265"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9"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Gains/(losses) on disposal of investments</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59 </w:t>
            </w:r>
          </w:p>
        </w:tc>
        <w:tc>
          <w:tcPr>
            <w:tcW w:w="239"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(204)</w:t>
            </w:r>
          </w:p>
        </w:tc>
        <w:tc>
          <w:tcPr>
            <w:tcW w:w="345"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5"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384 </w:t>
            </w:r>
          </w:p>
        </w:tc>
        <w:tc>
          <w:tcPr>
            <w:tcW w:w="265"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399 </w:t>
            </w:r>
          </w:p>
        </w:tc>
        <w:tc>
          <w:tcPr>
            <w:tcW w:w="265"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9"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Restructuring costs</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482 </w:t>
            </w:r>
          </w:p>
        </w:tc>
        <w:tc>
          <w:tcPr>
            <w:tcW w:w="239"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522 </w:t>
            </w:r>
          </w:p>
        </w:tc>
        <w:tc>
          <w:tcPr>
            <w:tcW w:w="345"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5"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32 </w:t>
            </w:r>
          </w:p>
        </w:tc>
        <w:tc>
          <w:tcPr>
            <w:tcW w:w="265"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(396)</w:t>
            </w:r>
          </w:p>
        </w:tc>
        <w:tc>
          <w:tcPr>
            <w:tcW w:w="265"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9"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Share of the profit/(loss) of equity method investees</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143 </w:t>
            </w:r>
          </w:p>
        </w:tc>
        <w:tc>
          <w:tcPr>
            <w:tcW w:w="239"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(433)</w:t>
            </w:r>
          </w:p>
        </w:tc>
        <w:tc>
          <w:tcPr>
            <w:tcW w:w="345"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5"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8"/>
              </w:rPr>
              <w:t>702</w:t>
            </w:r>
            <w:r>
              <w:rPr>
                <w:color w:val="243782"/>
              </w:rPr>
              <w:t> </w:t>
            </w:r>
          </w:p>
        </w:tc>
        <w:tc>
          <w:tcPr>
            <w:tcW w:w="265"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op w:val="single" w:sz="2" w:space="0" w:color="8E939F"/>
            </w:tcBorders>
            <w:shd w:fill="E6E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(2,394)</w:t>
            </w:r>
          </w:p>
        </w:tc>
        <w:tc>
          <w:tcPr>
            <w:tcW w:w="265"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E6E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9" w:type="dxa"/>
            <w:gridSpan w:val="3"/>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243782"/>
                <w:sz w:val="18"/>
              </w:rPr>
            </w:pPr>
            <w:r>
              <w:rPr>
                <w:rFonts w:ascii="Helvetica;sans-serif" w:hAnsi="Helvetica;sans-serif"/>
                <w:b/>
                <w:color w:val="243782"/>
                <w:sz w:val="18"/>
              </w:rPr>
              <w:t>Operating income/(loss)</w:t>
            </w:r>
          </w:p>
        </w:tc>
        <w:tc>
          <w:tcPr>
            <w:tcW w:w="327" w:type="dxa"/>
            <w:gridSpan w:val="3"/>
            <w:tcBorders>
              <w:top w:val="single" w:sz="2" w:space="0" w:color="8E939F"/>
            </w:tcBorders>
            <w:shd w:fill="E6E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8"/>
              </w:rPr>
              <w:t>1,390</w:t>
            </w:r>
            <w:r>
              <w:rPr>
                <w:color w:val="243782"/>
              </w:rPr>
              <w:t> </w:t>
            </w:r>
          </w:p>
        </w:tc>
        <w:tc>
          <w:tcPr>
            <w:tcW w:w="239"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op w:val="single" w:sz="2" w:space="0" w:color="8E939F"/>
            </w:tcBorders>
            <w:shd w:fill="E6E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(2,710)</w:t>
            </w:r>
          </w:p>
        </w:tc>
        <w:tc>
          <w:tcPr>
            <w:tcW w:w="345"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5"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202 </w:t>
            </w:r>
          </w:p>
        </w:tc>
        <w:tc>
          <w:tcPr>
            <w:tcW w:w="265"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63 </w:t>
            </w:r>
          </w:p>
        </w:tc>
        <w:tc>
          <w:tcPr>
            <w:tcW w:w="265"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9"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Net financial expenses/(income)</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352 </w:t>
            </w:r>
          </w:p>
        </w:tc>
        <w:tc>
          <w:tcPr>
            <w:tcW w:w="239"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160 </w:t>
            </w:r>
          </w:p>
        </w:tc>
        <w:tc>
          <w:tcPr>
            <w:tcW w:w="345"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5"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8"/>
              </w:rPr>
              <w:t>500</w:t>
            </w:r>
            <w:r>
              <w:rPr>
                <w:color w:val="243782"/>
              </w:rPr>
              <w:t> </w:t>
            </w:r>
          </w:p>
        </w:tc>
        <w:tc>
          <w:tcPr>
            <w:tcW w:w="265"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op w:val="single" w:sz="2" w:space="0" w:color="8E939F"/>
            </w:tcBorders>
            <w:shd w:fill="E6E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(2,457)</w:t>
            </w:r>
          </w:p>
        </w:tc>
        <w:tc>
          <w:tcPr>
            <w:tcW w:w="265"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E6E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9" w:type="dxa"/>
            <w:gridSpan w:val="3"/>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243782"/>
                <w:sz w:val="18"/>
              </w:rPr>
            </w:pPr>
            <w:r>
              <w:rPr>
                <w:rFonts w:ascii="Helvetica;sans-serif" w:hAnsi="Helvetica;sans-serif"/>
                <w:b/>
                <w:color w:val="243782"/>
                <w:sz w:val="18"/>
              </w:rPr>
              <w:t>Profit/(loss) before taxes</w:t>
            </w:r>
          </w:p>
        </w:tc>
        <w:tc>
          <w:tcPr>
            <w:tcW w:w="327" w:type="dxa"/>
            <w:gridSpan w:val="3"/>
            <w:tcBorders>
              <w:top w:val="single" w:sz="2" w:space="0" w:color="8E939F"/>
            </w:tcBorders>
            <w:shd w:fill="E6E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8"/>
              </w:rPr>
              <w:t>1,038</w:t>
            </w:r>
            <w:r>
              <w:rPr>
                <w:color w:val="243782"/>
              </w:rPr>
              <w:t> </w:t>
            </w:r>
          </w:p>
        </w:tc>
        <w:tc>
          <w:tcPr>
            <w:tcW w:w="239"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op w:val="single" w:sz="2" w:space="0" w:color="8E939F"/>
            </w:tcBorders>
            <w:shd w:fill="E6E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(2,870)</w:t>
            </w:r>
          </w:p>
        </w:tc>
        <w:tc>
          <w:tcPr>
            <w:tcW w:w="345"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5"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207 </w:t>
            </w:r>
          </w:p>
        </w:tc>
        <w:tc>
          <w:tcPr>
            <w:tcW w:w="265"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(588)</w:t>
            </w:r>
          </w:p>
        </w:tc>
        <w:tc>
          <w:tcPr>
            <w:tcW w:w="265"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9"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Tax expense/(benefit)</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368 </w:t>
            </w:r>
          </w:p>
        </w:tc>
        <w:tc>
          <w:tcPr>
            <w:tcW w:w="239"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(614)</w:t>
            </w:r>
          </w:p>
        </w:tc>
        <w:tc>
          <w:tcPr>
            <w:tcW w:w="345"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0" w:type="dxa"/>
            <w:gridSpan w:val="3"/>
            <w:tcBorders/>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090" w:type="dxa"/>
            <w:gridSpan w:val="3"/>
            <w:tcBorders/>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825"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8"/>
              </w:rPr>
              <w:t>293</w:t>
            </w:r>
            <w:r>
              <w:rPr>
                <w:color w:val="243782"/>
              </w:rPr>
              <w:t> </w:t>
            </w:r>
          </w:p>
        </w:tc>
        <w:tc>
          <w:tcPr>
            <w:tcW w:w="265"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op w:val="single" w:sz="2" w:space="0" w:color="8E939F"/>
            </w:tcBorders>
            <w:shd w:fill="E6E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(1,869)</w:t>
            </w:r>
          </w:p>
        </w:tc>
        <w:tc>
          <w:tcPr>
            <w:tcW w:w="265"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E6E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9" w:type="dxa"/>
            <w:gridSpan w:val="3"/>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243782"/>
                <w:sz w:val="18"/>
              </w:rPr>
            </w:pPr>
            <w:r>
              <w:rPr>
                <w:rFonts w:ascii="Helvetica;sans-serif" w:hAnsi="Helvetica;sans-serif"/>
                <w:b/>
                <w:color w:val="243782"/>
                <w:sz w:val="18"/>
              </w:rPr>
              <w:t>Net profit/(loss)</w:t>
            </w:r>
          </w:p>
        </w:tc>
        <w:tc>
          <w:tcPr>
            <w:tcW w:w="327" w:type="dxa"/>
            <w:gridSpan w:val="3"/>
            <w:tcBorders>
              <w:top w:val="single" w:sz="2" w:space="0" w:color="8E939F"/>
            </w:tcBorders>
            <w:shd w:fill="E6E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8"/>
              </w:rPr>
              <w:t>670</w:t>
            </w:r>
            <w:r>
              <w:rPr>
                <w:color w:val="243782"/>
              </w:rPr>
              <w:t> </w:t>
            </w:r>
          </w:p>
        </w:tc>
        <w:tc>
          <w:tcPr>
            <w:tcW w:w="239"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op w:val="single" w:sz="2" w:space="0" w:color="8E939F"/>
            </w:tcBorders>
            <w:shd w:fill="E6E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(2,256)</w:t>
            </w:r>
          </w:p>
        </w:tc>
        <w:tc>
          <w:tcPr>
            <w:tcW w:w="345"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0"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9"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0"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9"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243782"/>
                <w:sz w:val="18"/>
              </w:rPr>
            </w:pPr>
            <w:r>
              <w:rPr>
                <w:rFonts w:ascii="Helvetica;sans-serif" w:hAnsi="Helvetica;sans-serif"/>
                <w:b/>
                <w:color w:val="243782"/>
                <w:sz w:val="18"/>
              </w:rPr>
              <w:t>Net profit/(loss) attributable to:</w:t>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5"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266 </w:t>
            </w:r>
          </w:p>
        </w:tc>
        <w:tc>
          <w:tcPr>
            <w:tcW w:w="265"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(1,869)</w:t>
            </w:r>
          </w:p>
        </w:tc>
        <w:tc>
          <w:tcPr>
            <w:tcW w:w="265"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9"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Owners of the parent</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656 </w:t>
            </w:r>
          </w:p>
        </w:tc>
        <w:tc>
          <w:tcPr>
            <w:tcW w:w="239"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(2,240)</w:t>
            </w:r>
          </w:p>
        </w:tc>
        <w:tc>
          <w:tcPr>
            <w:tcW w:w="345"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5" w:type="dxa"/>
            <w:gridSpan w:val="2"/>
            <w:tcBorders>
              <w:top w:val="single" w:sz="2" w:space="0" w:color="8E939F"/>
              <w:bottom w:val="single" w:sz="2" w:space="0" w:color="8E939F"/>
            </w:tcBorders>
            <w:shd w:fill="F3F3F9" w:val="clear"/>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27 </w:t>
            </w:r>
          </w:p>
        </w:tc>
        <w:tc>
          <w:tcPr>
            <w:tcW w:w="265" w:type="dxa"/>
            <w:tcBorders>
              <w:top w:val="single" w:sz="2" w:space="0" w:color="8E939F"/>
              <w:bottom w:val="single" w:sz="2" w:space="0" w:color="8E939F"/>
            </w:tcBorders>
            <w:shd w:fill="F3F3F9"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op w:val="single" w:sz="2" w:space="0" w:color="8E939F"/>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65" w:type="dxa"/>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3879" w:type="dxa"/>
            <w:gridSpan w:val="3"/>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Non-controlling interests</w:t>
            </w:r>
          </w:p>
        </w:tc>
        <w:tc>
          <w:tcPr>
            <w:tcW w:w="327" w:type="dxa"/>
            <w:gridSpan w:val="3"/>
            <w:tcBorders>
              <w:top w:val="single" w:sz="2" w:space="0" w:color="8E939F"/>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8E939F"/>
              <w:bottom w:val="single" w:sz="2" w:space="0" w:color="8E939F"/>
            </w:tcBorders>
            <w:shd w:fill="F3F3F9" w:val="clear"/>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14 </w:t>
            </w:r>
          </w:p>
        </w:tc>
        <w:tc>
          <w:tcPr>
            <w:tcW w:w="239" w:type="dxa"/>
            <w:tcBorders>
              <w:top w:val="single" w:sz="2" w:space="0" w:color="8E939F"/>
              <w:bottom w:val="single" w:sz="2" w:space="0" w:color="8E939F"/>
            </w:tcBorders>
            <w:shd w:fill="F3F3F9"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op w:val="single" w:sz="2" w:space="0" w:color="8E939F"/>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(16)</w:t>
            </w:r>
          </w:p>
        </w:tc>
        <w:tc>
          <w:tcPr>
            <w:tcW w:w="345" w:type="dxa"/>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90" w:type="dxa"/>
            <w:gridSpan w:val="3"/>
            <w:tcBorders/>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090" w:type="dxa"/>
            <w:gridSpan w:val="3"/>
            <w:tcBorders/>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090" w:type="dxa"/>
            <w:gridSpan w:val="3"/>
            <w:tcBorders/>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090" w:type="dxa"/>
            <w:gridSpan w:val="3"/>
            <w:tcBorders/>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090" w:type="dxa"/>
            <w:gridSpan w:val="3"/>
            <w:tcBorders/>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090" w:type="dxa"/>
            <w:gridSpan w:val="3"/>
            <w:tcBorders/>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090" w:type="dxa"/>
            <w:gridSpan w:val="3"/>
            <w:tcBorders/>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090" w:type="dxa"/>
            <w:gridSpan w:val="3"/>
            <w:tcBorders/>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503555"/>
                <wp:effectExtent l="0" t="0" r="0" b="0"/>
                <wp:wrapNone/>
                <wp:docPr id="14" name="Frame13"/>
                <a:graphic xmlns:a="http://schemas.openxmlformats.org/drawingml/2006/main">
                  <a:graphicData uri="http://schemas.microsoft.com/office/word/2010/wordprocessingShape">
                    <wps:wsp>
                      <wps:cNvSpPr txBox="1"/>
                      <wps:spPr>
                        <a:xfrm>
                          <a:off x="0" y="0"/>
                          <a:ext cx="6480175" cy="5035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w:t>
                      </w:r>
                    </w:p>
                    <w:p>
                      <w:pPr>
                        <w:pStyle w:val="TextBody"/>
                        <w:bidi w:val="0"/>
                        <w:spacing w:before="0" w:after="24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88" w:before="0" w:after="120"/>
        <w:jc w:val="left"/>
        <w:rPr>
          <w:rFonts w:ascii="Helvetica;sans-serif" w:hAnsi="Helvetica;sans-serif"/>
          <w:b/>
          <w:color w:val="143A84"/>
          <w:sz w:val="18"/>
        </w:rPr>
      </w:pPr>
      <w:r>
        <w:rPr>
          <w:rFonts w:ascii="Helvetica;sans-serif" w:hAnsi="Helvetica;sans-serif"/>
          <w:b/>
          <w:color w:val="143A84"/>
          <w:sz w:val="18"/>
        </w:rPr>
        <w:t>Net revenues</w:t>
      </w:r>
    </w:p>
    <w:tbl>
      <w:tblPr>
        <w:tblW w:w="10205" w:type="dxa"/>
        <w:jc w:val="left"/>
        <w:tblInd w:w="0" w:type="dxa"/>
        <w:tblLayout w:type="fixed"/>
        <w:tblCellMar>
          <w:top w:w="28" w:type="dxa"/>
          <w:left w:w="28" w:type="dxa"/>
          <w:bottom w:w="28" w:type="dxa"/>
          <w:right w:w="28" w:type="dxa"/>
        </w:tblCellMar>
      </w:tblPr>
      <w:tblGrid>
        <w:gridCol w:w="550"/>
        <w:gridCol w:w="238"/>
        <w:gridCol w:w="199"/>
        <w:gridCol w:w="199"/>
        <w:gridCol w:w="199"/>
        <w:gridCol w:w="199"/>
        <w:gridCol w:w="499"/>
        <w:gridCol w:w="255"/>
        <w:gridCol w:w="199"/>
        <w:gridCol w:w="109"/>
        <w:gridCol w:w="109"/>
        <w:gridCol w:w="109"/>
        <w:gridCol w:w="328"/>
        <w:gridCol w:w="320"/>
        <w:gridCol w:w="797"/>
        <w:gridCol w:w="109"/>
        <w:gridCol w:w="109"/>
        <w:gridCol w:w="109"/>
        <w:gridCol w:w="344"/>
        <w:gridCol w:w="344"/>
        <w:gridCol w:w="349"/>
        <w:gridCol w:w="109"/>
        <w:gridCol w:w="109"/>
        <w:gridCol w:w="109"/>
        <w:gridCol w:w="459"/>
        <w:gridCol w:w="264"/>
        <w:gridCol w:w="188"/>
        <w:gridCol w:w="188"/>
        <w:gridCol w:w="188"/>
        <w:gridCol w:w="188"/>
        <w:gridCol w:w="459"/>
        <w:gridCol w:w="264"/>
        <w:gridCol w:w="188"/>
        <w:gridCol w:w="109"/>
        <w:gridCol w:w="109"/>
        <w:gridCol w:w="109"/>
        <w:gridCol w:w="301"/>
        <w:gridCol w:w="301"/>
        <w:gridCol w:w="890"/>
      </w:tblGrid>
      <w:tr>
        <w:trPr/>
        <w:tc>
          <w:tcPr>
            <w:tcW w:w="550"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r>
      <w:tr>
        <w:trPr/>
        <w:tc>
          <w:tcPr>
            <w:tcW w:w="2537" w:type="dxa"/>
            <w:gridSpan w:val="9"/>
            <w:tcBorders>
              <w:bottom w:val="single" w:sz="2" w:space="0" w:color="8E939F"/>
            </w:tcBorders>
            <w:tcMar>
              <w:top w:w="0" w:type="dxa"/>
              <w:left w:w="0" w:type="dxa"/>
              <w:bottom w:w="3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Three months ended June 30,</w:t>
            </w:r>
          </w:p>
        </w:tc>
        <w:tc>
          <w:tcPr>
            <w:tcW w:w="327" w:type="dxa"/>
            <w:gridSpan w:val="3"/>
            <w:tcBorders>
              <w:bottom w:val="single" w:sz="2" w:space="0" w:color="8E939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bottom w:val="single" w:sz="2" w:space="0" w:color="8E939F"/>
            </w:tcBorders>
            <w:shd w:fill="E6E7F4" w:val="clear"/>
            <w:tcMar>
              <w:top w:w="0" w:type="dxa"/>
              <w:left w:w="0" w:type="dxa"/>
              <w:bottom w:w="3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Increase/(Decrease)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6" w:type="dxa"/>
            <w:gridSpan w:val="9"/>
            <w:tcBorders>
              <w:bottom w:val="single" w:sz="2" w:space="0" w:color="8E939F"/>
            </w:tcBorders>
            <w:tcMar>
              <w:top w:w="0" w:type="dxa"/>
              <w:left w:w="0" w:type="dxa"/>
              <w:bottom w:w="3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Six Months Ended June 30,</w:t>
            </w:r>
          </w:p>
        </w:tc>
        <w:tc>
          <w:tcPr>
            <w:tcW w:w="327" w:type="dxa"/>
            <w:gridSpan w:val="3"/>
            <w:tcBorders>
              <w:bottom w:val="single" w:sz="2" w:space="0" w:color="8E939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bottom w:val="single" w:sz="2" w:space="0" w:color="8E939F"/>
            </w:tcBorders>
            <w:shd w:fill="E6E7F4" w:val="clear"/>
            <w:tcMar>
              <w:top w:w="0" w:type="dxa"/>
              <w:left w:w="0" w:type="dxa"/>
              <w:bottom w:w="3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Increase/(Decrease)</w:t>
            </w:r>
          </w:p>
        </w:tc>
      </w:tr>
      <w:tr>
        <w:trPr/>
        <w:tc>
          <w:tcPr>
            <w:tcW w:w="987"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2026</w:t>
            </w:r>
          </w:p>
        </w:tc>
        <w:tc>
          <w:tcPr>
            <w:tcW w:w="59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2025</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2026 vs.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Helvetica;sans-serif" w:hAnsi="Helvetica;sans-serif"/>
                <w:b w:val="false"/>
                <w:i/>
                <w:color w:val="000000"/>
                <w:sz w:val="16"/>
              </w:rPr>
            </w:pPr>
            <w:r>
              <w:rPr>
                <w:rFonts w:ascii="Helvetica;sans-serif" w:hAnsi="Helvetica;sans-serif"/>
                <w:b w:val="false"/>
                <w:i/>
                <w:color w:val="000000"/>
                <w:sz w:val="16"/>
              </w:rPr>
              <w:t>(€ million)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2026</w:t>
            </w:r>
          </w:p>
        </w:tc>
        <w:tc>
          <w:tcPr>
            <w:tcW w:w="564"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2025</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2026 vs. 2025</w:t>
            </w:r>
          </w:p>
        </w:tc>
      </w:tr>
      <w:tr>
        <w:trPr/>
        <w:tc>
          <w:tcPr>
            <w:tcW w:w="788" w:type="dxa"/>
            <w:gridSpan w:val="2"/>
            <w:tcBorders>
              <w:top w:val="single" w:sz="2" w:space="0" w:color="143A84"/>
              <w:bottom w:val="single" w:sz="2" w:space="0" w:color="8E939F"/>
            </w:tcBorders>
            <w:shd w:fill="F3F3F9" w:val="clear"/>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43,482 </w:t>
            </w:r>
          </w:p>
        </w:tc>
        <w:tc>
          <w:tcPr>
            <w:tcW w:w="199" w:type="dxa"/>
            <w:tcBorders>
              <w:top w:val="single" w:sz="2" w:space="0" w:color="143A84"/>
              <w:bottom w:val="single" w:sz="2" w:space="0" w:color="8E939F"/>
            </w:tcBorders>
            <w:shd w:fill="F3F3F9"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op w:val="single" w:sz="2" w:space="0" w:color="143A84"/>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top w:val="single" w:sz="2" w:space="0" w:color="143A84"/>
              <w:bottom w:val="single" w:sz="2" w:space="0" w:color="8E939F"/>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38,448 </w:t>
            </w:r>
          </w:p>
        </w:tc>
        <w:tc>
          <w:tcPr>
            <w:tcW w:w="199" w:type="dxa"/>
            <w:tcBorders>
              <w:top w:val="single" w:sz="2" w:space="0" w:color="143A84"/>
              <w:bottom w:val="single" w:sz="2" w:space="0" w:color="8E939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143A84"/>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2" w:space="0" w:color="143A84"/>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13.1</w:t>
            </w:r>
          </w:p>
        </w:tc>
        <w:tc>
          <w:tcPr>
            <w:tcW w:w="797" w:type="dxa"/>
            <w:tcBorders>
              <w:top w:val="single" w:sz="2" w:space="0" w:color="143A84"/>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327" w:type="dxa"/>
            <w:gridSpan w:val="3"/>
            <w:tcBorders>
              <w:top w:val="single" w:sz="2" w:space="0" w:color="143A84"/>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2" w:space="0" w:color="143A84"/>
              <w:bottom w:val="single" w:sz="2" w:space="0" w:color="8E939F"/>
            </w:tcBorders>
            <w:tcMar>
              <w:top w:w="52"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Net revenues</w:t>
            </w:r>
          </w:p>
        </w:tc>
        <w:tc>
          <w:tcPr>
            <w:tcW w:w="327" w:type="dxa"/>
            <w:gridSpan w:val="3"/>
            <w:tcBorders>
              <w:top w:val="single" w:sz="2" w:space="0" w:color="143A84"/>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top w:val="single" w:sz="2" w:space="0" w:color="143A84"/>
              <w:bottom w:val="single" w:sz="2" w:space="0" w:color="8E939F"/>
            </w:tcBorders>
            <w:shd w:fill="F3F3F9" w:val="clear"/>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81,614 </w:t>
            </w:r>
          </w:p>
        </w:tc>
        <w:tc>
          <w:tcPr>
            <w:tcW w:w="188" w:type="dxa"/>
            <w:tcBorders>
              <w:top w:val="single" w:sz="2" w:space="0" w:color="143A84"/>
              <w:bottom w:val="single" w:sz="2" w:space="0" w:color="8E939F"/>
            </w:tcBorders>
            <w:shd w:fill="F3F3F9"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op w:val="single" w:sz="2" w:space="0" w:color="143A84"/>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top w:val="single" w:sz="2" w:space="0" w:color="143A84"/>
              <w:bottom w:val="single" w:sz="2" w:space="0" w:color="8E939F"/>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74,261 </w:t>
            </w:r>
          </w:p>
        </w:tc>
        <w:tc>
          <w:tcPr>
            <w:tcW w:w="188" w:type="dxa"/>
            <w:tcBorders>
              <w:top w:val="single" w:sz="2" w:space="0" w:color="143A84"/>
              <w:bottom w:val="single" w:sz="2" w:space="0" w:color="8E939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143A84"/>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2" w:space="0" w:color="143A84"/>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9.9</w:t>
            </w:r>
          </w:p>
        </w:tc>
        <w:tc>
          <w:tcPr>
            <w:tcW w:w="890" w:type="dxa"/>
            <w:tcBorders>
              <w:top w:val="single" w:sz="2" w:space="0" w:color="143A84"/>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w:t>
            </w:r>
          </w:p>
        </w:tc>
      </w:tr>
    </w:tbl>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The following charts present the Company’s Net revenues walk by operational driver for the three and six months ended June 30, 2026 compared to the corresponding periods in 2025:    </w:t>
      </w:r>
    </w:p>
    <w:p>
      <w:pPr>
        <w:pStyle w:val="TextBody"/>
        <w:bidi w:val="0"/>
        <w:spacing w:lineRule="auto" w:line="288" w:before="0" w:after="120"/>
        <w:jc w:val="left"/>
        <w:rPr>
          <w:rFonts w:ascii="Helvetica;sans-serif" w:hAnsi="Helvetica;sans-serif"/>
          <w:b/>
          <w:color w:val="143A84"/>
          <w:sz w:val="18"/>
        </w:rPr>
      </w:pPr>
      <w:r>
        <w:rPr>
          <w:rFonts w:ascii="Helvetica;sans-serif" w:hAnsi="Helvetica;sans-serif"/>
          <w:b/>
          <w:color w:val="143A84"/>
          <w:sz w:val="18"/>
        </w:rPr>
        <w:t>Net revenues by operational drive - Three months ended June 30, 2026 compared to the three months ended June 30, 2025 (€ million)</w:t>
      </w:r>
    </w:p>
    <w:p>
      <w:pPr>
        <w:pStyle w:val="TextBody"/>
        <w:bidi w:val="0"/>
        <w:spacing w:before="0" w:after="140"/>
        <w:jc w:val="center"/>
        <w:rPr/>
      </w:pPr>
      <w:r>
        <w:rPr/>
        <w:drawing>
          <wp:inline distT="0" distB="0" distL="0" distR="0">
            <wp:extent cx="6343650" cy="2533650"/>
            <wp:effectExtent l="0" t="0" r="0" b="0"/>
            <wp:docPr id="1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2" descr=""/>
                    <pic:cNvPicPr>
                      <a:picLocks noChangeAspect="1" noChangeArrowheads="1"/>
                    </pic:cNvPicPr>
                  </pic:nvPicPr>
                  <pic:blipFill>
                    <a:blip r:embed="rId3"/>
                    <a:stretch>
                      <a:fillRect/>
                    </a:stretch>
                  </pic:blipFill>
                  <pic:spPr bwMode="auto">
                    <a:xfrm>
                      <a:off x="0" y="0"/>
                      <a:ext cx="6343650" cy="2533650"/>
                    </a:xfrm>
                    <a:prstGeom prst="rect">
                      <a:avLst/>
                    </a:prstGeom>
                  </pic:spPr>
                </pic:pic>
              </a:graphicData>
            </a:graphic>
          </wp:inline>
        </w:drawing>
      </w:r>
    </w:p>
    <w:p>
      <w:pPr>
        <w:pStyle w:val="TextBody"/>
        <w:bidi w:val="0"/>
        <w:spacing w:lineRule="auto" w:line="288" w:before="0" w:after="120"/>
        <w:jc w:val="left"/>
        <w:rPr>
          <w:rFonts w:ascii="Helvetica;sans-serif" w:hAnsi="Helvetica;sans-serif"/>
          <w:b/>
          <w:color w:val="143A84"/>
          <w:sz w:val="18"/>
        </w:rPr>
      </w:pPr>
      <w:r>
        <w:rPr>
          <w:rFonts w:ascii="Helvetica;sans-serif" w:hAnsi="Helvetica;sans-serif"/>
          <w:b/>
          <w:color w:val="143A84"/>
          <w:sz w:val="18"/>
        </w:rPr>
        <w:t>Net revenues by operational drive - Six months ended June 30, 2026 compared to the six months ended June 30, 2025 (€ million)</w:t>
      </w:r>
    </w:p>
    <w:p>
      <w:pPr>
        <w:pStyle w:val="TextBody"/>
        <w:bidi w:val="0"/>
        <w:spacing w:before="0" w:after="240"/>
        <w:jc w:val="center"/>
        <w:rPr/>
      </w:pPr>
      <w:r>
        <w:rPr/>
        <w:drawing>
          <wp:inline distT="0" distB="0" distL="0" distR="0">
            <wp:extent cx="6343650" cy="2533650"/>
            <wp:effectExtent l="0" t="0" r="0" b="0"/>
            <wp:docPr id="1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3" descr=""/>
                    <pic:cNvPicPr>
                      <a:picLocks noChangeAspect="1" noChangeArrowheads="1"/>
                    </pic:cNvPicPr>
                  </pic:nvPicPr>
                  <pic:blipFill>
                    <a:blip r:embed="rId4"/>
                    <a:stretch>
                      <a:fillRect/>
                    </a:stretch>
                  </pic:blipFill>
                  <pic:spPr bwMode="auto">
                    <a:xfrm>
                      <a:off x="0" y="0"/>
                      <a:ext cx="6343650" cy="2533650"/>
                    </a:xfrm>
                    <a:prstGeom prst="rect">
                      <a:avLst/>
                    </a:prstGeom>
                  </pic:spPr>
                </pic:pic>
              </a:graphicData>
            </a:graphic>
          </wp:inline>
        </w:drawing>
      </w:r>
    </w:p>
    <w:p>
      <w:pPr>
        <w:pStyle w:val="TextBody"/>
        <w:bidi w:val="0"/>
        <w:spacing w:lineRule="auto" w:line="343" w:before="0" w:after="240"/>
        <w:jc w:val="left"/>
        <w:rPr/>
      </w:pPr>
      <w:r>
        <w:rPr>
          <w:rFonts w:ascii="Helvetica Light;sans-serif" w:hAnsi="Helvetica Light;sans-serif"/>
          <w:b w:val="false"/>
          <w:color w:val="000000"/>
          <w:sz w:val="20"/>
        </w:rPr>
        <w:t xml:space="preserve">See — </w:t>
      </w:r>
      <w:r>
        <w:rPr>
          <w:rFonts w:ascii="Helvetica Light;sans-serif" w:hAnsi="Helvetica Light;sans-serif"/>
          <w:b w:val="false"/>
          <w:i/>
          <w:color w:val="000000"/>
          <w:sz w:val="20"/>
        </w:rPr>
        <w:t>Results by segment</w:t>
      </w:r>
      <w:r>
        <w:rPr>
          <w:color w:val="000000"/>
        </w:rPr>
        <w:t xml:space="preserve"> </w:t>
      </w:r>
      <w:r>
        <w:rPr>
          <w:rFonts w:ascii="Helvetica Light;sans-serif" w:hAnsi="Helvetica Light;sans-serif"/>
          <w:b w:val="false"/>
          <w:color w:val="000000"/>
          <w:sz w:val="20"/>
        </w:rPr>
        <w:t>below for a discussion of Net revenues for each of our five reportable segments (North America, Enlarged Europe, Middle East &amp; Africa, South America and Asia Pacific).</w:t>
      </w:r>
    </w:p>
    <w:p>
      <w:pPr>
        <w:pStyle w:val="TextBody"/>
        <w:bidi w:val="0"/>
        <w:spacing w:before="0" w:after="24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503555"/>
                <wp:effectExtent l="0" t="0" r="0" b="0"/>
                <wp:wrapNone/>
                <wp:docPr id="17" name="Frame14"/>
                <a:graphic xmlns:a="http://schemas.openxmlformats.org/drawingml/2006/main">
                  <a:graphicData uri="http://schemas.microsoft.com/office/word/2010/wordprocessingShape">
                    <wps:wsp>
                      <wps:cNvSpPr txBox="1"/>
                      <wps:spPr>
                        <a:xfrm>
                          <a:off x="0" y="0"/>
                          <a:ext cx="6480175" cy="5035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w:t>
                      </w:r>
                    </w:p>
                    <w:p>
                      <w:pPr>
                        <w:pStyle w:val="TextBody"/>
                        <w:bidi w:val="0"/>
                        <w:spacing w:before="0" w:after="24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88" w:before="0" w:after="120"/>
        <w:jc w:val="left"/>
        <w:rPr>
          <w:rFonts w:ascii="Helvetica;sans-serif" w:hAnsi="Helvetica;sans-serif"/>
          <w:b/>
          <w:color w:val="143A84"/>
          <w:sz w:val="18"/>
        </w:rPr>
      </w:pPr>
      <w:r>
        <w:rPr>
          <w:rFonts w:ascii="Helvetica;sans-serif" w:hAnsi="Helvetica;sans-serif"/>
          <w:b/>
          <w:color w:val="143A84"/>
          <w:sz w:val="18"/>
        </w:rPr>
        <w:t>Cost of revenues</w:t>
      </w:r>
    </w:p>
    <w:tbl>
      <w:tblPr>
        <w:tblW w:w="10205" w:type="dxa"/>
        <w:jc w:val="left"/>
        <w:tblInd w:w="0" w:type="dxa"/>
        <w:tblLayout w:type="fixed"/>
        <w:tblCellMar>
          <w:top w:w="28" w:type="dxa"/>
          <w:left w:w="28" w:type="dxa"/>
          <w:bottom w:w="28" w:type="dxa"/>
          <w:right w:w="28" w:type="dxa"/>
        </w:tblCellMar>
      </w:tblPr>
      <w:tblGrid>
        <w:gridCol w:w="284"/>
        <w:gridCol w:w="205"/>
        <w:gridCol w:w="382"/>
        <w:gridCol w:w="153"/>
        <w:gridCol w:w="153"/>
        <w:gridCol w:w="153"/>
        <w:gridCol w:w="250"/>
        <w:gridCol w:w="216"/>
        <w:gridCol w:w="382"/>
        <w:gridCol w:w="109"/>
        <w:gridCol w:w="109"/>
        <w:gridCol w:w="109"/>
        <w:gridCol w:w="301"/>
        <w:gridCol w:w="301"/>
        <w:gridCol w:w="752"/>
        <w:gridCol w:w="109"/>
        <w:gridCol w:w="109"/>
        <w:gridCol w:w="109"/>
        <w:gridCol w:w="615"/>
        <w:gridCol w:w="615"/>
        <w:gridCol w:w="623"/>
        <w:gridCol w:w="109"/>
        <w:gridCol w:w="109"/>
        <w:gridCol w:w="109"/>
        <w:gridCol w:w="233"/>
        <w:gridCol w:w="233"/>
        <w:gridCol w:w="366"/>
        <w:gridCol w:w="146"/>
        <w:gridCol w:w="146"/>
        <w:gridCol w:w="146"/>
        <w:gridCol w:w="233"/>
        <w:gridCol w:w="233"/>
        <w:gridCol w:w="366"/>
        <w:gridCol w:w="109"/>
        <w:gridCol w:w="109"/>
        <w:gridCol w:w="109"/>
        <w:gridCol w:w="285"/>
        <w:gridCol w:w="285"/>
        <w:gridCol w:w="840"/>
      </w:tblGrid>
      <w:tr>
        <w:trPr/>
        <w:tc>
          <w:tcPr>
            <w:tcW w:w="28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r>
      <w:tr>
        <w:trPr/>
        <w:tc>
          <w:tcPr>
            <w:tcW w:w="2178" w:type="dxa"/>
            <w:gridSpan w:val="9"/>
            <w:tcBorders>
              <w:bottom w:val="single" w:sz="2" w:space="0" w:color="8E939F"/>
            </w:tcBorders>
            <w:tcMar>
              <w:top w:w="0" w:type="dxa"/>
              <w:left w:w="0" w:type="dxa"/>
              <w:bottom w:w="3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Three months ended June 30,</w:t>
            </w:r>
          </w:p>
        </w:tc>
        <w:tc>
          <w:tcPr>
            <w:tcW w:w="327" w:type="dxa"/>
            <w:gridSpan w:val="3"/>
            <w:tcBorders>
              <w:bottom w:val="single" w:sz="2" w:space="0" w:color="8E939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bottom w:val="single" w:sz="2" w:space="0" w:color="8E939F"/>
            </w:tcBorders>
            <w:shd w:fill="E6E7F4" w:val="clear"/>
            <w:tcMar>
              <w:top w:w="0" w:type="dxa"/>
              <w:left w:w="0" w:type="dxa"/>
              <w:bottom w:w="3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Increase/(Decrease)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2" w:type="dxa"/>
            <w:gridSpan w:val="9"/>
            <w:tcBorders>
              <w:bottom w:val="single" w:sz="2" w:space="0" w:color="8E939F"/>
            </w:tcBorders>
            <w:tcMar>
              <w:top w:w="0" w:type="dxa"/>
              <w:left w:w="0" w:type="dxa"/>
              <w:bottom w:w="3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Six Months Ended June 30,</w:t>
            </w:r>
          </w:p>
        </w:tc>
        <w:tc>
          <w:tcPr>
            <w:tcW w:w="327" w:type="dxa"/>
            <w:gridSpan w:val="3"/>
            <w:tcBorders>
              <w:bottom w:val="single" w:sz="2" w:space="0" w:color="8E939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bottom w:val="single" w:sz="2" w:space="0" w:color="8E939F"/>
            </w:tcBorders>
            <w:shd w:fill="E6E7F4" w:val="clear"/>
            <w:tcMar>
              <w:top w:w="0" w:type="dxa"/>
              <w:left w:w="0" w:type="dxa"/>
              <w:bottom w:w="3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Increase/(Decrease)</w:t>
            </w:r>
          </w:p>
        </w:tc>
      </w:tr>
      <w:tr>
        <w:trPr/>
        <w:tc>
          <w:tcPr>
            <w:tcW w:w="871"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2026</w:t>
            </w:r>
          </w:p>
        </w:tc>
        <w:tc>
          <w:tcPr>
            <w:tcW w:w="459"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2025</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2026 vs.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Helvetica;sans-serif" w:hAnsi="Helvetica;sans-serif"/>
                <w:b w:val="false"/>
                <w:i/>
                <w:color w:val="000000"/>
                <w:sz w:val="16"/>
              </w:rPr>
            </w:pPr>
            <w:r>
              <w:rPr>
                <w:rFonts w:ascii="Helvetica;sans-serif" w:hAnsi="Helvetica;sans-serif"/>
                <w:b w:val="false"/>
                <w:i/>
                <w:color w:val="000000"/>
                <w:sz w:val="16"/>
              </w:rPr>
              <w:t>(€ million)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2026</w:t>
            </w:r>
          </w:p>
        </w:tc>
        <w:tc>
          <w:tcPr>
            <w:tcW w:w="438"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2025</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2026 vs. 2025</w:t>
            </w:r>
          </w:p>
        </w:tc>
      </w:tr>
      <w:tr>
        <w:trPr/>
        <w:tc>
          <w:tcPr>
            <w:tcW w:w="871" w:type="dxa"/>
            <w:gridSpan w:val="3"/>
            <w:tcBorders>
              <w:top w:val="single" w:sz="2" w:space="0" w:color="143A84"/>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38,708</w:t>
            </w:r>
          </w:p>
        </w:tc>
        <w:tc>
          <w:tcPr>
            <w:tcW w:w="459"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2" w:space="0" w:color="143A84"/>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36,079</w:t>
            </w:r>
          </w:p>
        </w:tc>
        <w:tc>
          <w:tcPr>
            <w:tcW w:w="327"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2" w:space="0" w:color="143A84"/>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7.3</w:t>
            </w:r>
          </w:p>
        </w:tc>
        <w:tc>
          <w:tcPr>
            <w:tcW w:w="752" w:type="dxa"/>
            <w:tcBorders>
              <w:top w:val="single" w:sz="2" w:space="0" w:color="143A84"/>
            </w:tcBorders>
            <w:shd w:fill="E6E7F4"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327"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3"/>
            <w:tcBorders>
              <w:top w:val="single" w:sz="2" w:space="0" w:color="143A84"/>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Cost of revenues</w:t>
            </w:r>
          </w:p>
        </w:tc>
        <w:tc>
          <w:tcPr>
            <w:tcW w:w="327"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2" w:space="0" w:color="143A84"/>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72,411</w:t>
            </w:r>
          </w:p>
        </w:tc>
        <w:tc>
          <w:tcPr>
            <w:tcW w:w="438"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2" w:space="0" w:color="143A84"/>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68,267</w:t>
            </w:r>
          </w:p>
        </w:tc>
        <w:tc>
          <w:tcPr>
            <w:tcW w:w="327"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top w:val="single" w:sz="2" w:space="0" w:color="143A84"/>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6.1</w:t>
            </w:r>
          </w:p>
        </w:tc>
        <w:tc>
          <w:tcPr>
            <w:tcW w:w="840" w:type="dxa"/>
            <w:tcBorders>
              <w:top w:val="single" w:sz="2" w:space="0" w:color="143A84"/>
            </w:tcBorders>
            <w:shd w:fill="E6E7F4"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w:t>
            </w:r>
          </w:p>
        </w:tc>
      </w:tr>
      <w:tr>
        <w:trPr/>
        <w:tc>
          <w:tcPr>
            <w:tcW w:w="489" w:type="dxa"/>
            <w:gridSpan w:val="2"/>
            <w:tcBorders>
              <w:top w:val="single" w:sz="2" w:space="0" w:color="8E939F"/>
              <w:bottom w:val="single" w:sz="2" w:space="0" w:color="8E939F"/>
            </w:tcBorders>
            <w:shd w:fill="F3F3F9" w:val="clear"/>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89.0</w:t>
            </w:r>
          </w:p>
        </w:tc>
        <w:tc>
          <w:tcPr>
            <w:tcW w:w="382" w:type="dxa"/>
            <w:tcBorders>
              <w:top w:val="single" w:sz="2" w:space="0" w:color="8E939F"/>
              <w:bottom w:val="single" w:sz="2" w:space="0" w:color="8E939F"/>
            </w:tcBorders>
            <w:shd w:fill="F3F3F9" w:val="clear"/>
            <w:tcMar>
              <w:top w:w="52"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459" w:type="dxa"/>
            <w:gridSpan w:val="3"/>
            <w:tcBorders>
              <w:top w:val="single" w:sz="2" w:space="0" w:color="8E939F"/>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2" w:space="0" w:color="8E939F"/>
              <w:bottom w:val="single" w:sz="2" w:space="0" w:color="8E939F"/>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93.8</w:t>
            </w:r>
          </w:p>
        </w:tc>
        <w:tc>
          <w:tcPr>
            <w:tcW w:w="382" w:type="dxa"/>
            <w:tcBorders>
              <w:top w:val="single" w:sz="2" w:space="0" w:color="8E939F"/>
              <w:bottom w:val="single" w:sz="2" w:space="0" w:color="8E939F"/>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327" w:type="dxa"/>
            <w:gridSpan w:val="3"/>
            <w:tcBorders>
              <w:top w:val="single" w:sz="2" w:space="0" w:color="8E939F"/>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2" w:space="0" w:color="8E939F"/>
              <w:bottom w:val="single" w:sz="2" w:space="0" w:color="8E939F"/>
            </w:tcBorders>
            <w:shd w:fill="E6E7F4"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3"/>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Cost of revenues as % of Net revenues</w:t>
            </w:r>
          </w:p>
        </w:tc>
        <w:tc>
          <w:tcPr>
            <w:tcW w:w="327" w:type="dxa"/>
            <w:gridSpan w:val="3"/>
            <w:tcBorders>
              <w:top w:val="single" w:sz="2" w:space="0" w:color="8E939F"/>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2" w:space="0" w:color="8E939F"/>
              <w:bottom w:val="single" w:sz="2" w:space="0" w:color="8E939F"/>
            </w:tcBorders>
            <w:shd w:fill="F3F3F9" w:val="clear"/>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88.7</w:t>
            </w:r>
          </w:p>
        </w:tc>
        <w:tc>
          <w:tcPr>
            <w:tcW w:w="366" w:type="dxa"/>
            <w:tcBorders>
              <w:top w:val="single" w:sz="2" w:space="0" w:color="8E939F"/>
              <w:bottom w:val="single" w:sz="2" w:space="0" w:color="8E939F"/>
            </w:tcBorders>
            <w:shd w:fill="F3F3F9" w:val="clear"/>
            <w:tcMar>
              <w:top w:w="52"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438" w:type="dxa"/>
            <w:gridSpan w:val="3"/>
            <w:tcBorders>
              <w:top w:val="single" w:sz="2" w:space="0" w:color="8E939F"/>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2" w:space="0" w:color="8E939F"/>
              <w:bottom w:val="single" w:sz="2" w:space="0" w:color="8E939F"/>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91.9</w:t>
            </w:r>
          </w:p>
        </w:tc>
        <w:tc>
          <w:tcPr>
            <w:tcW w:w="366" w:type="dxa"/>
            <w:tcBorders>
              <w:top w:val="single" w:sz="2" w:space="0" w:color="8E939F"/>
              <w:bottom w:val="single" w:sz="2" w:space="0" w:color="8E939F"/>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327" w:type="dxa"/>
            <w:gridSpan w:val="3"/>
            <w:tcBorders>
              <w:top w:val="single" w:sz="2" w:space="0" w:color="8E939F"/>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2" w:space="0" w:color="8E939F"/>
              <w:bottom w:val="single" w:sz="2" w:space="0" w:color="8E939F"/>
            </w:tcBorders>
            <w:shd w:fill="E6E7F4"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 xml:space="preserve">Cost of revenues increased for the three and six months ended June 30, 2026 compared to the corresponding periods in 2025, primarily related to increased volumes in North America and Enlarged Europe. </w:t>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The increase was partially offset by lower costs in 2026 resulting from:</w:t>
      </w:r>
    </w:p>
    <w:p>
      <w:pPr>
        <w:pStyle w:val="TextBody"/>
        <w:bidi w:val="0"/>
        <w:spacing w:lineRule="auto" w:line="343" w:before="0" w:after="240"/>
        <w:ind w:left="0" w:right="0" w:hanging="173"/>
        <w:jc w:val="left"/>
        <w:rPr/>
      </w:pPr>
      <w:r>
        <w:rPr>
          <w:color w:val="143A84"/>
        </w:rPr>
        <w:t>•</w:t>
      </w:r>
      <w:r>
        <w:rPr>
          <w:rFonts w:ascii="Helvetica Light;sans-serif" w:hAnsi="Helvetica Light;sans-serif"/>
          <w:b w:val="false"/>
          <w:color w:val="000000"/>
          <w:sz w:val="20"/>
        </w:rPr>
        <w:t>the non-recurrence of recall campaign costs in Enlarged Europe (€0.5 billion for the three and six month periods ended June 30, 2025);</w:t>
      </w:r>
    </w:p>
    <w:p>
      <w:pPr>
        <w:pStyle w:val="TextBody"/>
        <w:bidi w:val="0"/>
        <w:spacing w:lineRule="auto" w:line="343" w:before="0" w:after="240"/>
        <w:ind w:left="0" w:right="0" w:hanging="173"/>
        <w:jc w:val="left"/>
        <w:rPr/>
      </w:pPr>
      <w:r>
        <w:rPr>
          <w:color w:val="143A84"/>
        </w:rPr>
        <w:t>•</w:t>
      </w:r>
      <w:r>
        <w:rPr>
          <w:rFonts w:ascii="Helvetica Light;sans-serif" w:hAnsi="Helvetica Light;sans-serif"/>
          <w:b w:val="false"/>
          <w:color w:val="000000"/>
          <w:sz w:val="20"/>
        </w:rPr>
        <w:t>a reduction of regulatory expenses in North America of €1.3 billion and €1.0 billion for the three and six month periods ended June 30, 2026, respectively. Of these amounts, net benefits of €0.3 billion and €0.4 billion, respectively, were excluded from AOI for the three and six months ended June 30, 2026. Comparatively, net costs of €0.3 billion were excluded from AOI in both the three and six months ended June 30, 2025;</w:t>
      </w:r>
    </w:p>
    <w:p>
      <w:pPr>
        <w:pStyle w:val="TextBody"/>
        <w:bidi w:val="0"/>
        <w:spacing w:lineRule="auto" w:line="343" w:before="0" w:after="240"/>
        <w:ind w:left="0" w:right="0" w:hanging="173"/>
        <w:jc w:val="left"/>
        <w:rPr/>
      </w:pPr>
      <w:r>
        <w:rPr>
          <w:color w:val="143A84"/>
        </w:rPr>
        <w:t>•</w:t>
      </w:r>
      <w:r>
        <w:rPr>
          <w:rFonts w:ascii="Helvetica Light;sans-serif" w:hAnsi="Helvetica Light;sans-serif"/>
          <w:b w:val="false"/>
          <w:color w:val="000000"/>
          <w:sz w:val="20"/>
        </w:rPr>
        <w:t>lower impairment and costs related to product plan realignments and program cancellations. During the three and six months ended June 30, 2026, costs related to product plan realignments and program cancellations amounted to €1 million and €40 million, respectively, primarily related to North America. Comparative amounts for the three and six months ended June 30, 2025 included impairment charges and costs related to program cancellations of €315 million and €377 million, respectively, related to North America and certain Maserati and Alfa Romeo vehicle platforms;</w:t>
      </w:r>
    </w:p>
    <w:p>
      <w:pPr>
        <w:pStyle w:val="TextBody"/>
        <w:bidi w:val="0"/>
        <w:spacing w:lineRule="auto" w:line="343" w:before="0" w:after="240"/>
        <w:ind w:left="0" w:right="0" w:hanging="173"/>
        <w:jc w:val="left"/>
        <w:rPr/>
      </w:pPr>
      <w:r>
        <w:rPr>
          <w:color w:val="143A84"/>
        </w:rPr>
        <w:t>•</w:t>
      </w:r>
      <w:r>
        <w:rPr>
          <w:rFonts w:ascii="Helvetica Light;sans-serif" w:hAnsi="Helvetica Light;sans-serif"/>
          <w:b w:val="false"/>
          <w:color w:val="000000"/>
          <w:sz w:val="20"/>
        </w:rPr>
        <w:t>lower costs associated with the Takata airbags recall campaign in Enlarged Europe. For the three and six month periods, respectively, expenses of €49 million and €92 million were recognized compared to €174 million and €239 million for the corresponding periods of 2025; and</w:t>
      </w:r>
    </w:p>
    <w:p>
      <w:pPr>
        <w:pStyle w:val="TextBody"/>
        <w:bidi w:val="0"/>
        <w:spacing w:lineRule="auto" w:line="343" w:before="0" w:after="240"/>
        <w:ind w:left="0" w:right="0" w:hanging="173"/>
        <w:jc w:val="left"/>
        <w:rPr/>
      </w:pPr>
      <w:r>
        <w:rPr>
          <w:color w:val="143A84"/>
        </w:rPr>
        <w:t>•</w:t>
      </w:r>
      <w:r>
        <w:rPr>
          <w:rFonts w:ascii="Helvetica Light;sans-serif" w:hAnsi="Helvetica Light;sans-serif"/>
          <w:b w:val="false"/>
          <w:color w:val="000000"/>
          <w:sz w:val="20"/>
        </w:rPr>
        <w:t>the non-recurrence of impairment and other costs related to the discontinuation of the hydrogen fuel cell technology development program in Enlarged Europe (€51 million for the three and six month periods ended June 30, 2025).</w:t>
      </w:r>
    </w:p>
    <w:p>
      <w:pPr>
        <w:pStyle w:val="TextBody"/>
        <w:bidi w:val="0"/>
        <w:spacing w:before="0" w:after="240"/>
        <w:ind w:left="0" w:right="0" w:firstLine="187"/>
        <w:jc w:val="left"/>
        <w:rPr/>
      </w:pPr>
      <w:r>
        <w:rPr/>
      </w:r>
    </w:p>
    <w:p>
      <w:pPr>
        <w:pStyle w:val="TextBody"/>
        <w:bidi w:val="0"/>
        <w:spacing w:before="0" w:after="24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503555"/>
                <wp:effectExtent l="0" t="0" r="0" b="0"/>
                <wp:wrapNone/>
                <wp:docPr id="18" name="Frame15"/>
                <a:graphic xmlns:a="http://schemas.openxmlformats.org/drawingml/2006/main">
                  <a:graphicData uri="http://schemas.microsoft.com/office/word/2010/wordprocessingShape">
                    <wps:wsp>
                      <wps:cNvSpPr txBox="1"/>
                      <wps:spPr>
                        <a:xfrm>
                          <a:off x="0" y="0"/>
                          <a:ext cx="6480175" cy="5035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w:t>
                      </w:r>
                    </w:p>
                    <w:p>
                      <w:pPr>
                        <w:pStyle w:val="TextBody"/>
                        <w:bidi w:val="0"/>
                        <w:spacing w:before="0" w:after="24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88" w:before="0" w:after="120"/>
        <w:jc w:val="left"/>
        <w:rPr>
          <w:rFonts w:ascii="Helvetica;sans-serif" w:hAnsi="Helvetica;sans-serif"/>
          <w:b/>
          <w:color w:val="143A84"/>
          <w:sz w:val="18"/>
        </w:rPr>
      </w:pPr>
      <w:r>
        <w:rPr>
          <w:rFonts w:ascii="Helvetica;sans-serif" w:hAnsi="Helvetica;sans-serif"/>
          <w:b/>
          <w:color w:val="143A84"/>
          <w:sz w:val="18"/>
        </w:rPr>
        <w:t>Selling, general and other costs</w:t>
      </w:r>
    </w:p>
    <w:tbl>
      <w:tblPr>
        <w:tblW w:w="10205" w:type="dxa"/>
        <w:jc w:val="left"/>
        <w:tblInd w:w="0" w:type="dxa"/>
        <w:tblLayout w:type="fixed"/>
        <w:tblCellMar>
          <w:top w:w="28" w:type="dxa"/>
          <w:left w:w="28" w:type="dxa"/>
          <w:bottom w:w="28" w:type="dxa"/>
          <w:right w:w="28" w:type="dxa"/>
        </w:tblCellMar>
      </w:tblPr>
      <w:tblGrid>
        <w:gridCol w:w="248"/>
        <w:gridCol w:w="162"/>
        <w:gridCol w:w="373"/>
        <w:gridCol w:w="150"/>
        <w:gridCol w:w="150"/>
        <w:gridCol w:w="150"/>
        <w:gridCol w:w="218"/>
        <w:gridCol w:w="171"/>
        <w:gridCol w:w="373"/>
        <w:gridCol w:w="109"/>
        <w:gridCol w:w="109"/>
        <w:gridCol w:w="109"/>
        <w:gridCol w:w="335"/>
        <w:gridCol w:w="296"/>
        <w:gridCol w:w="737"/>
        <w:gridCol w:w="109"/>
        <w:gridCol w:w="109"/>
        <w:gridCol w:w="109"/>
        <w:gridCol w:w="799"/>
        <w:gridCol w:w="715"/>
        <w:gridCol w:w="719"/>
        <w:gridCol w:w="109"/>
        <w:gridCol w:w="109"/>
        <w:gridCol w:w="109"/>
        <w:gridCol w:w="200"/>
        <w:gridCol w:w="175"/>
        <w:gridCol w:w="357"/>
        <w:gridCol w:w="143"/>
        <w:gridCol w:w="143"/>
        <w:gridCol w:w="143"/>
        <w:gridCol w:w="200"/>
        <w:gridCol w:w="175"/>
        <w:gridCol w:w="357"/>
        <w:gridCol w:w="109"/>
        <w:gridCol w:w="109"/>
        <w:gridCol w:w="109"/>
        <w:gridCol w:w="303"/>
        <w:gridCol w:w="279"/>
        <w:gridCol w:w="826"/>
      </w:tblGrid>
      <w:tr>
        <w:trPr/>
        <w:tc>
          <w:tcPr>
            <w:tcW w:w="24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r>
      <w:tr>
        <w:trPr/>
        <w:tc>
          <w:tcPr>
            <w:tcW w:w="1995" w:type="dxa"/>
            <w:gridSpan w:val="9"/>
            <w:tcBorders>
              <w:bottom w:val="single" w:sz="2" w:space="0" w:color="8E939F"/>
            </w:tcBorders>
            <w:tcMar>
              <w:top w:w="0" w:type="dxa"/>
              <w:left w:w="0" w:type="dxa"/>
              <w:bottom w:w="3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Three months ended June 30,</w:t>
            </w:r>
          </w:p>
        </w:tc>
        <w:tc>
          <w:tcPr>
            <w:tcW w:w="327" w:type="dxa"/>
            <w:gridSpan w:val="3"/>
            <w:tcBorders>
              <w:bottom w:val="single" w:sz="2" w:space="0" w:color="8E939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bottom w:val="single" w:sz="2" w:space="0" w:color="8E939F"/>
            </w:tcBorders>
            <w:shd w:fill="E6E7F4" w:val="clear"/>
            <w:tcMar>
              <w:top w:w="0" w:type="dxa"/>
              <w:left w:w="0" w:type="dxa"/>
              <w:bottom w:w="3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Increase/(Decrease)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3" w:type="dxa"/>
            <w:gridSpan w:val="9"/>
            <w:tcBorders>
              <w:bottom w:val="single" w:sz="2" w:space="0" w:color="8E939F"/>
            </w:tcBorders>
            <w:tcMar>
              <w:top w:w="0" w:type="dxa"/>
              <w:left w:w="0" w:type="dxa"/>
              <w:bottom w:w="3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Six Months Ended June 30,</w:t>
            </w:r>
          </w:p>
        </w:tc>
        <w:tc>
          <w:tcPr>
            <w:tcW w:w="327" w:type="dxa"/>
            <w:gridSpan w:val="3"/>
            <w:tcBorders>
              <w:bottom w:val="single" w:sz="2" w:space="0" w:color="8E939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bottom w:val="single" w:sz="2" w:space="0" w:color="8E939F"/>
            </w:tcBorders>
            <w:shd w:fill="E6E7F4" w:val="clear"/>
            <w:tcMar>
              <w:top w:w="0" w:type="dxa"/>
              <w:left w:w="0" w:type="dxa"/>
              <w:bottom w:w="3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Increase/(Decrease)</w:t>
            </w:r>
          </w:p>
        </w:tc>
      </w:tr>
      <w:tr>
        <w:trPr/>
        <w:tc>
          <w:tcPr>
            <w:tcW w:w="783"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2026</w:t>
            </w:r>
          </w:p>
        </w:tc>
        <w:tc>
          <w:tcPr>
            <w:tcW w:w="450"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2025</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2026 vs.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3"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Helvetica;sans-serif" w:hAnsi="Helvetica;sans-serif"/>
                <w:b w:val="false"/>
                <w:i/>
                <w:color w:val="000000"/>
                <w:sz w:val="16"/>
              </w:rPr>
            </w:pPr>
            <w:r>
              <w:rPr>
                <w:rFonts w:ascii="Helvetica;sans-serif" w:hAnsi="Helvetica;sans-serif"/>
                <w:b w:val="false"/>
                <w:i/>
                <w:color w:val="000000"/>
                <w:sz w:val="16"/>
              </w:rPr>
              <w:t>(€ million)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2026</w:t>
            </w:r>
          </w:p>
        </w:tc>
        <w:tc>
          <w:tcPr>
            <w:tcW w:w="429"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2025</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2026 vs. 2025</w:t>
            </w:r>
          </w:p>
        </w:tc>
      </w:tr>
      <w:tr>
        <w:trPr/>
        <w:tc>
          <w:tcPr>
            <w:tcW w:w="783" w:type="dxa"/>
            <w:gridSpan w:val="3"/>
            <w:tcBorders>
              <w:top w:val="single" w:sz="2" w:space="0" w:color="143A84"/>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2,483</w:t>
            </w:r>
          </w:p>
        </w:tc>
        <w:tc>
          <w:tcPr>
            <w:tcW w:w="450"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op w:val="single" w:sz="2" w:space="0" w:color="143A84"/>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1,828</w:t>
            </w:r>
          </w:p>
        </w:tc>
        <w:tc>
          <w:tcPr>
            <w:tcW w:w="327"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2" w:space="0" w:color="143A84"/>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35.8 </w:t>
            </w:r>
          </w:p>
        </w:tc>
        <w:tc>
          <w:tcPr>
            <w:tcW w:w="737" w:type="dxa"/>
            <w:tcBorders>
              <w:top w:val="single" w:sz="2" w:space="0" w:color="143A84"/>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w:t>
            </w:r>
          </w:p>
        </w:tc>
        <w:tc>
          <w:tcPr>
            <w:tcW w:w="327"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3" w:type="dxa"/>
            <w:gridSpan w:val="3"/>
            <w:tcBorders>
              <w:top w:val="single" w:sz="2" w:space="0" w:color="143A84"/>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 xml:space="preserve">Selling, general and other costs </w:t>
            </w:r>
          </w:p>
        </w:tc>
        <w:tc>
          <w:tcPr>
            <w:tcW w:w="327"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op w:val="single" w:sz="2" w:space="0" w:color="143A84"/>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4,785</w:t>
            </w:r>
          </w:p>
        </w:tc>
        <w:tc>
          <w:tcPr>
            <w:tcW w:w="429"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op w:val="single" w:sz="2" w:space="0" w:color="143A84"/>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4,174</w:t>
            </w:r>
          </w:p>
        </w:tc>
        <w:tc>
          <w:tcPr>
            <w:tcW w:w="327"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top w:val="single" w:sz="2" w:space="0" w:color="143A84"/>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14.6</w:t>
            </w:r>
          </w:p>
        </w:tc>
        <w:tc>
          <w:tcPr>
            <w:tcW w:w="826" w:type="dxa"/>
            <w:tcBorders>
              <w:top w:val="single" w:sz="2" w:space="0" w:color="143A84"/>
            </w:tcBorders>
            <w:shd w:fill="E6E7F4"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w:t>
            </w:r>
          </w:p>
        </w:tc>
      </w:tr>
      <w:tr>
        <w:trPr/>
        <w:tc>
          <w:tcPr>
            <w:tcW w:w="410" w:type="dxa"/>
            <w:gridSpan w:val="2"/>
            <w:tcBorders>
              <w:top w:val="single" w:sz="2" w:space="0" w:color="8E939F"/>
              <w:bottom w:val="single" w:sz="2" w:space="0" w:color="8E939F"/>
            </w:tcBorders>
            <w:shd w:fill="F3F3F9" w:val="clear"/>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5.7</w:t>
            </w:r>
          </w:p>
        </w:tc>
        <w:tc>
          <w:tcPr>
            <w:tcW w:w="373" w:type="dxa"/>
            <w:tcBorders>
              <w:top w:val="single" w:sz="2" w:space="0" w:color="8E939F"/>
              <w:bottom w:val="single" w:sz="2" w:space="0" w:color="8E939F"/>
            </w:tcBorders>
            <w:shd w:fill="F3F3F9" w:val="clear"/>
            <w:tcMar>
              <w:top w:w="52"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450" w:type="dxa"/>
            <w:gridSpan w:val="3"/>
            <w:tcBorders>
              <w:top w:val="single" w:sz="2" w:space="0" w:color="8E939F"/>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389" w:type="dxa"/>
            <w:gridSpan w:val="2"/>
            <w:tcBorders>
              <w:top w:val="single" w:sz="2" w:space="0" w:color="8E939F"/>
              <w:bottom w:val="single" w:sz="2" w:space="0" w:color="8E939F"/>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4.8</w:t>
            </w:r>
          </w:p>
        </w:tc>
        <w:tc>
          <w:tcPr>
            <w:tcW w:w="373" w:type="dxa"/>
            <w:tcBorders>
              <w:top w:val="single" w:sz="2" w:space="0" w:color="8E939F"/>
              <w:bottom w:val="single" w:sz="2" w:space="0" w:color="8E939F"/>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327" w:type="dxa"/>
            <w:gridSpan w:val="3"/>
            <w:tcBorders>
              <w:top w:val="single" w:sz="2" w:space="0" w:color="8E939F"/>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2" w:space="0" w:color="8E939F"/>
              <w:bottom w:val="single" w:sz="2" w:space="0" w:color="8E939F"/>
            </w:tcBorders>
            <w:shd w:fill="E6E7F4"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2233" w:type="dxa"/>
            <w:gridSpan w:val="3"/>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Selling, general and other costs as % of Net revenues</w:t>
            </w:r>
          </w:p>
        </w:tc>
        <w:tc>
          <w:tcPr>
            <w:tcW w:w="327" w:type="dxa"/>
            <w:gridSpan w:val="3"/>
            <w:tcBorders>
              <w:top w:val="single" w:sz="2" w:space="0" w:color="8E939F"/>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375" w:type="dxa"/>
            <w:gridSpan w:val="2"/>
            <w:tcBorders>
              <w:top w:val="single" w:sz="2" w:space="0" w:color="8E939F"/>
              <w:bottom w:val="single" w:sz="2" w:space="0" w:color="8E939F"/>
            </w:tcBorders>
            <w:shd w:fill="F3F3F9" w:val="clear"/>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5.9</w:t>
            </w:r>
          </w:p>
        </w:tc>
        <w:tc>
          <w:tcPr>
            <w:tcW w:w="357" w:type="dxa"/>
            <w:tcBorders>
              <w:top w:val="single" w:sz="2" w:space="0" w:color="8E939F"/>
              <w:bottom w:val="single" w:sz="2" w:space="0" w:color="8E939F"/>
            </w:tcBorders>
            <w:shd w:fill="F3F3F9" w:val="clear"/>
            <w:tcMar>
              <w:top w:w="52"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429" w:type="dxa"/>
            <w:gridSpan w:val="3"/>
            <w:tcBorders>
              <w:top w:val="single" w:sz="2" w:space="0" w:color="8E939F"/>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375" w:type="dxa"/>
            <w:gridSpan w:val="2"/>
            <w:tcBorders>
              <w:top w:val="single" w:sz="2" w:space="0" w:color="8E939F"/>
              <w:bottom w:val="single" w:sz="2" w:space="0" w:color="8E939F"/>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5.6</w:t>
            </w:r>
          </w:p>
        </w:tc>
        <w:tc>
          <w:tcPr>
            <w:tcW w:w="357" w:type="dxa"/>
            <w:tcBorders>
              <w:top w:val="single" w:sz="2" w:space="0" w:color="8E939F"/>
              <w:bottom w:val="single" w:sz="2" w:space="0" w:color="8E939F"/>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327" w:type="dxa"/>
            <w:gridSpan w:val="3"/>
            <w:tcBorders>
              <w:top w:val="single" w:sz="2" w:space="0" w:color="8E939F"/>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single" w:sz="2" w:space="0" w:color="8E939F"/>
              <w:bottom w:val="single" w:sz="2" w:space="0" w:color="8E939F"/>
            </w:tcBorders>
            <w:shd w:fill="E6E7F4"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Selling, general and other expenses increased for the three and six months ended June 30, 2026 compared to the corresponding periods in 2025, primarily as a result of higher marketing and advertising expenditures in Enlarged Europe and North America, partially offset by cost-saving actions.</w:t>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The increase also includes benefits recorded in 2025 which did not recur in 2026, primarily:</w:t>
      </w:r>
    </w:p>
    <w:p>
      <w:pPr>
        <w:pStyle w:val="TextBody"/>
        <w:bidi w:val="0"/>
        <w:spacing w:lineRule="auto" w:line="343" w:before="0" w:after="240"/>
        <w:ind w:left="0" w:right="0" w:hanging="173"/>
        <w:jc w:val="left"/>
        <w:rPr/>
      </w:pPr>
      <w:r>
        <w:rPr>
          <w:color w:val="143A84"/>
        </w:rPr>
        <w:t>•</w:t>
      </w:r>
      <w:r>
        <w:rPr>
          <w:rFonts w:ascii="Helvetica Light;sans-serif" w:hAnsi="Helvetica Light;sans-serif"/>
          <w:b w:val="false"/>
          <w:color w:val="000000"/>
          <w:sz w:val="20"/>
        </w:rPr>
        <w:t>the recognition of indirect tax credits in South America (€334 million and €293 million for the three and six month periods, respectively); and</w:t>
      </w:r>
    </w:p>
    <w:p>
      <w:pPr>
        <w:pStyle w:val="TextBody"/>
        <w:bidi w:val="0"/>
        <w:spacing w:lineRule="auto" w:line="343" w:before="0" w:after="240"/>
        <w:ind w:left="0" w:right="0" w:hanging="173"/>
        <w:jc w:val="left"/>
        <w:rPr/>
      </w:pPr>
      <w:r>
        <w:rPr>
          <w:color w:val="143A84"/>
        </w:rPr>
        <w:t>•</w:t>
      </w:r>
      <w:r>
        <w:rPr>
          <w:rFonts w:ascii="Helvetica Light;sans-serif" w:hAnsi="Helvetica Light;sans-serif"/>
          <w:b w:val="false"/>
          <w:color w:val="000000"/>
          <w:sz w:val="20"/>
        </w:rPr>
        <w:t xml:space="preserve">a gain on disposal from the sale of the Luton plant in the UK (nil and €66 million for the three and six month periods, respectively). </w:t>
      </w:r>
    </w:p>
    <w:p>
      <w:pPr>
        <w:pStyle w:val="TextBody"/>
        <w:bidi w:val="0"/>
        <w:spacing w:lineRule="auto" w:line="288" w:before="0" w:after="120"/>
        <w:jc w:val="left"/>
        <w:rPr>
          <w:rFonts w:ascii="Helvetica;sans-serif" w:hAnsi="Helvetica;sans-serif"/>
          <w:b/>
          <w:color w:val="143A84"/>
          <w:sz w:val="18"/>
        </w:rPr>
      </w:pPr>
      <w:r>
        <w:rPr>
          <w:rFonts w:ascii="Helvetica;sans-serif" w:hAnsi="Helvetica;sans-serif"/>
          <w:b/>
          <w:color w:val="143A84"/>
          <w:sz w:val="18"/>
        </w:rPr>
        <w:t>Research and development costs</w:t>
      </w:r>
    </w:p>
    <w:tbl>
      <w:tblPr>
        <w:tblW w:w="10205" w:type="dxa"/>
        <w:jc w:val="left"/>
        <w:tblInd w:w="0" w:type="dxa"/>
        <w:tblLayout w:type="fixed"/>
        <w:tblCellMar>
          <w:top w:w="28" w:type="dxa"/>
          <w:left w:w="28" w:type="dxa"/>
          <w:bottom w:w="28" w:type="dxa"/>
          <w:right w:w="28" w:type="dxa"/>
        </w:tblCellMar>
      </w:tblPr>
      <w:tblGrid>
        <w:gridCol w:w="328"/>
        <w:gridCol w:w="191"/>
        <w:gridCol w:w="159"/>
        <w:gridCol w:w="159"/>
        <w:gridCol w:w="159"/>
        <w:gridCol w:w="159"/>
        <w:gridCol w:w="289"/>
        <w:gridCol w:w="208"/>
        <w:gridCol w:w="159"/>
        <w:gridCol w:w="109"/>
        <w:gridCol w:w="109"/>
        <w:gridCol w:w="109"/>
        <w:gridCol w:w="333"/>
        <w:gridCol w:w="277"/>
        <w:gridCol w:w="691"/>
        <w:gridCol w:w="109"/>
        <w:gridCol w:w="109"/>
        <w:gridCol w:w="109"/>
        <w:gridCol w:w="817"/>
        <w:gridCol w:w="785"/>
        <w:gridCol w:w="793"/>
        <w:gridCol w:w="109"/>
        <w:gridCol w:w="109"/>
        <w:gridCol w:w="109"/>
        <w:gridCol w:w="392"/>
        <w:gridCol w:w="235"/>
        <w:gridCol w:w="153"/>
        <w:gridCol w:w="153"/>
        <w:gridCol w:w="153"/>
        <w:gridCol w:w="153"/>
        <w:gridCol w:w="392"/>
        <w:gridCol w:w="235"/>
        <w:gridCol w:w="153"/>
        <w:gridCol w:w="109"/>
        <w:gridCol w:w="109"/>
        <w:gridCol w:w="109"/>
        <w:gridCol w:w="333"/>
        <w:gridCol w:w="262"/>
        <w:gridCol w:w="776"/>
      </w:tblGrid>
      <w:tr>
        <w:trPr/>
        <w:tc>
          <w:tcPr>
            <w:tcW w:w="32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r>
      <w:tr>
        <w:trPr/>
        <w:tc>
          <w:tcPr>
            <w:tcW w:w="181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shd w:fill="E6E7F4"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Increase/(Decrease)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shd w:fill="E6E7F4"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Increase/(Decrease)</w:t>
            </w:r>
          </w:p>
        </w:tc>
      </w:tr>
      <w:tr>
        <w:trPr/>
        <w:tc>
          <w:tcPr>
            <w:tcW w:w="678" w:type="dxa"/>
            <w:gridSpan w:val="3"/>
            <w:tcBorders>
              <w:top w:val="single" w:sz="2" w:space="0" w:color="8E939F"/>
              <w:bottom w:val="single" w:sz="2" w:space="0" w:color="143A84"/>
            </w:tcBorders>
            <w:shd w:fill="F3F3F9" w:val="clear"/>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2026</w:t>
            </w:r>
          </w:p>
        </w:tc>
        <w:tc>
          <w:tcPr>
            <w:tcW w:w="477" w:type="dxa"/>
            <w:gridSpan w:val="3"/>
            <w:tcBorders>
              <w:top w:val="single" w:sz="2" w:space="0" w:color="8E939F"/>
              <w:bottom w:val="single" w:sz="2" w:space="0" w:color="143A84"/>
            </w:tcBorders>
            <w:tcMar>
              <w:left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top w:val="single" w:sz="2" w:space="0" w:color="8E939F"/>
              <w:bottom w:val="single" w:sz="2" w:space="0" w:color="143A84"/>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2025</w:t>
            </w:r>
          </w:p>
        </w:tc>
        <w:tc>
          <w:tcPr>
            <w:tcW w:w="327" w:type="dxa"/>
            <w:gridSpan w:val="3"/>
            <w:tcBorders>
              <w:top w:val="single" w:sz="2" w:space="0" w:color="8E939F"/>
              <w:bottom w:val="single" w:sz="2" w:space="0" w:color="143A84"/>
            </w:tcBorders>
            <w:tcMar>
              <w:left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2" w:space="0" w:color="8E939F"/>
              <w:bottom w:val="single" w:sz="2" w:space="0" w:color="143A84"/>
            </w:tcBorders>
            <w:shd w:fill="E6E7F4" w:val="clear"/>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2026 vs. 2025</w:t>
            </w:r>
          </w:p>
        </w:tc>
        <w:tc>
          <w:tcPr>
            <w:tcW w:w="327" w:type="dxa"/>
            <w:gridSpan w:val="3"/>
            <w:tcBorders>
              <w:bottom w:val="single" w:sz="2" w:space="0" w:color="143A8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95" w:type="dxa"/>
            <w:gridSpan w:val="3"/>
            <w:tcBorders>
              <w:bottom w:val="single" w:sz="2" w:space="0" w:color="143A84"/>
            </w:tcBorders>
            <w:tcMar>
              <w:top w:w="0" w:type="dxa"/>
              <w:left w:w="0" w:type="dxa"/>
              <w:bottom w:w="30" w:type="dxa"/>
              <w:right w:w="0" w:type="dxa"/>
            </w:tcMar>
            <w:vAlign w:val="center"/>
          </w:tcPr>
          <w:p>
            <w:pPr>
              <w:pStyle w:val="TableContents"/>
              <w:bidi w:val="0"/>
              <w:spacing w:lineRule="auto" w:line="288" w:before="0" w:after="240"/>
              <w:jc w:val="left"/>
              <w:rPr>
                <w:rFonts w:ascii="Helvetica;sans-serif" w:hAnsi="Helvetica;sans-serif"/>
                <w:b w:val="false"/>
                <w:i/>
                <w:color w:val="000000"/>
                <w:sz w:val="16"/>
              </w:rPr>
            </w:pPr>
            <w:r>
              <w:rPr>
                <w:rFonts w:ascii="Helvetica;sans-serif" w:hAnsi="Helvetica;sans-serif"/>
                <w:b w:val="false"/>
                <w:i/>
                <w:color w:val="000000"/>
                <w:sz w:val="16"/>
              </w:rPr>
              <w:t>(€ million)</w:t>
            </w:r>
          </w:p>
        </w:tc>
        <w:tc>
          <w:tcPr>
            <w:tcW w:w="327" w:type="dxa"/>
            <w:gridSpan w:val="3"/>
            <w:tcBorders>
              <w:bottom w:val="single" w:sz="2" w:space="0" w:color="143A8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op w:val="single" w:sz="2" w:space="0" w:color="8E939F"/>
              <w:bottom w:val="single" w:sz="2" w:space="0" w:color="143A84"/>
            </w:tcBorders>
            <w:shd w:fill="F3F3F9" w:val="clear"/>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2026</w:t>
            </w:r>
          </w:p>
        </w:tc>
        <w:tc>
          <w:tcPr>
            <w:tcW w:w="459" w:type="dxa"/>
            <w:gridSpan w:val="3"/>
            <w:tcBorders>
              <w:top w:val="single" w:sz="2" w:space="0" w:color="8E939F"/>
              <w:bottom w:val="single" w:sz="2" w:space="0" w:color="143A84"/>
            </w:tcBorders>
            <w:tcMar>
              <w:left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op w:val="single" w:sz="2" w:space="0" w:color="8E939F"/>
              <w:bottom w:val="single" w:sz="2" w:space="0" w:color="143A84"/>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2025</w:t>
            </w:r>
          </w:p>
        </w:tc>
        <w:tc>
          <w:tcPr>
            <w:tcW w:w="327" w:type="dxa"/>
            <w:gridSpan w:val="3"/>
            <w:tcBorders>
              <w:top w:val="single" w:sz="2" w:space="0" w:color="8E939F"/>
              <w:bottom w:val="single" w:sz="2" w:space="0" w:color="143A84"/>
            </w:tcBorders>
            <w:tcMar>
              <w:left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2" w:space="0" w:color="8E939F"/>
              <w:bottom w:val="single" w:sz="2" w:space="0" w:color="143A84"/>
            </w:tcBorders>
            <w:shd w:fill="E6E7F4" w:val="clear"/>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2026 vs. 2025</w:t>
            </w:r>
          </w:p>
        </w:tc>
      </w:tr>
      <w:tr>
        <w:trPr/>
        <w:tc>
          <w:tcPr>
            <w:tcW w:w="519" w:type="dxa"/>
            <w:gridSpan w:val="2"/>
            <w:tcBorders>
              <w:top w:val="single" w:sz="2" w:space="0" w:color="143A84"/>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807 </w:t>
            </w:r>
          </w:p>
        </w:tc>
        <w:tc>
          <w:tcPr>
            <w:tcW w:w="159" w:type="dxa"/>
            <w:tcBorders>
              <w:top w:val="single" w:sz="2" w:space="0" w:color="143A84"/>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top w:val="single" w:sz="2" w:space="0" w:color="143A84"/>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678 </w:t>
            </w:r>
          </w:p>
        </w:tc>
        <w:tc>
          <w:tcPr>
            <w:tcW w:w="159" w:type="dxa"/>
            <w:tcBorders>
              <w:top w:val="single" w:sz="2" w:space="0" w:color="143A84"/>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top w:val="single" w:sz="2" w:space="0" w:color="143A84"/>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19.0</w:t>
            </w:r>
          </w:p>
        </w:tc>
        <w:tc>
          <w:tcPr>
            <w:tcW w:w="691" w:type="dxa"/>
            <w:tcBorders>
              <w:top w:val="single" w:sz="2" w:space="0" w:color="143A84"/>
            </w:tcBorders>
            <w:shd w:fill="E6E7F4"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327"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5" w:type="dxa"/>
            <w:gridSpan w:val="3"/>
            <w:tcBorders>
              <w:top w:val="single" w:sz="2" w:space="0" w:color="143A84"/>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Research and development expenditures expensed</w:t>
            </w:r>
          </w:p>
        </w:tc>
        <w:tc>
          <w:tcPr>
            <w:tcW w:w="327"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top w:val="single" w:sz="2" w:space="0" w:color="143A84"/>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1,669 </w:t>
            </w:r>
          </w:p>
        </w:tc>
        <w:tc>
          <w:tcPr>
            <w:tcW w:w="153" w:type="dxa"/>
            <w:tcBorders>
              <w:top w:val="single" w:sz="2" w:space="0" w:color="143A84"/>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top w:val="single" w:sz="2" w:space="0" w:color="143A84"/>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1,411 </w:t>
            </w:r>
          </w:p>
        </w:tc>
        <w:tc>
          <w:tcPr>
            <w:tcW w:w="153" w:type="dxa"/>
            <w:tcBorders>
              <w:top w:val="single" w:sz="2" w:space="0" w:color="143A84"/>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2"/>
            <w:tcBorders>
              <w:top w:val="single" w:sz="2" w:space="0" w:color="143A84"/>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18.3</w:t>
            </w:r>
          </w:p>
        </w:tc>
        <w:tc>
          <w:tcPr>
            <w:tcW w:w="776" w:type="dxa"/>
            <w:tcBorders>
              <w:top w:val="single" w:sz="2" w:space="0" w:color="143A84"/>
            </w:tcBorders>
            <w:shd w:fill="E6E7F4"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w:t>
            </w:r>
          </w:p>
        </w:tc>
      </w:tr>
      <w:tr>
        <w:trPr/>
        <w:tc>
          <w:tcPr>
            <w:tcW w:w="519" w:type="dxa"/>
            <w:gridSpan w:val="2"/>
            <w:tcBorders>
              <w:top w:val="single" w:sz="2" w:space="0" w:color="143A84"/>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462 </w:t>
            </w:r>
          </w:p>
        </w:tc>
        <w:tc>
          <w:tcPr>
            <w:tcW w:w="159" w:type="dxa"/>
            <w:tcBorders>
              <w:top w:val="single" w:sz="2" w:space="0" w:color="143A84"/>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top w:val="single" w:sz="2" w:space="0" w:color="143A84"/>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513 </w:t>
            </w:r>
          </w:p>
        </w:tc>
        <w:tc>
          <w:tcPr>
            <w:tcW w:w="159" w:type="dxa"/>
            <w:tcBorders>
              <w:top w:val="single" w:sz="2" w:space="0" w:color="143A84"/>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top w:val="single" w:sz="2" w:space="0" w:color="143A84"/>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(9.9</w:t>
            </w:r>
          </w:p>
        </w:tc>
        <w:tc>
          <w:tcPr>
            <w:tcW w:w="691" w:type="dxa"/>
            <w:tcBorders>
              <w:top w:val="single" w:sz="2" w:space="0" w:color="143A84"/>
            </w:tcBorders>
            <w:shd w:fill="E6E7F4"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327"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5" w:type="dxa"/>
            <w:gridSpan w:val="3"/>
            <w:tcBorders>
              <w:top w:val="single" w:sz="2" w:space="0" w:color="143A84"/>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 xml:space="preserve">Amortization of capitalized development expenditures </w:t>
            </w:r>
          </w:p>
        </w:tc>
        <w:tc>
          <w:tcPr>
            <w:tcW w:w="327"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top w:val="single" w:sz="2" w:space="0" w:color="143A84"/>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923 </w:t>
            </w:r>
          </w:p>
        </w:tc>
        <w:tc>
          <w:tcPr>
            <w:tcW w:w="153" w:type="dxa"/>
            <w:tcBorders>
              <w:top w:val="single" w:sz="2" w:space="0" w:color="143A84"/>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top w:val="single" w:sz="2" w:space="0" w:color="143A84"/>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1,088 </w:t>
            </w:r>
          </w:p>
        </w:tc>
        <w:tc>
          <w:tcPr>
            <w:tcW w:w="153" w:type="dxa"/>
            <w:tcBorders>
              <w:top w:val="single" w:sz="2" w:space="0" w:color="143A84"/>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2"/>
            <w:tcBorders>
              <w:top w:val="single" w:sz="2" w:space="0" w:color="143A84"/>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(15.2</w:t>
            </w:r>
          </w:p>
        </w:tc>
        <w:tc>
          <w:tcPr>
            <w:tcW w:w="776" w:type="dxa"/>
            <w:tcBorders>
              <w:top w:val="single" w:sz="2" w:space="0" w:color="143A84"/>
            </w:tcBorders>
            <w:shd w:fill="E6E7F4"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w:t>
            </w:r>
          </w:p>
        </w:tc>
      </w:tr>
      <w:tr>
        <w:trPr/>
        <w:tc>
          <w:tcPr>
            <w:tcW w:w="519"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39 </w:t>
            </w:r>
          </w:p>
        </w:tc>
        <w:tc>
          <w:tcPr>
            <w:tcW w:w="159"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747 </w:t>
            </w:r>
          </w:p>
        </w:tc>
        <w:tc>
          <w:tcPr>
            <w:tcW w:w="159"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(94.8</w:t>
            </w:r>
          </w:p>
        </w:tc>
        <w:tc>
          <w:tcPr>
            <w:tcW w:w="691" w:type="dxa"/>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5"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Impairment and write-off of capitalized development expenditures</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156 </w:t>
            </w:r>
          </w:p>
        </w:tc>
        <w:tc>
          <w:tcPr>
            <w:tcW w:w="153"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872 </w:t>
            </w:r>
          </w:p>
        </w:tc>
        <w:tc>
          <w:tcPr>
            <w:tcW w:w="153"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(82.1</w:t>
            </w:r>
          </w:p>
        </w:tc>
        <w:tc>
          <w:tcPr>
            <w:tcW w:w="776" w:type="dxa"/>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w:t>
            </w:r>
          </w:p>
        </w:tc>
      </w:tr>
      <w:tr>
        <w:trPr/>
        <w:tc>
          <w:tcPr>
            <w:tcW w:w="678" w:type="dxa"/>
            <w:gridSpan w:val="3"/>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1,308</w:t>
            </w:r>
          </w:p>
        </w:tc>
        <w:tc>
          <w:tcPr>
            <w:tcW w:w="477" w:type="dxa"/>
            <w:gridSpan w:val="3"/>
            <w:tcBorders>
              <w:top w:val="single" w:sz="2" w:space="0" w:color="8E939F"/>
              <w:bottom w:val="single" w:sz="2" w:space="0" w:color="8E939F"/>
            </w:tcBorders>
            <w:shd w:fill="E6E7F4" w:val="clear"/>
            <w:tcMar>
              <w:left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1,938</w:t>
            </w:r>
          </w:p>
        </w:tc>
        <w:tc>
          <w:tcPr>
            <w:tcW w:w="327" w:type="dxa"/>
            <w:gridSpan w:val="3"/>
            <w:tcBorders>
              <w:top w:val="single" w:sz="2" w:space="0" w:color="8E939F"/>
              <w:bottom w:val="single" w:sz="2" w:space="0" w:color="8E939F"/>
            </w:tcBorders>
            <w:shd w:fill="E6E7F4" w:val="clear"/>
            <w:tcMar>
              <w:left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(32.5</w:t>
            </w:r>
          </w:p>
        </w:tc>
        <w:tc>
          <w:tcPr>
            <w:tcW w:w="691" w:type="dxa"/>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color w:val="243782"/>
                <w:sz w:val="18"/>
              </w:rPr>
            </w:pPr>
            <w:r>
              <w:rPr>
                <w:rFonts w:ascii="Helvetica;sans-serif" w:hAnsi="Helvetica;sans-serif"/>
                <w:b/>
                <w:color w:val="243782"/>
                <w:sz w:val="18"/>
              </w:rPr>
              <w:t>%)</w:t>
            </w:r>
          </w:p>
        </w:tc>
        <w:tc>
          <w:tcPr>
            <w:tcW w:w="327" w:type="dxa"/>
            <w:gridSpan w:val="3"/>
            <w:tcBorders>
              <w:top w:val="single" w:sz="2" w:space="0" w:color="8E939F"/>
              <w:bottom w:val="single" w:sz="2" w:space="0" w:color="8E939F"/>
            </w:tcBorders>
            <w:shd w:fill="E6E7F4" w:val="clear"/>
            <w:tcMar>
              <w:left w:w="0" w:type="dxa"/>
              <w:right w:w="0" w:type="dxa"/>
            </w:tcMar>
            <w:vAlign w:val="center"/>
          </w:tcPr>
          <w:p>
            <w:pPr>
              <w:pStyle w:val="TableContents"/>
              <w:bidi w:val="0"/>
              <w:spacing w:before="0" w:after="283"/>
              <w:jc w:val="left"/>
              <w:rPr>
                <w:sz w:val="4"/>
                <w:szCs w:val="4"/>
              </w:rPr>
            </w:pPr>
            <w:r>
              <w:rPr>
                <w:sz w:val="4"/>
                <w:szCs w:val="4"/>
              </w:rPr>
            </w:r>
          </w:p>
        </w:tc>
        <w:tc>
          <w:tcPr>
            <w:tcW w:w="2395" w:type="dxa"/>
            <w:gridSpan w:val="3"/>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color w:val="243782"/>
                <w:sz w:val="18"/>
              </w:rPr>
            </w:pPr>
            <w:r>
              <w:rPr>
                <w:rFonts w:ascii="Helvetica;sans-serif" w:hAnsi="Helvetica;sans-serif"/>
                <w:b/>
                <w:color w:val="243782"/>
                <w:sz w:val="18"/>
              </w:rPr>
              <w:t xml:space="preserve">Total Research and development costs </w:t>
            </w:r>
          </w:p>
        </w:tc>
        <w:tc>
          <w:tcPr>
            <w:tcW w:w="327" w:type="dxa"/>
            <w:gridSpan w:val="3"/>
            <w:tcBorders>
              <w:top w:val="single" w:sz="2" w:space="0" w:color="8E939F"/>
              <w:bottom w:val="single" w:sz="2" w:space="0" w:color="8E939F"/>
            </w:tcBorders>
            <w:shd w:fill="E6E7F4" w:val="clear"/>
            <w:tcMar>
              <w:left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2,748</w:t>
            </w:r>
          </w:p>
        </w:tc>
        <w:tc>
          <w:tcPr>
            <w:tcW w:w="459" w:type="dxa"/>
            <w:gridSpan w:val="3"/>
            <w:tcBorders>
              <w:top w:val="single" w:sz="2" w:space="0" w:color="8E939F"/>
              <w:bottom w:val="single" w:sz="2" w:space="0" w:color="8E939F"/>
            </w:tcBorders>
            <w:shd w:fill="E6E7F4" w:val="clear"/>
            <w:tcMar>
              <w:left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3,371</w:t>
            </w:r>
          </w:p>
        </w:tc>
        <w:tc>
          <w:tcPr>
            <w:tcW w:w="327" w:type="dxa"/>
            <w:gridSpan w:val="3"/>
            <w:tcBorders>
              <w:top w:val="single" w:sz="2" w:space="0" w:color="8E939F"/>
              <w:bottom w:val="single" w:sz="2" w:space="0" w:color="8E939F"/>
            </w:tcBorders>
            <w:shd w:fill="E6E7F4" w:val="clear"/>
            <w:tcMar>
              <w:left w:w="0" w:type="dxa"/>
              <w:right w:w="0" w:type="dxa"/>
            </w:tcMar>
            <w:vAlign w:val="center"/>
          </w:tcPr>
          <w:p>
            <w:pPr>
              <w:pStyle w:val="TableContents"/>
              <w:bidi w:val="0"/>
              <w:spacing w:before="0" w:after="283"/>
              <w:jc w:val="left"/>
              <w:rPr>
                <w:sz w:val="4"/>
                <w:szCs w:val="4"/>
              </w:rPr>
            </w:pPr>
            <w:r>
              <w:rPr>
                <w:sz w:val="4"/>
                <w:szCs w:val="4"/>
              </w:rPr>
            </w:r>
          </w:p>
        </w:tc>
        <w:tc>
          <w:tcPr>
            <w:tcW w:w="595" w:type="dxa"/>
            <w:gridSpan w:val="2"/>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(18.5</w:t>
            </w:r>
          </w:p>
        </w:tc>
        <w:tc>
          <w:tcPr>
            <w:tcW w:w="776" w:type="dxa"/>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color w:val="243782"/>
                <w:sz w:val="18"/>
              </w:rPr>
            </w:pPr>
            <w:r>
              <w:rPr>
                <w:rFonts w:ascii="Helvetica;sans-serif" w:hAnsi="Helvetica;sans-serif"/>
                <w:b/>
                <w:color w:val="243782"/>
                <w:sz w:val="18"/>
              </w:rPr>
              <w:t>%)</w:t>
            </w:r>
          </w:p>
        </w:tc>
      </w:tr>
    </w:tbl>
    <w:tbl>
      <w:tblPr>
        <w:tblW w:w="10205" w:type="dxa"/>
        <w:jc w:val="left"/>
        <w:tblInd w:w="0" w:type="dxa"/>
        <w:tblLayout w:type="fixed"/>
        <w:tblCellMar>
          <w:top w:w="28" w:type="dxa"/>
          <w:left w:w="28" w:type="dxa"/>
          <w:bottom w:w="28" w:type="dxa"/>
          <w:right w:w="28" w:type="dxa"/>
        </w:tblCellMar>
      </w:tblPr>
      <w:tblGrid>
        <w:gridCol w:w="248"/>
        <w:gridCol w:w="186"/>
        <w:gridCol w:w="447"/>
        <w:gridCol w:w="179"/>
        <w:gridCol w:w="179"/>
        <w:gridCol w:w="179"/>
        <w:gridCol w:w="218"/>
        <w:gridCol w:w="191"/>
        <w:gridCol w:w="447"/>
        <w:gridCol w:w="109"/>
        <w:gridCol w:w="109"/>
        <w:gridCol w:w="109"/>
        <w:gridCol w:w="1708"/>
        <w:gridCol w:w="1692"/>
        <w:gridCol w:w="1709"/>
        <w:gridCol w:w="109"/>
        <w:gridCol w:w="109"/>
        <w:gridCol w:w="109"/>
        <w:gridCol w:w="197"/>
        <w:gridCol w:w="185"/>
        <w:gridCol w:w="414"/>
        <w:gridCol w:w="166"/>
        <w:gridCol w:w="166"/>
        <w:gridCol w:w="166"/>
        <w:gridCol w:w="197"/>
        <w:gridCol w:w="185"/>
        <w:gridCol w:w="492"/>
      </w:tblGrid>
      <w:tr>
        <w:trPr/>
        <w:tc>
          <w:tcPr>
            <w:tcW w:w="24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8" w:type="dxa"/>
            <w:tcBorders/>
            <w:vAlign w:val="center"/>
          </w:tcPr>
          <w:p>
            <w:pPr>
              <w:pStyle w:val="TableContents"/>
              <w:bidi w:val="0"/>
              <w:spacing w:before="0" w:after="283"/>
              <w:jc w:val="left"/>
              <w:rPr>
                <w:sz w:val="4"/>
                <w:szCs w:val="4"/>
              </w:rPr>
            </w:pPr>
            <w:r>
              <w:rPr>
                <w:sz w:val="4"/>
                <w:szCs w:val="4"/>
              </w:rPr>
            </w:r>
          </w:p>
        </w:tc>
        <w:tc>
          <w:tcPr>
            <w:tcW w:w="1692"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r>
      <w:tr>
        <w:trPr/>
        <w:tc>
          <w:tcPr>
            <w:tcW w:w="22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Six Months Ended June 30,</w:t>
            </w:r>
          </w:p>
        </w:tc>
      </w:tr>
      <w:tr>
        <w:trPr/>
        <w:tc>
          <w:tcPr>
            <w:tcW w:w="881"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2026</w:t>
            </w:r>
          </w:p>
        </w:tc>
        <w:tc>
          <w:tcPr>
            <w:tcW w:w="53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9"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Helvetica;sans-serif" w:hAnsi="Helvetica;sans-serif"/>
                <w:b w:val="false"/>
                <w:i/>
                <w:color w:val="000000"/>
                <w:sz w:val="16"/>
              </w:rPr>
            </w:pPr>
            <w:r>
              <w:rPr>
                <w:rFonts w:ascii="Helvetica;sans-serif" w:hAnsi="Helvetica;sans-serif"/>
                <w:b w:val="false"/>
                <w:i/>
                <w:color w:val="000000"/>
                <w:sz w:val="16"/>
              </w:rPr>
              <w:t>(€ million)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2026</w:t>
            </w:r>
          </w:p>
        </w:tc>
        <w:tc>
          <w:tcPr>
            <w:tcW w:w="498"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2025</w:t>
            </w:r>
          </w:p>
        </w:tc>
      </w:tr>
      <w:tr>
        <w:trPr/>
        <w:tc>
          <w:tcPr>
            <w:tcW w:w="434" w:type="dxa"/>
            <w:gridSpan w:val="2"/>
            <w:tcBorders>
              <w:top w:val="single" w:sz="2" w:space="0" w:color="143A84"/>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1.9</w:t>
            </w:r>
          </w:p>
        </w:tc>
        <w:tc>
          <w:tcPr>
            <w:tcW w:w="447" w:type="dxa"/>
            <w:tcBorders>
              <w:top w:val="single" w:sz="2" w:space="0" w:color="143A84"/>
            </w:tcBorders>
            <w:shd w:fill="F3F3F9"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537"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2"/>
            <w:tcBorders>
              <w:top w:val="single" w:sz="2" w:space="0" w:color="143A84"/>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1.8</w:t>
            </w:r>
          </w:p>
        </w:tc>
        <w:tc>
          <w:tcPr>
            <w:tcW w:w="447" w:type="dxa"/>
            <w:tcBorders>
              <w:top w:val="single" w:sz="2" w:space="0" w:color="143A84"/>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327"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9" w:type="dxa"/>
            <w:gridSpan w:val="3"/>
            <w:tcBorders>
              <w:top w:val="single" w:sz="2" w:space="0" w:color="143A84"/>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Research and development expenditures expensed as % of Net revenues</w:t>
            </w:r>
          </w:p>
        </w:tc>
        <w:tc>
          <w:tcPr>
            <w:tcW w:w="327"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2"/>
            <w:tcBorders>
              <w:top w:val="single" w:sz="2" w:space="0" w:color="143A84"/>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2.0</w:t>
            </w:r>
          </w:p>
        </w:tc>
        <w:tc>
          <w:tcPr>
            <w:tcW w:w="414" w:type="dxa"/>
            <w:tcBorders>
              <w:top w:val="single" w:sz="2" w:space="0" w:color="143A84"/>
            </w:tcBorders>
            <w:shd w:fill="F3F3F9"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498"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2"/>
            <w:tcBorders>
              <w:top w:val="single" w:sz="2" w:space="0" w:color="143A84"/>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1.9</w:t>
            </w:r>
          </w:p>
        </w:tc>
        <w:tc>
          <w:tcPr>
            <w:tcW w:w="492" w:type="dxa"/>
            <w:tcBorders>
              <w:top w:val="single" w:sz="2" w:space="0" w:color="143A84"/>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w:t>
            </w:r>
          </w:p>
        </w:tc>
      </w:tr>
      <w:tr>
        <w:trPr/>
        <w:tc>
          <w:tcPr>
            <w:tcW w:w="434"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1.1</w:t>
            </w:r>
          </w:p>
        </w:tc>
        <w:tc>
          <w:tcPr>
            <w:tcW w:w="447" w:type="dxa"/>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53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1.3</w:t>
            </w:r>
          </w:p>
        </w:tc>
        <w:tc>
          <w:tcPr>
            <w:tcW w:w="447" w:type="dxa"/>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9"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Amortization of capitalized development expenditures as % of Net revenues</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1.1</w:t>
            </w:r>
          </w:p>
        </w:tc>
        <w:tc>
          <w:tcPr>
            <w:tcW w:w="414" w:type="dxa"/>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498"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1.5</w:t>
            </w:r>
          </w:p>
        </w:tc>
        <w:tc>
          <w:tcPr>
            <w:tcW w:w="492" w:type="dxa"/>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w:t>
            </w:r>
          </w:p>
        </w:tc>
      </w:tr>
      <w:tr>
        <w:trPr/>
        <w:tc>
          <w:tcPr>
            <w:tcW w:w="434"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0.1</w:t>
            </w:r>
          </w:p>
        </w:tc>
        <w:tc>
          <w:tcPr>
            <w:tcW w:w="447" w:type="dxa"/>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53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1.9</w:t>
            </w:r>
          </w:p>
        </w:tc>
        <w:tc>
          <w:tcPr>
            <w:tcW w:w="447" w:type="dxa"/>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9"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Impairment and write-off of capitalized development expenditures as % of Net revenues</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0.2</w:t>
            </w:r>
          </w:p>
        </w:tc>
        <w:tc>
          <w:tcPr>
            <w:tcW w:w="414" w:type="dxa"/>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498"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1.2</w:t>
            </w:r>
          </w:p>
        </w:tc>
        <w:tc>
          <w:tcPr>
            <w:tcW w:w="492" w:type="dxa"/>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w:t>
            </w:r>
          </w:p>
        </w:tc>
      </w:tr>
      <w:tr>
        <w:trPr/>
        <w:tc>
          <w:tcPr>
            <w:tcW w:w="434" w:type="dxa"/>
            <w:gridSpan w:val="2"/>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3.0</w:t>
            </w:r>
          </w:p>
        </w:tc>
        <w:tc>
          <w:tcPr>
            <w:tcW w:w="447" w:type="dxa"/>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color w:val="243782"/>
                <w:sz w:val="18"/>
              </w:rPr>
            </w:pPr>
            <w:r>
              <w:rPr>
                <w:rFonts w:ascii="Helvetica;sans-serif" w:hAnsi="Helvetica;sans-serif"/>
                <w:b/>
                <w:color w:val="243782"/>
                <w:sz w:val="18"/>
              </w:rPr>
              <w:t>%</w:t>
            </w:r>
          </w:p>
        </w:tc>
        <w:tc>
          <w:tcPr>
            <w:tcW w:w="537" w:type="dxa"/>
            <w:gridSpan w:val="3"/>
            <w:tcBorders>
              <w:top w:val="single" w:sz="2" w:space="0" w:color="8E939F"/>
              <w:bottom w:val="single" w:sz="2" w:space="0" w:color="8E939F"/>
            </w:tcBorders>
            <w:shd w:fill="E6E7F4" w:val="clear"/>
            <w:tcMar>
              <w:left w:w="0" w:type="dxa"/>
              <w:right w:w="0" w:type="dxa"/>
            </w:tcMar>
            <w:vAlign w:val="center"/>
          </w:tcPr>
          <w:p>
            <w:pPr>
              <w:pStyle w:val="TableContents"/>
              <w:bidi w:val="0"/>
              <w:spacing w:before="0" w:after="283"/>
              <w:jc w:val="left"/>
              <w:rPr>
                <w:sz w:val="4"/>
                <w:szCs w:val="4"/>
              </w:rPr>
            </w:pPr>
            <w:r>
              <w:rPr>
                <w:sz w:val="4"/>
                <w:szCs w:val="4"/>
              </w:rPr>
            </w:r>
          </w:p>
        </w:tc>
        <w:tc>
          <w:tcPr>
            <w:tcW w:w="409" w:type="dxa"/>
            <w:gridSpan w:val="2"/>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5.0</w:t>
            </w:r>
          </w:p>
        </w:tc>
        <w:tc>
          <w:tcPr>
            <w:tcW w:w="447" w:type="dxa"/>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color w:val="243782"/>
                <w:sz w:val="18"/>
              </w:rPr>
            </w:pPr>
            <w:r>
              <w:rPr>
                <w:rFonts w:ascii="Helvetica;sans-serif" w:hAnsi="Helvetica;sans-serif"/>
                <w:b/>
                <w:color w:val="243782"/>
                <w:sz w:val="18"/>
              </w:rPr>
              <w:t>%</w:t>
            </w:r>
          </w:p>
        </w:tc>
        <w:tc>
          <w:tcPr>
            <w:tcW w:w="327" w:type="dxa"/>
            <w:gridSpan w:val="3"/>
            <w:tcBorders>
              <w:top w:val="single" w:sz="2" w:space="0" w:color="8E939F"/>
              <w:bottom w:val="single" w:sz="2" w:space="0" w:color="8E939F"/>
            </w:tcBorders>
            <w:shd w:fill="E6E7F4" w:val="clear"/>
            <w:tcMar>
              <w:left w:w="0" w:type="dxa"/>
              <w:right w:w="0" w:type="dxa"/>
            </w:tcMar>
            <w:vAlign w:val="center"/>
          </w:tcPr>
          <w:p>
            <w:pPr>
              <w:pStyle w:val="TableContents"/>
              <w:bidi w:val="0"/>
              <w:spacing w:before="0" w:after="283"/>
              <w:jc w:val="left"/>
              <w:rPr>
                <w:sz w:val="4"/>
                <w:szCs w:val="4"/>
              </w:rPr>
            </w:pPr>
            <w:r>
              <w:rPr>
                <w:sz w:val="4"/>
                <w:szCs w:val="4"/>
              </w:rPr>
            </w:r>
          </w:p>
        </w:tc>
        <w:tc>
          <w:tcPr>
            <w:tcW w:w="5109" w:type="dxa"/>
            <w:gridSpan w:val="3"/>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color w:val="243782"/>
                <w:sz w:val="18"/>
              </w:rPr>
            </w:pPr>
            <w:r>
              <w:rPr>
                <w:rFonts w:ascii="Helvetica;sans-serif" w:hAnsi="Helvetica;sans-serif"/>
                <w:b/>
                <w:color w:val="243782"/>
                <w:sz w:val="18"/>
              </w:rPr>
              <w:t>Total Research and development cost as % of Net revenues</w:t>
            </w:r>
          </w:p>
        </w:tc>
        <w:tc>
          <w:tcPr>
            <w:tcW w:w="327" w:type="dxa"/>
            <w:gridSpan w:val="3"/>
            <w:tcBorders>
              <w:top w:val="single" w:sz="2" w:space="0" w:color="8E939F"/>
              <w:bottom w:val="single" w:sz="2" w:space="0" w:color="8E939F"/>
            </w:tcBorders>
            <w:shd w:fill="E6E7F4" w:val="clear"/>
            <w:tcMar>
              <w:left w:w="0" w:type="dxa"/>
              <w:right w:w="0" w:type="dxa"/>
            </w:tcMar>
            <w:vAlign w:val="center"/>
          </w:tcPr>
          <w:p>
            <w:pPr>
              <w:pStyle w:val="TableContents"/>
              <w:bidi w:val="0"/>
              <w:spacing w:before="0" w:after="283"/>
              <w:jc w:val="left"/>
              <w:rPr>
                <w:sz w:val="4"/>
                <w:szCs w:val="4"/>
              </w:rPr>
            </w:pPr>
            <w:r>
              <w:rPr>
                <w:sz w:val="4"/>
                <w:szCs w:val="4"/>
              </w:rPr>
            </w:r>
          </w:p>
        </w:tc>
        <w:tc>
          <w:tcPr>
            <w:tcW w:w="382" w:type="dxa"/>
            <w:gridSpan w:val="2"/>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3.4</w:t>
            </w:r>
          </w:p>
        </w:tc>
        <w:tc>
          <w:tcPr>
            <w:tcW w:w="414" w:type="dxa"/>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color w:val="243782"/>
                <w:sz w:val="18"/>
              </w:rPr>
            </w:pPr>
            <w:r>
              <w:rPr>
                <w:rFonts w:ascii="Helvetica;sans-serif" w:hAnsi="Helvetica;sans-serif"/>
                <w:b/>
                <w:color w:val="243782"/>
                <w:sz w:val="18"/>
              </w:rPr>
              <w:t>%</w:t>
            </w:r>
          </w:p>
        </w:tc>
        <w:tc>
          <w:tcPr>
            <w:tcW w:w="498" w:type="dxa"/>
            <w:gridSpan w:val="3"/>
            <w:tcBorders>
              <w:top w:val="single" w:sz="2" w:space="0" w:color="8E939F"/>
              <w:bottom w:val="single" w:sz="2" w:space="0" w:color="8E939F"/>
            </w:tcBorders>
            <w:shd w:fill="E6E7F4" w:val="clear"/>
            <w:tcMar>
              <w:left w:w="0" w:type="dxa"/>
              <w:right w:w="0" w:type="dxa"/>
            </w:tcMar>
            <w:vAlign w:val="center"/>
          </w:tcPr>
          <w:p>
            <w:pPr>
              <w:pStyle w:val="TableContents"/>
              <w:bidi w:val="0"/>
              <w:spacing w:before="0" w:after="283"/>
              <w:jc w:val="left"/>
              <w:rPr>
                <w:sz w:val="4"/>
                <w:szCs w:val="4"/>
              </w:rPr>
            </w:pPr>
            <w:r>
              <w:rPr>
                <w:sz w:val="4"/>
                <w:szCs w:val="4"/>
              </w:rPr>
            </w:r>
          </w:p>
        </w:tc>
        <w:tc>
          <w:tcPr>
            <w:tcW w:w="382" w:type="dxa"/>
            <w:gridSpan w:val="2"/>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4.5</w:t>
            </w:r>
          </w:p>
        </w:tc>
        <w:tc>
          <w:tcPr>
            <w:tcW w:w="492" w:type="dxa"/>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color w:val="243782"/>
                <w:sz w:val="18"/>
              </w:rPr>
            </w:pPr>
            <w:r>
              <w:rPr>
                <w:rFonts w:ascii="Helvetica;sans-serif" w:hAnsi="Helvetica;sans-serif"/>
                <w:b/>
                <w:color w:val="243782"/>
                <w:sz w:val="18"/>
              </w:rPr>
              <w:t>%</w:t>
            </w:r>
          </w:p>
        </w:tc>
      </w:tr>
    </w:tbl>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 xml:space="preserve">Research and development expenditures expensed increased by €129 million and €258 million for the three and six months ended June 30, 2026, respectively, as compared to the corresponding periods in 2025 primarily resulting from: </w:t>
      </w:r>
    </w:p>
    <w:p>
      <w:pPr>
        <w:pStyle w:val="TextBody"/>
        <w:bidi w:val="0"/>
        <w:spacing w:before="0" w:after="24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503555"/>
                <wp:effectExtent l="0" t="0" r="0" b="0"/>
                <wp:wrapNone/>
                <wp:docPr id="19" name="Frame16"/>
                <a:graphic xmlns:a="http://schemas.openxmlformats.org/drawingml/2006/main">
                  <a:graphicData uri="http://schemas.microsoft.com/office/word/2010/wordprocessingShape">
                    <wps:wsp>
                      <wps:cNvSpPr txBox="1"/>
                      <wps:spPr>
                        <a:xfrm>
                          <a:off x="0" y="0"/>
                          <a:ext cx="6480175" cy="5035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w:t>
                      </w:r>
                    </w:p>
                    <w:p>
                      <w:pPr>
                        <w:pStyle w:val="TextBody"/>
                        <w:bidi w:val="0"/>
                        <w:spacing w:before="0" w:after="24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343" w:before="0" w:after="240"/>
        <w:ind w:left="0" w:right="0" w:hanging="173"/>
        <w:jc w:val="left"/>
        <w:rPr/>
      </w:pPr>
      <w:r>
        <w:rPr>
          <w:color w:val="143A84"/>
        </w:rPr>
        <w:t>•</w:t>
      </w:r>
      <w:r>
        <w:rPr>
          <w:rFonts w:ascii="Helvetica Light;sans-serif" w:hAnsi="Helvetica Light;sans-serif"/>
          <w:b w:val="false"/>
          <w:color w:val="000000"/>
          <w:sz w:val="20"/>
        </w:rPr>
        <w:t xml:space="preserve">higher product serial life activities (quality improvements, value optimization and product actions) aimed at further enhancing the quality of our offerings to customers (€86 million and €111 million for the three and six month periods, respectively); </w:t>
      </w:r>
    </w:p>
    <w:p>
      <w:pPr>
        <w:pStyle w:val="TextBody"/>
        <w:bidi w:val="0"/>
        <w:spacing w:lineRule="auto" w:line="343" w:before="0" w:after="240"/>
        <w:ind w:left="0" w:right="0" w:hanging="173"/>
        <w:jc w:val="left"/>
        <w:rPr/>
      </w:pPr>
      <w:r>
        <w:rPr>
          <w:color w:val="143A84"/>
        </w:rPr>
        <w:t>•</w:t>
      </w:r>
      <w:r>
        <w:rPr>
          <w:rFonts w:ascii="Helvetica Light;sans-serif" w:hAnsi="Helvetica Light;sans-serif"/>
          <w:b w:val="false"/>
          <w:color w:val="000000"/>
          <w:sz w:val="20"/>
        </w:rPr>
        <w:t xml:space="preserve">increased advanced engineering activities for products included in the long-range plan (€19 million and €36 million for the three and six month periods, respectively); and </w:t>
      </w:r>
    </w:p>
    <w:p>
      <w:pPr>
        <w:pStyle w:val="TextBody"/>
        <w:bidi w:val="0"/>
        <w:spacing w:lineRule="auto" w:line="343" w:before="0" w:after="240"/>
        <w:ind w:left="0" w:right="0" w:hanging="173"/>
        <w:jc w:val="left"/>
        <w:rPr/>
      </w:pPr>
      <w:r>
        <w:rPr>
          <w:color w:val="143A84"/>
        </w:rPr>
        <w:t>•</w:t>
      </w:r>
      <w:r>
        <w:rPr>
          <w:rFonts w:ascii="Helvetica Light;sans-serif" w:hAnsi="Helvetica Light;sans-serif"/>
          <w:b w:val="false"/>
          <w:color w:val="000000"/>
          <w:sz w:val="20"/>
        </w:rPr>
        <w:t>the expensing of development costs incurred on platforms that were fully impaired in 2025 and are therefore no longer eligible for capitalization (€36 million and €70 million for the three and six month periods, respectively).</w:t>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Amortization of capitalized development expenditures during the three and six months ended June 30, 2026 decreased by 9.9 percent and 15.2 percent, respectively as compared to the corresponding periods in 2025, primarily due to reduced amortization following impairments recognized in 2025.</w:t>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Impairments of capitalized development expenditures recognized in the three and six months ended June 30, 2026 were attributable to impairments of platform assets in North America related to program cancellations. Impairments of capitalized development expenditures recognized in the three and six months ended June 2025 primarily related to (i) impairments of platforms used for Maserati and Alfa Romeo vehicles of €348 million, (ii) impairments as a result of the Company’s decision to discontinue its hydrogen fuel cell technology of €278 million, and (iii) impairments as a result of program cancellations. Total Research and development expenditures for the three and six months ended June 30, 2026 and 2025 were as follows:</w:t>
      </w:r>
    </w:p>
    <w:tbl>
      <w:tblPr>
        <w:tblW w:w="10205" w:type="dxa"/>
        <w:jc w:val="left"/>
        <w:tblInd w:w="0" w:type="dxa"/>
        <w:tblLayout w:type="fixed"/>
        <w:tblCellMar>
          <w:top w:w="28" w:type="dxa"/>
          <w:left w:w="28" w:type="dxa"/>
          <w:bottom w:w="28" w:type="dxa"/>
          <w:right w:w="28" w:type="dxa"/>
        </w:tblCellMar>
      </w:tblPr>
      <w:tblGrid>
        <w:gridCol w:w="314"/>
        <w:gridCol w:w="176"/>
        <w:gridCol w:w="321"/>
        <w:gridCol w:w="129"/>
        <w:gridCol w:w="129"/>
        <w:gridCol w:w="129"/>
        <w:gridCol w:w="296"/>
        <w:gridCol w:w="178"/>
        <w:gridCol w:w="321"/>
        <w:gridCol w:w="109"/>
        <w:gridCol w:w="109"/>
        <w:gridCol w:w="109"/>
        <w:gridCol w:w="322"/>
        <w:gridCol w:w="259"/>
        <w:gridCol w:w="645"/>
        <w:gridCol w:w="109"/>
        <w:gridCol w:w="109"/>
        <w:gridCol w:w="109"/>
        <w:gridCol w:w="843"/>
        <w:gridCol w:w="794"/>
        <w:gridCol w:w="802"/>
        <w:gridCol w:w="109"/>
        <w:gridCol w:w="109"/>
        <w:gridCol w:w="109"/>
        <w:gridCol w:w="296"/>
        <w:gridCol w:w="175"/>
        <w:gridCol w:w="312"/>
        <w:gridCol w:w="125"/>
        <w:gridCol w:w="125"/>
        <w:gridCol w:w="125"/>
        <w:gridCol w:w="296"/>
        <w:gridCol w:w="175"/>
        <w:gridCol w:w="312"/>
        <w:gridCol w:w="109"/>
        <w:gridCol w:w="109"/>
        <w:gridCol w:w="109"/>
        <w:gridCol w:w="326"/>
        <w:gridCol w:w="246"/>
        <w:gridCol w:w="726"/>
      </w:tblGrid>
      <w:tr>
        <w:trPr/>
        <w:tc>
          <w:tcPr>
            <w:tcW w:w="31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r>
      <w:tr>
        <w:trPr/>
        <w:tc>
          <w:tcPr>
            <w:tcW w:w="199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E6E7F4"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Increase/(Decrease)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shd w:fill="E6E7F4"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Increase/(Decrease)</w:t>
            </w:r>
          </w:p>
        </w:tc>
      </w:tr>
      <w:tr>
        <w:trPr/>
        <w:tc>
          <w:tcPr>
            <w:tcW w:w="811"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2026</w:t>
            </w:r>
          </w:p>
        </w:tc>
        <w:tc>
          <w:tcPr>
            <w:tcW w:w="38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2025</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2026 vs.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Helvetica;sans-serif" w:hAnsi="Helvetica;sans-serif"/>
                <w:b w:val="false"/>
                <w:i/>
                <w:color w:val="000000"/>
                <w:sz w:val="16"/>
              </w:rPr>
            </w:pPr>
            <w:r>
              <w:rPr>
                <w:rFonts w:ascii="Helvetica;sans-serif" w:hAnsi="Helvetica;sans-serif"/>
                <w:b w:val="false"/>
                <w:i/>
                <w:color w:val="000000"/>
                <w:sz w:val="16"/>
              </w:rPr>
              <w:t>(€ million)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2026</w:t>
            </w:r>
          </w:p>
        </w:tc>
        <w:tc>
          <w:tcPr>
            <w:tcW w:w="375"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2025</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2026 vs. 2025</w:t>
            </w:r>
          </w:p>
        </w:tc>
      </w:tr>
      <w:tr>
        <w:trPr/>
        <w:tc>
          <w:tcPr>
            <w:tcW w:w="811" w:type="dxa"/>
            <w:gridSpan w:val="3"/>
            <w:tcBorders>
              <w:top w:val="single" w:sz="2" w:space="0" w:color="143A84"/>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660</w:t>
            </w:r>
          </w:p>
        </w:tc>
        <w:tc>
          <w:tcPr>
            <w:tcW w:w="387"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op w:val="single" w:sz="2" w:space="0" w:color="143A84"/>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840</w:t>
            </w:r>
          </w:p>
        </w:tc>
        <w:tc>
          <w:tcPr>
            <w:tcW w:w="327"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top w:val="single" w:sz="2" w:space="0" w:color="143A84"/>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(21.4</w:t>
            </w:r>
          </w:p>
        </w:tc>
        <w:tc>
          <w:tcPr>
            <w:tcW w:w="645" w:type="dxa"/>
            <w:tcBorders>
              <w:top w:val="single" w:sz="2" w:space="0" w:color="143A84"/>
            </w:tcBorders>
            <w:shd w:fill="E6E7F4"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327"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top w:val="single" w:sz="2" w:space="0" w:color="143A84"/>
            </w:tcBorders>
            <w:tcMar>
              <w:top w:w="52" w:type="dxa"/>
              <w:left w:w="0" w:type="dxa"/>
              <w:bottom w:w="0" w:type="dxa"/>
              <w:right w:w="0" w:type="dxa"/>
            </w:tcMar>
            <w:vAlign w:val="center"/>
          </w:tcPr>
          <w:p>
            <w:pPr>
              <w:pStyle w:val="TableContents"/>
              <w:bidi w:val="0"/>
              <w:spacing w:lineRule="auto" w:line="288" w:before="0" w:after="0"/>
              <w:jc w:val="left"/>
              <w:rPr/>
            </w:pPr>
            <w:r>
              <w:rPr>
                <w:rFonts w:ascii="Helvetica;sans-serif" w:hAnsi="Helvetica;sans-serif"/>
                <w:b w:val="false"/>
                <w:color w:val="000000"/>
                <w:sz w:val="18"/>
              </w:rPr>
              <w:t>Capitalized development expenditures excl. borrowing costs</w:t>
            </w:r>
            <w:r>
              <w:rPr>
                <w:rFonts w:ascii="Helvetica;sans-serif" w:hAnsi="Helvetica;sans-serif"/>
                <w:b w:val="false"/>
                <w:color w:val="000000"/>
                <w:sz w:val="12"/>
              </w:rPr>
              <w:t>(1)</w:t>
            </w:r>
          </w:p>
        </w:tc>
        <w:tc>
          <w:tcPr>
            <w:tcW w:w="327"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op w:val="single" w:sz="2" w:space="0" w:color="143A84"/>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1,273</w:t>
            </w:r>
          </w:p>
        </w:tc>
        <w:tc>
          <w:tcPr>
            <w:tcW w:w="375"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op w:val="single" w:sz="2" w:space="0" w:color="143A84"/>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1,705</w:t>
            </w:r>
          </w:p>
        </w:tc>
        <w:tc>
          <w:tcPr>
            <w:tcW w:w="327"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2" w:space="0" w:color="143A84"/>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(25.3</w:t>
            </w:r>
          </w:p>
        </w:tc>
        <w:tc>
          <w:tcPr>
            <w:tcW w:w="726" w:type="dxa"/>
            <w:tcBorders>
              <w:top w:val="single" w:sz="2" w:space="0" w:color="143A84"/>
            </w:tcBorders>
            <w:shd w:fill="E6E7F4"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w:t>
            </w:r>
          </w:p>
        </w:tc>
      </w:tr>
      <w:tr>
        <w:trPr/>
        <w:tc>
          <w:tcPr>
            <w:tcW w:w="811"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807</w:t>
            </w:r>
          </w:p>
        </w:tc>
        <w:tc>
          <w:tcPr>
            <w:tcW w:w="38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678</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19.0</w:t>
            </w:r>
          </w:p>
        </w:tc>
        <w:tc>
          <w:tcPr>
            <w:tcW w:w="645" w:type="dxa"/>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0"/>
              <w:jc w:val="left"/>
              <w:rPr>
                <w:rFonts w:ascii="Helvetica;sans-serif" w:hAnsi="Helvetica;sans-serif"/>
                <w:b w:val="false"/>
                <w:color w:val="000000"/>
                <w:sz w:val="18"/>
              </w:rPr>
            </w:pPr>
            <w:r>
              <w:rPr>
                <w:rFonts w:ascii="Helvetica;sans-serif" w:hAnsi="Helvetica;sans-serif"/>
                <w:b w:val="false"/>
                <w:color w:val="000000"/>
                <w:sz w:val="18"/>
              </w:rPr>
              <w:t xml:space="preserve">Research and development expenditures expensed </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1,669</w:t>
            </w:r>
          </w:p>
        </w:tc>
        <w:tc>
          <w:tcPr>
            <w:tcW w:w="375"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1,411</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18.3</w:t>
            </w:r>
          </w:p>
        </w:tc>
        <w:tc>
          <w:tcPr>
            <w:tcW w:w="726" w:type="dxa"/>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w:t>
            </w:r>
          </w:p>
        </w:tc>
      </w:tr>
      <w:tr>
        <w:trPr/>
        <w:tc>
          <w:tcPr>
            <w:tcW w:w="811" w:type="dxa"/>
            <w:gridSpan w:val="3"/>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1,467</w:t>
            </w:r>
          </w:p>
        </w:tc>
        <w:tc>
          <w:tcPr>
            <w:tcW w:w="387" w:type="dxa"/>
            <w:gridSpan w:val="3"/>
            <w:tcBorders>
              <w:top w:val="single" w:sz="2" w:space="0" w:color="8E939F"/>
            </w:tcBorders>
            <w:shd w:fill="E6E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1,518</w:t>
            </w:r>
          </w:p>
        </w:tc>
        <w:tc>
          <w:tcPr>
            <w:tcW w:w="327" w:type="dxa"/>
            <w:gridSpan w:val="3"/>
            <w:tcBorders>
              <w:top w:val="single" w:sz="2" w:space="0" w:color="8E939F"/>
            </w:tcBorders>
            <w:shd w:fill="E6E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(3.4</w:t>
            </w:r>
          </w:p>
        </w:tc>
        <w:tc>
          <w:tcPr>
            <w:tcW w:w="645" w:type="dxa"/>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243782"/>
                <w:sz w:val="18"/>
              </w:rPr>
            </w:pPr>
            <w:r>
              <w:rPr>
                <w:rFonts w:ascii="Helvetica;sans-serif" w:hAnsi="Helvetica;sans-serif"/>
                <w:b/>
                <w:color w:val="243782"/>
                <w:sz w:val="18"/>
              </w:rPr>
              <w:t>%)</w:t>
            </w:r>
          </w:p>
        </w:tc>
        <w:tc>
          <w:tcPr>
            <w:tcW w:w="327" w:type="dxa"/>
            <w:gridSpan w:val="3"/>
            <w:tcBorders>
              <w:top w:val="single" w:sz="2" w:space="0" w:color="8E939F"/>
            </w:tcBorders>
            <w:shd w:fill="E6E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0"/>
              <w:jc w:val="left"/>
              <w:rPr>
                <w:rFonts w:ascii="Helvetica;sans-serif" w:hAnsi="Helvetica;sans-serif"/>
                <w:b/>
                <w:color w:val="243782"/>
                <w:sz w:val="18"/>
              </w:rPr>
            </w:pPr>
            <w:r>
              <w:rPr>
                <w:rFonts w:ascii="Helvetica;sans-serif" w:hAnsi="Helvetica;sans-serif"/>
                <w:b/>
                <w:color w:val="243782"/>
                <w:sz w:val="18"/>
              </w:rPr>
              <w:t>Total Research and development expenditures</w:t>
            </w:r>
          </w:p>
        </w:tc>
        <w:tc>
          <w:tcPr>
            <w:tcW w:w="327" w:type="dxa"/>
            <w:gridSpan w:val="3"/>
            <w:tcBorders>
              <w:top w:val="single" w:sz="2" w:space="0" w:color="8E939F"/>
            </w:tcBorders>
            <w:shd w:fill="E6E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2,942</w:t>
            </w:r>
          </w:p>
        </w:tc>
        <w:tc>
          <w:tcPr>
            <w:tcW w:w="375" w:type="dxa"/>
            <w:gridSpan w:val="3"/>
            <w:tcBorders>
              <w:top w:val="single" w:sz="2" w:space="0" w:color="8E939F"/>
            </w:tcBorders>
            <w:shd w:fill="E6E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3,116</w:t>
            </w:r>
          </w:p>
        </w:tc>
        <w:tc>
          <w:tcPr>
            <w:tcW w:w="327" w:type="dxa"/>
            <w:gridSpan w:val="3"/>
            <w:tcBorders>
              <w:top w:val="single" w:sz="2" w:space="0" w:color="8E939F"/>
            </w:tcBorders>
            <w:shd w:fill="E6E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(5.6</w:t>
            </w:r>
          </w:p>
        </w:tc>
        <w:tc>
          <w:tcPr>
            <w:tcW w:w="726" w:type="dxa"/>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243782"/>
                <w:sz w:val="18"/>
              </w:rPr>
            </w:pPr>
            <w:r>
              <w:rPr>
                <w:rFonts w:ascii="Helvetica;sans-serif" w:hAnsi="Helvetica;sans-serif"/>
                <w:b/>
                <w:color w:val="243782"/>
                <w:sz w:val="18"/>
              </w:rPr>
              <w:t>%)</w:t>
            </w:r>
          </w:p>
        </w:tc>
      </w:tr>
      <w:tr>
        <w:trPr/>
        <w:tc>
          <w:tcPr>
            <w:tcW w:w="811"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45.0</w:t>
            </w:r>
          </w:p>
        </w:tc>
        <w:tc>
          <w:tcPr>
            <w:tcW w:w="321" w:type="dxa"/>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38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55.3</w:t>
            </w:r>
          </w:p>
        </w:tc>
        <w:tc>
          <w:tcPr>
            <w:tcW w:w="321" w:type="dxa"/>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Capitalized development expenditures as % of Total Research and development expenditures</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43.3</w:t>
            </w:r>
          </w:p>
        </w:tc>
        <w:tc>
          <w:tcPr>
            <w:tcW w:w="312" w:type="dxa"/>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375"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54.7</w:t>
            </w:r>
          </w:p>
        </w:tc>
        <w:tc>
          <w:tcPr>
            <w:tcW w:w="312" w:type="dxa"/>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 w:type="dxa"/>
            <w:gridSpan w:val="2"/>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3.4</w:t>
            </w:r>
          </w:p>
        </w:tc>
        <w:tc>
          <w:tcPr>
            <w:tcW w:w="321" w:type="dxa"/>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color w:val="243782"/>
                <w:sz w:val="18"/>
              </w:rPr>
            </w:pPr>
            <w:r>
              <w:rPr>
                <w:rFonts w:ascii="Helvetica;sans-serif" w:hAnsi="Helvetica;sans-serif"/>
                <w:b/>
                <w:color w:val="243782"/>
                <w:sz w:val="18"/>
              </w:rPr>
              <w:t>%</w:t>
            </w:r>
          </w:p>
        </w:tc>
        <w:tc>
          <w:tcPr>
            <w:tcW w:w="387" w:type="dxa"/>
            <w:gridSpan w:val="3"/>
            <w:tcBorders>
              <w:top w:val="single" w:sz="2" w:space="0" w:color="8E939F"/>
              <w:bottom w:val="single" w:sz="2" w:space="0" w:color="8E939F"/>
            </w:tcBorders>
            <w:shd w:fill="E6E7F4" w:val="clear"/>
            <w:tcMar>
              <w:left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3.9</w:t>
            </w:r>
          </w:p>
        </w:tc>
        <w:tc>
          <w:tcPr>
            <w:tcW w:w="321" w:type="dxa"/>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color w:val="243782"/>
                <w:sz w:val="18"/>
              </w:rPr>
            </w:pPr>
            <w:r>
              <w:rPr>
                <w:rFonts w:ascii="Helvetica;sans-serif" w:hAnsi="Helvetica;sans-serif"/>
                <w:b/>
                <w:color w:val="243782"/>
                <w:sz w:val="18"/>
              </w:rPr>
              <w:t>%</w:t>
            </w:r>
          </w:p>
        </w:tc>
        <w:tc>
          <w:tcPr>
            <w:tcW w:w="327" w:type="dxa"/>
            <w:gridSpan w:val="3"/>
            <w:tcBorders>
              <w:top w:val="single" w:sz="2" w:space="0" w:color="8E939F"/>
              <w:bottom w:val="single" w:sz="2" w:space="0" w:color="8E939F"/>
            </w:tcBorders>
            <w:shd w:fill="E6E7F4" w:val="clear"/>
            <w:tcMar>
              <w:left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2" w:space="0" w:color="8E939F"/>
              <w:bottom w:val="single" w:sz="2" w:space="0" w:color="8E939F"/>
            </w:tcBorders>
            <w:shd w:fill="E6E7F4"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bottom w:val="single" w:sz="2" w:space="0" w:color="8E939F"/>
            </w:tcBorders>
            <w:shd w:fill="E6E7F4" w:val="clear"/>
            <w:tcMar>
              <w:left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color w:val="243782"/>
                <w:sz w:val="18"/>
              </w:rPr>
            </w:pPr>
            <w:r>
              <w:rPr>
                <w:rFonts w:ascii="Helvetica;sans-serif" w:hAnsi="Helvetica;sans-serif"/>
                <w:b/>
                <w:color w:val="243782"/>
                <w:sz w:val="18"/>
              </w:rPr>
              <w:t>Total Research and development expenditures as % of Net revenues</w:t>
            </w:r>
          </w:p>
        </w:tc>
        <w:tc>
          <w:tcPr>
            <w:tcW w:w="327" w:type="dxa"/>
            <w:gridSpan w:val="3"/>
            <w:tcBorders>
              <w:top w:val="single" w:sz="2" w:space="0" w:color="8E939F"/>
              <w:bottom w:val="single" w:sz="2" w:space="0" w:color="8E939F"/>
            </w:tcBorders>
            <w:shd w:fill="E6E7F4" w:val="clear"/>
            <w:tcMar>
              <w:left w:w="0" w:type="dxa"/>
              <w:right w:w="0" w:type="dxa"/>
            </w:tcMar>
            <w:vAlign w:val="center"/>
          </w:tcPr>
          <w:p>
            <w:pPr>
              <w:pStyle w:val="TableContents"/>
              <w:bidi w:val="0"/>
              <w:spacing w:before="0" w:after="283"/>
              <w:jc w:val="left"/>
              <w:rPr>
                <w:sz w:val="4"/>
                <w:szCs w:val="4"/>
              </w:rPr>
            </w:pPr>
            <w:r>
              <w:rPr>
                <w:sz w:val="4"/>
                <w:szCs w:val="4"/>
              </w:rPr>
            </w:r>
          </w:p>
        </w:tc>
        <w:tc>
          <w:tcPr>
            <w:tcW w:w="471" w:type="dxa"/>
            <w:gridSpan w:val="2"/>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3.6</w:t>
            </w:r>
          </w:p>
        </w:tc>
        <w:tc>
          <w:tcPr>
            <w:tcW w:w="312" w:type="dxa"/>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color w:val="243782"/>
                <w:sz w:val="18"/>
              </w:rPr>
            </w:pPr>
            <w:r>
              <w:rPr>
                <w:rFonts w:ascii="Helvetica;sans-serif" w:hAnsi="Helvetica;sans-serif"/>
                <w:b/>
                <w:color w:val="243782"/>
                <w:sz w:val="18"/>
              </w:rPr>
              <w:t>%</w:t>
            </w:r>
          </w:p>
        </w:tc>
        <w:tc>
          <w:tcPr>
            <w:tcW w:w="375" w:type="dxa"/>
            <w:gridSpan w:val="3"/>
            <w:tcBorders>
              <w:top w:val="single" w:sz="2" w:space="0" w:color="8E939F"/>
              <w:bottom w:val="single" w:sz="2" w:space="0" w:color="8E939F"/>
            </w:tcBorders>
            <w:shd w:fill="E6E7F4" w:val="clear"/>
            <w:tcMar>
              <w:left w:w="0" w:type="dxa"/>
              <w:right w:w="0" w:type="dxa"/>
            </w:tcMar>
            <w:vAlign w:val="center"/>
          </w:tcPr>
          <w:p>
            <w:pPr>
              <w:pStyle w:val="TableContents"/>
              <w:bidi w:val="0"/>
              <w:spacing w:before="0" w:after="283"/>
              <w:jc w:val="left"/>
              <w:rPr>
                <w:sz w:val="4"/>
                <w:szCs w:val="4"/>
              </w:rPr>
            </w:pPr>
            <w:r>
              <w:rPr>
                <w:sz w:val="4"/>
                <w:szCs w:val="4"/>
              </w:rPr>
            </w:r>
          </w:p>
        </w:tc>
        <w:tc>
          <w:tcPr>
            <w:tcW w:w="471" w:type="dxa"/>
            <w:gridSpan w:val="2"/>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4.2</w:t>
            </w:r>
          </w:p>
        </w:tc>
        <w:tc>
          <w:tcPr>
            <w:tcW w:w="312" w:type="dxa"/>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color w:val="243782"/>
                <w:sz w:val="18"/>
              </w:rPr>
            </w:pPr>
            <w:r>
              <w:rPr>
                <w:rFonts w:ascii="Helvetica;sans-serif" w:hAnsi="Helvetica;sans-serif"/>
                <w:b/>
                <w:color w:val="243782"/>
                <w:sz w:val="18"/>
              </w:rPr>
              <w:t>%</w:t>
            </w:r>
          </w:p>
        </w:tc>
        <w:tc>
          <w:tcPr>
            <w:tcW w:w="327" w:type="dxa"/>
            <w:gridSpan w:val="3"/>
            <w:tcBorders>
              <w:top w:val="single" w:sz="2" w:space="0" w:color="8E939F"/>
              <w:bottom w:val="single" w:sz="2" w:space="0" w:color="8E939F"/>
            </w:tcBorders>
            <w:shd w:fill="E6E7F4" w:val="clear"/>
            <w:tcMar>
              <w:left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single" w:sz="2" w:space="0" w:color="8E939F"/>
              <w:bottom w:val="single" w:sz="2" w:space="0" w:color="8E939F"/>
            </w:tcBorders>
            <w:shd w:fill="E6E7F4"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40"/>
        <w:jc w:val="left"/>
        <w:rPr/>
      </w:pPr>
      <w:r>
        <w:rPr>
          <w:rFonts w:ascii="Helvetica Light;sans-serif" w:hAnsi="Helvetica Light;sans-serif"/>
          <w:b w:val="false"/>
          <w:color w:val="000000"/>
          <w:sz w:val="10"/>
        </w:rPr>
        <w:t>(1)</w:t>
      </w:r>
      <w:r>
        <w:rPr>
          <w:color w:val="000000"/>
        </w:rPr>
        <w:t xml:space="preserve"> </w:t>
      </w:r>
      <w:r>
        <w:rPr>
          <w:rFonts w:ascii="Helvetica Light;sans-serif" w:hAnsi="Helvetica Light;sans-serif"/>
          <w:b w:val="false"/>
          <w:color w:val="000000"/>
          <w:sz w:val="16"/>
        </w:rPr>
        <w:t>Additions to capitalized development expenditures of €685 million and €899 million for the three months ended June 30, 2026 and 2025, respectively, and €1,316 million and €1,822 million for the six months ended June 30, 2026 and 2025, respectively, adjusted in each case to remove capitalized borrowing costs of €25 million and €59 million for the three months ended June 30, 2026 and 2025, respectively, and €43 million and €117 million for the six months ended June 30, 2026 and 2025, respectively, in accordance with IAS 23 – Borrowing Costs (Revised)</w:t>
      </w:r>
    </w:p>
    <w:p>
      <w:pPr>
        <w:pStyle w:val="TextBody"/>
        <w:bidi w:val="0"/>
        <w:spacing w:before="0" w:after="24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503555"/>
                <wp:effectExtent l="0" t="0" r="0" b="0"/>
                <wp:wrapNone/>
                <wp:docPr id="20" name="Frame17"/>
                <a:graphic xmlns:a="http://schemas.openxmlformats.org/drawingml/2006/main">
                  <a:graphicData uri="http://schemas.microsoft.com/office/word/2010/wordprocessingShape">
                    <wps:wsp>
                      <wps:cNvSpPr txBox="1"/>
                      <wps:spPr>
                        <a:xfrm>
                          <a:off x="0" y="0"/>
                          <a:ext cx="6480175" cy="5035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13</w:t>
                      </w:r>
                    </w:p>
                    <w:p>
                      <w:pPr>
                        <w:pStyle w:val="TextBody"/>
                        <w:bidi w:val="0"/>
                        <w:spacing w:before="0" w:after="24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Total Research and development expenditures during the three and six months ended June 30, 2026 decreased compared to the corresponding periods in 2025. Research and development expenditures expensed increased by 19.0 percent and 18.3 percent, respectively, while capitalized development expenditures (excluding borrowing costs) decreased by 21.4 percent and 25.3 percent, respectively. The decrease in Capitalized development expenditure, was primarily driven by: (i) lower capitalization resulting from asset impairments, and (ii) timing of new product development activities.</w:t>
      </w:r>
    </w:p>
    <w:p>
      <w:pPr>
        <w:pStyle w:val="TextBody"/>
        <w:bidi w:val="0"/>
        <w:spacing w:lineRule="auto" w:line="288" w:before="0" w:after="120"/>
        <w:jc w:val="left"/>
        <w:rPr>
          <w:rFonts w:ascii="Helvetica;sans-serif" w:hAnsi="Helvetica;sans-serif"/>
          <w:b/>
          <w:color w:val="143A84"/>
          <w:sz w:val="18"/>
        </w:rPr>
      </w:pPr>
      <w:r>
        <w:rPr>
          <w:rFonts w:ascii="Helvetica;sans-serif" w:hAnsi="Helvetica;sans-serif"/>
          <w:b/>
          <w:color w:val="143A84"/>
          <w:sz w:val="18"/>
        </w:rPr>
        <w:t>Restructuring costs</w:t>
      </w:r>
    </w:p>
    <w:tbl>
      <w:tblPr>
        <w:tblW w:w="10205" w:type="dxa"/>
        <w:jc w:val="left"/>
        <w:tblInd w:w="0" w:type="dxa"/>
        <w:tblLayout w:type="fixed"/>
        <w:tblCellMar>
          <w:top w:w="28" w:type="dxa"/>
          <w:left w:w="28" w:type="dxa"/>
          <w:bottom w:w="28" w:type="dxa"/>
          <w:right w:w="28" w:type="dxa"/>
        </w:tblCellMar>
      </w:tblPr>
      <w:tblGrid>
        <w:gridCol w:w="328"/>
        <w:gridCol w:w="238"/>
        <w:gridCol w:w="222"/>
        <w:gridCol w:w="222"/>
        <w:gridCol w:w="222"/>
        <w:gridCol w:w="222"/>
        <w:gridCol w:w="289"/>
        <w:gridCol w:w="247"/>
        <w:gridCol w:w="222"/>
        <w:gridCol w:w="109"/>
        <w:gridCol w:w="109"/>
        <w:gridCol w:w="109"/>
        <w:gridCol w:w="343"/>
        <w:gridCol w:w="343"/>
        <w:gridCol w:w="856"/>
        <w:gridCol w:w="109"/>
        <w:gridCol w:w="109"/>
        <w:gridCol w:w="109"/>
        <w:gridCol w:w="496"/>
        <w:gridCol w:w="496"/>
        <w:gridCol w:w="501"/>
        <w:gridCol w:w="109"/>
        <w:gridCol w:w="109"/>
        <w:gridCol w:w="109"/>
        <w:gridCol w:w="266"/>
        <w:gridCol w:w="241"/>
        <w:gridCol w:w="207"/>
        <w:gridCol w:w="207"/>
        <w:gridCol w:w="207"/>
        <w:gridCol w:w="207"/>
        <w:gridCol w:w="266"/>
        <w:gridCol w:w="241"/>
        <w:gridCol w:w="207"/>
        <w:gridCol w:w="109"/>
        <w:gridCol w:w="109"/>
        <w:gridCol w:w="109"/>
        <w:gridCol w:w="323"/>
        <w:gridCol w:w="323"/>
        <w:gridCol w:w="955"/>
      </w:tblGrid>
      <w:tr>
        <w:trPr/>
        <w:tc>
          <w:tcPr>
            <w:tcW w:w="32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r>
      <w:tr>
        <w:trPr/>
        <w:tc>
          <w:tcPr>
            <w:tcW w:w="221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shd w:fill="E6E7F4"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Increase/(Decrease)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E6E7F4"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Increase/(Decrease)</w:t>
            </w:r>
          </w:p>
        </w:tc>
      </w:tr>
      <w:tr>
        <w:trPr/>
        <w:tc>
          <w:tcPr>
            <w:tcW w:w="788"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2026</w:t>
            </w:r>
          </w:p>
        </w:tc>
        <w:tc>
          <w:tcPr>
            <w:tcW w:w="666"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2025</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2026 vs.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Helvetica;sans-serif" w:hAnsi="Helvetica;sans-serif"/>
                <w:b w:val="false"/>
                <w:i/>
                <w:color w:val="000000"/>
                <w:sz w:val="16"/>
              </w:rPr>
            </w:pPr>
            <w:r>
              <w:rPr>
                <w:rFonts w:ascii="Helvetica;sans-serif" w:hAnsi="Helvetica;sans-serif"/>
                <w:b w:val="false"/>
                <w:i/>
                <w:color w:val="000000"/>
                <w:sz w:val="16"/>
              </w:rPr>
              <w:t>(€ million)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2026</w:t>
            </w:r>
          </w:p>
        </w:tc>
        <w:tc>
          <w:tcPr>
            <w:tcW w:w="621"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2025</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2026 vs. 2025</w:t>
            </w:r>
          </w:p>
        </w:tc>
      </w:tr>
      <w:tr>
        <w:trPr/>
        <w:tc>
          <w:tcPr>
            <w:tcW w:w="566" w:type="dxa"/>
            <w:gridSpan w:val="2"/>
            <w:tcBorders>
              <w:top w:val="single" w:sz="2" w:space="0" w:color="143A84"/>
              <w:bottom w:val="single" w:sz="2" w:space="0" w:color="8E939F"/>
            </w:tcBorders>
            <w:shd w:fill="F3F3F9" w:val="clear"/>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384 </w:t>
            </w:r>
          </w:p>
        </w:tc>
        <w:tc>
          <w:tcPr>
            <w:tcW w:w="222" w:type="dxa"/>
            <w:tcBorders>
              <w:top w:val="single" w:sz="2" w:space="0" w:color="143A84"/>
              <w:bottom w:val="single" w:sz="2" w:space="0" w:color="8E939F"/>
            </w:tcBorders>
            <w:shd w:fill="F3F3F9"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2" w:space="0" w:color="143A84"/>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top w:val="single" w:sz="2" w:space="0" w:color="143A84"/>
              <w:bottom w:val="single" w:sz="2" w:space="0" w:color="8E939F"/>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399 </w:t>
            </w:r>
          </w:p>
        </w:tc>
        <w:tc>
          <w:tcPr>
            <w:tcW w:w="222" w:type="dxa"/>
            <w:tcBorders>
              <w:top w:val="single" w:sz="2" w:space="0" w:color="143A84"/>
              <w:bottom w:val="single" w:sz="2" w:space="0" w:color="8E939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143A84"/>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top w:val="single" w:sz="2" w:space="0" w:color="143A84"/>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(3.8</w:t>
            </w:r>
          </w:p>
        </w:tc>
        <w:tc>
          <w:tcPr>
            <w:tcW w:w="856" w:type="dxa"/>
            <w:tcBorders>
              <w:top w:val="single" w:sz="2" w:space="0" w:color="143A84"/>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327" w:type="dxa"/>
            <w:gridSpan w:val="3"/>
            <w:tcBorders>
              <w:top w:val="single" w:sz="2" w:space="0" w:color="143A84"/>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top w:val="single" w:sz="2" w:space="0" w:color="143A84"/>
              <w:bottom w:val="single" w:sz="2" w:space="0" w:color="8E939F"/>
            </w:tcBorders>
            <w:tcMar>
              <w:top w:w="52"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Restructuring costs</w:t>
            </w:r>
          </w:p>
        </w:tc>
        <w:tc>
          <w:tcPr>
            <w:tcW w:w="327" w:type="dxa"/>
            <w:gridSpan w:val="3"/>
            <w:tcBorders>
              <w:top w:val="single" w:sz="2" w:space="0" w:color="143A84"/>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507" w:type="dxa"/>
            <w:gridSpan w:val="2"/>
            <w:tcBorders>
              <w:top w:val="single" w:sz="2" w:space="0" w:color="143A84"/>
              <w:bottom w:val="single" w:sz="2" w:space="0" w:color="8E939F"/>
            </w:tcBorders>
            <w:shd w:fill="F3F3F9" w:val="clear"/>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482 </w:t>
            </w:r>
          </w:p>
        </w:tc>
        <w:tc>
          <w:tcPr>
            <w:tcW w:w="207" w:type="dxa"/>
            <w:tcBorders>
              <w:top w:val="single" w:sz="2" w:space="0" w:color="143A84"/>
              <w:bottom w:val="single" w:sz="2" w:space="0" w:color="8E939F"/>
            </w:tcBorders>
            <w:shd w:fill="F3F3F9"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op w:val="single" w:sz="2" w:space="0" w:color="143A84"/>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507" w:type="dxa"/>
            <w:gridSpan w:val="2"/>
            <w:tcBorders>
              <w:top w:val="single" w:sz="2" w:space="0" w:color="143A84"/>
              <w:bottom w:val="single" w:sz="2" w:space="0" w:color="8E939F"/>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522 </w:t>
            </w:r>
          </w:p>
        </w:tc>
        <w:tc>
          <w:tcPr>
            <w:tcW w:w="207" w:type="dxa"/>
            <w:tcBorders>
              <w:top w:val="single" w:sz="2" w:space="0" w:color="143A84"/>
              <w:bottom w:val="single" w:sz="2" w:space="0" w:color="8E939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143A84"/>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2" w:space="0" w:color="143A84"/>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(7.7)</w:t>
            </w:r>
          </w:p>
        </w:tc>
        <w:tc>
          <w:tcPr>
            <w:tcW w:w="955" w:type="dxa"/>
            <w:tcBorders>
              <w:top w:val="single" w:sz="2" w:space="0" w:color="143A84"/>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w:t>
            </w:r>
          </w:p>
        </w:tc>
      </w:tr>
    </w:tbl>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Restructuring costs for the three and six months ended June 30, 2026 decreased compared to the corresponding periods in 2025, primarily related to decreased levels of workforce reductions in Enlarged Europe.</w:t>
      </w:r>
    </w:p>
    <w:p>
      <w:pPr>
        <w:pStyle w:val="TextBody"/>
        <w:bidi w:val="0"/>
        <w:spacing w:lineRule="auto" w:line="288" w:before="0" w:after="120"/>
        <w:jc w:val="left"/>
        <w:rPr>
          <w:rFonts w:ascii="Helvetica;sans-serif" w:hAnsi="Helvetica;sans-serif"/>
          <w:b/>
          <w:color w:val="143A84"/>
          <w:sz w:val="18"/>
        </w:rPr>
      </w:pPr>
      <w:r>
        <w:rPr>
          <w:rFonts w:ascii="Helvetica;sans-serif" w:hAnsi="Helvetica;sans-serif"/>
          <w:b/>
          <w:color w:val="143A84"/>
          <w:sz w:val="18"/>
        </w:rPr>
        <w:t>Share of the profit/(loss) of equity method investees</w:t>
      </w:r>
    </w:p>
    <w:tbl>
      <w:tblPr>
        <w:tblW w:w="10205" w:type="dxa"/>
        <w:jc w:val="left"/>
        <w:tblInd w:w="0" w:type="dxa"/>
        <w:tblLayout w:type="fixed"/>
        <w:tblCellMar>
          <w:top w:w="28" w:type="dxa"/>
          <w:left w:w="28" w:type="dxa"/>
          <w:bottom w:w="28" w:type="dxa"/>
          <w:right w:w="28" w:type="dxa"/>
        </w:tblCellMar>
      </w:tblPr>
      <w:tblGrid>
        <w:gridCol w:w="325"/>
        <w:gridCol w:w="184"/>
        <w:gridCol w:w="184"/>
        <w:gridCol w:w="184"/>
        <w:gridCol w:w="184"/>
        <w:gridCol w:w="184"/>
        <w:gridCol w:w="289"/>
        <w:gridCol w:w="232"/>
        <w:gridCol w:w="184"/>
        <w:gridCol w:w="109"/>
        <w:gridCol w:w="109"/>
        <w:gridCol w:w="109"/>
        <w:gridCol w:w="453"/>
        <w:gridCol w:w="453"/>
        <w:gridCol w:w="455"/>
        <w:gridCol w:w="109"/>
        <w:gridCol w:w="109"/>
        <w:gridCol w:w="109"/>
        <w:gridCol w:w="762"/>
        <w:gridCol w:w="762"/>
        <w:gridCol w:w="773"/>
        <w:gridCol w:w="109"/>
        <w:gridCol w:w="109"/>
        <w:gridCol w:w="109"/>
        <w:gridCol w:w="266"/>
        <w:gridCol w:w="227"/>
        <w:gridCol w:w="174"/>
        <w:gridCol w:w="174"/>
        <w:gridCol w:w="174"/>
        <w:gridCol w:w="174"/>
        <w:gridCol w:w="267"/>
        <w:gridCol w:w="238"/>
        <w:gridCol w:w="174"/>
        <w:gridCol w:w="109"/>
        <w:gridCol w:w="109"/>
        <w:gridCol w:w="109"/>
        <w:gridCol w:w="411"/>
        <w:gridCol w:w="411"/>
        <w:gridCol w:w="599"/>
      </w:tblGrid>
      <w:tr>
        <w:trPr/>
        <w:tc>
          <w:tcPr>
            <w:tcW w:w="325"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195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shd w:fill="E6E7F4"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Increase/(Decrease)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shd w:fill="E6E7F4"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Increase/(Decrease)</w:t>
            </w:r>
          </w:p>
        </w:tc>
      </w:tr>
      <w:tr>
        <w:trPr/>
        <w:tc>
          <w:tcPr>
            <w:tcW w:w="693"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2026</w:t>
            </w:r>
          </w:p>
        </w:tc>
        <w:tc>
          <w:tcPr>
            <w:tcW w:w="552"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2025</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2026 vs.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7"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Helvetica;sans-serif" w:hAnsi="Helvetica;sans-serif"/>
                <w:b w:val="false"/>
                <w:i/>
                <w:color w:val="000000"/>
                <w:sz w:val="16"/>
              </w:rPr>
            </w:pPr>
            <w:r>
              <w:rPr>
                <w:rFonts w:ascii="Helvetica;sans-serif" w:hAnsi="Helvetica;sans-serif"/>
                <w:b w:val="false"/>
                <w:i/>
                <w:color w:val="000000"/>
                <w:sz w:val="16"/>
              </w:rPr>
              <w:t>(€ million)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2026</w:t>
            </w:r>
          </w:p>
        </w:tc>
        <w:tc>
          <w:tcPr>
            <w:tcW w:w="522"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2025</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2026 vs. 2025</w:t>
            </w:r>
          </w:p>
        </w:tc>
      </w:tr>
      <w:tr>
        <w:trPr/>
        <w:tc>
          <w:tcPr>
            <w:tcW w:w="509" w:type="dxa"/>
            <w:gridSpan w:val="2"/>
            <w:tcBorders>
              <w:top w:val="single" w:sz="2" w:space="0" w:color="143A84"/>
              <w:bottom w:val="single" w:sz="2" w:space="0" w:color="8E939F"/>
            </w:tcBorders>
            <w:shd w:fill="F3F3F9" w:val="clear"/>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32 </w:t>
            </w:r>
          </w:p>
        </w:tc>
        <w:tc>
          <w:tcPr>
            <w:tcW w:w="184" w:type="dxa"/>
            <w:tcBorders>
              <w:top w:val="single" w:sz="2" w:space="0" w:color="143A84"/>
              <w:bottom w:val="single" w:sz="2" w:space="0" w:color="8E939F"/>
            </w:tcBorders>
            <w:shd w:fill="F3F3F9"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op w:val="single" w:sz="2" w:space="0" w:color="143A84"/>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top w:val="single" w:sz="2" w:space="0" w:color="143A84"/>
              <w:bottom w:val="single" w:sz="2" w:space="0" w:color="8E939F"/>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(396)</w:t>
            </w:r>
          </w:p>
        </w:tc>
        <w:tc>
          <w:tcPr>
            <w:tcW w:w="184" w:type="dxa"/>
            <w:tcBorders>
              <w:top w:val="single" w:sz="2" w:space="0" w:color="143A84"/>
              <w:bottom w:val="single" w:sz="2" w:space="0" w:color="8E939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143A84"/>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single" w:sz="2" w:space="0" w:color="143A84"/>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n.m.</w:t>
            </w:r>
          </w:p>
        </w:tc>
        <w:tc>
          <w:tcPr>
            <w:tcW w:w="327" w:type="dxa"/>
            <w:gridSpan w:val="3"/>
            <w:tcBorders>
              <w:top w:val="single" w:sz="2" w:space="0" w:color="143A84"/>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2297" w:type="dxa"/>
            <w:gridSpan w:val="3"/>
            <w:tcBorders>
              <w:top w:val="single" w:sz="2" w:space="0" w:color="143A84"/>
              <w:bottom w:val="single" w:sz="2" w:space="0" w:color="8E939F"/>
            </w:tcBorders>
            <w:tcMar>
              <w:top w:w="52" w:type="dxa"/>
              <w:left w:w="0" w:type="dxa"/>
              <w:bottom w:w="30" w:type="dxa"/>
              <w:right w:w="0" w:type="dxa"/>
            </w:tcMar>
            <w:vAlign w:val="center"/>
          </w:tcPr>
          <w:p>
            <w:pPr>
              <w:pStyle w:val="TableContents"/>
              <w:bidi w:val="0"/>
              <w:spacing w:lineRule="auto" w:line="288" w:before="100" w:after="100"/>
              <w:jc w:val="left"/>
              <w:rPr>
                <w:rFonts w:ascii="Helvetica;sans-serif" w:hAnsi="Helvetica;sans-serif"/>
                <w:b w:val="false"/>
                <w:color w:val="000000"/>
                <w:sz w:val="18"/>
              </w:rPr>
            </w:pPr>
            <w:r>
              <w:rPr>
                <w:rFonts w:ascii="Helvetica;sans-serif" w:hAnsi="Helvetica;sans-serif"/>
                <w:b w:val="false"/>
                <w:color w:val="000000"/>
                <w:sz w:val="18"/>
              </w:rPr>
              <w:t>Share of the profit/(loss) of equity method investees</w:t>
            </w:r>
          </w:p>
        </w:tc>
        <w:tc>
          <w:tcPr>
            <w:tcW w:w="327" w:type="dxa"/>
            <w:gridSpan w:val="3"/>
            <w:tcBorders>
              <w:top w:val="single" w:sz="2" w:space="0" w:color="143A84"/>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top w:val="single" w:sz="2" w:space="0" w:color="143A84"/>
              <w:bottom w:val="single" w:sz="2" w:space="0" w:color="8E939F"/>
            </w:tcBorders>
            <w:shd w:fill="F3F3F9" w:val="clear"/>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143 </w:t>
            </w:r>
          </w:p>
        </w:tc>
        <w:tc>
          <w:tcPr>
            <w:tcW w:w="174" w:type="dxa"/>
            <w:tcBorders>
              <w:top w:val="single" w:sz="2" w:space="0" w:color="143A84"/>
              <w:bottom w:val="single" w:sz="2" w:space="0" w:color="8E939F"/>
            </w:tcBorders>
            <w:shd w:fill="F3F3F9"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op w:val="single" w:sz="2" w:space="0" w:color="143A84"/>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505" w:type="dxa"/>
            <w:gridSpan w:val="2"/>
            <w:tcBorders>
              <w:top w:val="single" w:sz="2" w:space="0" w:color="143A84"/>
              <w:bottom w:val="single" w:sz="2" w:space="0" w:color="8E939F"/>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(433)</w:t>
            </w:r>
          </w:p>
        </w:tc>
        <w:tc>
          <w:tcPr>
            <w:tcW w:w="174" w:type="dxa"/>
            <w:tcBorders>
              <w:top w:val="single" w:sz="2" w:space="0" w:color="143A84"/>
              <w:bottom w:val="single" w:sz="2" w:space="0" w:color="8E939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143A84"/>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op w:val="single" w:sz="2" w:space="0" w:color="143A84"/>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n.m.</w:t>
            </w:r>
          </w:p>
        </w:tc>
      </w:tr>
    </w:tbl>
    <w:p>
      <w:pPr>
        <w:pStyle w:val="TextBody"/>
        <w:bidi w:val="0"/>
        <w:spacing w:lineRule="auto" w:line="288" w:before="0" w:after="240"/>
        <w:jc w:val="left"/>
        <w:rPr>
          <w:rFonts w:ascii="Helvetica Light;sans-serif" w:hAnsi="Helvetica Light;sans-serif"/>
          <w:b w:val="false"/>
          <w:color w:val="000000"/>
          <w:sz w:val="16"/>
        </w:rPr>
      </w:pPr>
      <w:r>
        <w:rPr>
          <w:rFonts w:ascii="Helvetica Light;sans-serif" w:hAnsi="Helvetica Light;sans-serif"/>
          <w:b w:val="false"/>
          <w:color w:val="000000"/>
          <w:sz w:val="16"/>
        </w:rPr>
        <w:t>n.m. = not meaningful</w:t>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The Company recorded a share of profit of equity method investees for the three and six months ended June 30, 2026 compared to a share of loss of equity method investees in the corresponding periods of 2025. The share of profit in 2026 was primarily attributable to its investment in StarPlus Energy LLC. The share of loss in 2025 was mainly due to €404 million of write-offs recorded in three months ended June 30, 2025, as a result of the Company’s decision to discontinue its hydrogen fuel cell technology program.</w:t>
      </w:r>
    </w:p>
    <w:p>
      <w:pPr>
        <w:pStyle w:val="TextBody"/>
        <w:bidi w:val="0"/>
        <w:spacing w:lineRule="auto" w:line="288" w:before="0" w:after="120"/>
        <w:jc w:val="left"/>
        <w:rPr>
          <w:rFonts w:ascii="Helvetica;sans-serif" w:hAnsi="Helvetica;sans-serif"/>
          <w:b/>
          <w:color w:val="143A84"/>
          <w:sz w:val="18"/>
        </w:rPr>
      </w:pPr>
      <w:r>
        <w:rPr>
          <w:rFonts w:ascii="Helvetica;sans-serif" w:hAnsi="Helvetica;sans-serif"/>
          <w:b/>
          <w:color w:val="143A84"/>
          <w:sz w:val="18"/>
        </w:rPr>
        <w:t>Net financial expenses/(income)</w:t>
      </w:r>
    </w:p>
    <w:tbl>
      <w:tblPr>
        <w:tblW w:w="10205" w:type="dxa"/>
        <w:jc w:val="left"/>
        <w:tblInd w:w="0" w:type="dxa"/>
        <w:tblLayout w:type="fixed"/>
        <w:tblCellMar>
          <w:top w:w="28" w:type="dxa"/>
          <w:left w:w="28" w:type="dxa"/>
          <w:bottom w:w="28" w:type="dxa"/>
          <w:right w:w="28" w:type="dxa"/>
        </w:tblCellMar>
      </w:tblPr>
      <w:tblGrid>
        <w:gridCol w:w="328"/>
        <w:gridCol w:w="223"/>
        <w:gridCol w:w="201"/>
        <w:gridCol w:w="201"/>
        <w:gridCol w:w="201"/>
        <w:gridCol w:w="201"/>
        <w:gridCol w:w="289"/>
        <w:gridCol w:w="211"/>
        <w:gridCol w:w="201"/>
        <w:gridCol w:w="109"/>
        <w:gridCol w:w="109"/>
        <w:gridCol w:w="109"/>
        <w:gridCol w:w="381"/>
        <w:gridCol w:w="322"/>
        <w:gridCol w:w="802"/>
        <w:gridCol w:w="109"/>
        <w:gridCol w:w="109"/>
        <w:gridCol w:w="109"/>
        <w:gridCol w:w="619"/>
        <w:gridCol w:w="619"/>
        <w:gridCol w:w="627"/>
        <w:gridCol w:w="109"/>
        <w:gridCol w:w="109"/>
        <w:gridCol w:w="109"/>
        <w:gridCol w:w="266"/>
        <w:gridCol w:w="210"/>
        <w:gridCol w:w="190"/>
        <w:gridCol w:w="190"/>
        <w:gridCol w:w="190"/>
        <w:gridCol w:w="190"/>
        <w:gridCol w:w="266"/>
        <w:gridCol w:w="210"/>
        <w:gridCol w:w="190"/>
        <w:gridCol w:w="109"/>
        <w:gridCol w:w="109"/>
        <w:gridCol w:w="109"/>
        <w:gridCol w:w="372"/>
        <w:gridCol w:w="303"/>
        <w:gridCol w:w="894"/>
      </w:tblGrid>
      <w:tr>
        <w:trPr/>
        <w:tc>
          <w:tcPr>
            <w:tcW w:w="32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r>
      <w:tr>
        <w:trPr/>
        <w:tc>
          <w:tcPr>
            <w:tcW w:w="2056" w:type="dxa"/>
            <w:gridSpan w:val="9"/>
            <w:tcBorders>
              <w:bottom w:val="single" w:sz="2" w:space="0" w:color="8E939F"/>
            </w:tcBorders>
            <w:tcMar>
              <w:top w:w="0" w:type="dxa"/>
              <w:left w:w="0" w:type="dxa"/>
              <w:bottom w:w="3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Three months ended June 30,</w:t>
            </w:r>
          </w:p>
        </w:tc>
        <w:tc>
          <w:tcPr>
            <w:tcW w:w="327" w:type="dxa"/>
            <w:gridSpan w:val="3"/>
            <w:tcBorders>
              <w:bottom w:val="single" w:sz="2" w:space="0" w:color="8E939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bottom w:val="single" w:sz="2" w:space="0" w:color="8E939F"/>
            </w:tcBorders>
            <w:shd w:fill="E6E7F4" w:val="clear"/>
            <w:tcMar>
              <w:top w:w="0" w:type="dxa"/>
              <w:left w:w="0" w:type="dxa"/>
              <w:bottom w:w="3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Increase/(Decrease)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2" w:type="dxa"/>
            <w:gridSpan w:val="9"/>
            <w:tcBorders>
              <w:bottom w:val="single" w:sz="2" w:space="0" w:color="8E939F"/>
            </w:tcBorders>
            <w:tcMar>
              <w:top w:w="0" w:type="dxa"/>
              <w:left w:w="0" w:type="dxa"/>
              <w:bottom w:w="3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Six Months Ended June 30,</w:t>
            </w:r>
          </w:p>
        </w:tc>
        <w:tc>
          <w:tcPr>
            <w:tcW w:w="327" w:type="dxa"/>
            <w:gridSpan w:val="3"/>
            <w:tcBorders>
              <w:bottom w:val="single" w:sz="2" w:space="0" w:color="8E939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bottom w:val="single" w:sz="2" w:space="0" w:color="8E939F"/>
            </w:tcBorders>
            <w:shd w:fill="E6E7F4" w:val="clear"/>
            <w:tcMar>
              <w:top w:w="0" w:type="dxa"/>
              <w:left w:w="0" w:type="dxa"/>
              <w:bottom w:w="3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Increase/(Decrease)</w:t>
            </w:r>
          </w:p>
        </w:tc>
      </w:tr>
      <w:tr>
        <w:trPr/>
        <w:tc>
          <w:tcPr>
            <w:tcW w:w="752"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2026</w:t>
            </w:r>
          </w:p>
        </w:tc>
        <w:tc>
          <w:tcPr>
            <w:tcW w:w="603"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2025</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2026 vs.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Helvetica;sans-serif" w:hAnsi="Helvetica;sans-serif"/>
                <w:b w:val="false"/>
                <w:i/>
                <w:color w:val="000000"/>
                <w:sz w:val="16"/>
              </w:rPr>
            </w:pPr>
            <w:r>
              <w:rPr>
                <w:rFonts w:ascii="Helvetica;sans-serif" w:hAnsi="Helvetica;sans-serif"/>
                <w:b w:val="false"/>
                <w:i/>
                <w:color w:val="000000"/>
                <w:sz w:val="16"/>
              </w:rPr>
              <w:t>(€ million)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2026</w:t>
            </w:r>
          </w:p>
        </w:tc>
        <w:tc>
          <w:tcPr>
            <w:tcW w:w="570"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2025</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2026 vs. 2025</w:t>
            </w:r>
          </w:p>
        </w:tc>
      </w:tr>
      <w:tr>
        <w:trPr/>
        <w:tc>
          <w:tcPr>
            <w:tcW w:w="551" w:type="dxa"/>
            <w:gridSpan w:val="2"/>
            <w:tcBorders>
              <w:top w:val="single" w:sz="2" w:space="0" w:color="143A84"/>
              <w:bottom w:val="single" w:sz="2" w:space="0" w:color="8E939F"/>
            </w:tcBorders>
            <w:shd w:fill="F3F3F9" w:val="clear"/>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202 </w:t>
            </w:r>
          </w:p>
        </w:tc>
        <w:tc>
          <w:tcPr>
            <w:tcW w:w="201" w:type="dxa"/>
            <w:tcBorders>
              <w:top w:val="single" w:sz="2" w:space="0" w:color="143A84"/>
              <w:bottom w:val="single" w:sz="2" w:space="0" w:color="8E939F"/>
            </w:tcBorders>
            <w:shd w:fill="F3F3F9"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op w:val="single" w:sz="2" w:space="0" w:color="143A84"/>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2" w:space="0" w:color="143A84"/>
              <w:bottom w:val="single" w:sz="2" w:space="0" w:color="8E939F"/>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63 </w:t>
            </w:r>
          </w:p>
        </w:tc>
        <w:tc>
          <w:tcPr>
            <w:tcW w:w="201" w:type="dxa"/>
            <w:tcBorders>
              <w:top w:val="single" w:sz="2" w:space="0" w:color="143A84"/>
              <w:bottom w:val="single" w:sz="2" w:space="0" w:color="8E939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143A84"/>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top w:val="single" w:sz="2" w:space="0" w:color="143A84"/>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220.6</w:t>
            </w:r>
          </w:p>
        </w:tc>
        <w:tc>
          <w:tcPr>
            <w:tcW w:w="802" w:type="dxa"/>
            <w:tcBorders>
              <w:top w:val="single" w:sz="2" w:space="0" w:color="143A84"/>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327" w:type="dxa"/>
            <w:gridSpan w:val="3"/>
            <w:tcBorders>
              <w:top w:val="single" w:sz="2" w:space="0" w:color="143A84"/>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3"/>
            <w:tcBorders>
              <w:top w:val="single" w:sz="2" w:space="0" w:color="143A84"/>
              <w:bottom w:val="single" w:sz="2" w:space="0" w:color="8E939F"/>
            </w:tcBorders>
            <w:tcMar>
              <w:top w:w="52"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Net financial expenses/(income)</w:t>
            </w:r>
          </w:p>
        </w:tc>
        <w:tc>
          <w:tcPr>
            <w:tcW w:w="327" w:type="dxa"/>
            <w:gridSpan w:val="3"/>
            <w:tcBorders>
              <w:top w:val="single" w:sz="2" w:space="0" w:color="143A84"/>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2" w:space="0" w:color="143A84"/>
              <w:bottom w:val="single" w:sz="2" w:space="0" w:color="8E939F"/>
            </w:tcBorders>
            <w:shd w:fill="F3F3F9" w:val="clear"/>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352</w:t>
            </w:r>
          </w:p>
        </w:tc>
        <w:tc>
          <w:tcPr>
            <w:tcW w:w="570" w:type="dxa"/>
            <w:gridSpan w:val="3"/>
            <w:tcBorders>
              <w:top w:val="single" w:sz="2" w:space="0" w:color="143A84"/>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2" w:space="0" w:color="143A84"/>
              <w:bottom w:val="single" w:sz="2" w:space="0" w:color="8E939F"/>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160</w:t>
            </w:r>
          </w:p>
        </w:tc>
        <w:tc>
          <w:tcPr>
            <w:tcW w:w="327" w:type="dxa"/>
            <w:gridSpan w:val="3"/>
            <w:tcBorders>
              <w:top w:val="single" w:sz="2" w:space="0" w:color="143A84"/>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op w:val="single" w:sz="2" w:space="0" w:color="143A84"/>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120.0</w:t>
            </w:r>
          </w:p>
        </w:tc>
        <w:tc>
          <w:tcPr>
            <w:tcW w:w="894" w:type="dxa"/>
            <w:tcBorders>
              <w:top w:val="single" w:sz="2" w:space="0" w:color="143A84"/>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w:t>
            </w:r>
          </w:p>
        </w:tc>
      </w:tr>
    </w:tbl>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Net financial expenses increased for the three and six months ended June 30, 2026 compared to the corresponding periods of 2025. The increase was primarily driven by lower interest income from liquidity investments, reflecting both reduced liquidity levels and a decline in short-term market rates, higher interest expense on warranty provisions and lower capitalized interest, partially offset by expenses recognized during 2025 upon termination of commodity derivative contracts of €138 million, which did not recur in 2026.</w:t>
      </w:r>
    </w:p>
    <w:p>
      <w:pPr>
        <w:pStyle w:val="TextBody"/>
        <w:bidi w:val="0"/>
        <w:spacing w:before="0" w:after="24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503555"/>
                <wp:effectExtent l="0" t="0" r="0" b="0"/>
                <wp:wrapNone/>
                <wp:docPr id="21" name="Frame18"/>
                <a:graphic xmlns:a="http://schemas.openxmlformats.org/drawingml/2006/main">
                  <a:graphicData uri="http://schemas.microsoft.com/office/word/2010/wordprocessingShape">
                    <wps:wsp>
                      <wps:cNvSpPr txBox="1"/>
                      <wps:spPr>
                        <a:xfrm>
                          <a:off x="0" y="0"/>
                          <a:ext cx="6480175" cy="5035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14</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14</w:t>
                      </w:r>
                    </w:p>
                    <w:p>
                      <w:pPr>
                        <w:pStyle w:val="TextBody"/>
                        <w:bidi w:val="0"/>
                        <w:spacing w:before="0" w:after="24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88" w:before="0" w:after="120"/>
        <w:jc w:val="left"/>
        <w:rPr>
          <w:rFonts w:ascii="Helvetica;sans-serif" w:hAnsi="Helvetica;sans-serif"/>
          <w:b/>
          <w:color w:val="143A84"/>
          <w:sz w:val="18"/>
        </w:rPr>
      </w:pPr>
      <w:r>
        <w:rPr>
          <w:rFonts w:ascii="Helvetica;sans-serif" w:hAnsi="Helvetica;sans-serif"/>
          <w:b/>
          <w:color w:val="143A84"/>
          <w:sz w:val="18"/>
        </w:rPr>
        <w:t>Tax expense/(benefit)</w:t>
      </w:r>
    </w:p>
    <w:tbl>
      <w:tblPr>
        <w:tblW w:w="10205" w:type="dxa"/>
        <w:jc w:val="left"/>
        <w:tblInd w:w="0" w:type="dxa"/>
        <w:tblLayout w:type="fixed"/>
        <w:tblCellMar>
          <w:top w:w="28" w:type="dxa"/>
          <w:left w:w="28" w:type="dxa"/>
          <w:bottom w:w="28" w:type="dxa"/>
          <w:right w:w="28" w:type="dxa"/>
        </w:tblCellMar>
      </w:tblPr>
      <w:tblGrid>
        <w:gridCol w:w="286"/>
        <w:gridCol w:w="207"/>
        <w:gridCol w:w="416"/>
        <w:gridCol w:w="167"/>
        <w:gridCol w:w="167"/>
        <w:gridCol w:w="167"/>
        <w:gridCol w:w="266"/>
        <w:gridCol w:w="209"/>
        <w:gridCol w:w="416"/>
        <w:gridCol w:w="109"/>
        <w:gridCol w:w="109"/>
        <w:gridCol w:w="109"/>
        <w:gridCol w:w="334"/>
        <w:gridCol w:w="325"/>
        <w:gridCol w:w="812"/>
        <w:gridCol w:w="109"/>
        <w:gridCol w:w="109"/>
        <w:gridCol w:w="109"/>
        <w:gridCol w:w="465"/>
        <w:gridCol w:w="465"/>
        <w:gridCol w:w="472"/>
        <w:gridCol w:w="109"/>
        <w:gridCol w:w="109"/>
        <w:gridCol w:w="109"/>
        <w:gridCol w:w="266"/>
        <w:gridCol w:w="200"/>
        <w:gridCol w:w="392"/>
        <w:gridCol w:w="157"/>
        <w:gridCol w:w="157"/>
        <w:gridCol w:w="157"/>
        <w:gridCol w:w="266"/>
        <w:gridCol w:w="200"/>
        <w:gridCol w:w="392"/>
        <w:gridCol w:w="109"/>
        <w:gridCol w:w="109"/>
        <w:gridCol w:w="109"/>
        <w:gridCol w:w="324"/>
        <w:gridCol w:w="307"/>
        <w:gridCol w:w="905"/>
      </w:tblGrid>
      <w:tr>
        <w:trPr/>
        <w:tc>
          <w:tcPr>
            <w:tcW w:w="28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r>
      <w:tr>
        <w:trPr/>
        <w:tc>
          <w:tcPr>
            <w:tcW w:w="2301" w:type="dxa"/>
            <w:gridSpan w:val="9"/>
            <w:tcBorders>
              <w:bottom w:val="single" w:sz="2" w:space="0" w:color="8E939F"/>
            </w:tcBorders>
            <w:tcMar>
              <w:top w:w="0" w:type="dxa"/>
              <w:left w:w="0" w:type="dxa"/>
              <w:bottom w:w="3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Three months ended June 30,</w:t>
            </w:r>
          </w:p>
        </w:tc>
        <w:tc>
          <w:tcPr>
            <w:tcW w:w="327" w:type="dxa"/>
            <w:gridSpan w:val="3"/>
            <w:tcBorders>
              <w:bottom w:val="single" w:sz="2" w:space="0" w:color="8E939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bottom w:val="single" w:sz="2" w:space="0" w:color="8E939F"/>
            </w:tcBorders>
            <w:shd w:fill="E6E7F4" w:val="clear"/>
            <w:tcMar>
              <w:top w:w="0" w:type="dxa"/>
              <w:left w:w="0" w:type="dxa"/>
              <w:bottom w:w="3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Increase/(Decrease)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7" w:type="dxa"/>
            <w:gridSpan w:val="9"/>
            <w:tcBorders>
              <w:bottom w:val="single" w:sz="2" w:space="0" w:color="8E939F"/>
            </w:tcBorders>
            <w:tcMar>
              <w:top w:w="0" w:type="dxa"/>
              <w:left w:w="0" w:type="dxa"/>
              <w:bottom w:w="3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Six Months Ended June 30,</w:t>
            </w:r>
          </w:p>
        </w:tc>
        <w:tc>
          <w:tcPr>
            <w:tcW w:w="327" w:type="dxa"/>
            <w:gridSpan w:val="3"/>
            <w:tcBorders>
              <w:bottom w:val="single" w:sz="2" w:space="0" w:color="8E939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bottom w:val="single" w:sz="2" w:space="0" w:color="8E939F"/>
            </w:tcBorders>
            <w:shd w:fill="E6E7F4" w:val="clear"/>
            <w:tcMar>
              <w:top w:w="0" w:type="dxa"/>
              <w:left w:w="0" w:type="dxa"/>
              <w:bottom w:w="3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Increase/(Decrease)</w:t>
            </w:r>
          </w:p>
        </w:tc>
      </w:tr>
      <w:tr>
        <w:trPr/>
        <w:tc>
          <w:tcPr>
            <w:tcW w:w="909"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2026</w:t>
            </w:r>
          </w:p>
        </w:tc>
        <w:tc>
          <w:tcPr>
            <w:tcW w:w="501"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2025</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2026 vs.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Helvetica;sans-serif" w:hAnsi="Helvetica;sans-serif"/>
                <w:b w:val="false"/>
                <w:i/>
                <w:color w:val="000000"/>
                <w:sz w:val="16"/>
              </w:rPr>
            </w:pPr>
            <w:r>
              <w:rPr>
                <w:rFonts w:ascii="Helvetica;sans-serif" w:hAnsi="Helvetica;sans-serif"/>
                <w:b w:val="false"/>
                <w:i/>
                <w:color w:val="000000"/>
                <w:sz w:val="16"/>
              </w:rPr>
              <w:t>(€ million)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2026</w:t>
            </w:r>
          </w:p>
        </w:tc>
        <w:tc>
          <w:tcPr>
            <w:tcW w:w="471"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2025</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2026 vs. 2025</w:t>
            </w:r>
          </w:p>
        </w:tc>
      </w:tr>
      <w:tr>
        <w:trPr/>
        <w:tc>
          <w:tcPr>
            <w:tcW w:w="909" w:type="dxa"/>
            <w:gridSpan w:val="3"/>
            <w:tcBorders>
              <w:top w:val="single" w:sz="2" w:space="0" w:color="143A84"/>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207</w:t>
            </w:r>
          </w:p>
        </w:tc>
        <w:tc>
          <w:tcPr>
            <w:tcW w:w="501"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2" w:space="0" w:color="143A84"/>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(588)</w:t>
            </w:r>
          </w:p>
        </w:tc>
        <w:tc>
          <w:tcPr>
            <w:tcW w:w="327"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2" w:space="0" w:color="143A84"/>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n.m.</w:t>
            </w:r>
          </w:p>
        </w:tc>
        <w:tc>
          <w:tcPr>
            <w:tcW w:w="327"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single" w:sz="2" w:space="0" w:color="143A84"/>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Tax expense/(benefit)</w:t>
            </w:r>
          </w:p>
        </w:tc>
        <w:tc>
          <w:tcPr>
            <w:tcW w:w="327"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2" w:space="0" w:color="143A84"/>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368</w:t>
            </w:r>
          </w:p>
        </w:tc>
        <w:tc>
          <w:tcPr>
            <w:tcW w:w="471"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2" w:space="0" w:color="143A84"/>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(614)</w:t>
            </w:r>
          </w:p>
        </w:tc>
        <w:tc>
          <w:tcPr>
            <w:tcW w:w="327"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op w:val="single" w:sz="2" w:space="0" w:color="143A84"/>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n.m.</w:t>
            </w:r>
          </w:p>
        </w:tc>
      </w:tr>
      <w:tr>
        <w:trPr/>
        <w:tc>
          <w:tcPr>
            <w:tcW w:w="493" w:type="dxa"/>
            <w:gridSpan w:val="2"/>
            <w:tcBorders>
              <w:top w:val="single" w:sz="2" w:space="0" w:color="8E939F"/>
              <w:bottom w:val="single" w:sz="2" w:space="0" w:color="143A84"/>
            </w:tcBorders>
            <w:shd w:fill="F3F3F9" w:val="clear"/>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41.4</w:t>
            </w:r>
          </w:p>
        </w:tc>
        <w:tc>
          <w:tcPr>
            <w:tcW w:w="416" w:type="dxa"/>
            <w:tcBorders>
              <w:top w:val="single" w:sz="2" w:space="0" w:color="8E939F"/>
              <w:bottom w:val="single" w:sz="2" w:space="0" w:color="143A84"/>
            </w:tcBorders>
            <w:shd w:fill="F3F3F9" w:val="clear"/>
            <w:tcMar>
              <w:top w:w="52"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501" w:type="dxa"/>
            <w:gridSpan w:val="3"/>
            <w:tcBorders>
              <w:top w:val="single" w:sz="2" w:space="0" w:color="8E939F"/>
              <w:bottom w:val="single" w:sz="2" w:space="0" w:color="143A84"/>
            </w:tcBorders>
            <w:tcMar>
              <w:left w:w="0" w:type="dxa"/>
              <w:right w:w="0" w:type="dxa"/>
            </w:tcMar>
            <w:vAlign w:val="center"/>
          </w:tcPr>
          <w:p>
            <w:pPr>
              <w:pStyle w:val="TableContents"/>
              <w:bidi w:val="0"/>
              <w:spacing w:before="0" w:after="283"/>
              <w:jc w:val="left"/>
              <w:rPr>
                <w:sz w:val="4"/>
                <w:szCs w:val="4"/>
              </w:rPr>
            </w:pPr>
            <w:r>
              <w:rPr>
                <w:sz w:val="4"/>
                <w:szCs w:val="4"/>
              </w:rPr>
            </w:r>
          </w:p>
        </w:tc>
        <w:tc>
          <w:tcPr>
            <w:tcW w:w="475" w:type="dxa"/>
            <w:gridSpan w:val="2"/>
            <w:tcBorders>
              <w:top w:val="single" w:sz="2" w:space="0" w:color="8E939F"/>
              <w:bottom w:val="single" w:sz="2" w:space="0" w:color="143A84"/>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23.9</w:t>
            </w:r>
          </w:p>
        </w:tc>
        <w:tc>
          <w:tcPr>
            <w:tcW w:w="416" w:type="dxa"/>
            <w:tcBorders>
              <w:top w:val="single" w:sz="2" w:space="0" w:color="8E939F"/>
              <w:bottom w:val="single" w:sz="2" w:space="0" w:color="143A84"/>
            </w:tcBorders>
            <w:tcMar>
              <w:top w:w="52"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327" w:type="dxa"/>
            <w:gridSpan w:val="3"/>
            <w:tcBorders>
              <w:top w:val="single" w:sz="2" w:space="0" w:color="8E939F"/>
              <w:bottom w:val="single" w:sz="2" w:space="0" w:color="143A84"/>
            </w:tcBorders>
            <w:tcMar>
              <w:left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top w:val="single" w:sz="2" w:space="0" w:color="8E939F"/>
              <w:bottom w:val="single" w:sz="2" w:space="0" w:color="143A84"/>
            </w:tcBorders>
            <w:shd w:fill="E6E7F4" w:val="clear"/>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17.5</w:t>
            </w:r>
          </w:p>
        </w:tc>
        <w:tc>
          <w:tcPr>
            <w:tcW w:w="812" w:type="dxa"/>
            <w:tcBorders>
              <w:top w:val="single" w:sz="2" w:space="0" w:color="8E939F"/>
              <w:bottom w:val="single" w:sz="2" w:space="0" w:color="143A84"/>
            </w:tcBorders>
            <w:shd w:fill="E6E7F4" w:val="clear"/>
            <w:tcMar>
              <w:top w:w="52"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327" w:type="dxa"/>
            <w:gridSpan w:val="3"/>
            <w:tcBorders>
              <w:top w:val="single" w:sz="2" w:space="0" w:color="8E939F"/>
              <w:bottom w:val="single" w:sz="2" w:space="0" w:color="143A84"/>
            </w:tcBorders>
            <w:tcMar>
              <w:left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single" w:sz="2" w:space="0" w:color="8E939F"/>
              <w:bottom w:val="single" w:sz="2" w:space="0" w:color="143A84"/>
            </w:tcBorders>
            <w:tcMar>
              <w:top w:w="52" w:type="dxa"/>
              <w:left w:w="0" w:type="dxa"/>
              <w:bottom w:w="30" w:type="dxa"/>
              <w:right w:w="0" w:type="dxa"/>
            </w:tcMar>
            <w:vAlign w:val="center"/>
          </w:tcPr>
          <w:p>
            <w:pPr>
              <w:pStyle w:val="TableContents"/>
              <w:bidi w:val="0"/>
              <w:spacing w:lineRule="auto" w:line="288" w:before="100" w:after="100"/>
              <w:jc w:val="left"/>
              <w:rPr>
                <w:rFonts w:ascii="Helvetica;sans-serif" w:hAnsi="Helvetica;sans-serif"/>
                <w:b w:val="false"/>
                <w:color w:val="000000"/>
                <w:sz w:val="17"/>
              </w:rPr>
            </w:pPr>
            <w:r>
              <w:rPr>
                <w:rFonts w:ascii="Helvetica;sans-serif" w:hAnsi="Helvetica;sans-serif"/>
                <w:b w:val="false"/>
                <w:color w:val="000000"/>
                <w:sz w:val="17"/>
              </w:rPr>
              <w:t>Effective tax rate</w:t>
            </w:r>
          </w:p>
        </w:tc>
        <w:tc>
          <w:tcPr>
            <w:tcW w:w="327" w:type="dxa"/>
            <w:gridSpan w:val="3"/>
            <w:tcBorders>
              <w:top w:val="single" w:sz="2" w:space="0" w:color="8E939F"/>
              <w:bottom w:val="single" w:sz="2" w:space="0" w:color="143A84"/>
            </w:tcBorders>
            <w:tcMar>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2" w:space="0" w:color="8E939F"/>
              <w:bottom w:val="single" w:sz="2" w:space="0" w:color="143A84"/>
            </w:tcBorders>
            <w:shd w:fill="F3F3F9" w:val="clear"/>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35.5</w:t>
            </w:r>
          </w:p>
        </w:tc>
        <w:tc>
          <w:tcPr>
            <w:tcW w:w="392" w:type="dxa"/>
            <w:tcBorders>
              <w:top w:val="single" w:sz="2" w:space="0" w:color="8E939F"/>
              <w:bottom w:val="single" w:sz="2" w:space="0" w:color="143A84"/>
            </w:tcBorders>
            <w:shd w:fill="F3F3F9" w:val="clear"/>
            <w:tcMar>
              <w:top w:w="52"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471" w:type="dxa"/>
            <w:gridSpan w:val="3"/>
            <w:tcBorders>
              <w:top w:val="single" w:sz="2" w:space="0" w:color="8E939F"/>
              <w:bottom w:val="single" w:sz="2" w:space="0" w:color="143A84"/>
            </w:tcBorders>
            <w:tcMar>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2" w:space="0" w:color="8E939F"/>
              <w:bottom w:val="single" w:sz="2" w:space="0" w:color="143A84"/>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21.4</w:t>
            </w:r>
          </w:p>
        </w:tc>
        <w:tc>
          <w:tcPr>
            <w:tcW w:w="392" w:type="dxa"/>
            <w:tcBorders>
              <w:top w:val="single" w:sz="2" w:space="0" w:color="8E939F"/>
              <w:bottom w:val="single" w:sz="2" w:space="0" w:color="143A84"/>
            </w:tcBorders>
            <w:tcMar>
              <w:top w:w="52"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327" w:type="dxa"/>
            <w:gridSpan w:val="3"/>
            <w:tcBorders>
              <w:top w:val="single" w:sz="2" w:space="0" w:color="8E939F"/>
              <w:bottom w:val="single" w:sz="2" w:space="0" w:color="143A84"/>
            </w:tcBorders>
            <w:tcMar>
              <w:left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2" w:space="0" w:color="8E939F"/>
              <w:bottom w:val="single" w:sz="2" w:space="0" w:color="143A84"/>
            </w:tcBorders>
            <w:shd w:fill="E6E7F4" w:val="clear"/>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14.1</w:t>
            </w:r>
          </w:p>
        </w:tc>
        <w:tc>
          <w:tcPr>
            <w:tcW w:w="905" w:type="dxa"/>
            <w:tcBorders>
              <w:top w:val="single" w:sz="2" w:space="0" w:color="8E939F"/>
              <w:bottom w:val="single" w:sz="2" w:space="0" w:color="143A84"/>
            </w:tcBorders>
            <w:shd w:fill="E6E7F4" w:val="clear"/>
            <w:tcMar>
              <w:top w:w="52"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w:t>
            </w:r>
          </w:p>
        </w:tc>
      </w:tr>
    </w:tbl>
    <w:p>
      <w:pPr>
        <w:pStyle w:val="TextBody"/>
        <w:bidi w:val="0"/>
        <w:spacing w:lineRule="auto" w:line="288" w:before="0" w:after="240"/>
        <w:jc w:val="left"/>
        <w:rPr>
          <w:rFonts w:ascii="Helvetica Light;sans-serif" w:hAnsi="Helvetica Light;sans-serif"/>
          <w:b w:val="false"/>
          <w:color w:val="000000"/>
          <w:sz w:val="16"/>
        </w:rPr>
      </w:pPr>
      <w:r>
        <w:rPr>
          <w:rFonts w:ascii="Helvetica Light;sans-serif" w:hAnsi="Helvetica Light;sans-serif"/>
          <w:b w:val="false"/>
          <w:color w:val="000000"/>
          <w:sz w:val="16"/>
        </w:rPr>
        <w:t>n.m. = not meaningful</w:t>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Tax expense was €207 million for the three months ended June 30, 2026, compared to a tax benefit of €588 million for the corresponding period in 2025. For the six months ended June 30, 2026, tax expense was €368 million, compared to a tax benefit of €614 million for the corresponding period in 2025. These variations primarily reflect the Company’s transition from pre-tax losses in the three and six month periods ended June 30, 2025 to pre-tax income in the corresponding periods of 2026.</w:t>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The effective tax rate of 41.4 percent for the three months ended June 30, 2026, was higher than the effective tax rate of 23.9 percent for the three months ended June 30, 2025. The increase primarily reflects a different mix of results by jurisdiction, with a greater proportion of pre-tax losses incurred in jurisdictions where deferred tax assets are not recognized and, accordingly, such losses did not give rise to a corresponding tax benefit.</w:t>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For the six months ended June 30, 2026, the effective tax rate increased to 35.5 percent from 21.4 percent in the corresponding period of 2025, driven by the same factors described above.</w:t>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 xml:space="preserve">The Company’s ability to realize the full value of its deferred tax assets is dependent upon the generation of future taxable income. Based on recent losses generated in certain jurisdictions, we are closely monitoring the realizability of our recognized deferred tax assets. If actual future taxable income differs from the current estimates, the Company may be required to de-recognize deferred tax assets, which could materially impact future results. </w:t>
      </w:r>
    </w:p>
    <w:p>
      <w:pPr>
        <w:pStyle w:val="TextBody"/>
        <w:bidi w:val="0"/>
        <w:spacing w:lineRule="auto" w:line="288" w:before="0" w:after="120"/>
        <w:jc w:val="left"/>
        <w:rPr>
          <w:rFonts w:ascii="Helvetica;sans-serif" w:hAnsi="Helvetica;sans-serif"/>
          <w:b/>
          <w:color w:val="143A84"/>
          <w:sz w:val="18"/>
        </w:rPr>
      </w:pPr>
      <w:r>
        <w:rPr>
          <w:rFonts w:ascii="Helvetica;sans-serif" w:hAnsi="Helvetica;sans-serif"/>
          <w:b/>
          <w:color w:val="143A84"/>
          <w:sz w:val="18"/>
        </w:rPr>
        <w:t>Net profit/(loss)</w:t>
      </w:r>
    </w:p>
    <w:tbl>
      <w:tblPr>
        <w:tblW w:w="10205" w:type="dxa"/>
        <w:jc w:val="left"/>
        <w:tblInd w:w="0" w:type="dxa"/>
        <w:tblLayout w:type="fixed"/>
        <w:tblCellMar>
          <w:top w:w="28" w:type="dxa"/>
          <w:left w:w="28" w:type="dxa"/>
          <w:bottom w:w="28" w:type="dxa"/>
          <w:right w:w="28" w:type="dxa"/>
        </w:tblCellMar>
      </w:tblPr>
      <w:tblGrid>
        <w:gridCol w:w="328"/>
        <w:gridCol w:w="240"/>
        <w:gridCol w:w="225"/>
        <w:gridCol w:w="225"/>
        <w:gridCol w:w="225"/>
        <w:gridCol w:w="225"/>
        <w:gridCol w:w="437"/>
        <w:gridCol w:w="255"/>
        <w:gridCol w:w="225"/>
        <w:gridCol w:w="109"/>
        <w:gridCol w:w="109"/>
        <w:gridCol w:w="109"/>
        <w:gridCol w:w="518"/>
        <w:gridCol w:w="518"/>
        <w:gridCol w:w="519"/>
        <w:gridCol w:w="109"/>
        <w:gridCol w:w="109"/>
        <w:gridCol w:w="109"/>
        <w:gridCol w:w="373"/>
        <w:gridCol w:w="373"/>
        <w:gridCol w:w="375"/>
        <w:gridCol w:w="109"/>
        <w:gridCol w:w="109"/>
        <w:gridCol w:w="109"/>
        <w:gridCol w:w="266"/>
        <w:gridCol w:w="242"/>
        <w:gridCol w:w="210"/>
        <w:gridCol w:w="210"/>
        <w:gridCol w:w="210"/>
        <w:gridCol w:w="210"/>
        <w:gridCol w:w="410"/>
        <w:gridCol w:w="258"/>
        <w:gridCol w:w="210"/>
        <w:gridCol w:w="109"/>
        <w:gridCol w:w="109"/>
        <w:gridCol w:w="109"/>
        <w:gridCol w:w="467"/>
        <w:gridCol w:w="467"/>
        <w:gridCol w:w="676"/>
      </w:tblGrid>
      <w:tr>
        <w:trPr/>
        <w:tc>
          <w:tcPr>
            <w:tcW w:w="32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r>
      <w:tr>
        <w:trPr/>
        <w:tc>
          <w:tcPr>
            <w:tcW w:w="2385" w:type="dxa"/>
            <w:gridSpan w:val="9"/>
            <w:tcBorders>
              <w:bottom w:val="single" w:sz="2" w:space="0" w:color="8E939F"/>
            </w:tcBorders>
            <w:tcMar>
              <w:top w:w="0" w:type="dxa"/>
              <w:left w:w="0" w:type="dxa"/>
              <w:bottom w:w="3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Three months ended June 30,</w:t>
            </w:r>
          </w:p>
        </w:tc>
        <w:tc>
          <w:tcPr>
            <w:tcW w:w="327" w:type="dxa"/>
            <w:gridSpan w:val="3"/>
            <w:tcBorders>
              <w:bottom w:val="single" w:sz="2" w:space="0" w:color="8E939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3"/>
            <w:tcBorders>
              <w:bottom w:val="single" w:sz="2" w:space="0" w:color="8E939F"/>
            </w:tcBorders>
            <w:shd w:fill="E6E7F4" w:val="clear"/>
            <w:tcMar>
              <w:top w:w="0" w:type="dxa"/>
              <w:left w:w="0" w:type="dxa"/>
              <w:bottom w:w="3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Increase/(Decrease)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6" w:type="dxa"/>
            <w:gridSpan w:val="9"/>
            <w:tcBorders>
              <w:bottom w:val="single" w:sz="2" w:space="0" w:color="8E939F"/>
            </w:tcBorders>
            <w:tcMar>
              <w:top w:w="0" w:type="dxa"/>
              <w:left w:w="0" w:type="dxa"/>
              <w:bottom w:w="3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Six Months Ended June 30,</w:t>
            </w:r>
          </w:p>
        </w:tc>
        <w:tc>
          <w:tcPr>
            <w:tcW w:w="327" w:type="dxa"/>
            <w:gridSpan w:val="3"/>
            <w:tcBorders>
              <w:bottom w:val="single" w:sz="2" w:space="0" w:color="8E939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bottom w:val="single" w:sz="2" w:space="0" w:color="8E939F"/>
            </w:tcBorders>
            <w:shd w:fill="E6E7F4" w:val="clear"/>
            <w:tcMar>
              <w:top w:w="0" w:type="dxa"/>
              <w:left w:w="0" w:type="dxa"/>
              <w:bottom w:w="3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Increase/(Decrease)</w:t>
            </w:r>
          </w:p>
        </w:tc>
      </w:tr>
      <w:tr>
        <w:trPr/>
        <w:tc>
          <w:tcPr>
            <w:tcW w:w="793"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2026</w:t>
            </w:r>
          </w:p>
        </w:tc>
        <w:tc>
          <w:tcPr>
            <w:tcW w:w="675"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2025</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3"/>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2026 vs.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Helvetica;sans-serif" w:hAnsi="Helvetica;sans-serif"/>
                <w:b w:val="false"/>
                <w:i/>
                <w:color w:val="000000"/>
                <w:sz w:val="16"/>
              </w:rPr>
            </w:pPr>
            <w:r>
              <w:rPr>
                <w:rFonts w:ascii="Helvetica;sans-serif" w:hAnsi="Helvetica;sans-serif"/>
                <w:b w:val="false"/>
                <w:i/>
                <w:color w:val="000000"/>
                <w:sz w:val="16"/>
              </w:rPr>
              <w:t>(€ million)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2026</w:t>
            </w:r>
          </w:p>
        </w:tc>
        <w:tc>
          <w:tcPr>
            <w:tcW w:w="630"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2025</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2026 vs. 2025</w:t>
            </w:r>
          </w:p>
        </w:tc>
      </w:tr>
      <w:tr>
        <w:trPr/>
        <w:tc>
          <w:tcPr>
            <w:tcW w:w="568" w:type="dxa"/>
            <w:gridSpan w:val="2"/>
            <w:tcBorders>
              <w:top w:val="single" w:sz="2" w:space="0" w:color="143A84"/>
              <w:bottom w:val="single" w:sz="2" w:space="0" w:color="8E939F"/>
            </w:tcBorders>
            <w:shd w:fill="F3F3F9" w:val="clear"/>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293 </w:t>
            </w:r>
          </w:p>
        </w:tc>
        <w:tc>
          <w:tcPr>
            <w:tcW w:w="225" w:type="dxa"/>
            <w:tcBorders>
              <w:top w:val="single" w:sz="2" w:space="0" w:color="143A84"/>
              <w:bottom w:val="single" w:sz="2" w:space="0" w:color="8E939F"/>
            </w:tcBorders>
            <w:shd w:fill="F3F3F9"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op w:val="single" w:sz="2" w:space="0" w:color="143A84"/>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2" w:space="0" w:color="143A84"/>
              <w:bottom w:val="single" w:sz="2" w:space="0" w:color="8E939F"/>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(1,869)</w:t>
            </w:r>
          </w:p>
        </w:tc>
        <w:tc>
          <w:tcPr>
            <w:tcW w:w="225" w:type="dxa"/>
            <w:tcBorders>
              <w:top w:val="single" w:sz="2" w:space="0" w:color="143A84"/>
              <w:bottom w:val="single" w:sz="2" w:space="0" w:color="8E939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143A84"/>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3"/>
            <w:tcBorders>
              <w:top w:val="single" w:sz="2" w:space="0" w:color="143A84"/>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n.m.</w:t>
            </w:r>
          </w:p>
        </w:tc>
        <w:tc>
          <w:tcPr>
            <w:tcW w:w="327" w:type="dxa"/>
            <w:gridSpan w:val="3"/>
            <w:tcBorders>
              <w:top w:val="single" w:sz="2" w:space="0" w:color="143A84"/>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2" w:space="0" w:color="143A84"/>
              <w:bottom w:val="single" w:sz="2" w:space="0" w:color="8E939F"/>
            </w:tcBorders>
            <w:tcMar>
              <w:top w:w="52"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Net profit/(loss)</w:t>
            </w:r>
          </w:p>
        </w:tc>
        <w:tc>
          <w:tcPr>
            <w:tcW w:w="327" w:type="dxa"/>
            <w:gridSpan w:val="3"/>
            <w:tcBorders>
              <w:top w:val="single" w:sz="2" w:space="0" w:color="143A84"/>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top w:val="single" w:sz="2" w:space="0" w:color="143A84"/>
              <w:bottom w:val="single" w:sz="2" w:space="0" w:color="8E939F"/>
            </w:tcBorders>
            <w:shd w:fill="F3F3F9" w:val="clear"/>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670 </w:t>
            </w:r>
          </w:p>
        </w:tc>
        <w:tc>
          <w:tcPr>
            <w:tcW w:w="210" w:type="dxa"/>
            <w:tcBorders>
              <w:top w:val="single" w:sz="2" w:space="0" w:color="143A84"/>
              <w:bottom w:val="single" w:sz="2" w:space="0" w:color="8E939F"/>
            </w:tcBorders>
            <w:shd w:fill="F3F3F9"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2" w:space="0" w:color="143A84"/>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op w:val="single" w:sz="2" w:space="0" w:color="143A84"/>
              <w:bottom w:val="single" w:sz="2" w:space="0" w:color="8E939F"/>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(2,256)</w:t>
            </w:r>
          </w:p>
        </w:tc>
        <w:tc>
          <w:tcPr>
            <w:tcW w:w="210" w:type="dxa"/>
            <w:tcBorders>
              <w:top w:val="single" w:sz="2" w:space="0" w:color="143A84"/>
              <w:bottom w:val="single" w:sz="2" w:space="0" w:color="8E939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143A84"/>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top w:val="single" w:sz="2" w:space="0" w:color="143A84"/>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n.m.</w:t>
            </w:r>
          </w:p>
        </w:tc>
      </w:tr>
    </w:tbl>
    <w:p>
      <w:pPr>
        <w:pStyle w:val="TextBody"/>
        <w:bidi w:val="0"/>
        <w:spacing w:lineRule="auto" w:line="288" w:before="0" w:after="240"/>
        <w:jc w:val="left"/>
        <w:rPr>
          <w:rFonts w:ascii="Helvetica Light;sans-serif" w:hAnsi="Helvetica Light;sans-serif"/>
          <w:b w:val="false"/>
          <w:color w:val="000000"/>
          <w:sz w:val="16"/>
        </w:rPr>
      </w:pPr>
      <w:r>
        <w:rPr>
          <w:rFonts w:ascii="Helvetica Light;sans-serif" w:hAnsi="Helvetica Light;sans-serif"/>
          <w:b w:val="false"/>
          <w:color w:val="000000"/>
          <w:sz w:val="16"/>
        </w:rPr>
        <w:t>n.m. = not meaningful</w:t>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The Company recorded for the three and six months ended June 30, 2026, a Net profit of €293 million and €670 million, respectively, compared to Net losses of €1,869 million and €2,256 million in the corresponding periods of 2025. The improvement in both periods was primarily attributable to higher Net revenues driven by volume growth in North America and the non-recurrence of costs incurred in 2025 related to: (i) charges recognized as a result of program cancellations and corresponding costs, (ii) charges recognized as a result of the Company’s decision to discontinue its hydrogen fuel cell technology program, and (iii) impairment of platforms used for Maserati and Alfa Romeo vehicles.</w:t>
      </w:r>
    </w:p>
    <w:p>
      <w:pPr>
        <w:pStyle w:val="TextBody"/>
        <w:bidi w:val="0"/>
        <w:spacing w:before="0" w:after="24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503555"/>
                <wp:effectExtent l="0" t="0" r="0" b="0"/>
                <wp:wrapNone/>
                <wp:docPr id="22" name="Frame19"/>
                <a:graphic xmlns:a="http://schemas.openxmlformats.org/drawingml/2006/main">
                  <a:graphicData uri="http://schemas.microsoft.com/office/word/2010/wordprocessingShape">
                    <wps:wsp>
                      <wps:cNvSpPr txBox="1"/>
                      <wps:spPr>
                        <a:xfrm>
                          <a:off x="0" y="0"/>
                          <a:ext cx="6480175" cy="5035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15</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15</w:t>
                      </w:r>
                    </w:p>
                    <w:p>
                      <w:pPr>
                        <w:pStyle w:val="TextBody"/>
                        <w:bidi w:val="0"/>
                        <w:spacing w:before="0" w:after="24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88" w:before="0" w:after="120"/>
        <w:jc w:val="left"/>
        <w:rPr>
          <w:rFonts w:ascii="Helvetica;sans-serif" w:hAnsi="Helvetica;sans-serif"/>
          <w:b/>
          <w:color w:val="143A84"/>
          <w:sz w:val="18"/>
        </w:rPr>
      </w:pPr>
      <w:r>
        <w:rPr>
          <w:rFonts w:ascii="Helvetica;sans-serif" w:hAnsi="Helvetica;sans-serif"/>
          <w:b/>
          <w:color w:val="143A84"/>
          <w:sz w:val="18"/>
        </w:rPr>
        <w:t>Adjusted operating income/(loss)</w:t>
      </w:r>
    </w:p>
    <w:tbl>
      <w:tblPr>
        <w:tblW w:w="10205" w:type="dxa"/>
        <w:jc w:val="left"/>
        <w:tblInd w:w="0" w:type="dxa"/>
        <w:tblLayout w:type="fixed"/>
        <w:tblCellMar>
          <w:top w:w="28" w:type="dxa"/>
          <w:left w:w="28" w:type="dxa"/>
          <w:bottom w:w="28" w:type="dxa"/>
          <w:right w:w="28" w:type="dxa"/>
        </w:tblCellMar>
      </w:tblPr>
      <w:tblGrid>
        <w:gridCol w:w="248"/>
        <w:gridCol w:w="164"/>
        <w:gridCol w:w="381"/>
        <w:gridCol w:w="153"/>
        <w:gridCol w:w="153"/>
        <w:gridCol w:w="153"/>
        <w:gridCol w:w="218"/>
        <w:gridCol w:w="173"/>
        <w:gridCol w:w="381"/>
        <w:gridCol w:w="109"/>
        <w:gridCol w:w="109"/>
        <w:gridCol w:w="109"/>
        <w:gridCol w:w="374"/>
        <w:gridCol w:w="301"/>
        <w:gridCol w:w="750"/>
        <w:gridCol w:w="109"/>
        <w:gridCol w:w="109"/>
        <w:gridCol w:w="109"/>
        <w:gridCol w:w="678"/>
        <w:gridCol w:w="678"/>
        <w:gridCol w:w="687"/>
        <w:gridCol w:w="109"/>
        <w:gridCol w:w="109"/>
        <w:gridCol w:w="109"/>
        <w:gridCol w:w="200"/>
        <w:gridCol w:w="176"/>
        <w:gridCol w:w="363"/>
        <w:gridCol w:w="145"/>
        <w:gridCol w:w="145"/>
        <w:gridCol w:w="145"/>
        <w:gridCol w:w="200"/>
        <w:gridCol w:w="176"/>
        <w:gridCol w:w="363"/>
        <w:gridCol w:w="109"/>
        <w:gridCol w:w="109"/>
        <w:gridCol w:w="109"/>
        <w:gridCol w:w="369"/>
        <w:gridCol w:w="284"/>
        <w:gridCol w:w="839"/>
      </w:tblGrid>
      <w:tr>
        <w:trPr/>
        <w:tc>
          <w:tcPr>
            <w:tcW w:w="248"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2024" w:type="dxa"/>
            <w:gridSpan w:val="9"/>
            <w:tcBorders>
              <w:bottom w:val="single" w:sz="2" w:space="0" w:color="8E939F"/>
            </w:tcBorders>
            <w:tcMar>
              <w:top w:w="0" w:type="dxa"/>
              <w:left w:w="0" w:type="dxa"/>
              <w:bottom w:w="3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Three months ended June 30,</w:t>
            </w:r>
          </w:p>
        </w:tc>
        <w:tc>
          <w:tcPr>
            <w:tcW w:w="327" w:type="dxa"/>
            <w:gridSpan w:val="3"/>
            <w:tcBorders>
              <w:bottom w:val="single" w:sz="2" w:space="0" w:color="8E939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bottom w:val="single" w:sz="2" w:space="0" w:color="8E939F"/>
            </w:tcBorders>
            <w:shd w:fill="E6E7F4" w:val="clear"/>
            <w:tcMar>
              <w:top w:w="0" w:type="dxa"/>
              <w:left w:w="0" w:type="dxa"/>
              <w:bottom w:w="3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Increase/(Decrease)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3" w:type="dxa"/>
            <w:gridSpan w:val="9"/>
            <w:tcBorders>
              <w:bottom w:val="single" w:sz="2" w:space="0" w:color="8E939F"/>
            </w:tcBorders>
            <w:tcMar>
              <w:top w:w="0" w:type="dxa"/>
              <w:left w:w="0" w:type="dxa"/>
              <w:bottom w:w="3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Six Months Ended June 30,</w:t>
            </w:r>
          </w:p>
        </w:tc>
        <w:tc>
          <w:tcPr>
            <w:tcW w:w="327" w:type="dxa"/>
            <w:gridSpan w:val="3"/>
            <w:tcBorders>
              <w:bottom w:val="single" w:sz="2" w:space="0" w:color="8E939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bottom w:val="single" w:sz="2" w:space="0" w:color="8E939F"/>
            </w:tcBorders>
            <w:shd w:fill="E6E7F4" w:val="clear"/>
            <w:tcMar>
              <w:top w:w="0" w:type="dxa"/>
              <w:left w:w="0" w:type="dxa"/>
              <w:bottom w:w="3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Increase/(Decrease)</w:t>
            </w:r>
          </w:p>
        </w:tc>
      </w:tr>
      <w:tr>
        <w:trPr/>
        <w:tc>
          <w:tcPr>
            <w:tcW w:w="793"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2026</w:t>
            </w:r>
          </w:p>
        </w:tc>
        <w:tc>
          <w:tcPr>
            <w:tcW w:w="459"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2025</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2026 vs.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3"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Helvetica;sans-serif" w:hAnsi="Helvetica;sans-serif"/>
                <w:b w:val="false"/>
                <w:i/>
                <w:color w:val="000000"/>
                <w:sz w:val="16"/>
              </w:rPr>
            </w:pPr>
            <w:r>
              <w:rPr>
                <w:rFonts w:ascii="Helvetica;sans-serif" w:hAnsi="Helvetica;sans-serif"/>
                <w:b w:val="false"/>
                <w:i/>
                <w:color w:val="000000"/>
                <w:sz w:val="16"/>
              </w:rPr>
              <w:t>(€ million)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2026</w:t>
            </w:r>
          </w:p>
        </w:tc>
        <w:tc>
          <w:tcPr>
            <w:tcW w:w="435"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2025</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2026 vs. 2025</w:t>
            </w:r>
          </w:p>
        </w:tc>
      </w:tr>
      <w:tr>
        <w:trPr/>
        <w:tc>
          <w:tcPr>
            <w:tcW w:w="793" w:type="dxa"/>
            <w:gridSpan w:val="3"/>
            <w:tcBorders>
              <w:top w:val="single" w:sz="2" w:space="0" w:color="143A84"/>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773</w:t>
            </w:r>
          </w:p>
        </w:tc>
        <w:tc>
          <w:tcPr>
            <w:tcW w:w="459"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2" w:space="0" w:color="143A84"/>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213</w:t>
            </w:r>
          </w:p>
        </w:tc>
        <w:tc>
          <w:tcPr>
            <w:tcW w:w="327"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op w:val="single" w:sz="2" w:space="0" w:color="143A84"/>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262.9</w:t>
            </w:r>
          </w:p>
        </w:tc>
        <w:tc>
          <w:tcPr>
            <w:tcW w:w="750" w:type="dxa"/>
            <w:tcBorders>
              <w:top w:val="single" w:sz="2" w:space="0" w:color="143A84"/>
            </w:tcBorders>
            <w:shd w:fill="E6E7F4"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327"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3" w:type="dxa"/>
            <w:gridSpan w:val="3"/>
            <w:tcBorders>
              <w:top w:val="single" w:sz="2" w:space="0" w:color="143A84"/>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Adjusted operating income/(loss)</w:t>
            </w:r>
          </w:p>
        </w:tc>
        <w:tc>
          <w:tcPr>
            <w:tcW w:w="327"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op w:val="single" w:sz="2" w:space="0" w:color="143A84"/>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1,733</w:t>
            </w:r>
          </w:p>
        </w:tc>
        <w:tc>
          <w:tcPr>
            <w:tcW w:w="435"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op w:val="single" w:sz="2" w:space="0" w:color="143A84"/>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540</w:t>
            </w:r>
          </w:p>
        </w:tc>
        <w:tc>
          <w:tcPr>
            <w:tcW w:w="327"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top w:val="single" w:sz="2" w:space="0" w:color="143A84"/>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220.9</w:t>
            </w:r>
          </w:p>
        </w:tc>
        <w:tc>
          <w:tcPr>
            <w:tcW w:w="839" w:type="dxa"/>
            <w:tcBorders>
              <w:top w:val="single" w:sz="2" w:space="0" w:color="143A84"/>
            </w:tcBorders>
            <w:shd w:fill="E6E7F4"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w:t>
            </w:r>
          </w:p>
        </w:tc>
      </w:tr>
      <w:tr>
        <w:trPr/>
        <w:tc>
          <w:tcPr>
            <w:tcW w:w="412" w:type="dxa"/>
            <w:gridSpan w:val="2"/>
            <w:tcBorders>
              <w:top w:val="single" w:sz="2" w:space="0" w:color="8E939F"/>
              <w:bottom w:val="single" w:sz="2" w:space="0" w:color="8E939F"/>
            </w:tcBorders>
            <w:shd w:fill="F3F3F9" w:val="clear"/>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1.8</w:t>
            </w:r>
          </w:p>
        </w:tc>
        <w:tc>
          <w:tcPr>
            <w:tcW w:w="381" w:type="dxa"/>
            <w:tcBorders>
              <w:top w:val="single" w:sz="2" w:space="0" w:color="8E939F"/>
              <w:bottom w:val="single" w:sz="2" w:space="0" w:color="8E939F"/>
            </w:tcBorders>
            <w:shd w:fill="F3F3F9" w:val="clear"/>
            <w:tcMar>
              <w:top w:w="52"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459" w:type="dxa"/>
            <w:gridSpan w:val="3"/>
            <w:tcBorders>
              <w:top w:val="single" w:sz="2" w:space="0" w:color="8E939F"/>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0.6</w:t>
            </w:r>
          </w:p>
        </w:tc>
        <w:tc>
          <w:tcPr>
            <w:tcW w:w="381" w:type="dxa"/>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327" w:type="dxa"/>
            <w:gridSpan w:val="3"/>
            <w:tcBorders>
              <w:top w:val="single" w:sz="2" w:space="0" w:color="8E939F"/>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120 bps</w:t>
            </w:r>
          </w:p>
        </w:tc>
        <w:tc>
          <w:tcPr>
            <w:tcW w:w="327" w:type="dxa"/>
            <w:gridSpan w:val="3"/>
            <w:tcBorders>
              <w:top w:val="single" w:sz="2" w:space="0" w:color="8E939F"/>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2043" w:type="dxa"/>
            <w:gridSpan w:val="3"/>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Adjusted operating income/(loss) margin (%)</w:t>
            </w:r>
          </w:p>
        </w:tc>
        <w:tc>
          <w:tcPr>
            <w:tcW w:w="327" w:type="dxa"/>
            <w:gridSpan w:val="3"/>
            <w:tcBorders>
              <w:top w:val="single" w:sz="2" w:space="0" w:color="8E939F"/>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2" w:space="0" w:color="8E939F"/>
              <w:bottom w:val="single" w:sz="2" w:space="0" w:color="8E939F"/>
            </w:tcBorders>
            <w:shd w:fill="F3F3F9" w:val="clear"/>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2.1</w:t>
            </w:r>
          </w:p>
        </w:tc>
        <w:tc>
          <w:tcPr>
            <w:tcW w:w="363" w:type="dxa"/>
            <w:tcBorders>
              <w:top w:val="single" w:sz="2" w:space="0" w:color="8E939F"/>
              <w:bottom w:val="single" w:sz="2" w:space="0" w:color="8E939F"/>
            </w:tcBorders>
            <w:shd w:fill="F3F3F9" w:val="clear"/>
            <w:tcMar>
              <w:top w:w="52"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435" w:type="dxa"/>
            <w:gridSpan w:val="3"/>
            <w:tcBorders>
              <w:top w:val="single" w:sz="2" w:space="0" w:color="8E939F"/>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0.7</w:t>
            </w:r>
          </w:p>
        </w:tc>
        <w:tc>
          <w:tcPr>
            <w:tcW w:w="363" w:type="dxa"/>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327" w:type="dxa"/>
            <w:gridSpan w:val="3"/>
            <w:tcBorders>
              <w:top w:val="single" w:sz="2" w:space="0" w:color="8E939F"/>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140 bps</w:t>
            </w:r>
          </w:p>
        </w:tc>
      </w:tr>
    </w:tbl>
    <w:p>
      <w:pPr>
        <w:pStyle w:val="TextBody"/>
        <w:bidi w:val="0"/>
        <w:spacing w:lineRule="auto" w:line="288" w:before="0" w:after="240"/>
        <w:jc w:val="left"/>
        <w:rPr>
          <w:rFonts w:ascii="Helvetica Light;sans-serif" w:hAnsi="Helvetica Light;sans-serif"/>
          <w:b w:val="false"/>
          <w:color w:val="000000"/>
          <w:sz w:val="16"/>
        </w:rPr>
      </w:pPr>
      <w:r>
        <w:rPr>
          <w:rFonts w:ascii="Helvetica Light;sans-serif" w:hAnsi="Helvetica Light;sans-serif"/>
          <w:b w:val="false"/>
          <w:color w:val="000000"/>
          <w:sz w:val="16"/>
        </w:rPr>
        <w:t>n.m. = not meaningful</w:t>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The following charts present the change in Adjusted operating income/(loss) by segment for the three and six months ended June 30, 2026 compared to the corresponding periods in 2025:    </w:t>
      </w:r>
    </w:p>
    <w:p>
      <w:pPr>
        <w:pStyle w:val="TextBody"/>
        <w:bidi w:val="0"/>
        <w:spacing w:lineRule="auto" w:line="288" w:before="0" w:after="120"/>
        <w:jc w:val="left"/>
        <w:rPr>
          <w:rFonts w:ascii="Helvetica;sans-serif" w:hAnsi="Helvetica;sans-serif"/>
          <w:b/>
          <w:color w:val="143A84"/>
          <w:sz w:val="18"/>
        </w:rPr>
      </w:pPr>
      <w:r>
        <w:rPr>
          <w:rFonts w:ascii="Helvetica;sans-serif" w:hAnsi="Helvetica;sans-serif"/>
          <w:b/>
          <w:color w:val="143A84"/>
          <w:sz w:val="18"/>
        </w:rPr>
        <w:t>Adjusted operating income/(loss) change by segment - Three months ended June 30, 2026 compared to the three months ended June 30, 2025 (€ million)</w:t>
      </w:r>
    </w:p>
    <w:p>
      <w:pPr>
        <w:pStyle w:val="TextBody"/>
        <w:bidi w:val="0"/>
        <w:spacing w:before="0" w:after="240"/>
        <w:ind w:left="0" w:right="0" w:firstLine="720"/>
        <w:jc w:val="center"/>
        <w:rPr/>
      </w:pPr>
      <w:r>
        <w:rPr/>
        <w:drawing>
          <wp:inline distT="0" distB="0" distL="0" distR="0">
            <wp:extent cx="6515100" cy="2533650"/>
            <wp:effectExtent l="0" t="0" r="0" b="0"/>
            <wp:docPr id="23"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4" descr=""/>
                    <pic:cNvPicPr>
                      <a:picLocks noChangeAspect="1" noChangeArrowheads="1"/>
                    </pic:cNvPicPr>
                  </pic:nvPicPr>
                  <pic:blipFill>
                    <a:blip r:embed="rId5"/>
                    <a:stretch>
                      <a:fillRect/>
                    </a:stretch>
                  </pic:blipFill>
                  <pic:spPr bwMode="auto">
                    <a:xfrm>
                      <a:off x="0" y="0"/>
                      <a:ext cx="6515100" cy="2533650"/>
                    </a:xfrm>
                    <a:prstGeom prst="rect">
                      <a:avLst/>
                    </a:prstGeom>
                  </pic:spPr>
                </pic:pic>
              </a:graphicData>
            </a:graphic>
          </wp:inline>
        </w:drawing>
      </w:r>
    </w:p>
    <w:p>
      <w:pPr>
        <w:pStyle w:val="TextBody"/>
        <w:bidi w:val="0"/>
        <w:spacing w:before="0" w:after="240"/>
        <w:jc w:val="left"/>
        <w:rPr/>
      </w:pPr>
      <w:r>
        <w:rPr/>
      </w:r>
    </w:p>
    <w:p>
      <w:pPr>
        <w:pStyle w:val="TextBody"/>
        <w:bidi w:val="0"/>
        <w:spacing w:before="0" w:after="24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503555"/>
                <wp:effectExtent l="0" t="0" r="0" b="0"/>
                <wp:wrapNone/>
                <wp:docPr id="24" name="Frame20"/>
                <a:graphic xmlns:a="http://schemas.openxmlformats.org/drawingml/2006/main">
                  <a:graphicData uri="http://schemas.microsoft.com/office/word/2010/wordprocessingShape">
                    <wps:wsp>
                      <wps:cNvSpPr txBox="1"/>
                      <wps:spPr>
                        <a:xfrm>
                          <a:off x="0" y="0"/>
                          <a:ext cx="6480175" cy="5035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16</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16</w:t>
                      </w:r>
                    </w:p>
                    <w:p>
                      <w:pPr>
                        <w:pStyle w:val="TextBody"/>
                        <w:bidi w:val="0"/>
                        <w:spacing w:before="0" w:after="24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88" w:before="0" w:after="120"/>
        <w:jc w:val="left"/>
        <w:rPr>
          <w:rFonts w:ascii="Helvetica;sans-serif" w:hAnsi="Helvetica;sans-serif"/>
          <w:b/>
          <w:color w:val="143A84"/>
          <w:sz w:val="18"/>
        </w:rPr>
      </w:pPr>
      <w:r>
        <w:rPr>
          <w:rFonts w:ascii="Helvetica;sans-serif" w:hAnsi="Helvetica;sans-serif"/>
          <w:b/>
          <w:color w:val="143A84"/>
          <w:sz w:val="18"/>
        </w:rPr>
        <w:t>Adjusted operating income/(loss) change by segment - Six months ended June 30, 2026 compared to the six months ended June 30, 2025 (€ million)</w:t>
      </w:r>
    </w:p>
    <w:p>
      <w:pPr>
        <w:pStyle w:val="TextBody"/>
        <w:bidi w:val="0"/>
        <w:spacing w:before="0" w:after="140"/>
        <w:ind w:left="0" w:right="0" w:firstLine="720"/>
        <w:jc w:val="center"/>
        <w:rPr/>
      </w:pPr>
      <w:r>
        <w:rPr/>
        <w:drawing>
          <wp:inline distT="0" distB="0" distL="0" distR="0">
            <wp:extent cx="6515100" cy="2533650"/>
            <wp:effectExtent l="0" t="0" r="0" b="0"/>
            <wp:docPr id="2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5" descr=""/>
                    <pic:cNvPicPr>
                      <a:picLocks noChangeAspect="1" noChangeArrowheads="1"/>
                    </pic:cNvPicPr>
                  </pic:nvPicPr>
                  <pic:blipFill>
                    <a:blip r:embed="rId6"/>
                    <a:stretch>
                      <a:fillRect/>
                    </a:stretch>
                  </pic:blipFill>
                  <pic:spPr bwMode="auto">
                    <a:xfrm>
                      <a:off x="0" y="0"/>
                      <a:ext cx="6515100" cy="2533650"/>
                    </a:xfrm>
                    <a:prstGeom prst="rect">
                      <a:avLst/>
                    </a:prstGeom>
                  </pic:spPr>
                </pic:pic>
              </a:graphicData>
            </a:graphic>
          </wp:inline>
        </w:drawing>
      </w:r>
    </w:p>
    <w:p>
      <w:pPr>
        <w:pStyle w:val="TextBody"/>
        <w:bidi w:val="0"/>
        <w:spacing w:lineRule="auto" w:line="343" w:before="0" w:after="240"/>
        <w:jc w:val="left"/>
        <w:rPr/>
      </w:pPr>
      <w:r>
        <w:rPr>
          <w:rFonts w:ascii="Helvetica Light;sans-serif" w:hAnsi="Helvetica Light;sans-serif"/>
          <w:b w:val="false"/>
          <w:color w:val="000000"/>
          <w:sz w:val="20"/>
        </w:rPr>
        <w:t xml:space="preserve">Refer to — </w:t>
      </w:r>
      <w:r>
        <w:rPr>
          <w:rFonts w:ascii="Helvetica Light;sans-serif" w:hAnsi="Helvetica Light;sans-serif"/>
          <w:b w:val="false"/>
          <w:i/>
          <w:color w:val="000000"/>
          <w:sz w:val="20"/>
        </w:rPr>
        <w:t>Results by segment</w:t>
      </w:r>
      <w:r>
        <w:rPr>
          <w:color w:val="000000"/>
        </w:rPr>
        <w:t xml:space="preserve"> </w:t>
      </w:r>
      <w:r>
        <w:rPr>
          <w:rFonts w:ascii="Helvetica Light;sans-serif" w:hAnsi="Helvetica Light;sans-serif"/>
          <w:b w:val="false"/>
          <w:color w:val="000000"/>
          <w:sz w:val="20"/>
        </w:rPr>
        <w:t>below for a discussion of Adjusted operating income/(loss) for each of our five reportable segments (North America, Enlarged Europe, Middle East &amp; Africa, South America and Asia Pacific).</w:t>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The following table is the reconciliation of Net profit/(loss), which is the most directly comparable measure included in the Interim Condensed Consolidated Income Statement, to Adjusted operating income:</w:t>
      </w:r>
    </w:p>
    <w:tbl>
      <w:tblPr>
        <w:tblW w:w="10205" w:type="dxa"/>
        <w:jc w:val="left"/>
        <w:tblInd w:w="0" w:type="dxa"/>
        <w:tblLayout w:type="fixed"/>
        <w:tblCellMar>
          <w:top w:w="28" w:type="dxa"/>
          <w:left w:w="28" w:type="dxa"/>
          <w:bottom w:w="28" w:type="dxa"/>
          <w:right w:w="28" w:type="dxa"/>
        </w:tblCellMar>
      </w:tblPr>
      <w:tblGrid>
        <w:gridCol w:w="909"/>
        <w:gridCol w:w="800"/>
        <w:gridCol w:w="803"/>
        <w:gridCol w:w="109"/>
        <w:gridCol w:w="109"/>
        <w:gridCol w:w="109"/>
        <w:gridCol w:w="1618"/>
        <w:gridCol w:w="1497"/>
        <w:gridCol w:w="1506"/>
        <w:gridCol w:w="109"/>
        <w:gridCol w:w="109"/>
        <w:gridCol w:w="109"/>
        <w:gridCol w:w="736"/>
        <w:gridCol w:w="691"/>
        <w:gridCol w:w="991"/>
      </w:tblGrid>
      <w:tr>
        <w:trPr/>
        <w:tc>
          <w:tcPr>
            <w:tcW w:w="909"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8"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r>
      <w:tr>
        <w:trPr/>
        <w:tc>
          <w:tcPr>
            <w:tcW w:w="2512" w:type="dxa"/>
            <w:gridSpan w:val="3"/>
            <w:tcBorders>
              <w:bottom w:val="single" w:sz="2" w:space="0" w:color="8E939F"/>
            </w:tcBorders>
            <w:tcMar>
              <w:top w:w="0" w:type="dxa"/>
              <w:left w:w="0" w:type="dxa"/>
              <w:bottom w:w="3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Three months ended June 30, 2026</w:t>
            </w:r>
          </w:p>
        </w:tc>
        <w:tc>
          <w:tcPr>
            <w:tcW w:w="327" w:type="dxa"/>
            <w:gridSpan w:val="3"/>
            <w:tcBorders>
              <w:bottom w:val="single" w:sz="2" w:space="0" w:color="8E939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21" w:type="dxa"/>
            <w:gridSpan w:val="3"/>
            <w:tcBorders>
              <w:bottom w:val="single" w:sz="2" w:space="0" w:color="8E939F"/>
            </w:tcBorders>
            <w:tcMar>
              <w:top w:w="0" w:type="dxa"/>
              <w:left w:w="0" w:type="dxa"/>
              <w:bottom w:w="30" w:type="dxa"/>
              <w:right w:w="0" w:type="dxa"/>
            </w:tcMar>
            <w:vAlign w:val="center"/>
          </w:tcPr>
          <w:p>
            <w:pPr>
              <w:pStyle w:val="TableContents"/>
              <w:bidi w:val="0"/>
              <w:spacing w:lineRule="auto" w:line="288" w:before="0" w:after="240"/>
              <w:jc w:val="left"/>
              <w:rPr>
                <w:rFonts w:ascii="Helvetica;sans-serif" w:hAnsi="Helvetica;sans-serif"/>
                <w:b w:val="false"/>
                <w:i/>
                <w:color w:val="000000"/>
                <w:sz w:val="16"/>
              </w:rPr>
            </w:pPr>
            <w:r>
              <w:rPr>
                <w:rFonts w:ascii="Helvetica;sans-serif" w:hAnsi="Helvetica;sans-serif"/>
                <w:b w:val="false"/>
                <w:i/>
                <w:color w:val="000000"/>
                <w:sz w:val="16"/>
              </w:rPr>
              <w:t>(€ million)</w:t>
            </w:r>
          </w:p>
        </w:tc>
        <w:tc>
          <w:tcPr>
            <w:tcW w:w="327" w:type="dxa"/>
            <w:gridSpan w:val="3"/>
            <w:tcBorders>
              <w:bottom w:val="single" w:sz="2" w:space="0" w:color="8E939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8" w:type="dxa"/>
            <w:gridSpan w:val="3"/>
            <w:tcBorders>
              <w:bottom w:val="single" w:sz="2" w:space="0" w:color="8E939F"/>
            </w:tcBorders>
            <w:tcMar>
              <w:top w:w="0" w:type="dxa"/>
              <w:left w:w="0" w:type="dxa"/>
              <w:bottom w:w="3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Six Months Ended June 30, 2026</w:t>
            </w:r>
          </w:p>
        </w:tc>
      </w:tr>
      <w:tr>
        <w:trPr/>
        <w:tc>
          <w:tcPr>
            <w:tcW w:w="1709"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8"/>
              </w:rPr>
              <w:t>293</w:t>
            </w:r>
            <w:r>
              <w:rPr>
                <w:color w:val="243782"/>
              </w:rPr>
              <w:t> </w:t>
            </w:r>
          </w:p>
        </w:tc>
        <w:tc>
          <w:tcPr>
            <w:tcW w:w="803"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1"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243782"/>
                <w:sz w:val="18"/>
              </w:rPr>
            </w:pPr>
            <w:r>
              <w:rPr>
                <w:rFonts w:ascii="Helvetica;sans-serif" w:hAnsi="Helvetica;sans-serif"/>
                <w:b/>
                <w:color w:val="243782"/>
                <w:sz w:val="18"/>
              </w:rPr>
              <w:t>Net profit/(loss)</w:t>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8"/>
              </w:rPr>
              <w:t>670</w:t>
            </w:r>
            <w:r>
              <w:rPr>
                <w:color w:val="243782"/>
              </w:rPr>
              <w:t> </w:t>
            </w:r>
          </w:p>
        </w:tc>
        <w:tc>
          <w:tcPr>
            <w:tcW w:w="991"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207 </w:t>
            </w:r>
          </w:p>
        </w:tc>
        <w:tc>
          <w:tcPr>
            <w:tcW w:w="803"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1"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Tax expense/(benefit)</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368 </w:t>
            </w:r>
          </w:p>
        </w:tc>
        <w:tc>
          <w:tcPr>
            <w:tcW w:w="991"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202 </w:t>
            </w:r>
          </w:p>
        </w:tc>
        <w:tc>
          <w:tcPr>
            <w:tcW w:w="803"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1"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Net financial expenses/(income)</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352 </w:t>
            </w:r>
          </w:p>
        </w:tc>
        <w:tc>
          <w:tcPr>
            <w:tcW w:w="991"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8"/>
              </w:rPr>
              <w:t>702</w:t>
            </w:r>
            <w:r>
              <w:rPr>
                <w:color w:val="243782"/>
              </w:rPr>
              <w:t> </w:t>
            </w:r>
          </w:p>
        </w:tc>
        <w:tc>
          <w:tcPr>
            <w:tcW w:w="803"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1"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243782"/>
                <w:sz w:val="18"/>
              </w:rPr>
            </w:pPr>
            <w:r>
              <w:rPr>
                <w:rFonts w:ascii="Helvetica;sans-serif" w:hAnsi="Helvetica;sans-serif"/>
                <w:b/>
                <w:color w:val="243782"/>
                <w:sz w:val="18"/>
              </w:rPr>
              <w:t>Operating income/(loss)</w:t>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8"/>
              </w:rPr>
              <w:t>1,390</w:t>
            </w:r>
            <w:r>
              <w:rPr>
                <w:color w:val="243782"/>
              </w:rPr>
              <w:t> </w:t>
            </w:r>
          </w:p>
        </w:tc>
        <w:tc>
          <w:tcPr>
            <w:tcW w:w="991"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2"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1"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8"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2"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1"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243782"/>
                <w:sz w:val="18"/>
              </w:rPr>
            </w:pPr>
            <w:r>
              <w:rPr>
                <w:rFonts w:ascii="Helvetica;sans-serif" w:hAnsi="Helvetica;sans-serif"/>
                <w:b/>
                <w:color w:val="243782"/>
                <w:sz w:val="18"/>
              </w:rPr>
              <w:t>Adjustments:</w:t>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8"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384 </w:t>
            </w:r>
          </w:p>
        </w:tc>
        <w:tc>
          <w:tcPr>
            <w:tcW w:w="803"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1"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Restructuring and other costs, net of reversals</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482 </w:t>
            </w:r>
          </w:p>
        </w:tc>
        <w:tc>
          <w:tcPr>
            <w:tcW w:w="991"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52 </w:t>
            </w:r>
          </w:p>
        </w:tc>
        <w:tc>
          <w:tcPr>
            <w:tcW w:w="803"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1"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Takata airbags recall campaign</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106 </w:t>
            </w:r>
          </w:p>
        </w:tc>
        <w:tc>
          <w:tcPr>
            <w:tcW w:w="991"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40 </w:t>
            </w:r>
          </w:p>
        </w:tc>
        <w:tc>
          <w:tcPr>
            <w:tcW w:w="803"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1"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Costs related to product plan realignments and program cancellations</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196 </w:t>
            </w:r>
          </w:p>
        </w:tc>
        <w:tc>
          <w:tcPr>
            <w:tcW w:w="991"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803"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1"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U.S. GHG regulation change</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(66)</w:t>
            </w:r>
          </w:p>
        </w:tc>
        <w:tc>
          <w:tcPr>
            <w:tcW w:w="991"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(317)</w:t>
            </w:r>
          </w:p>
        </w:tc>
        <w:tc>
          <w:tcPr>
            <w:tcW w:w="803"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1"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Renegotiated regulatory purchase commitments of credits</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(317)</w:t>
            </w:r>
          </w:p>
        </w:tc>
        <w:tc>
          <w:tcPr>
            <w:tcW w:w="991"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(71)</w:t>
            </w:r>
          </w:p>
        </w:tc>
        <w:tc>
          <w:tcPr>
            <w:tcW w:w="803"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1"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(Gains)/losses on disposal of investments</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(59)</w:t>
            </w:r>
          </w:p>
        </w:tc>
        <w:tc>
          <w:tcPr>
            <w:tcW w:w="991"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(17)</w:t>
            </w:r>
          </w:p>
        </w:tc>
        <w:tc>
          <w:tcPr>
            <w:tcW w:w="803"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1"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Other</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1 </w:t>
            </w:r>
          </w:p>
        </w:tc>
        <w:tc>
          <w:tcPr>
            <w:tcW w:w="991"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8"/>
              </w:rPr>
              <w:t>71</w:t>
            </w:r>
            <w:r>
              <w:rPr>
                <w:color w:val="243782"/>
              </w:rPr>
              <w:t> </w:t>
            </w:r>
          </w:p>
        </w:tc>
        <w:tc>
          <w:tcPr>
            <w:tcW w:w="803"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1"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243782"/>
                <w:sz w:val="18"/>
              </w:rPr>
            </w:pPr>
            <w:r>
              <w:rPr>
                <w:rFonts w:ascii="Helvetica;sans-serif" w:hAnsi="Helvetica;sans-serif"/>
                <w:b/>
                <w:color w:val="243782"/>
                <w:sz w:val="18"/>
              </w:rPr>
              <w:t>Total Adjustments</w:t>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8"/>
              </w:rPr>
              <w:t>343</w:t>
            </w:r>
            <w:r>
              <w:rPr>
                <w:color w:val="243782"/>
              </w:rPr>
              <w:t> </w:t>
            </w:r>
          </w:p>
        </w:tc>
        <w:tc>
          <w:tcPr>
            <w:tcW w:w="991"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2"/>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8"/>
              </w:rPr>
              <w:t>773</w:t>
            </w:r>
            <w:r>
              <w:rPr>
                <w:color w:val="243782"/>
              </w:rPr>
              <w:t> </w:t>
            </w:r>
          </w:p>
        </w:tc>
        <w:tc>
          <w:tcPr>
            <w:tcW w:w="803" w:type="dxa"/>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bottom w:val="single" w:sz="2" w:space="0" w:color="8E939F"/>
            </w:tcBorders>
            <w:shd w:fill="E6E7F4" w:val="clear"/>
            <w:tcMar>
              <w:left w:w="0" w:type="dxa"/>
              <w:right w:w="0" w:type="dxa"/>
            </w:tcMar>
            <w:vAlign w:val="center"/>
          </w:tcPr>
          <w:p>
            <w:pPr>
              <w:pStyle w:val="TableContents"/>
              <w:bidi w:val="0"/>
              <w:spacing w:before="0" w:after="283"/>
              <w:jc w:val="left"/>
              <w:rPr>
                <w:sz w:val="4"/>
                <w:szCs w:val="4"/>
              </w:rPr>
            </w:pPr>
            <w:r>
              <w:rPr>
                <w:sz w:val="4"/>
                <w:szCs w:val="4"/>
              </w:rPr>
            </w:r>
          </w:p>
        </w:tc>
        <w:tc>
          <w:tcPr>
            <w:tcW w:w="4621" w:type="dxa"/>
            <w:gridSpan w:val="3"/>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color w:val="243782"/>
                <w:sz w:val="18"/>
              </w:rPr>
            </w:pPr>
            <w:r>
              <w:rPr>
                <w:rFonts w:ascii="Helvetica;sans-serif" w:hAnsi="Helvetica;sans-serif"/>
                <w:b/>
                <w:color w:val="243782"/>
                <w:sz w:val="18"/>
              </w:rPr>
              <w:t>Adjusted operating income/(loss)</w:t>
            </w:r>
          </w:p>
        </w:tc>
        <w:tc>
          <w:tcPr>
            <w:tcW w:w="327" w:type="dxa"/>
            <w:gridSpan w:val="3"/>
            <w:tcBorders>
              <w:top w:val="single" w:sz="2" w:space="0" w:color="8E939F"/>
              <w:bottom w:val="single" w:sz="2" w:space="0" w:color="8E939F"/>
            </w:tcBorders>
            <w:shd w:fill="E6E7F4" w:val="clear"/>
            <w:tcMar>
              <w:left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8"/>
              </w:rPr>
              <w:t>1,733</w:t>
            </w:r>
            <w:r>
              <w:rPr>
                <w:color w:val="243782"/>
              </w:rPr>
              <w:t> </w:t>
            </w:r>
          </w:p>
        </w:tc>
        <w:tc>
          <w:tcPr>
            <w:tcW w:w="991" w:type="dxa"/>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24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503555"/>
                <wp:effectExtent l="0" t="0" r="0" b="0"/>
                <wp:wrapNone/>
                <wp:docPr id="26" name="Frame21"/>
                <a:graphic xmlns:a="http://schemas.openxmlformats.org/drawingml/2006/main">
                  <a:graphicData uri="http://schemas.microsoft.com/office/word/2010/wordprocessingShape">
                    <wps:wsp>
                      <wps:cNvSpPr txBox="1"/>
                      <wps:spPr>
                        <a:xfrm>
                          <a:off x="0" y="0"/>
                          <a:ext cx="6480175" cy="5035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17</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17</w:t>
                      </w:r>
                    </w:p>
                    <w:p>
                      <w:pPr>
                        <w:pStyle w:val="TextBody"/>
                        <w:bidi w:val="0"/>
                        <w:spacing w:before="0" w:after="24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tbl>
      <w:tblPr>
        <w:tblW w:w="10205" w:type="dxa"/>
        <w:jc w:val="left"/>
        <w:tblInd w:w="0" w:type="dxa"/>
        <w:tblLayout w:type="fixed"/>
        <w:tblCellMar>
          <w:top w:w="28" w:type="dxa"/>
          <w:left w:w="28" w:type="dxa"/>
          <w:bottom w:w="28" w:type="dxa"/>
          <w:right w:w="28" w:type="dxa"/>
        </w:tblCellMar>
      </w:tblPr>
      <w:tblGrid>
        <w:gridCol w:w="1023"/>
        <w:gridCol w:w="885"/>
        <w:gridCol w:w="889"/>
        <w:gridCol w:w="109"/>
        <w:gridCol w:w="109"/>
        <w:gridCol w:w="109"/>
        <w:gridCol w:w="1425"/>
        <w:gridCol w:w="1340"/>
        <w:gridCol w:w="1348"/>
        <w:gridCol w:w="109"/>
        <w:gridCol w:w="109"/>
        <w:gridCol w:w="109"/>
        <w:gridCol w:w="787"/>
        <w:gridCol w:w="762"/>
        <w:gridCol w:w="1092"/>
      </w:tblGrid>
      <w:tr>
        <w:trPr/>
        <w:tc>
          <w:tcPr>
            <w:tcW w:w="1023"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r>
      <w:tr>
        <w:trPr/>
        <w:tc>
          <w:tcPr>
            <w:tcW w:w="2797" w:type="dxa"/>
            <w:gridSpan w:val="3"/>
            <w:tcBorders>
              <w:bottom w:val="single" w:sz="2" w:space="0" w:color="8E939F"/>
            </w:tcBorders>
            <w:tcMar>
              <w:top w:w="0" w:type="dxa"/>
              <w:left w:w="0" w:type="dxa"/>
              <w:bottom w:w="3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Three months ended June 30, 2025</w:t>
            </w:r>
          </w:p>
        </w:tc>
        <w:tc>
          <w:tcPr>
            <w:tcW w:w="327" w:type="dxa"/>
            <w:gridSpan w:val="3"/>
            <w:tcBorders>
              <w:bottom w:val="single" w:sz="2" w:space="0" w:color="8E939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113" w:type="dxa"/>
            <w:gridSpan w:val="3"/>
            <w:tcBorders>
              <w:bottom w:val="single" w:sz="2" w:space="0" w:color="8E939F"/>
            </w:tcBorders>
            <w:tcMar>
              <w:top w:w="0" w:type="dxa"/>
              <w:left w:w="0" w:type="dxa"/>
              <w:bottom w:w="30" w:type="dxa"/>
              <w:right w:w="0" w:type="dxa"/>
            </w:tcMar>
            <w:vAlign w:val="center"/>
          </w:tcPr>
          <w:p>
            <w:pPr>
              <w:pStyle w:val="TableContents"/>
              <w:bidi w:val="0"/>
              <w:spacing w:lineRule="auto" w:line="288" w:before="0" w:after="240"/>
              <w:jc w:val="left"/>
              <w:rPr>
                <w:rFonts w:ascii="Helvetica;sans-serif" w:hAnsi="Helvetica;sans-serif"/>
                <w:b w:val="false"/>
                <w:i/>
                <w:color w:val="000000"/>
                <w:sz w:val="16"/>
              </w:rPr>
            </w:pPr>
            <w:r>
              <w:rPr>
                <w:rFonts w:ascii="Helvetica;sans-serif" w:hAnsi="Helvetica;sans-serif"/>
                <w:b w:val="false"/>
                <w:i/>
                <w:color w:val="000000"/>
                <w:sz w:val="16"/>
              </w:rPr>
              <w:t>(€ million)</w:t>
            </w:r>
          </w:p>
        </w:tc>
        <w:tc>
          <w:tcPr>
            <w:tcW w:w="327" w:type="dxa"/>
            <w:gridSpan w:val="3"/>
            <w:tcBorders>
              <w:bottom w:val="single" w:sz="2" w:space="0" w:color="8E939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641" w:type="dxa"/>
            <w:gridSpan w:val="3"/>
            <w:tcBorders>
              <w:bottom w:val="single" w:sz="2" w:space="0" w:color="8E939F"/>
            </w:tcBorders>
            <w:tcMar>
              <w:top w:w="0" w:type="dxa"/>
              <w:left w:w="0" w:type="dxa"/>
              <w:bottom w:w="3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Six Months Ended June 30, 2025</w:t>
            </w:r>
          </w:p>
        </w:tc>
      </w:tr>
      <w:tr>
        <w:trPr/>
        <w:tc>
          <w:tcPr>
            <w:tcW w:w="1908"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(1,869)</w:t>
            </w:r>
          </w:p>
        </w:tc>
        <w:tc>
          <w:tcPr>
            <w:tcW w:w="889"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3"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243782"/>
                <w:sz w:val="18"/>
              </w:rPr>
            </w:pPr>
            <w:r>
              <w:rPr>
                <w:rFonts w:ascii="Helvetica;sans-serif" w:hAnsi="Helvetica;sans-serif"/>
                <w:b/>
                <w:color w:val="243782"/>
                <w:sz w:val="18"/>
              </w:rPr>
              <w:t>Net profit/(loss)</w:t>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(2,256)</w:t>
            </w:r>
          </w:p>
        </w:tc>
        <w:tc>
          <w:tcPr>
            <w:tcW w:w="1092"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8"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(588)</w:t>
            </w:r>
          </w:p>
        </w:tc>
        <w:tc>
          <w:tcPr>
            <w:tcW w:w="889"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3"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Tax expense/(benefit)</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(614)</w:t>
            </w:r>
          </w:p>
        </w:tc>
        <w:tc>
          <w:tcPr>
            <w:tcW w:w="1092"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8"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63 </w:t>
            </w:r>
          </w:p>
        </w:tc>
        <w:tc>
          <w:tcPr>
            <w:tcW w:w="889"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3"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Net financial expenses/(income)</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160 </w:t>
            </w:r>
          </w:p>
        </w:tc>
        <w:tc>
          <w:tcPr>
            <w:tcW w:w="1092"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8"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(2,394)</w:t>
            </w:r>
          </w:p>
        </w:tc>
        <w:tc>
          <w:tcPr>
            <w:tcW w:w="889"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3"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243782"/>
                <w:sz w:val="18"/>
              </w:rPr>
            </w:pPr>
            <w:r>
              <w:rPr>
                <w:rFonts w:ascii="Helvetica;sans-serif" w:hAnsi="Helvetica;sans-serif"/>
                <w:b/>
                <w:color w:val="243782"/>
                <w:sz w:val="18"/>
              </w:rPr>
              <w:t>Operating income/(loss)</w:t>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(2,710)</w:t>
            </w:r>
          </w:p>
        </w:tc>
        <w:tc>
          <w:tcPr>
            <w:tcW w:w="1092"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3"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1"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3"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243782"/>
                <w:sz w:val="18"/>
              </w:rPr>
            </w:pPr>
            <w:r>
              <w:rPr>
                <w:rFonts w:ascii="Helvetica;sans-serif" w:hAnsi="Helvetica;sans-serif"/>
                <w:b/>
                <w:color w:val="243782"/>
                <w:sz w:val="18"/>
              </w:rPr>
              <w:t>Adjustments:</w:t>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1"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8"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399 </w:t>
            </w:r>
          </w:p>
        </w:tc>
        <w:tc>
          <w:tcPr>
            <w:tcW w:w="889"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3"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Restructuring and other costs, net of reversals</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522 </w:t>
            </w:r>
          </w:p>
        </w:tc>
        <w:tc>
          <w:tcPr>
            <w:tcW w:w="1092"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8"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174 </w:t>
            </w:r>
          </w:p>
        </w:tc>
        <w:tc>
          <w:tcPr>
            <w:tcW w:w="889"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3"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0"/>
              <w:jc w:val="left"/>
              <w:rPr>
                <w:rFonts w:ascii="Helvetica;sans-serif" w:hAnsi="Helvetica;sans-serif"/>
                <w:b w:val="false"/>
                <w:color w:val="000000"/>
                <w:sz w:val="18"/>
              </w:rPr>
            </w:pPr>
            <w:r>
              <w:rPr>
                <w:rFonts w:ascii="Helvetica;sans-serif" w:hAnsi="Helvetica;sans-serif"/>
                <w:b w:val="false"/>
                <w:color w:val="000000"/>
                <w:sz w:val="18"/>
              </w:rPr>
              <w:t>Takata airbags recall campaign</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239 </w:t>
            </w:r>
          </w:p>
        </w:tc>
        <w:tc>
          <w:tcPr>
            <w:tcW w:w="1092"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8"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578 </w:t>
            </w:r>
          </w:p>
        </w:tc>
        <w:tc>
          <w:tcPr>
            <w:tcW w:w="889"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3"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Platform impairments</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578 </w:t>
            </w:r>
          </w:p>
        </w:tc>
        <w:tc>
          <w:tcPr>
            <w:tcW w:w="1092"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8"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296 </w:t>
            </w:r>
          </w:p>
        </w:tc>
        <w:tc>
          <w:tcPr>
            <w:tcW w:w="889"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3"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0"/>
              <w:jc w:val="left"/>
              <w:rPr>
                <w:rFonts w:ascii="Helvetica;sans-serif" w:hAnsi="Helvetica;sans-serif"/>
                <w:b w:val="false"/>
                <w:color w:val="000000"/>
                <w:sz w:val="18"/>
              </w:rPr>
            </w:pPr>
            <w:r>
              <w:rPr>
                <w:rFonts w:ascii="Helvetica;sans-serif" w:hAnsi="Helvetica;sans-serif"/>
                <w:b w:val="false"/>
                <w:color w:val="000000"/>
                <w:sz w:val="18"/>
              </w:rPr>
              <w:t>Costs related to program cancellations</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789 </w:t>
            </w:r>
          </w:p>
        </w:tc>
        <w:tc>
          <w:tcPr>
            <w:tcW w:w="1092"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8"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733 </w:t>
            </w:r>
          </w:p>
        </w:tc>
        <w:tc>
          <w:tcPr>
            <w:tcW w:w="889"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3"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Fuel cell program discontinuation</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733 </w:t>
            </w:r>
          </w:p>
        </w:tc>
        <w:tc>
          <w:tcPr>
            <w:tcW w:w="1092"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8"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269 </w:t>
            </w:r>
          </w:p>
        </w:tc>
        <w:tc>
          <w:tcPr>
            <w:tcW w:w="889"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3"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Corporate average fuel economy (“CAFE”) penalty rate</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269 </w:t>
            </w:r>
          </w:p>
        </w:tc>
        <w:tc>
          <w:tcPr>
            <w:tcW w:w="1092"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8"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246 </w:t>
            </w:r>
          </w:p>
        </w:tc>
        <w:tc>
          <w:tcPr>
            <w:tcW w:w="889"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3"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Stellantis Türkiye disposal</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246 </w:t>
            </w:r>
          </w:p>
        </w:tc>
        <w:tc>
          <w:tcPr>
            <w:tcW w:w="1092"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8"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(88)</w:t>
            </w:r>
          </w:p>
        </w:tc>
        <w:tc>
          <w:tcPr>
            <w:tcW w:w="889"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3"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Other</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(126)</w:t>
            </w:r>
          </w:p>
        </w:tc>
        <w:tc>
          <w:tcPr>
            <w:tcW w:w="1092"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8"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8"/>
              </w:rPr>
              <w:t>2,607</w:t>
            </w:r>
            <w:r>
              <w:rPr>
                <w:color w:val="243782"/>
              </w:rPr>
              <w:t> </w:t>
            </w:r>
          </w:p>
        </w:tc>
        <w:tc>
          <w:tcPr>
            <w:tcW w:w="889"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3"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243782"/>
                <w:sz w:val="18"/>
              </w:rPr>
            </w:pPr>
            <w:r>
              <w:rPr>
                <w:rFonts w:ascii="Helvetica;sans-serif" w:hAnsi="Helvetica;sans-serif"/>
                <w:b/>
                <w:color w:val="243782"/>
                <w:sz w:val="18"/>
              </w:rPr>
              <w:t>Total Adjustments</w:t>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8"/>
              </w:rPr>
              <w:t>3,250</w:t>
            </w:r>
            <w:r>
              <w:rPr>
                <w:color w:val="243782"/>
              </w:rPr>
              <w:t> </w:t>
            </w:r>
          </w:p>
        </w:tc>
        <w:tc>
          <w:tcPr>
            <w:tcW w:w="1092"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8" w:type="dxa"/>
            <w:gridSpan w:val="2"/>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8"/>
              </w:rPr>
              <w:t>213</w:t>
            </w:r>
            <w:r>
              <w:rPr>
                <w:color w:val="243782"/>
              </w:rPr>
              <w:t> </w:t>
            </w:r>
          </w:p>
        </w:tc>
        <w:tc>
          <w:tcPr>
            <w:tcW w:w="889" w:type="dxa"/>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bottom w:val="single" w:sz="2" w:space="0" w:color="8E939F"/>
            </w:tcBorders>
            <w:shd w:fill="E6E7F4" w:val="clear"/>
            <w:tcMar>
              <w:left w:w="0" w:type="dxa"/>
              <w:right w:w="0" w:type="dxa"/>
            </w:tcMar>
            <w:vAlign w:val="center"/>
          </w:tcPr>
          <w:p>
            <w:pPr>
              <w:pStyle w:val="TableContents"/>
              <w:bidi w:val="0"/>
              <w:spacing w:before="0" w:after="283"/>
              <w:jc w:val="left"/>
              <w:rPr>
                <w:sz w:val="4"/>
                <w:szCs w:val="4"/>
              </w:rPr>
            </w:pPr>
            <w:r>
              <w:rPr>
                <w:sz w:val="4"/>
                <w:szCs w:val="4"/>
              </w:rPr>
            </w:r>
          </w:p>
        </w:tc>
        <w:tc>
          <w:tcPr>
            <w:tcW w:w="4113" w:type="dxa"/>
            <w:gridSpan w:val="3"/>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color w:val="243782"/>
                <w:sz w:val="18"/>
              </w:rPr>
            </w:pPr>
            <w:r>
              <w:rPr>
                <w:rFonts w:ascii="Helvetica;sans-serif" w:hAnsi="Helvetica;sans-serif"/>
                <w:b/>
                <w:color w:val="243782"/>
                <w:sz w:val="18"/>
              </w:rPr>
              <w:t>Adjusted operating income/(loss)</w:t>
            </w:r>
          </w:p>
        </w:tc>
        <w:tc>
          <w:tcPr>
            <w:tcW w:w="327" w:type="dxa"/>
            <w:gridSpan w:val="3"/>
            <w:tcBorders>
              <w:top w:val="single" w:sz="2" w:space="0" w:color="8E939F"/>
              <w:bottom w:val="single" w:sz="2" w:space="0" w:color="8E939F"/>
            </w:tcBorders>
            <w:shd w:fill="E6E7F4" w:val="clear"/>
            <w:tcMar>
              <w:left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2"/>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8"/>
              </w:rPr>
              <w:t>540</w:t>
            </w:r>
            <w:r>
              <w:rPr>
                <w:color w:val="243782"/>
              </w:rPr>
              <w:t> </w:t>
            </w:r>
          </w:p>
        </w:tc>
        <w:tc>
          <w:tcPr>
            <w:tcW w:w="1092" w:type="dxa"/>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During the three months ended June 30, 2026, Adjusted operating income excluded adjustments primarily related to:</w:t>
      </w:r>
    </w:p>
    <w:p>
      <w:pPr>
        <w:pStyle w:val="TextBody"/>
        <w:bidi w:val="0"/>
        <w:spacing w:lineRule="auto" w:line="343" w:before="0" w:after="120"/>
        <w:ind w:left="0" w:right="0" w:hanging="173"/>
        <w:jc w:val="left"/>
        <w:rPr/>
      </w:pPr>
      <w:r>
        <w:rPr>
          <w:color w:val="143A84"/>
        </w:rPr>
        <w:t>•</w:t>
      </w:r>
      <w:r>
        <w:rPr>
          <w:color w:val="000000"/>
        </w:rPr>
        <w:t>€</w:t>
      </w:r>
      <w:r>
        <w:rPr>
          <w:rFonts w:ascii="Helvetica Light;sans-serif" w:hAnsi="Helvetica Light;sans-serif"/>
          <w:b w:val="false"/>
          <w:color w:val="000000"/>
          <w:sz w:val="20"/>
        </w:rPr>
        <w:t>384 million of restructuring and other costs, primarily related to workforce reductions, mainly in Enlarged Europe;</w:t>
      </w:r>
    </w:p>
    <w:p>
      <w:pPr>
        <w:pStyle w:val="TextBody"/>
        <w:bidi w:val="0"/>
        <w:spacing w:lineRule="auto" w:line="343" w:before="0" w:after="120"/>
        <w:ind w:left="0" w:right="0" w:hanging="173"/>
        <w:jc w:val="left"/>
        <w:rPr/>
      </w:pPr>
      <w:r>
        <w:rPr>
          <w:color w:val="143A84"/>
        </w:rPr>
        <w:t>•</w:t>
      </w:r>
      <w:r>
        <w:rPr>
          <w:color w:val="000000"/>
        </w:rPr>
        <w:t>€</w:t>
      </w:r>
      <w:r>
        <w:rPr>
          <w:rFonts w:ascii="Helvetica Light;sans-serif" w:hAnsi="Helvetica Light;sans-serif"/>
          <w:b w:val="false"/>
          <w:color w:val="000000"/>
          <w:sz w:val="20"/>
        </w:rPr>
        <w:t>52 million related to stop-drive campaign on certain vehicles, mainly in Enlarged Europe;</w:t>
      </w:r>
    </w:p>
    <w:p>
      <w:pPr>
        <w:pStyle w:val="TextBody"/>
        <w:bidi w:val="0"/>
        <w:spacing w:lineRule="auto" w:line="343" w:before="0" w:after="120"/>
        <w:ind w:left="0" w:right="0" w:hanging="173"/>
        <w:jc w:val="left"/>
        <w:rPr/>
      </w:pPr>
      <w:r>
        <w:rPr>
          <w:color w:val="143A84"/>
        </w:rPr>
        <w:t>•</w:t>
      </w:r>
      <w:r>
        <w:rPr>
          <w:color w:val="000000"/>
        </w:rPr>
        <w:t>€</w:t>
      </w:r>
      <w:r>
        <w:rPr>
          <w:rFonts w:ascii="Helvetica Light;sans-serif" w:hAnsi="Helvetica Light;sans-serif"/>
          <w:b w:val="false"/>
          <w:color w:val="000000"/>
          <w:sz w:val="20"/>
        </w:rPr>
        <w:t>40 million primarily related to costs incurred as result of product plan realignments and program cancellations in North America;</w:t>
      </w:r>
    </w:p>
    <w:p>
      <w:pPr>
        <w:pStyle w:val="TextBody"/>
        <w:bidi w:val="0"/>
        <w:spacing w:lineRule="auto" w:line="343" w:before="0" w:after="120"/>
        <w:ind w:left="0" w:right="0" w:hanging="173"/>
        <w:jc w:val="left"/>
        <w:rPr/>
      </w:pPr>
      <w:r>
        <w:rPr>
          <w:color w:val="143A84"/>
        </w:rPr>
        <w:t>•</w:t>
      </w:r>
      <w:r>
        <w:rPr>
          <w:color w:val="000000"/>
        </w:rPr>
        <w:t>€</w:t>
      </w:r>
      <w:r>
        <w:rPr>
          <w:rFonts w:ascii="Helvetica Light;sans-serif" w:hAnsi="Helvetica Light;sans-serif"/>
          <w:b w:val="false"/>
          <w:color w:val="000000"/>
          <w:sz w:val="20"/>
        </w:rPr>
        <w:t>317 million net gain recognized within Cost of revenues related to renegotiated contractual commitments for the purchase of regulatory compliance credits; and</w:t>
      </w:r>
    </w:p>
    <w:p>
      <w:pPr>
        <w:pStyle w:val="TextBody"/>
        <w:bidi w:val="0"/>
        <w:spacing w:lineRule="auto" w:line="343" w:before="0" w:after="120"/>
        <w:ind w:left="0" w:right="0" w:hanging="173"/>
        <w:jc w:val="left"/>
        <w:rPr/>
      </w:pPr>
      <w:r>
        <w:rPr>
          <w:color w:val="143A84"/>
        </w:rPr>
        <w:t>•</w:t>
      </w:r>
      <w:r>
        <w:rPr>
          <w:color w:val="000000"/>
        </w:rPr>
        <w:t>€</w:t>
      </w:r>
      <w:r>
        <w:rPr>
          <w:rFonts w:ascii="Helvetica Light;sans-serif" w:hAnsi="Helvetica Light;sans-serif"/>
          <w:b w:val="false"/>
          <w:color w:val="000000"/>
          <w:sz w:val="20"/>
        </w:rPr>
        <w:t xml:space="preserve">71 million comprised primarily of gains recognized as a result of the loss of significant influence over Archer Aviation Inc (“Archer”) and the resulting termination of the equity method (refer to Note 2, Scope of consolidation in the Interim Condensed Consolidated Financial Statements included in this Interim Report for additional information), and a dilution gain related to the investment in Comau Group. </w:t>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During the six months ended June 30, 2026, Adjusted operating income excluded adjustments primarily related to:</w:t>
      </w:r>
    </w:p>
    <w:p>
      <w:pPr>
        <w:pStyle w:val="TextBody"/>
        <w:bidi w:val="0"/>
        <w:spacing w:lineRule="auto" w:line="343" w:before="0" w:after="120"/>
        <w:ind w:left="0" w:right="0" w:hanging="173"/>
        <w:jc w:val="left"/>
        <w:rPr/>
      </w:pPr>
      <w:r>
        <w:rPr>
          <w:color w:val="143A84"/>
        </w:rPr>
        <w:t>•</w:t>
      </w:r>
      <w:r>
        <w:rPr>
          <w:color w:val="000000"/>
        </w:rPr>
        <w:t>€</w:t>
      </w:r>
      <w:r>
        <w:rPr>
          <w:rFonts w:ascii="Helvetica Light;sans-serif" w:hAnsi="Helvetica Light;sans-serif"/>
          <w:b w:val="false"/>
          <w:color w:val="000000"/>
          <w:sz w:val="20"/>
        </w:rPr>
        <w:t>482 million of restructuring and other costs, primarily related to workforce reductions, mainly in Enlarged Europe;</w:t>
      </w:r>
    </w:p>
    <w:p>
      <w:pPr>
        <w:pStyle w:val="TextBody"/>
        <w:bidi w:val="0"/>
        <w:spacing w:lineRule="auto" w:line="343" w:before="0" w:after="120"/>
        <w:ind w:left="0" w:right="0" w:hanging="173"/>
        <w:jc w:val="left"/>
        <w:rPr/>
      </w:pPr>
      <w:r>
        <w:rPr>
          <w:color w:val="143A84"/>
        </w:rPr>
        <w:t>•</w:t>
      </w:r>
      <w:r>
        <w:rPr>
          <w:color w:val="000000"/>
        </w:rPr>
        <w:t>€</w:t>
      </w:r>
      <w:r>
        <w:rPr>
          <w:rFonts w:ascii="Helvetica Light;sans-serif" w:hAnsi="Helvetica Light;sans-serif"/>
          <w:b w:val="false"/>
          <w:color w:val="000000"/>
          <w:sz w:val="20"/>
        </w:rPr>
        <w:t>106 million related to stop-drive campaign on certain vehicles, mainly in Enlarged Europe;</w:t>
      </w:r>
    </w:p>
    <w:p>
      <w:pPr>
        <w:pStyle w:val="TextBody"/>
        <w:bidi w:val="0"/>
        <w:spacing w:lineRule="auto" w:line="343" w:before="0" w:after="120"/>
        <w:ind w:left="0" w:right="0" w:hanging="173"/>
        <w:jc w:val="left"/>
        <w:rPr/>
      </w:pPr>
      <w:r>
        <w:rPr>
          <w:color w:val="143A84"/>
        </w:rPr>
        <w:t>•</w:t>
      </w:r>
      <w:r>
        <w:rPr>
          <w:color w:val="000000"/>
        </w:rPr>
        <w:t>€</w:t>
      </w:r>
      <w:r>
        <w:rPr>
          <w:rFonts w:ascii="Helvetica Light;sans-serif" w:hAnsi="Helvetica Light;sans-serif"/>
          <w:b w:val="false"/>
          <w:color w:val="000000"/>
          <w:sz w:val="20"/>
        </w:rPr>
        <w:t>196 million primarily related to costs incurred as result of product plan realignments and program cancellations, including €221 million recognized in North America, as well as a provision reversal of €25 million in Enlarged Europe;</w:t>
      </w:r>
    </w:p>
    <w:p>
      <w:pPr>
        <w:pStyle w:val="TextBody"/>
        <w:bidi w:val="0"/>
        <w:spacing w:lineRule="auto" w:line="343" w:before="0" w:after="120"/>
        <w:ind w:left="0" w:right="0" w:hanging="173"/>
        <w:jc w:val="left"/>
        <w:rPr/>
      </w:pPr>
      <w:r>
        <w:rPr>
          <w:color w:val="143A84"/>
        </w:rPr>
        <w:t>•</w:t>
      </w:r>
      <w:r>
        <w:rPr>
          <w:color w:val="000000"/>
        </w:rPr>
        <w:t>€</w:t>
      </w:r>
      <w:r>
        <w:rPr>
          <w:rFonts w:ascii="Helvetica Light;sans-serif" w:hAnsi="Helvetica Light;sans-serif"/>
          <w:b w:val="false"/>
          <w:color w:val="000000"/>
          <w:sz w:val="20"/>
        </w:rPr>
        <w:t>66 million net gain recognized within Cost of revenues related to the repeal of GHG emissions standards in the U.S. The net gain consisted of an impairment of GHG-related Other intangible assets of €284 million and the elimination of the related GHG provision of €350 million;</w:t>
      </w:r>
    </w:p>
    <w:p>
      <w:pPr>
        <w:pStyle w:val="TextBody"/>
        <w:bidi w:val="0"/>
        <w:spacing w:before="0" w:after="24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503555"/>
                <wp:effectExtent l="0" t="0" r="0" b="0"/>
                <wp:wrapNone/>
                <wp:docPr id="27" name="Frame22"/>
                <a:graphic xmlns:a="http://schemas.openxmlformats.org/drawingml/2006/main">
                  <a:graphicData uri="http://schemas.microsoft.com/office/word/2010/wordprocessingShape">
                    <wps:wsp>
                      <wps:cNvSpPr txBox="1"/>
                      <wps:spPr>
                        <a:xfrm>
                          <a:off x="0" y="0"/>
                          <a:ext cx="6480175" cy="5035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18</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18</w:t>
                      </w:r>
                    </w:p>
                    <w:p>
                      <w:pPr>
                        <w:pStyle w:val="TextBody"/>
                        <w:bidi w:val="0"/>
                        <w:spacing w:before="0" w:after="24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343" w:before="0" w:after="120"/>
        <w:ind w:left="0" w:right="0" w:hanging="173"/>
        <w:jc w:val="left"/>
        <w:rPr/>
      </w:pPr>
      <w:r>
        <w:rPr>
          <w:color w:val="143A84"/>
        </w:rPr>
        <w:t>•</w:t>
      </w:r>
      <w:r>
        <w:rPr>
          <w:color w:val="000000"/>
        </w:rPr>
        <w:t>€</w:t>
      </w:r>
      <w:r>
        <w:rPr>
          <w:rFonts w:ascii="Helvetica Light;sans-serif" w:hAnsi="Helvetica Light;sans-serif"/>
          <w:b w:val="false"/>
          <w:color w:val="000000"/>
          <w:sz w:val="20"/>
        </w:rPr>
        <w:t>317 million net gain recognized within Cost of revenues related to renegotiated contractual commitments for the purchase of regulatory compliance credits; and</w:t>
      </w:r>
    </w:p>
    <w:p>
      <w:pPr>
        <w:pStyle w:val="TextBody"/>
        <w:bidi w:val="0"/>
        <w:spacing w:lineRule="auto" w:line="343" w:before="0" w:after="120"/>
        <w:ind w:left="0" w:right="0" w:hanging="173"/>
        <w:jc w:val="left"/>
        <w:rPr/>
      </w:pPr>
      <w:r>
        <w:rPr>
          <w:color w:val="143A84"/>
        </w:rPr>
        <w:t>•</w:t>
      </w:r>
      <w:r>
        <w:rPr>
          <w:color w:val="000000"/>
        </w:rPr>
        <w:t>€</w:t>
      </w:r>
      <w:r>
        <w:rPr>
          <w:rFonts w:ascii="Helvetica Light;sans-serif" w:hAnsi="Helvetica Light;sans-serif"/>
          <w:b w:val="false"/>
          <w:color w:val="000000"/>
          <w:sz w:val="20"/>
        </w:rPr>
        <w:t xml:space="preserve">59 million comprised primarily of (i) gains recognized as a result of the loss of significant influence over Archer and the resulting termination of the equity method (refer to Note 2, </w:t>
      </w:r>
      <w:r>
        <w:rPr>
          <w:rFonts w:ascii="Helvetica Light;sans-serif" w:hAnsi="Helvetica Light;sans-serif"/>
          <w:b w:val="false"/>
          <w:i/>
          <w:color w:val="000000"/>
          <w:sz w:val="20"/>
        </w:rPr>
        <w:t>Scope of consolidation</w:t>
      </w:r>
      <w:r>
        <w:rPr>
          <w:color w:val="000000"/>
        </w:rPr>
        <w:t xml:space="preserve"> </w:t>
      </w:r>
      <w:r>
        <w:rPr>
          <w:rFonts w:ascii="Helvetica Light;sans-serif" w:hAnsi="Helvetica Light;sans-serif"/>
          <w:b w:val="false"/>
          <w:color w:val="000000"/>
          <w:sz w:val="20"/>
        </w:rPr>
        <w:t xml:space="preserve">in the Interim Condensed Consolidated Financial Statements included in this Interim Report for additional information), and a dilution gain related to the investment in Comau Group, and (ii) gains/(losses) recognized on the disposal of non-significant assets in Enlarged Europe. </w:t>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During the three months ended June 30, 2025, Adjusted operating income excluded adjustments primarily related to:</w:t>
      </w:r>
    </w:p>
    <w:p>
      <w:pPr>
        <w:pStyle w:val="TextBody"/>
        <w:bidi w:val="0"/>
        <w:spacing w:lineRule="auto" w:line="343" w:before="0" w:after="120"/>
        <w:ind w:left="0" w:right="0" w:hanging="173"/>
        <w:jc w:val="left"/>
        <w:rPr/>
      </w:pPr>
      <w:r>
        <w:rPr>
          <w:color w:val="143A84"/>
        </w:rPr>
        <w:t>•</w:t>
      </w:r>
      <w:r>
        <w:rPr>
          <w:color w:val="000000"/>
        </w:rPr>
        <w:t>€</w:t>
      </w:r>
      <w:r>
        <w:rPr>
          <w:rFonts w:ascii="Helvetica Light;sans-serif" w:hAnsi="Helvetica Light;sans-serif"/>
          <w:b w:val="false"/>
          <w:color w:val="000000"/>
          <w:sz w:val="20"/>
        </w:rPr>
        <w:t>399 million of Restructuring and other costs, net of reversals, primarily related to workforce reductions, mainly in Enlarged Europe;</w:t>
      </w:r>
    </w:p>
    <w:p>
      <w:pPr>
        <w:pStyle w:val="TextBody"/>
        <w:bidi w:val="0"/>
        <w:spacing w:lineRule="auto" w:line="343" w:before="0" w:after="240"/>
        <w:ind w:left="0" w:right="0" w:hanging="173"/>
        <w:jc w:val="left"/>
        <w:rPr/>
      </w:pPr>
      <w:r>
        <w:rPr>
          <w:color w:val="143A84"/>
        </w:rPr>
        <w:t>•</w:t>
      </w:r>
      <w:r>
        <w:rPr>
          <w:color w:val="000000"/>
        </w:rPr>
        <w:t>€</w:t>
      </w:r>
      <w:r>
        <w:rPr>
          <w:rFonts w:ascii="Helvetica Light;sans-serif" w:hAnsi="Helvetica Light;sans-serif"/>
          <w:b w:val="false"/>
          <w:color w:val="000000"/>
          <w:sz w:val="20"/>
        </w:rPr>
        <w:t>174 million of Takata airbags recall campaign related to stop-drive campaign on certain vehicles in Enlarged Europe announced in June 2025;</w:t>
      </w:r>
    </w:p>
    <w:p>
      <w:pPr>
        <w:pStyle w:val="TextBody"/>
        <w:bidi w:val="0"/>
        <w:spacing w:lineRule="auto" w:line="343" w:before="0" w:after="240"/>
        <w:ind w:left="0" w:right="0" w:hanging="173"/>
        <w:jc w:val="left"/>
        <w:rPr/>
      </w:pPr>
      <w:r>
        <w:rPr>
          <w:color w:val="143A84"/>
        </w:rPr>
        <w:t>•</w:t>
      </w:r>
      <w:r>
        <w:rPr>
          <w:color w:val="000000"/>
        </w:rPr>
        <w:t>€</w:t>
      </w:r>
      <w:r>
        <w:rPr>
          <w:rFonts w:ascii="Helvetica Light;sans-serif" w:hAnsi="Helvetica Light;sans-serif"/>
          <w:b w:val="false"/>
          <w:color w:val="000000"/>
          <w:sz w:val="20"/>
        </w:rPr>
        <w:t>578 million of Platform impairments, due to reduced volumes, platforms used for Maserati and Alfa Romeo vehicles were impaired and recognized in Enlarged Europe for €578 million;</w:t>
      </w:r>
    </w:p>
    <w:p>
      <w:pPr>
        <w:pStyle w:val="TextBody"/>
        <w:bidi w:val="0"/>
        <w:spacing w:lineRule="auto" w:line="343" w:before="0" w:after="240"/>
        <w:ind w:left="0" w:right="0" w:hanging="173"/>
        <w:jc w:val="left"/>
        <w:rPr/>
      </w:pPr>
      <w:r>
        <w:rPr>
          <w:color w:val="143A84"/>
        </w:rPr>
        <w:t>•</w:t>
      </w:r>
      <w:r>
        <w:rPr>
          <w:color w:val="000000"/>
        </w:rPr>
        <w:t>€</w:t>
      </w:r>
      <w:r>
        <w:rPr>
          <w:rFonts w:ascii="Helvetica Light;sans-serif" w:hAnsi="Helvetica Light;sans-serif"/>
          <w:b w:val="false"/>
          <w:color w:val="000000"/>
          <w:sz w:val="20"/>
        </w:rPr>
        <w:t>296 million of costs related to program cancellations;</w:t>
      </w:r>
    </w:p>
    <w:p>
      <w:pPr>
        <w:pStyle w:val="TextBody"/>
        <w:bidi w:val="0"/>
        <w:spacing w:lineRule="auto" w:line="343" w:before="0" w:after="240"/>
        <w:ind w:left="0" w:right="0" w:hanging="173"/>
        <w:jc w:val="left"/>
        <w:rPr/>
      </w:pPr>
      <w:r>
        <w:rPr>
          <w:color w:val="143A84"/>
        </w:rPr>
        <w:t>•</w:t>
      </w:r>
      <w:r>
        <w:rPr>
          <w:color w:val="000000"/>
        </w:rPr>
        <w:t>€</w:t>
      </w:r>
      <w:r>
        <w:rPr>
          <w:rFonts w:ascii="Helvetica Light;sans-serif" w:hAnsi="Helvetica Light;sans-serif"/>
          <w:b w:val="false"/>
          <w:color w:val="000000"/>
          <w:sz w:val="20"/>
        </w:rPr>
        <w:t>733 million of Fuel cell program discontinuation during the three months ended June 30, 2025, Stellantis decided to discontinue its fuel cell strategy. As a result, the following items have been impaired: (i) investment in Symbio (€179 million), (ii) loans granted to Symbio (€162 million), (iii) capitalized development expenditures and property, plant and equipment related to fuel cells (€329 million) and (iv) in addition, provisions for risks were recognized (€63 million);</w:t>
      </w:r>
    </w:p>
    <w:p>
      <w:pPr>
        <w:pStyle w:val="TextBody"/>
        <w:bidi w:val="0"/>
        <w:spacing w:lineRule="auto" w:line="343" w:before="0" w:after="240"/>
        <w:ind w:left="0" w:right="0" w:hanging="173"/>
        <w:jc w:val="left"/>
        <w:rPr/>
      </w:pPr>
      <w:r>
        <w:rPr>
          <w:color w:val="143A84"/>
        </w:rPr>
        <w:t>•</w:t>
      </w:r>
      <w:r>
        <w:rPr>
          <w:color w:val="000000"/>
        </w:rPr>
        <w:t>€</w:t>
      </w:r>
      <w:r>
        <w:rPr>
          <w:rFonts w:ascii="Helvetica Light;sans-serif" w:hAnsi="Helvetica Light;sans-serif"/>
          <w:b w:val="false"/>
          <w:color w:val="000000"/>
          <w:sz w:val="20"/>
        </w:rPr>
        <w:t>269 million of CAFE penalty rate. As a result of the elimination of CAFE fines with the enactment of One Big Beautiful Bill Act (“OBBB”), net expense included (i) elimination of the CAFE provision of €844 million, (ii) impairment of the regulatory credit assets of €609 million, and (iii) onerous contracts related to contractual purchase commitments for CAFE credits of €504 million;</w:t>
      </w:r>
    </w:p>
    <w:p>
      <w:pPr>
        <w:pStyle w:val="TextBody"/>
        <w:bidi w:val="0"/>
        <w:spacing w:lineRule="auto" w:line="343" w:before="0" w:after="240"/>
        <w:ind w:left="0" w:right="0" w:hanging="173"/>
        <w:jc w:val="left"/>
        <w:rPr/>
      </w:pPr>
      <w:r>
        <w:rPr>
          <w:color w:val="143A84"/>
        </w:rPr>
        <w:t>•</w:t>
      </w:r>
      <w:r>
        <w:rPr>
          <w:color w:val="000000"/>
        </w:rPr>
        <w:t>€</w:t>
      </w:r>
      <w:r>
        <w:rPr>
          <w:rFonts w:ascii="Helvetica Light;sans-serif" w:hAnsi="Helvetica Light;sans-serif"/>
          <w:b w:val="false"/>
          <w:color w:val="000000"/>
          <w:sz w:val="20"/>
        </w:rPr>
        <w:t>246 million of Stellantis Türkiye disposal, driven primarily by the recycling of the cumulative translation reserve from Equity to the Consolidated Income Statement upon disposal; and</w:t>
      </w:r>
    </w:p>
    <w:p>
      <w:pPr>
        <w:pStyle w:val="TextBody"/>
        <w:bidi w:val="0"/>
        <w:spacing w:lineRule="auto" w:line="343" w:before="0" w:after="240"/>
        <w:ind w:left="0" w:right="0" w:hanging="173"/>
        <w:jc w:val="left"/>
        <w:rPr/>
      </w:pPr>
      <w:r>
        <w:rPr>
          <w:color w:val="143A84"/>
        </w:rPr>
        <w:t>•</w:t>
      </w:r>
      <w:r>
        <w:rPr>
          <w:color w:val="000000"/>
        </w:rPr>
        <w:t>€</w:t>
      </w:r>
      <w:r>
        <w:rPr>
          <w:rFonts w:ascii="Helvetica Light;sans-serif" w:hAnsi="Helvetica Light;sans-serif"/>
          <w:b w:val="false"/>
          <w:color w:val="000000"/>
          <w:sz w:val="20"/>
        </w:rPr>
        <w:t>88 million of Other, primarily of (i) adjustments to costs previously recognized to support the workforce during the transformation of certain plants in North America, (ii) gains on disposal of investments in Enlarged Europe and (iii) a gain from dilution related to the investment in Archer.</w:t>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During the six months ended June 30, 2025, Adjusted operating income/(loss) excluded adjustments primarily related to:</w:t>
      </w:r>
    </w:p>
    <w:p>
      <w:pPr>
        <w:pStyle w:val="TextBody"/>
        <w:bidi w:val="0"/>
        <w:spacing w:lineRule="auto" w:line="343" w:before="0" w:after="120"/>
        <w:jc w:val="left"/>
        <w:rPr/>
      </w:pPr>
      <w:r>
        <w:rPr>
          <w:color w:val="143A84"/>
        </w:rPr>
        <w:t>•</w:t>
      </w:r>
      <w:r>
        <w:rPr>
          <w:color w:val="000000"/>
        </w:rPr>
        <w:t xml:space="preserve"> €</w:t>
      </w:r>
      <w:r>
        <w:rPr>
          <w:rFonts w:ascii="Helvetica Light;sans-serif" w:hAnsi="Helvetica Light;sans-serif"/>
          <w:b w:val="false"/>
          <w:color w:val="000000"/>
          <w:sz w:val="20"/>
        </w:rPr>
        <w:t>522 million of restructuring and other costs, primarily related to workforce reductions, mainly in Enlarged Europe, partially offset by a €41 million reduction in estimated North America restructuring costs;</w:t>
      </w:r>
    </w:p>
    <w:p>
      <w:pPr>
        <w:pStyle w:val="TextBody"/>
        <w:bidi w:val="0"/>
        <w:spacing w:lineRule="auto" w:line="343" w:before="0" w:after="120"/>
        <w:jc w:val="left"/>
        <w:rPr/>
      </w:pPr>
      <w:r>
        <w:rPr>
          <w:color w:val="143A84"/>
        </w:rPr>
        <w:t>•</w:t>
      </w:r>
      <w:r>
        <w:rPr>
          <w:color w:val="000000"/>
        </w:rPr>
        <w:t xml:space="preserve"> €</w:t>
      </w:r>
      <w:r>
        <w:rPr>
          <w:rFonts w:ascii="Helvetica Light;sans-serif" w:hAnsi="Helvetica Light;sans-serif"/>
          <w:b w:val="false"/>
          <w:color w:val="000000"/>
          <w:sz w:val="20"/>
        </w:rPr>
        <w:t>239 million of Takata airbags recall campaign, related to stop-drive campaign on certain vehicles in Enlarged Europe announced in June 2025;</w:t>
      </w:r>
    </w:p>
    <w:p>
      <w:pPr>
        <w:pStyle w:val="TextBody"/>
        <w:bidi w:val="0"/>
        <w:spacing w:lineRule="auto" w:line="343" w:before="0" w:after="120"/>
        <w:jc w:val="left"/>
        <w:rPr/>
      </w:pPr>
      <w:r>
        <w:rPr>
          <w:color w:val="143A84"/>
        </w:rPr>
        <w:t>•</w:t>
      </w:r>
      <w:r>
        <w:rPr>
          <w:color w:val="000000"/>
        </w:rPr>
        <w:t xml:space="preserve"> €</w:t>
      </w:r>
      <w:r>
        <w:rPr>
          <w:rFonts w:ascii="Helvetica Light;sans-serif" w:hAnsi="Helvetica Light;sans-serif"/>
          <w:b w:val="false"/>
          <w:color w:val="000000"/>
          <w:sz w:val="20"/>
        </w:rPr>
        <w:t>578 million of platform impairments. Due to reduced volumes, platforms used for Maserati and Alfa Romeo vehicles were impaired and recognized in Maserati for €552 million and in Enlarged Europe for €26 million;</w:t>
      </w:r>
    </w:p>
    <w:p>
      <w:pPr>
        <w:pStyle w:val="TextBody"/>
        <w:bidi w:val="0"/>
        <w:spacing w:before="0" w:after="24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503555"/>
                <wp:effectExtent l="0" t="0" r="0" b="0"/>
                <wp:wrapNone/>
                <wp:docPr id="28" name="Frame23"/>
                <a:graphic xmlns:a="http://schemas.openxmlformats.org/drawingml/2006/main">
                  <a:graphicData uri="http://schemas.microsoft.com/office/word/2010/wordprocessingShape">
                    <wps:wsp>
                      <wps:cNvSpPr txBox="1"/>
                      <wps:spPr>
                        <a:xfrm>
                          <a:off x="0" y="0"/>
                          <a:ext cx="6480175" cy="5035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19</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19</w:t>
                      </w:r>
                    </w:p>
                    <w:p>
                      <w:pPr>
                        <w:pStyle w:val="TextBody"/>
                        <w:bidi w:val="0"/>
                        <w:spacing w:before="0" w:after="24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343" w:before="0" w:after="120"/>
        <w:jc w:val="left"/>
        <w:rPr/>
      </w:pPr>
      <w:r>
        <w:rPr>
          <w:color w:val="143A84"/>
        </w:rPr>
        <w:t>•</w:t>
      </w:r>
      <w:r>
        <w:rPr>
          <w:color w:val="000000"/>
        </w:rPr>
        <w:t xml:space="preserve"> €</w:t>
      </w:r>
      <w:r>
        <w:rPr>
          <w:rFonts w:ascii="Helvetica Light;sans-serif" w:hAnsi="Helvetica Light;sans-serif"/>
          <w:b w:val="false"/>
          <w:color w:val="000000"/>
          <w:sz w:val="20"/>
        </w:rPr>
        <w:t>789 million of costs related to program cancellations;</w:t>
      </w:r>
    </w:p>
    <w:p>
      <w:pPr>
        <w:pStyle w:val="TextBody"/>
        <w:bidi w:val="0"/>
        <w:spacing w:lineRule="auto" w:line="343" w:before="0" w:after="120"/>
        <w:jc w:val="left"/>
        <w:rPr/>
      </w:pPr>
      <w:r>
        <w:rPr>
          <w:color w:val="143A84"/>
        </w:rPr>
        <w:t>•</w:t>
      </w:r>
      <w:r>
        <w:rPr>
          <w:color w:val="000000"/>
        </w:rPr>
        <w:t xml:space="preserve"> €</w:t>
      </w:r>
      <w:r>
        <w:rPr>
          <w:rFonts w:ascii="Helvetica Light;sans-serif" w:hAnsi="Helvetica Light;sans-serif"/>
          <w:b w:val="false"/>
          <w:color w:val="000000"/>
          <w:sz w:val="20"/>
        </w:rPr>
        <w:t>733 million related to the Company’s decision to discontinue its hydrogen fuel cell strategy. As a result, the following items have been impaired: (i) investment in Symbio (€179 million), (ii) loans granted to Symbio (€162 million), (iii) capitalized development expenditures and property, plant and equipment related to fuel cells (€329 million), and (iv) in addition, provisions for risks were recognized (€63 million);</w:t>
      </w:r>
    </w:p>
    <w:p>
      <w:pPr>
        <w:pStyle w:val="TextBody"/>
        <w:bidi w:val="0"/>
        <w:spacing w:lineRule="auto" w:line="343" w:before="0" w:after="120"/>
        <w:jc w:val="left"/>
        <w:rPr/>
      </w:pPr>
      <w:r>
        <w:rPr>
          <w:color w:val="143A84"/>
        </w:rPr>
        <w:t>•</w:t>
      </w:r>
      <w:r>
        <w:rPr>
          <w:color w:val="000000"/>
        </w:rPr>
        <w:t xml:space="preserve"> €</w:t>
      </w:r>
      <w:r>
        <w:rPr>
          <w:rFonts w:ascii="Helvetica Light;sans-serif" w:hAnsi="Helvetica Light;sans-serif"/>
          <w:b w:val="false"/>
          <w:color w:val="000000"/>
          <w:sz w:val="20"/>
        </w:rPr>
        <w:t>269 million of CAFE penalty rate. As a result of the elimination of CAFE fines with the enactment of the OBBB, the Company recognized a net expense of €97 million, comprised of net €172 million of CAFE credits recognized as a reduction of Cost of revenues, which remains included in Adjusted operating income as these amounts reduced prior year CAFE fines, and a net expense of €269 million, which is excluded from AOI and comprised of (i) elimination of the CAFE provision of €844 million, (ii) impairment of the regulatory credit assets of €609 million, and (iii) onerous contracts related to contractual purchase commitments for CAFE credits of €504 million;</w:t>
      </w:r>
    </w:p>
    <w:p>
      <w:pPr>
        <w:pStyle w:val="TextBody"/>
        <w:bidi w:val="0"/>
        <w:spacing w:lineRule="auto" w:line="343" w:before="0" w:after="120"/>
        <w:jc w:val="left"/>
        <w:rPr/>
      </w:pPr>
      <w:r>
        <w:rPr>
          <w:color w:val="143A84"/>
        </w:rPr>
        <w:t>•</w:t>
      </w:r>
      <w:r>
        <w:rPr>
          <w:color w:val="000000"/>
        </w:rPr>
        <w:t xml:space="preserve"> €</w:t>
      </w:r>
      <w:r>
        <w:rPr>
          <w:rFonts w:ascii="Helvetica Light;sans-serif" w:hAnsi="Helvetica Light;sans-serif"/>
          <w:b w:val="false"/>
          <w:color w:val="000000"/>
          <w:sz w:val="20"/>
        </w:rPr>
        <w:t>246 million related to the sale of Stellantis Türkiye to the Company’s joint venture, Tofas-Turk Otomobil Fabrikasi A.S. (“Tofas”), for which the Company recognized an estimated loss on disposal of €246 million, driven primarily by the recycling of the cumulative translation reserve from Equity to the Consolidated Income Statement upon disposal; and</w:t>
      </w:r>
    </w:p>
    <w:p>
      <w:pPr>
        <w:pStyle w:val="TextBody"/>
        <w:bidi w:val="0"/>
        <w:spacing w:lineRule="auto" w:line="343" w:before="0" w:after="240"/>
        <w:jc w:val="left"/>
        <w:rPr/>
      </w:pPr>
      <w:r>
        <w:rPr>
          <w:color w:val="143A84"/>
        </w:rPr>
        <w:t>•</w:t>
      </w:r>
      <w:r>
        <w:rPr>
          <w:color w:val="000000"/>
        </w:rPr>
        <w:t xml:space="preserve"> €</w:t>
      </w:r>
      <w:r>
        <w:rPr>
          <w:rFonts w:ascii="Helvetica Light;sans-serif" w:hAnsi="Helvetica Light;sans-serif"/>
          <w:b w:val="false"/>
          <w:color w:val="000000"/>
          <w:sz w:val="20"/>
        </w:rPr>
        <w:t>(126) million of Other, primarily related to (i) adjustments to costs previously recognized to support the workforce during the transformation of certain plants in North America, (ii) gains on sales of real estate in Enlarged Europe, and (iii) a gain from dilution related to the investment in Archer.</w:t>
      </w:r>
    </w:p>
    <w:p>
      <w:pPr>
        <w:pStyle w:val="TextBody"/>
        <w:bidi w:val="0"/>
        <w:spacing w:lineRule="auto" w:line="288" w:before="0" w:after="120"/>
        <w:jc w:val="left"/>
        <w:rPr>
          <w:rFonts w:ascii="Helvetica;sans-serif" w:hAnsi="Helvetica;sans-serif"/>
          <w:b/>
          <w:color w:val="143A84"/>
          <w:sz w:val="18"/>
        </w:rPr>
      </w:pPr>
      <w:r>
        <w:rPr>
          <w:rFonts w:ascii="Helvetica;sans-serif" w:hAnsi="Helvetica;sans-serif"/>
          <w:b/>
          <w:color w:val="143A84"/>
          <w:sz w:val="18"/>
        </w:rPr>
        <w:t>Diluted and Adjusted diluted EPS</w:t>
      </w:r>
    </w:p>
    <w:tbl>
      <w:tblPr>
        <w:tblW w:w="10205" w:type="dxa"/>
        <w:jc w:val="left"/>
        <w:tblInd w:w="0" w:type="dxa"/>
        <w:tblLayout w:type="fixed"/>
        <w:tblCellMar>
          <w:top w:w="28" w:type="dxa"/>
          <w:left w:w="28" w:type="dxa"/>
          <w:bottom w:w="28" w:type="dxa"/>
          <w:right w:w="28" w:type="dxa"/>
        </w:tblCellMar>
      </w:tblPr>
      <w:tblGrid>
        <w:gridCol w:w="328"/>
        <w:gridCol w:w="252"/>
        <w:gridCol w:w="216"/>
        <w:gridCol w:w="216"/>
        <w:gridCol w:w="216"/>
        <w:gridCol w:w="216"/>
        <w:gridCol w:w="291"/>
        <w:gridCol w:w="270"/>
        <w:gridCol w:w="216"/>
        <w:gridCol w:w="109"/>
        <w:gridCol w:w="109"/>
        <w:gridCol w:w="109"/>
        <w:gridCol w:w="369"/>
        <w:gridCol w:w="337"/>
        <w:gridCol w:w="841"/>
        <w:gridCol w:w="109"/>
        <w:gridCol w:w="109"/>
        <w:gridCol w:w="109"/>
        <w:gridCol w:w="510"/>
        <w:gridCol w:w="477"/>
        <w:gridCol w:w="438"/>
        <w:gridCol w:w="109"/>
        <w:gridCol w:w="109"/>
        <w:gridCol w:w="109"/>
        <w:gridCol w:w="266"/>
        <w:gridCol w:w="257"/>
        <w:gridCol w:w="202"/>
        <w:gridCol w:w="202"/>
        <w:gridCol w:w="202"/>
        <w:gridCol w:w="202"/>
        <w:gridCol w:w="282"/>
        <w:gridCol w:w="279"/>
        <w:gridCol w:w="202"/>
        <w:gridCol w:w="109"/>
        <w:gridCol w:w="109"/>
        <w:gridCol w:w="109"/>
        <w:gridCol w:w="351"/>
        <w:gridCol w:w="318"/>
        <w:gridCol w:w="941"/>
      </w:tblGrid>
      <w:tr>
        <w:trPr/>
        <w:tc>
          <w:tcPr>
            <w:tcW w:w="32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r>
      <w:tr>
        <w:trPr/>
        <w:tc>
          <w:tcPr>
            <w:tcW w:w="222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shd w:fill="E6E7F4"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Increase/(Decrease)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shd w:fill="E6E7F4"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Increase/(Decrease)</w:t>
            </w:r>
          </w:p>
        </w:tc>
      </w:tr>
      <w:tr>
        <w:trPr/>
        <w:tc>
          <w:tcPr>
            <w:tcW w:w="796"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2026</w:t>
            </w:r>
          </w:p>
        </w:tc>
        <w:tc>
          <w:tcPr>
            <w:tcW w:w="648"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2025</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2026 vs.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Helvetica;sans-serif" w:hAnsi="Helvetica;sans-serif"/>
                <w:b w:val="false"/>
                <w:i/>
                <w:color w:val="000000"/>
                <w:sz w:val="16"/>
              </w:rPr>
            </w:pPr>
            <w:r>
              <w:rPr>
                <w:rFonts w:ascii="Helvetica;sans-serif" w:hAnsi="Helvetica;sans-serif"/>
                <w:b w:val="false"/>
                <w:i/>
                <w:color w:val="000000"/>
                <w:sz w:val="16"/>
              </w:rPr>
              <w:t>(€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2026</w:t>
            </w:r>
          </w:p>
        </w:tc>
        <w:tc>
          <w:tcPr>
            <w:tcW w:w="606"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2025</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2026 vs. 2025</w:t>
            </w:r>
          </w:p>
        </w:tc>
      </w:tr>
      <w:tr>
        <w:trPr/>
        <w:tc>
          <w:tcPr>
            <w:tcW w:w="580" w:type="dxa"/>
            <w:gridSpan w:val="2"/>
            <w:tcBorders>
              <w:top w:val="single" w:sz="2" w:space="0" w:color="143A84"/>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0.07 </w:t>
            </w:r>
          </w:p>
        </w:tc>
        <w:tc>
          <w:tcPr>
            <w:tcW w:w="216" w:type="dxa"/>
            <w:tcBorders>
              <w:top w:val="single" w:sz="2" w:space="0" w:color="143A84"/>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2"/>
            <w:tcBorders>
              <w:top w:val="single" w:sz="2" w:space="0" w:color="143A84"/>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(0.65)</w:t>
            </w:r>
          </w:p>
        </w:tc>
        <w:tc>
          <w:tcPr>
            <w:tcW w:w="216" w:type="dxa"/>
            <w:tcBorders>
              <w:top w:val="single" w:sz="2" w:space="0" w:color="143A84"/>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top w:val="single" w:sz="2" w:space="0" w:color="143A84"/>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n.m.</w:t>
            </w:r>
          </w:p>
        </w:tc>
        <w:tc>
          <w:tcPr>
            <w:tcW w:w="327"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2" w:space="0" w:color="143A84"/>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Diluted EPS</w:t>
            </w:r>
          </w:p>
        </w:tc>
        <w:tc>
          <w:tcPr>
            <w:tcW w:w="327"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2"/>
            <w:tcBorders>
              <w:top w:val="single" w:sz="2" w:space="0" w:color="143A84"/>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0.20 </w:t>
            </w:r>
          </w:p>
        </w:tc>
        <w:tc>
          <w:tcPr>
            <w:tcW w:w="202" w:type="dxa"/>
            <w:tcBorders>
              <w:top w:val="single" w:sz="2" w:space="0" w:color="143A84"/>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2"/>
            <w:tcBorders>
              <w:top w:val="single" w:sz="2" w:space="0" w:color="143A84"/>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(0.78)</w:t>
            </w:r>
          </w:p>
        </w:tc>
        <w:tc>
          <w:tcPr>
            <w:tcW w:w="202" w:type="dxa"/>
            <w:tcBorders>
              <w:top w:val="single" w:sz="2" w:space="0" w:color="143A84"/>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top w:val="single" w:sz="2" w:space="0" w:color="143A84"/>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n.m.</w:t>
            </w:r>
          </w:p>
        </w:tc>
      </w:tr>
      <w:tr>
        <w:trPr/>
        <w:tc>
          <w:tcPr>
            <w:tcW w:w="580" w:type="dxa"/>
            <w:gridSpan w:val="2"/>
            <w:tcBorders>
              <w:top w:val="single" w:sz="2" w:space="0" w:color="8E939F"/>
              <w:bottom w:val="single" w:sz="2" w:space="0" w:color="8E939F"/>
            </w:tcBorders>
            <w:shd w:fill="F3F3F9" w:val="clear"/>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0.12 </w:t>
            </w:r>
          </w:p>
        </w:tc>
        <w:tc>
          <w:tcPr>
            <w:tcW w:w="216" w:type="dxa"/>
            <w:tcBorders>
              <w:top w:val="single" w:sz="2" w:space="0" w:color="8E939F"/>
              <w:bottom w:val="single" w:sz="2" w:space="0" w:color="8E939F"/>
            </w:tcBorders>
            <w:shd w:fill="F3F3F9"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op w:val="single" w:sz="2" w:space="0" w:color="8E939F"/>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561" w:type="dxa"/>
            <w:gridSpan w:val="2"/>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0.15 </w:t>
            </w:r>
          </w:p>
        </w:tc>
        <w:tc>
          <w:tcPr>
            <w:tcW w:w="216" w:type="dxa"/>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(20.0)</w:t>
            </w:r>
          </w:p>
        </w:tc>
        <w:tc>
          <w:tcPr>
            <w:tcW w:w="841" w:type="dxa"/>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w:t>
            </w:r>
          </w:p>
        </w:tc>
        <w:tc>
          <w:tcPr>
            <w:tcW w:w="327" w:type="dxa"/>
            <w:gridSpan w:val="3"/>
            <w:tcBorders>
              <w:top w:val="single" w:sz="2" w:space="0" w:color="8E939F"/>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Adjusted diluted EPS</w:t>
            </w:r>
          </w:p>
        </w:tc>
        <w:tc>
          <w:tcPr>
            <w:tcW w:w="327" w:type="dxa"/>
            <w:gridSpan w:val="3"/>
            <w:tcBorders>
              <w:top w:val="single" w:sz="2" w:space="0" w:color="8E939F"/>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523" w:type="dxa"/>
            <w:gridSpan w:val="2"/>
            <w:tcBorders>
              <w:top w:val="single" w:sz="2" w:space="0" w:color="8E939F"/>
              <w:bottom w:val="single" w:sz="2" w:space="0" w:color="8E939F"/>
            </w:tcBorders>
            <w:shd w:fill="F3F3F9" w:val="clear"/>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0.32 </w:t>
            </w:r>
          </w:p>
        </w:tc>
        <w:tc>
          <w:tcPr>
            <w:tcW w:w="202" w:type="dxa"/>
            <w:tcBorders>
              <w:top w:val="single" w:sz="2" w:space="0" w:color="8E939F"/>
              <w:bottom w:val="single" w:sz="2" w:space="0" w:color="8E939F"/>
            </w:tcBorders>
            <w:shd w:fill="F3F3F9"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op w:val="single" w:sz="2" w:space="0" w:color="8E939F"/>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561" w:type="dxa"/>
            <w:gridSpan w:val="2"/>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0.18 </w:t>
            </w:r>
          </w:p>
        </w:tc>
        <w:tc>
          <w:tcPr>
            <w:tcW w:w="202" w:type="dxa"/>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77.8 </w:t>
            </w:r>
          </w:p>
        </w:tc>
        <w:tc>
          <w:tcPr>
            <w:tcW w:w="941" w:type="dxa"/>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w:t>
            </w:r>
          </w:p>
        </w:tc>
      </w:tr>
    </w:tbl>
    <w:p>
      <w:pPr>
        <w:pStyle w:val="TextBody"/>
        <w:bidi w:val="0"/>
        <w:spacing w:lineRule="auto" w:line="288" w:before="0" w:after="240"/>
        <w:jc w:val="left"/>
        <w:rPr>
          <w:rFonts w:ascii="Helvetica Light;sans-serif" w:hAnsi="Helvetica Light;sans-serif"/>
          <w:b w:val="false"/>
          <w:color w:val="000000"/>
          <w:sz w:val="16"/>
        </w:rPr>
      </w:pPr>
      <w:r>
        <w:rPr>
          <w:rFonts w:ascii="Helvetica Light;sans-serif" w:hAnsi="Helvetica Light;sans-serif"/>
          <w:b w:val="false"/>
          <w:color w:val="000000"/>
          <w:sz w:val="16"/>
        </w:rPr>
        <w:t>n.m. = not meaningful</w:t>
      </w:r>
    </w:p>
    <w:p>
      <w:pPr>
        <w:pStyle w:val="TextBody"/>
        <w:bidi w:val="0"/>
        <w:spacing w:before="0" w:after="24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503555"/>
                <wp:effectExtent l="0" t="0" r="0" b="0"/>
                <wp:wrapNone/>
                <wp:docPr id="29" name="Frame24"/>
                <a:graphic xmlns:a="http://schemas.openxmlformats.org/drawingml/2006/main">
                  <a:graphicData uri="http://schemas.microsoft.com/office/word/2010/wordprocessingShape">
                    <wps:wsp>
                      <wps:cNvSpPr txBox="1"/>
                      <wps:spPr>
                        <a:xfrm>
                          <a:off x="0" y="0"/>
                          <a:ext cx="6480175" cy="5035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20</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20</w:t>
                      </w:r>
                    </w:p>
                    <w:p>
                      <w:pPr>
                        <w:pStyle w:val="TextBody"/>
                        <w:bidi w:val="0"/>
                        <w:spacing w:before="0" w:after="24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343" w:before="0" w:after="120"/>
        <w:jc w:val="left"/>
        <w:rPr>
          <w:rFonts w:ascii="Helvetica Light;sans-serif" w:hAnsi="Helvetica Light;sans-serif"/>
          <w:b w:val="false"/>
          <w:color w:val="000000"/>
          <w:sz w:val="20"/>
        </w:rPr>
      </w:pPr>
      <w:r>
        <w:rPr>
          <w:rFonts w:ascii="Helvetica Light;sans-serif" w:hAnsi="Helvetica Light;sans-serif"/>
          <w:b w:val="false"/>
          <w:color w:val="000000"/>
          <w:sz w:val="20"/>
        </w:rPr>
        <w:t>The following table summarizes the reconciliation of Diluted (loss)/earnings per share to Adjusted diluted earnings per share:</w:t>
      </w:r>
    </w:p>
    <w:tbl>
      <w:tblPr>
        <w:tblW w:w="10205" w:type="dxa"/>
        <w:jc w:val="left"/>
        <w:tblInd w:w="0" w:type="dxa"/>
        <w:tblLayout w:type="fixed"/>
        <w:tblCellMar>
          <w:top w:w="28" w:type="dxa"/>
          <w:left w:w="28" w:type="dxa"/>
          <w:bottom w:w="28" w:type="dxa"/>
          <w:right w:w="28" w:type="dxa"/>
        </w:tblCellMar>
      </w:tblPr>
      <w:tblGrid>
        <w:gridCol w:w="655"/>
        <w:gridCol w:w="336"/>
        <w:gridCol w:w="186"/>
        <w:gridCol w:w="186"/>
        <w:gridCol w:w="186"/>
        <w:gridCol w:w="186"/>
        <w:gridCol w:w="675"/>
        <w:gridCol w:w="301"/>
        <w:gridCol w:w="186"/>
        <w:gridCol w:w="109"/>
        <w:gridCol w:w="109"/>
        <w:gridCol w:w="109"/>
        <w:gridCol w:w="1421"/>
        <w:gridCol w:w="1165"/>
        <w:gridCol w:w="1169"/>
        <w:gridCol w:w="109"/>
        <w:gridCol w:w="109"/>
        <w:gridCol w:w="109"/>
        <w:gridCol w:w="525"/>
        <w:gridCol w:w="451"/>
        <w:gridCol w:w="173"/>
        <w:gridCol w:w="173"/>
        <w:gridCol w:w="173"/>
        <w:gridCol w:w="173"/>
        <w:gridCol w:w="604"/>
        <w:gridCol w:w="372"/>
        <w:gridCol w:w="255"/>
      </w:tblGrid>
      <w:tr>
        <w:trPr/>
        <w:tc>
          <w:tcPr>
            <w:tcW w:w="65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r>
      <w:tr>
        <w:trPr/>
        <w:tc>
          <w:tcPr>
            <w:tcW w:w="289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Six Months Ended June 30,</w:t>
            </w:r>
          </w:p>
        </w:tc>
      </w:tr>
      <w:tr>
        <w:trPr/>
        <w:tc>
          <w:tcPr>
            <w:tcW w:w="1177"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2026</w:t>
            </w:r>
          </w:p>
        </w:tc>
        <w:tc>
          <w:tcPr>
            <w:tcW w:w="558"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5"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Helvetica;sans-serif" w:hAnsi="Helvetica;sans-serif"/>
                <w:b w:val="false"/>
                <w:i/>
                <w:color w:val="000000"/>
                <w:sz w:val="16"/>
              </w:rPr>
            </w:pPr>
            <w:r>
              <w:rPr>
                <w:rFonts w:ascii="Helvetica;sans-serif" w:hAnsi="Helvetica;sans-serif"/>
                <w:b w:val="false"/>
                <w:i/>
                <w:color w:val="000000"/>
                <w:sz w:val="16"/>
              </w:rPr>
              <w:t>(€ million except otherwise noted)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2026</w:t>
            </w:r>
          </w:p>
        </w:tc>
        <w:tc>
          <w:tcPr>
            <w:tcW w:w="519"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2025</w:t>
            </w:r>
          </w:p>
        </w:tc>
      </w:tr>
      <w:tr>
        <w:trPr/>
        <w:tc>
          <w:tcPr>
            <w:tcW w:w="991" w:type="dxa"/>
            <w:gridSpan w:val="2"/>
            <w:tcBorders>
              <w:top w:val="single" w:sz="2" w:space="0" w:color="143A84"/>
            </w:tcBorders>
            <w:shd w:fill="E6E7F4"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8"/>
              </w:rPr>
              <w:t>266</w:t>
            </w:r>
            <w:r>
              <w:rPr>
                <w:color w:val="243782"/>
              </w:rPr>
              <w:t> </w:t>
            </w:r>
          </w:p>
        </w:tc>
        <w:tc>
          <w:tcPr>
            <w:tcW w:w="186" w:type="dxa"/>
            <w:tcBorders>
              <w:top w:val="single" w:sz="2" w:space="0" w:color="143A84"/>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top w:val="single" w:sz="2" w:space="0" w:color="143A84"/>
            </w:tcBorders>
            <w:shd w:fill="E6E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143A84"/>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(1,869)</w:t>
            </w:r>
          </w:p>
        </w:tc>
        <w:tc>
          <w:tcPr>
            <w:tcW w:w="186" w:type="dxa"/>
            <w:tcBorders>
              <w:top w:val="single" w:sz="2" w:space="0" w:color="143A84"/>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143A84"/>
            </w:tcBorders>
            <w:shd w:fill="E6E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5" w:type="dxa"/>
            <w:gridSpan w:val="3"/>
            <w:tcBorders>
              <w:top w:val="single" w:sz="2" w:space="0" w:color="143A84"/>
            </w:tcBorders>
            <w:shd w:fill="E6E7F4"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243782"/>
                <w:sz w:val="18"/>
              </w:rPr>
            </w:pPr>
            <w:r>
              <w:rPr>
                <w:rFonts w:ascii="Helvetica;sans-serif" w:hAnsi="Helvetica;sans-serif"/>
                <w:b/>
                <w:color w:val="243782"/>
                <w:sz w:val="18"/>
              </w:rPr>
              <w:t>Net (loss)/profit attributable to owners of the parent</w:t>
            </w:r>
          </w:p>
        </w:tc>
        <w:tc>
          <w:tcPr>
            <w:tcW w:w="327" w:type="dxa"/>
            <w:gridSpan w:val="3"/>
            <w:tcBorders>
              <w:top w:val="single" w:sz="2" w:space="0" w:color="143A84"/>
            </w:tcBorders>
            <w:shd w:fill="E6E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143A84"/>
            </w:tcBorders>
            <w:shd w:fill="E6E7F4"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8"/>
              </w:rPr>
              <w:t>656</w:t>
            </w:r>
            <w:r>
              <w:rPr>
                <w:color w:val="243782"/>
              </w:rPr>
              <w:t> </w:t>
            </w:r>
          </w:p>
        </w:tc>
        <w:tc>
          <w:tcPr>
            <w:tcW w:w="173" w:type="dxa"/>
            <w:tcBorders>
              <w:top w:val="single" w:sz="2" w:space="0" w:color="143A84"/>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op w:val="single" w:sz="2" w:space="0" w:color="143A84"/>
            </w:tcBorders>
            <w:shd w:fill="E6E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143A84"/>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(2,240)</w:t>
            </w:r>
          </w:p>
        </w:tc>
        <w:tc>
          <w:tcPr>
            <w:tcW w:w="255" w:type="dxa"/>
            <w:tcBorders>
              <w:top w:val="single" w:sz="2" w:space="0" w:color="143A84"/>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(72)</w:t>
            </w:r>
          </w:p>
        </w:tc>
        <w:tc>
          <w:tcPr>
            <w:tcW w:w="186"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5"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0"/>
              <w:jc w:val="left"/>
              <w:rPr/>
            </w:pPr>
            <w:r>
              <w:rPr>
                <w:rFonts w:ascii="Helvetica;sans-serif" w:hAnsi="Helvetica;sans-serif"/>
                <w:b w:val="false"/>
                <w:color w:val="000000"/>
                <w:sz w:val="18"/>
              </w:rPr>
              <w:t>Coupon and tax impacts on Hybrid perpetual notes</w:t>
            </w:r>
            <w:r>
              <w:rPr>
                <w:rFonts w:ascii="Helvetica;sans-serif" w:hAnsi="Helvetica;sans-serif"/>
                <w:b w:val="false"/>
                <w:color w:val="000000"/>
                <w:sz w:val="12"/>
              </w:rPr>
              <w:t>(1)</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(64)</w:t>
            </w:r>
          </w:p>
        </w:tc>
        <w:tc>
          <w:tcPr>
            <w:tcW w:w="173"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5"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2,898,791 </w:t>
            </w:r>
          </w:p>
        </w:tc>
        <w:tc>
          <w:tcPr>
            <w:tcW w:w="186"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2,884,704 </w:t>
            </w:r>
          </w:p>
        </w:tc>
        <w:tc>
          <w:tcPr>
            <w:tcW w:w="18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5"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Weighted average number of shares outstanding (000)</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2,898,144 </w:t>
            </w:r>
          </w:p>
        </w:tc>
        <w:tc>
          <w:tcPr>
            <w:tcW w:w="173"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2,882,611 </w:t>
            </w:r>
          </w:p>
        </w:tc>
        <w:tc>
          <w:tcPr>
            <w:tcW w:w="255"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18.903 </w:t>
            </w:r>
          </w:p>
        </w:tc>
        <w:tc>
          <w:tcPr>
            <w:tcW w:w="186"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5"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0"/>
              <w:jc w:val="left"/>
              <w:rPr/>
            </w:pPr>
            <w:r>
              <w:rPr>
                <w:rFonts w:ascii="Helvetica;sans-serif" w:hAnsi="Helvetica;sans-serif"/>
                <w:b w:val="false"/>
                <w:color w:val="000000"/>
                <w:sz w:val="18"/>
              </w:rPr>
              <w:t>Number of shares deployable for share-based compensation (000)</w:t>
            </w:r>
            <w:r>
              <w:rPr>
                <w:rFonts w:ascii="Helvetica;sans-serif" w:hAnsi="Helvetica;sans-serif"/>
                <w:b w:val="false"/>
                <w:color w:val="000000"/>
                <w:sz w:val="12"/>
              </w:rPr>
              <w:t>(2)</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11.233 </w:t>
            </w:r>
          </w:p>
        </w:tc>
        <w:tc>
          <w:tcPr>
            <w:tcW w:w="173"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5"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2,917,694 </w:t>
            </w:r>
          </w:p>
        </w:tc>
        <w:tc>
          <w:tcPr>
            <w:tcW w:w="186"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2,884,704 </w:t>
            </w:r>
          </w:p>
        </w:tc>
        <w:tc>
          <w:tcPr>
            <w:tcW w:w="18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5"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Weighted average number of shares outstanding for diluted earnings per share (000)</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2,909,377 </w:t>
            </w:r>
          </w:p>
        </w:tc>
        <w:tc>
          <w:tcPr>
            <w:tcW w:w="173"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2,882,611 </w:t>
            </w:r>
          </w:p>
        </w:tc>
        <w:tc>
          <w:tcPr>
            <w:tcW w:w="255"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8"/>
              </w:rPr>
              <w:t>0.07</w:t>
            </w:r>
            <w:r>
              <w:rPr>
                <w:color w:val="243782"/>
              </w:rPr>
              <w:t> </w:t>
            </w:r>
          </w:p>
        </w:tc>
        <w:tc>
          <w:tcPr>
            <w:tcW w:w="186"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top w:val="single" w:sz="2" w:space="0" w:color="8E939F"/>
            </w:tcBorders>
            <w:shd w:fill="E6E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(0.65)</w:t>
            </w:r>
          </w:p>
        </w:tc>
        <w:tc>
          <w:tcPr>
            <w:tcW w:w="186"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E6E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5" w:type="dxa"/>
            <w:gridSpan w:val="3"/>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243782"/>
                <w:sz w:val="18"/>
              </w:rPr>
            </w:pPr>
            <w:r>
              <w:rPr>
                <w:rFonts w:ascii="Helvetica;sans-serif" w:hAnsi="Helvetica;sans-serif"/>
                <w:b/>
                <w:color w:val="243782"/>
                <w:sz w:val="18"/>
              </w:rPr>
              <w:t>Diluted (loss)/earnings per share (A) (€/share)</w:t>
            </w:r>
          </w:p>
        </w:tc>
        <w:tc>
          <w:tcPr>
            <w:tcW w:w="327" w:type="dxa"/>
            <w:gridSpan w:val="3"/>
            <w:tcBorders>
              <w:top w:val="single" w:sz="2" w:space="0" w:color="8E939F"/>
            </w:tcBorders>
            <w:shd w:fill="E6E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8"/>
              </w:rPr>
              <w:t>0.20</w:t>
            </w:r>
            <w:r>
              <w:rPr>
                <w:color w:val="243782"/>
              </w:rPr>
              <w:t> </w:t>
            </w:r>
          </w:p>
        </w:tc>
        <w:tc>
          <w:tcPr>
            <w:tcW w:w="173"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op w:val="single" w:sz="2" w:space="0" w:color="8E939F"/>
            </w:tcBorders>
            <w:shd w:fill="E6E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(0.78)</w:t>
            </w:r>
          </w:p>
        </w:tc>
        <w:tc>
          <w:tcPr>
            <w:tcW w:w="255"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5"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71 </w:t>
            </w:r>
          </w:p>
        </w:tc>
        <w:tc>
          <w:tcPr>
            <w:tcW w:w="186"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2,607 </w:t>
            </w:r>
          </w:p>
        </w:tc>
        <w:tc>
          <w:tcPr>
            <w:tcW w:w="18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5"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Adjustments, per above</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343 </w:t>
            </w:r>
          </w:p>
        </w:tc>
        <w:tc>
          <w:tcPr>
            <w:tcW w:w="173"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3,250 </w:t>
            </w:r>
          </w:p>
        </w:tc>
        <w:tc>
          <w:tcPr>
            <w:tcW w:w="255"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67 </w:t>
            </w:r>
          </w:p>
        </w:tc>
        <w:tc>
          <w:tcPr>
            <w:tcW w:w="186"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(308)</w:t>
            </w:r>
          </w:p>
        </w:tc>
        <w:tc>
          <w:tcPr>
            <w:tcW w:w="18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5"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0"/>
              <w:jc w:val="left"/>
              <w:rPr/>
            </w:pPr>
            <w:r>
              <w:rPr>
                <w:rFonts w:ascii="Helvetica;sans-serif" w:hAnsi="Helvetica;sans-serif"/>
                <w:b w:val="false"/>
                <w:color w:val="000000"/>
                <w:sz w:val="18"/>
              </w:rPr>
              <w:t>Tax impact on adjustments</w:t>
            </w:r>
            <w:r>
              <w:rPr>
                <w:rFonts w:ascii="Helvetica;sans-serif" w:hAnsi="Helvetica;sans-serif"/>
                <w:b w:val="false"/>
                <w:color w:val="000000"/>
                <w:sz w:val="12"/>
              </w:rPr>
              <w:t>(3)</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19 </w:t>
            </w:r>
          </w:p>
        </w:tc>
        <w:tc>
          <w:tcPr>
            <w:tcW w:w="173"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(470)</w:t>
            </w:r>
          </w:p>
        </w:tc>
        <w:tc>
          <w:tcPr>
            <w:tcW w:w="255"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7" w:type="dxa"/>
            <w:gridSpan w:val="3"/>
            <w:tcBorders/>
            <w:vAlign w:val="center"/>
          </w:tcPr>
          <w:p>
            <w:pPr>
              <w:pStyle w:val="TableContents"/>
              <w:bidi w:val="0"/>
              <w:spacing w:before="0" w:after="283"/>
              <w:jc w:val="left"/>
              <w:rPr>
                <w:sz w:val="4"/>
                <w:szCs w:val="4"/>
              </w:rPr>
            </w:pPr>
            <w:r>
              <w:rPr>
                <w:sz w:val="4"/>
                <w:szCs w:val="4"/>
              </w:rPr>
            </w:r>
          </w:p>
        </w:tc>
        <w:tc>
          <w:tcPr>
            <w:tcW w:w="558"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8"/>
              </w:rPr>
              <w:t>138</w:t>
            </w:r>
            <w:r>
              <w:rPr>
                <w:color w:val="243782"/>
              </w:rPr>
              <w:t> </w:t>
            </w:r>
          </w:p>
        </w:tc>
        <w:tc>
          <w:tcPr>
            <w:tcW w:w="186"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top w:val="single" w:sz="2" w:space="0" w:color="8E939F"/>
            </w:tcBorders>
            <w:shd w:fill="E6E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8"/>
              </w:rPr>
              <w:t>2,299</w:t>
            </w:r>
            <w:r>
              <w:rPr>
                <w:color w:val="243782"/>
              </w:rPr>
              <w:t> </w:t>
            </w:r>
          </w:p>
        </w:tc>
        <w:tc>
          <w:tcPr>
            <w:tcW w:w="186"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E6E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5" w:type="dxa"/>
            <w:gridSpan w:val="3"/>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243782"/>
                <w:sz w:val="18"/>
              </w:rPr>
            </w:pPr>
            <w:r>
              <w:rPr>
                <w:rFonts w:ascii="Helvetica;sans-serif" w:hAnsi="Helvetica;sans-serif"/>
                <w:b/>
                <w:color w:val="243782"/>
                <w:sz w:val="18"/>
              </w:rPr>
              <w:t>Total adjustments, net of taxes</w:t>
            </w:r>
          </w:p>
        </w:tc>
        <w:tc>
          <w:tcPr>
            <w:tcW w:w="327" w:type="dxa"/>
            <w:gridSpan w:val="3"/>
            <w:tcBorders>
              <w:top w:val="single" w:sz="2" w:space="0" w:color="8E939F"/>
            </w:tcBorders>
            <w:shd w:fill="E6E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8"/>
              </w:rPr>
              <w:t>362</w:t>
            </w:r>
            <w:r>
              <w:rPr>
                <w:color w:val="243782"/>
              </w:rPr>
              <w:t> </w:t>
            </w:r>
          </w:p>
        </w:tc>
        <w:tc>
          <w:tcPr>
            <w:tcW w:w="173"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op w:val="single" w:sz="2" w:space="0" w:color="8E939F"/>
            </w:tcBorders>
            <w:shd w:fill="E6E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8"/>
              </w:rPr>
              <w:t>2,780</w:t>
            </w:r>
            <w:r>
              <w:rPr>
                <w:color w:val="243782"/>
              </w:rPr>
              <w:t> </w:t>
            </w:r>
          </w:p>
        </w:tc>
        <w:tc>
          <w:tcPr>
            <w:tcW w:w="255"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17.162 </w:t>
            </w:r>
          </w:p>
        </w:tc>
        <w:tc>
          <w:tcPr>
            <w:tcW w:w="18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5"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0"/>
              <w:jc w:val="left"/>
              <w:rPr/>
            </w:pPr>
            <w:r>
              <w:rPr>
                <w:rFonts w:ascii="Helvetica;sans-serif" w:hAnsi="Helvetica;sans-serif"/>
                <w:b w:val="false"/>
                <w:color w:val="000000"/>
                <w:sz w:val="18"/>
              </w:rPr>
              <w:t>Number of shares deployable for share-based compensation (000)</w:t>
            </w:r>
            <w:r>
              <w:rPr>
                <w:rFonts w:ascii="Helvetica;sans-serif" w:hAnsi="Helvetica;sans-serif"/>
                <w:b w:val="false"/>
                <w:color w:val="000000"/>
                <w:sz w:val="12"/>
              </w:rPr>
              <w:t>(2)</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3"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17,162 </w:t>
            </w:r>
          </w:p>
        </w:tc>
        <w:tc>
          <w:tcPr>
            <w:tcW w:w="255"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0.00 </w:t>
            </w:r>
          </w:p>
        </w:tc>
        <w:tc>
          <w:tcPr>
            <w:tcW w:w="18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5"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Adjusted dilutive impact per share</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3"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0.00 </w:t>
            </w:r>
          </w:p>
        </w:tc>
        <w:tc>
          <w:tcPr>
            <w:tcW w:w="255"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0.05 </w:t>
            </w:r>
          </w:p>
        </w:tc>
        <w:tc>
          <w:tcPr>
            <w:tcW w:w="186"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0.80 </w:t>
            </w:r>
          </w:p>
        </w:tc>
        <w:tc>
          <w:tcPr>
            <w:tcW w:w="18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5"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Impact of adjustments above, net of taxes, on Diluted earnings per share (B) (€/share)</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0.12 </w:t>
            </w:r>
          </w:p>
        </w:tc>
        <w:tc>
          <w:tcPr>
            <w:tcW w:w="173"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0.96 </w:t>
            </w:r>
          </w:p>
        </w:tc>
        <w:tc>
          <w:tcPr>
            <w:tcW w:w="255"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2"/>
            <w:tcBorders>
              <w:top w:val="single" w:sz="2" w:space="0" w:color="8E939F"/>
              <w:bottom w:val="single" w:sz="2" w:space="0" w:color="143A84"/>
            </w:tcBorders>
            <w:shd w:fill="E6E7F4" w:val="clear"/>
            <w:tcMar>
              <w:top w:w="52" w:type="dxa"/>
              <w:left w:w="0" w:type="dxa"/>
              <w:bottom w:w="3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8"/>
              </w:rPr>
              <w:t>0.12</w:t>
            </w:r>
            <w:r>
              <w:rPr>
                <w:color w:val="243782"/>
              </w:rPr>
              <w:t> </w:t>
            </w:r>
          </w:p>
        </w:tc>
        <w:tc>
          <w:tcPr>
            <w:tcW w:w="186" w:type="dxa"/>
            <w:tcBorders>
              <w:top w:val="single" w:sz="2" w:space="0" w:color="8E939F"/>
              <w:bottom w:val="single" w:sz="2" w:space="0" w:color="143A84"/>
            </w:tcBorders>
            <w:shd w:fill="E6E7F4"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top w:val="single" w:sz="2" w:space="0" w:color="8E939F"/>
              <w:bottom w:val="single" w:sz="2" w:space="0" w:color="143A84"/>
            </w:tcBorders>
            <w:shd w:fill="E6E7F4" w:val="clear"/>
            <w:tcMar>
              <w:left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8E939F"/>
              <w:bottom w:val="single" w:sz="2" w:space="0" w:color="143A84"/>
            </w:tcBorders>
            <w:shd w:fill="E6E7F4" w:val="clear"/>
            <w:tcMar>
              <w:top w:w="52" w:type="dxa"/>
              <w:left w:w="0" w:type="dxa"/>
              <w:bottom w:w="3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8"/>
              </w:rPr>
              <w:t>0.15</w:t>
            </w:r>
            <w:r>
              <w:rPr>
                <w:color w:val="243782"/>
              </w:rPr>
              <w:t> </w:t>
            </w:r>
          </w:p>
        </w:tc>
        <w:tc>
          <w:tcPr>
            <w:tcW w:w="186" w:type="dxa"/>
            <w:tcBorders>
              <w:top w:val="single" w:sz="2" w:space="0" w:color="8E939F"/>
              <w:bottom w:val="single" w:sz="2" w:space="0" w:color="143A84"/>
            </w:tcBorders>
            <w:shd w:fill="E6E7F4"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bottom w:val="single" w:sz="2" w:space="0" w:color="143A84"/>
            </w:tcBorders>
            <w:shd w:fill="E6E7F4" w:val="clear"/>
            <w:tcMar>
              <w:left w:w="0" w:type="dxa"/>
              <w:right w:w="0" w:type="dxa"/>
            </w:tcMar>
            <w:vAlign w:val="center"/>
          </w:tcPr>
          <w:p>
            <w:pPr>
              <w:pStyle w:val="TableContents"/>
              <w:bidi w:val="0"/>
              <w:spacing w:before="0" w:after="283"/>
              <w:jc w:val="left"/>
              <w:rPr>
                <w:sz w:val="4"/>
                <w:szCs w:val="4"/>
              </w:rPr>
            </w:pPr>
            <w:r>
              <w:rPr>
                <w:sz w:val="4"/>
                <w:szCs w:val="4"/>
              </w:rPr>
            </w:r>
          </w:p>
        </w:tc>
        <w:tc>
          <w:tcPr>
            <w:tcW w:w="3755" w:type="dxa"/>
            <w:gridSpan w:val="3"/>
            <w:tcBorders>
              <w:top w:val="single" w:sz="2" w:space="0" w:color="8E939F"/>
              <w:bottom w:val="single" w:sz="2" w:space="0" w:color="143A84"/>
            </w:tcBorders>
            <w:shd w:fill="E6E7F4" w:val="clear"/>
            <w:tcMar>
              <w:top w:w="52"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color w:val="243782"/>
                <w:sz w:val="18"/>
              </w:rPr>
            </w:pPr>
            <w:r>
              <w:rPr>
                <w:rFonts w:ascii="Helvetica;sans-serif" w:hAnsi="Helvetica;sans-serif"/>
                <w:b/>
                <w:color w:val="243782"/>
                <w:sz w:val="18"/>
              </w:rPr>
              <w:t>Adjusted Diluted earnings per share (€/share) (A+B)</w:t>
            </w:r>
          </w:p>
        </w:tc>
        <w:tc>
          <w:tcPr>
            <w:tcW w:w="327" w:type="dxa"/>
            <w:gridSpan w:val="3"/>
            <w:tcBorders>
              <w:top w:val="single" w:sz="2" w:space="0" w:color="8E939F"/>
              <w:bottom w:val="single" w:sz="2" w:space="0" w:color="143A84"/>
            </w:tcBorders>
            <w:shd w:fill="E6E7F4" w:val="clear"/>
            <w:tcMar>
              <w:left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8E939F"/>
              <w:bottom w:val="single" w:sz="2" w:space="0" w:color="143A84"/>
            </w:tcBorders>
            <w:shd w:fill="E6E7F4" w:val="clear"/>
            <w:tcMar>
              <w:top w:w="52" w:type="dxa"/>
              <w:left w:w="0" w:type="dxa"/>
              <w:bottom w:w="3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8"/>
              </w:rPr>
              <w:t>0.32</w:t>
            </w:r>
            <w:r>
              <w:rPr>
                <w:color w:val="243782"/>
              </w:rPr>
              <w:t> </w:t>
            </w:r>
          </w:p>
        </w:tc>
        <w:tc>
          <w:tcPr>
            <w:tcW w:w="173" w:type="dxa"/>
            <w:tcBorders>
              <w:top w:val="single" w:sz="2" w:space="0" w:color="8E939F"/>
              <w:bottom w:val="single" w:sz="2" w:space="0" w:color="143A84"/>
            </w:tcBorders>
            <w:shd w:fill="E6E7F4"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op w:val="single" w:sz="2" w:space="0" w:color="8E939F"/>
              <w:bottom w:val="single" w:sz="2" w:space="0" w:color="143A84"/>
            </w:tcBorders>
            <w:shd w:fill="E6E7F4" w:val="clear"/>
            <w:tcMar>
              <w:left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8E939F"/>
              <w:bottom w:val="single" w:sz="2" w:space="0" w:color="143A84"/>
            </w:tcBorders>
            <w:shd w:fill="E6E7F4" w:val="clear"/>
            <w:tcMar>
              <w:top w:w="52" w:type="dxa"/>
              <w:left w:w="0" w:type="dxa"/>
              <w:bottom w:w="3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8"/>
              </w:rPr>
              <w:t>0.18</w:t>
            </w:r>
            <w:r>
              <w:rPr>
                <w:color w:val="243782"/>
              </w:rPr>
              <w:t> </w:t>
            </w:r>
          </w:p>
        </w:tc>
        <w:tc>
          <w:tcPr>
            <w:tcW w:w="255" w:type="dxa"/>
            <w:tcBorders>
              <w:top w:val="single" w:sz="2" w:space="0" w:color="8E939F"/>
              <w:bottom w:val="single" w:sz="2" w:space="0" w:color="143A84"/>
            </w:tcBorders>
            <w:shd w:fill="E6E7F4"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Helvetica Light;sans-serif" w:hAnsi="Helvetica Light;sans-serif"/>
          <w:b w:val="false"/>
          <w:color w:val="000000"/>
          <w:sz w:val="10"/>
        </w:rPr>
        <w:t>(1)</w:t>
      </w:r>
      <w:r>
        <w:rPr>
          <w:color w:val="000000"/>
        </w:rPr>
        <w:t xml:space="preserve"> </w:t>
      </w:r>
      <w:r>
        <w:rPr>
          <w:rFonts w:ascii="Helvetica Light;sans-serif" w:hAnsi="Helvetica Light;sans-serif"/>
          <w:b w:val="false"/>
          <w:color w:val="000000"/>
          <w:sz w:val="16"/>
        </w:rPr>
        <w:t xml:space="preserve">Refer to Note 18, </w:t>
      </w:r>
      <w:r>
        <w:rPr>
          <w:rFonts w:ascii="Helvetica Light;sans-serif" w:hAnsi="Helvetica Light;sans-serif"/>
          <w:b w:val="false"/>
          <w:i/>
          <w:color w:val="000000"/>
          <w:sz w:val="16"/>
        </w:rPr>
        <w:t>Equity</w:t>
      </w:r>
      <w:r>
        <w:rPr>
          <w:color w:val="000000"/>
        </w:rPr>
        <w:t xml:space="preserve"> </w:t>
      </w:r>
      <w:r>
        <w:rPr>
          <w:rFonts w:ascii="Helvetica Light;sans-serif" w:hAnsi="Helvetica Light;sans-serif"/>
          <w:b w:val="false"/>
          <w:color w:val="000000"/>
          <w:sz w:val="16"/>
        </w:rPr>
        <w:t>in the Interim Condensed Consolidated Financial Statements included in this Interim Report for additional information</w:t>
      </w:r>
    </w:p>
    <w:p>
      <w:pPr>
        <w:pStyle w:val="TextBody"/>
        <w:bidi w:val="0"/>
        <w:spacing w:lineRule="auto" w:line="288" w:before="0" w:after="0"/>
        <w:jc w:val="left"/>
        <w:rPr/>
      </w:pPr>
      <w:r>
        <w:rPr>
          <w:rFonts w:ascii="Helvetica Light;sans-serif" w:hAnsi="Helvetica Light;sans-serif"/>
          <w:b w:val="false"/>
          <w:color w:val="000000"/>
          <w:sz w:val="10"/>
        </w:rPr>
        <w:t>(2)</w:t>
      </w:r>
      <w:r>
        <w:rPr>
          <w:color w:val="000000"/>
        </w:rPr>
        <w:t xml:space="preserve"> </w:t>
      </w:r>
      <w:r>
        <w:rPr>
          <w:rFonts w:ascii="Helvetica Light;sans-serif" w:hAnsi="Helvetica Light;sans-serif"/>
          <w:b w:val="false"/>
          <w:color w:val="000000"/>
          <w:sz w:val="16"/>
        </w:rPr>
        <w:t>For the three and six months ended June 30, 2025, the Company reported a loss attributable to the owners of the parent. Consequently, the potential dilutive impact of share-based payment plans was excluded from the calculation of diluted earnings/(loss) per share, as their inclusion would have been anti-dilutive. However, for the purpose of calculating Adjusted diluted earnings per share, the adjusted net result reflects a profit. Therefore, the potential dilutive effect of share-based payment plans has been included in this calculation, as their impact is dilutive under these circumstances</w:t>
      </w:r>
    </w:p>
    <w:p>
      <w:pPr>
        <w:pStyle w:val="TextBody"/>
        <w:bidi w:val="0"/>
        <w:spacing w:lineRule="auto" w:line="288" w:before="0" w:after="0"/>
        <w:jc w:val="left"/>
        <w:rPr/>
      </w:pPr>
      <w:r>
        <w:rPr>
          <w:rFonts w:ascii="Helvetica Light;sans-serif" w:hAnsi="Helvetica Light;sans-serif"/>
          <w:b w:val="false"/>
          <w:color w:val="000000"/>
          <w:sz w:val="10"/>
        </w:rPr>
        <w:t xml:space="preserve">(3) </w:t>
      </w:r>
      <w:r>
        <w:rPr>
          <w:rFonts w:ascii="Helvetica Light;sans-serif" w:hAnsi="Helvetica Light;sans-serif"/>
          <w:b w:val="false"/>
          <w:color w:val="000000"/>
          <w:sz w:val="16"/>
        </w:rPr>
        <w:t>Tax impact on adjustments is calculated based on the expected local country tax implications for each adjustment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503555"/>
                <wp:effectExtent l="0" t="0" r="0" b="0"/>
                <wp:wrapNone/>
                <wp:docPr id="30" name="Frame25"/>
                <a:graphic xmlns:a="http://schemas.openxmlformats.org/drawingml/2006/main">
                  <a:graphicData uri="http://schemas.microsoft.com/office/word/2010/wordprocessingShape">
                    <wps:wsp>
                      <wps:cNvSpPr txBox="1"/>
                      <wps:spPr>
                        <a:xfrm>
                          <a:off x="0" y="0"/>
                          <a:ext cx="6480175" cy="5035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21</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21</w:t>
                      </w:r>
                    </w:p>
                    <w:p>
                      <w:pPr>
                        <w:pStyle w:val="TextBody"/>
                        <w:bidi w:val="0"/>
                        <w:spacing w:before="0" w:after="24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88" w:before="0" w:after="240"/>
        <w:jc w:val="left"/>
        <w:rPr>
          <w:rFonts w:ascii="Helvetica;sans-serif" w:hAnsi="Helvetica;sans-serif"/>
          <w:b/>
          <w:color w:val="143A84"/>
          <w:sz w:val="20"/>
        </w:rPr>
      </w:pPr>
      <w:r>
        <w:rPr>
          <w:rFonts w:ascii="Helvetica;sans-serif" w:hAnsi="Helvetica;sans-serif"/>
          <w:b/>
          <w:color w:val="143A84"/>
          <w:sz w:val="20"/>
        </w:rPr>
        <w:t>Results by segment</w:t>
      </w:r>
    </w:p>
    <w:p>
      <w:pPr>
        <w:pStyle w:val="TextBody"/>
        <w:bidi w:val="0"/>
        <w:spacing w:lineRule="auto" w:line="343" w:before="0" w:after="120"/>
        <w:jc w:val="left"/>
        <w:rPr>
          <w:rFonts w:ascii="Helvetica Light;sans-serif" w:hAnsi="Helvetica Light;sans-serif"/>
          <w:b w:val="false"/>
          <w:color w:val="000000"/>
          <w:sz w:val="20"/>
        </w:rPr>
      </w:pPr>
      <w:r>
        <w:rPr>
          <w:rFonts w:ascii="Helvetica Light;sans-serif" w:hAnsi="Helvetica Light;sans-serif"/>
          <w:b w:val="false"/>
          <w:color w:val="000000"/>
          <w:sz w:val="20"/>
        </w:rPr>
        <w:t>The following are the results by segment for the three and six months ended June 30, 2026 and 2025:</w:t>
      </w:r>
    </w:p>
    <w:tbl>
      <w:tblPr>
        <w:tblW w:w="10205" w:type="dxa"/>
        <w:jc w:val="left"/>
        <w:tblInd w:w="0" w:type="dxa"/>
        <w:tblLayout w:type="fixed"/>
        <w:tblCellMar>
          <w:top w:w="28" w:type="dxa"/>
          <w:left w:w="28" w:type="dxa"/>
          <w:bottom w:w="28" w:type="dxa"/>
          <w:right w:w="28" w:type="dxa"/>
        </w:tblCellMar>
      </w:tblPr>
      <w:tblGrid>
        <w:gridCol w:w="881"/>
        <w:gridCol w:w="447"/>
        <w:gridCol w:w="449"/>
        <w:gridCol w:w="109"/>
        <w:gridCol w:w="109"/>
        <w:gridCol w:w="109"/>
        <w:gridCol w:w="367"/>
        <w:gridCol w:w="369"/>
        <w:gridCol w:w="176"/>
        <w:gridCol w:w="115"/>
        <w:gridCol w:w="115"/>
        <w:gridCol w:w="115"/>
        <w:gridCol w:w="367"/>
        <w:gridCol w:w="369"/>
        <w:gridCol w:w="176"/>
        <w:gridCol w:w="109"/>
        <w:gridCol w:w="109"/>
        <w:gridCol w:w="109"/>
        <w:gridCol w:w="109"/>
        <w:gridCol w:w="109"/>
        <w:gridCol w:w="360"/>
        <w:gridCol w:w="171"/>
        <w:gridCol w:w="171"/>
        <w:gridCol w:w="171"/>
        <w:gridCol w:w="171"/>
        <w:gridCol w:w="171"/>
        <w:gridCol w:w="178"/>
        <w:gridCol w:w="109"/>
        <w:gridCol w:w="244"/>
        <w:gridCol w:w="245"/>
        <w:gridCol w:w="176"/>
        <w:gridCol w:w="109"/>
        <w:gridCol w:w="109"/>
        <w:gridCol w:w="109"/>
        <w:gridCol w:w="273"/>
        <w:gridCol w:w="273"/>
        <w:gridCol w:w="392"/>
        <w:gridCol w:w="273"/>
        <w:gridCol w:w="274"/>
        <w:gridCol w:w="109"/>
        <w:gridCol w:w="109"/>
        <w:gridCol w:w="109"/>
        <w:gridCol w:w="315"/>
        <w:gridCol w:w="316"/>
        <w:gridCol w:w="176"/>
        <w:gridCol w:w="109"/>
        <w:gridCol w:w="165"/>
      </w:tblGrid>
      <w:tr>
        <w:trPr/>
        <w:tc>
          <w:tcPr>
            <w:tcW w:w="881"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9" w:type="dxa"/>
            <w:gridSpan w:val="9"/>
            <w:tcBorders>
              <w:bottom w:val="single" w:sz="2" w:space="0" w:color="8E939F"/>
            </w:tcBorders>
            <w:tcMar>
              <w:top w:w="0" w:type="dxa"/>
              <w:left w:w="0" w:type="dxa"/>
              <w:bottom w:w="30" w:type="dxa"/>
              <w:right w:w="0" w:type="dxa"/>
            </w:tcMar>
            <w:vAlign w:val="center"/>
          </w:tcPr>
          <w:p>
            <w:pPr>
              <w:pStyle w:val="TableContents"/>
              <w:bidi w:val="0"/>
              <w:spacing w:lineRule="auto" w:line="288" w:before="0" w:after="0"/>
              <w:jc w:val="center"/>
              <w:rPr/>
            </w:pPr>
            <w:r>
              <w:rPr>
                <w:rFonts w:ascii="Helvetica;sans-serif" w:hAnsi="Helvetica;sans-serif"/>
                <w:b/>
                <w:color w:val="243782"/>
                <w:sz w:val="18"/>
              </w:rPr>
              <w:t>Net revenues</w:t>
            </w:r>
            <w:r>
              <w:rPr>
                <w:rFonts w:ascii="Helvetica;sans-serif" w:hAnsi="Helvetica;sans-serif"/>
                <w:b/>
                <w:color w:val="243782"/>
                <w:sz w:val="12"/>
              </w:rPr>
              <w:t>(2)</w:t>
            </w:r>
          </w:p>
        </w:tc>
        <w:tc>
          <w:tcPr>
            <w:tcW w:w="327" w:type="dxa"/>
            <w:gridSpan w:val="3"/>
            <w:tcBorders>
              <w:bottom w:val="single" w:sz="2" w:space="0" w:color="8E939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3" w:type="dxa"/>
            <w:gridSpan w:val="7"/>
            <w:tcBorders>
              <w:bottom w:val="single" w:sz="2" w:space="0" w:color="8E939F"/>
            </w:tcBorders>
            <w:tcMar>
              <w:top w:w="0" w:type="dxa"/>
              <w:left w:w="0" w:type="dxa"/>
              <w:bottom w:w="3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Adjusted operating income/(loss)</w:t>
            </w:r>
          </w:p>
        </w:tc>
        <w:tc>
          <w:tcPr>
            <w:tcW w:w="109" w:type="dxa"/>
            <w:tcBorders>
              <w:bottom w:val="single" w:sz="2" w:space="0" w:color="8E939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5"/>
            <w:tcBorders>
              <w:bottom w:val="single" w:sz="2" w:space="0" w:color="8E939F"/>
            </w:tcBorders>
            <w:tcMar>
              <w:top w:w="0" w:type="dxa"/>
              <w:left w:w="0" w:type="dxa"/>
              <w:bottom w:w="3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Consolidated Shipments</w:t>
            </w:r>
          </w:p>
        </w:tc>
        <w:tc>
          <w:tcPr>
            <w:tcW w:w="1408" w:type="dxa"/>
            <w:gridSpan w:val="8"/>
            <w:tcBorders/>
          </w:tcPr>
          <w:p>
            <w:pPr>
              <w:pStyle w:val="TableContents"/>
              <w:bidi w:val="0"/>
              <w:spacing w:before="0" w:after="283"/>
              <w:jc w:val="left"/>
              <w:rPr>
                <w:sz w:val="4"/>
                <w:szCs w:val="4"/>
              </w:rPr>
            </w:pPr>
            <w:r>
              <w:rPr>
                <w:sz w:val="4"/>
                <w:szCs w:val="4"/>
              </w:rPr>
            </w:r>
          </w:p>
        </w:tc>
      </w:tr>
      <w:tr>
        <w:trPr/>
        <w:tc>
          <w:tcPr>
            <w:tcW w:w="1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1" w:type="dxa"/>
            <w:gridSpan w:val="25"/>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Three months ended June 30, 2026</w:t>
            </w:r>
          </w:p>
        </w:tc>
        <w:tc>
          <w:tcPr>
            <w:tcW w:w="3220" w:type="dxa"/>
            <w:gridSpan w:val="16"/>
            <w:tcBorders/>
          </w:tcPr>
          <w:p>
            <w:pPr>
              <w:pStyle w:val="TableContents"/>
              <w:bidi w:val="0"/>
              <w:spacing w:before="0" w:after="283"/>
              <w:jc w:val="left"/>
              <w:rPr>
                <w:sz w:val="4"/>
                <w:szCs w:val="4"/>
              </w:rPr>
            </w:pPr>
            <w:r>
              <w:rPr>
                <w:sz w:val="4"/>
                <w:szCs w:val="4"/>
              </w:rPr>
            </w:r>
          </w:p>
        </w:tc>
      </w:tr>
      <w:tr>
        <w:trPr/>
        <w:tc>
          <w:tcPr>
            <w:tcW w:w="1777"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Helvetica;sans-serif" w:hAnsi="Helvetica;sans-serif"/>
                <w:b w:val="false"/>
                <w:i/>
                <w:color w:val="000000"/>
                <w:sz w:val="16"/>
              </w:rPr>
            </w:pPr>
            <w:r>
              <w:rPr>
                <w:rFonts w:ascii="Helvetica;sans-serif" w:hAnsi="Helvetica;sans-serif"/>
                <w:b w:val="false"/>
                <w:i/>
                <w:color w:val="000000"/>
                <w:sz w:val="16"/>
              </w:rPr>
              <w:t>(€ million, except shipments which are in thousands of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2026</w:t>
            </w:r>
          </w:p>
        </w:tc>
        <w:tc>
          <w:tcPr>
            <w:tcW w:w="345"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2025</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2"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2026</w:t>
            </w:r>
          </w:p>
        </w:tc>
        <w:tc>
          <w:tcPr>
            <w:tcW w:w="513"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5"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2025</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39"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2026</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777" w:type="dxa"/>
            <w:gridSpan w:val="3"/>
            <w:tcBorders>
              <w:top w:val="single" w:sz="2" w:space="0" w:color="143A84"/>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North America</w:t>
            </w:r>
          </w:p>
        </w:tc>
        <w:tc>
          <w:tcPr>
            <w:tcW w:w="327"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143A84"/>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18,193 </w:t>
            </w:r>
          </w:p>
        </w:tc>
        <w:tc>
          <w:tcPr>
            <w:tcW w:w="176" w:type="dxa"/>
            <w:tcBorders>
              <w:top w:val="single" w:sz="2" w:space="0" w:color="143A84"/>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143A84"/>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13,834 </w:t>
            </w:r>
          </w:p>
        </w:tc>
        <w:tc>
          <w:tcPr>
            <w:tcW w:w="176" w:type="dxa"/>
            <w:tcBorders>
              <w:top w:val="single" w:sz="2" w:space="0" w:color="143A84"/>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1" w:type="dxa"/>
            <w:gridSpan w:val="2"/>
            <w:tcBorders>
              <w:top w:val="single" w:sz="2" w:space="0" w:color="143A84"/>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284 </w:t>
            </w:r>
          </w:p>
        </w:tc>
        <w:tc>
          <w:tcPr>
            <w:tcW w:w="171" w:type="dxa"/>
            <w:tcBorders>
              <w:top w:val="single" w:sz="2" w:space="0" w:color="143A84"/>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9" w:type="dxa"/>
            <w:gridSpan w:val="2"/>
            <w:tcBorders>
              <w:top w:val="single" w:sz="2" w:space="0" w:color="143A84"/>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(440)</w:t>
            </w:r>
          </w:p>
        </w:tc>
        <w:tc>
          <w:tcPr>
            <w:tcW w:w="176" w:type="dxa"/>
            <w:tcBorders>
              <w:top w:val="single" w:sz="2" w:space="0" w:color="143A84"/>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39" w:type="dxa"/>
            <w:gridSpan w:val="3"/>
            <w:tcBorders>
              <w:top w:val="single" w:sz="2" w:space="0" w:color="143A84"/>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445</w:t>
            </w:r>
          </w:p>
        </w:tc>
        <w:tc>
          <w:tcPr>
            <w:tcW w:w="327"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2" w:space="0" w:color="143A84"/>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323 </w:t>
            </w:r>
          </w:p>
        </w:tc>
        <w:tc>
          <w:tcPr>
            <w:tcW w:w="176" w:type="dxa"/>
            <w:tcBorders>
              <w:top w:val="single" w:sz="2" w:space="0" w:color="143A84"/>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777"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0"/>
              <w:jc w:val="left"/>
              <w:rPr>
                <w:rFonts w:ascii="Helvetica;sans-serif" w:hAnsi="Helvetica;sans-serif"/>
                <w:b w:val="false"/>
                <w:color w:val="000000"/>
                <w:sz w:val="18"/>
              </w:rPr>
            </w:pPr>
            <w:r>
              <w:rPr>
                <w:rFonts w:ascii="Helvetica;sans-serif" w:hAnsi="Helvetica;sans-serif"/>
                <w:b w:val="false"/>
                <w:color w:val="000000"/>
                <w:sz w:val="18"/>
              </w:rPr>
              <w:t>Enlarged Europe</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16,426 </w:t>
            </w:r>
          </w:p>
        </w:tc>
        <w:tc>
          <w:tcPr>
            <w:tcW w:w="176"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16,387 </w:t>
            </w:r>
          </w:p>
        </w:tc>
        <w:tc>
          <w:tcPr>
            <w:tcW w:w="17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1"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(94)</w:t>
            </w:r>
          </w:p>
        </w:tc>
        <w:tc>
          <w:tcPr>
            <w:tcW w:w="171"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9"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(359)</w:t>
            </w:r>
          </w:p>
        </w:tc>
        <w:tc>
          <w:tcPr>
            <w:tcW w:w="17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39"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762</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723 </w:t>
            </w:r>
          </w:p>
        </w:tc>
        <w:tc>
          <w:tcPr>
            <w:tcW w:w="17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777"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Middle East &amp; Africa</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2,565 </w:t>
            </w:r>
          </w:p>
        </w:tc>
        <w:tc>
          <w:tcPr>
            <w:tcW w:w="176"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2,674 </w:t>
            </w:r>
          </w:p>
        </w:tc>
        <w:tc>
          <w:tcPr>
            <w:tcW w:w="17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1"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329 </w:t>
            </w:r>
          </w:p>
        </w:tc>
        <w:tc>
          <w:tcPr>
            <w:tcW w:w="171"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9"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392 </w:t>
            </w:r>
          </w:p>
        </w:tc>
        <w:tc>
          <w:tcPr>
            <w:tcW w:w="17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39"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121</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125 </w:t>
            </w:r>
          </w:p>
        </w:tc>
        <w:tc>
          <w:tcPr>
            <w:tcW w:w="17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777"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0"/>
              <w:jc w:val="left"/>
              <w:rPr>
                <w:rFonts w:ascii="Helvetica;sans-serif" w:hAnsi="Helvetica;sans-serif"/>
                <w:b w:val="false"/>
                <w:color w:val="000000"/>
                <w:sz w:val="18"/>
              </w:rPr>
            </w:pPr>
            <w:r>
              <w:rPr>
                <w:rFonts w:ascii="Helvetica;sans-serif" w:hAnsi="Helvetica;sans-serif"/>
                <w:b w:val="false"/>
                <w:color w:val="000000"/>
                <w:sz w:val="18"/>
              </w:rPr>
              <w:t>South America</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4,338 </w:t>
            </w:r>
          </w:p>
        </w:tc>
        <w:tc>
          <w:tcPr>
            <w:tcW w:w="176"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4,092 </w:t>
            </w:r>
          </w:p>
        </w:tc>
        <w:tc>
          <w:tcPr>
            <w:tcW w:w="17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1"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402 </w:t>
            </w:r>
          </w:p>
        </w:tc>
        <w:tc>
          <w:tcPr>
            <w:tcW w:w="171"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9"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782 </w:t>
            </w:r>
          </w:p>
        </w:tc>
        <w:tc>
          <w:tcPr>
            <w:tcW w:w="17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39"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253</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260 </w:t>
            </w:r>
          </w:p>
        </w:tc>
        <w:tc>
          <w:tcPr>
            <w:tcW w:w="17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777"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0"/>
              <w:jc w:val="left"/>
              <w:rPr>
                <w:rFonts w:ascii="Helvetica;sans-serif" w:hAnsi="Helvetica;sans-serif"/>
                <w:b w:val="false"/>
                <w:color w:val="000000"/>
                <w:sz w:val="18"/>
              </w:rPr>
            </w:pPr>
            <w:r>
              <w:rPr>
                <w:rFonts w:ascii="Helvetica;sans-serif" w:hAnsi="Helvetica;sans-serif"/>
                <w:b w:val="false"/>
                <w:color w:val="000000"/>
                <w:sz w:val="18"/>
              </w:rPr>
              <w:t>Asia Pacific</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499 </w:t>
            </w:r>
          </w:p>
        </w:tc>
        <w:tc>
          <w:tcPr>
            <w:tcW w:w="176"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524 </w:t>
            </w:r>
          </w:p>
        </w:tc>
        <w:tc>
          <w:tcPr>
            <w:tcW w:w="17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1"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27 </w:t>
            </w:r>
          </w:p>
        </w:tc>
        <w:tc>
          <w:tcPr>
            <w:tcW w:w="171"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9"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20 </w:t>
            </w:r>
          </w:p>
        </w:tc>
        <w:tc>
          <w:tcPr>
            <w:tcW w:w="17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39"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16</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16 </w:t>
            </w:r>
          </w:p>
        </w:tc>
        <w:tc>
          <w:tcPr>
            <w:tcW w:w="17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777" w:type="dxa"/>
            <w:gridSpan w:val="3"/>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243782"/>
                <w:sz w:val="18"/>
              </w:rPr>
            </w:pPr>
            <w:r>
              <w:rPr>
                <w:rFonts w:ascii="Helvetica;sans-serif" w:hAnsi="Helvetica;sans-serif"/>
                <w:b/>
                <w:color w:val="243782"/>
                <w:sz w:val="18"/>
              </w:rPr>
              <w:t>Total Segments</w:t>
            </w:r>
          </w:p>
        </w:tc>
        <w:tc>
          <w:tcPr>
            <w:tcW w:w="327" w:type="dxa"/>
            <w:gridSpan w:val="3"/>
            <w:tcBorders>
              <w:top w:val="single" w:sz="2" w:space="0" w:color="8E939F"/>
            </w:tcBorders>
            <w:shd w:fill="E6E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8"/>
              </w:rPr>
              <w:t>42,021</w:t>
            </w:r>
            <w:r>
              <w:rPr>
                <w:color w:val="243782"/>
              </w:rPr>
              <w:t> </w:t>
            </w:r>
          </w:p>
        </w:tc>
        <w:tc>
          <w:tcPr>
            <w:tcW w:w="176"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2" w:space="0" w:color="8E939F"/>
            </w:tcBorders>
            <w:shd w:fill="E6E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8"/>
              </w:rPr>
              <w:t>37,511</w:t>
            </w:r>
            <w:r>
              <w:rPr>
                <w:color w:val="243782"/>
              </w:rPr>
              <w:t> </w:t>
            </w:r>
          </w:p>
        </w:tc>
        <w:tc>
          <w:tcPr>
            <w:tcW w:w="176"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E6E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1"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8"/>
              </w:rPr>
              <w:t>948</w:t>
            </w:r>
            <w:r>
              <w:rPr>
                <w:color w:val="243782"/>
              </w:rPr>
              <w:t> </w:t>
            </w:r>
          </w:p>
        </w:tc>
        <w:tc>
          <w:tcPr>
            <w:tcW w:w="171"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op w:val="single" w:sz="2" w:space="0" w:color="8E939F"/>
            </w:tcBorders>
            <w:shd w:fill="E6E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9"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8"/>
              </w:rPr>
              <w:t>395</w:t>
            </w:r>
            <w:r>
              <w:rPr>
                <w:color w:val="243782"/>
              </w:rPr>
              <w:t> </w:t>
            </w:r>
          </w:p>
        </w:tc>
        <w:tc>
          <w:tcPr>
            <w:tcW w:w="176"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E6E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665"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8"/>
              </w:rPr>
              <w:t>1,597</w:t>
            </w:r>
            <w:r>
              <w:rPr>
                <w:color w:val="243782"/>
              </w:rPr>
              <w:t> </w:t>
            </w:r>
          </w:p>
        </w:tc>
        <w:tc>
          <w:tcPr>
            <w:tcW w:w="274"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E6E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8"/>
              </w:rPr>
              <w:t>1,447</w:t>
            </w:r>
            <w:r>
              <w:rPr>
                <w:color w:val="243782"/>
              </w:rPr>
              <w:t> </w:t>
            </w:r>
          </w:p>
        </w:tc>
        <w:tc>
          <w:tcPr>
            <w:tcW w:w="176"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777"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Other activities</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1,582 </w:t>
            </w:r>
          </w:p>
        </w:tc>
        <w:tc>
          <w:tcPr>
            <w:tcW w:w="176"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1,031 </w:t>
            </w:r>
          </w:p>
        </w:tc>
        <w:tc>
          <w:tcPr>
            <w:tcW w:w="17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1"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79 </w:t>
            </w:r>
          </w:p>
        </w:tc>
        <w:tc>
          <w:tcPr>
            <w:tcW w:w="171"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9"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(164)</w:t>
            </w:r>
          </w:p>
        </w:tc>
        <w:tc>
          <w:tcPr>
            <w:tcW w:w="17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665"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4"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777"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0"/>
              <w:jc w:val="left"/>
              <w:rPr/>
            </w:pPr>
            <w:r>
              <w:rPr>
                <w:rFonts w:ascii="Helvetica;sans-serif" w:hAnsi="Helvetica;sans-serif"/>
                <w:b w:val="false"/>
                <w:color w:val="000000"/>
                <w:sz w:val="18"/>
              </w:rPr>
              <w:t>Unallocated items &amp; eliminations</w:t>
            </w:r>
            <w:r>
              <w:rPr>
                <w:rFonts w:ascii="Helvetica;sans-serif" w:hAnsi="Helvetica;sans-serif"/>
                <w:b w:val="false"/>
                <w:color w:val="000000"/>
                <w:sz w:val="12"/>
              </w:rPr>
              <w:t>(1)</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(121)</w:t>
            </w:r>
          </w:p>
        </w:tc>
        <w:tc>
          <w:tcPr>
            <w:tcW w:w="176"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(94)</w:t>
            </w:r>
          </w:p>
        </w:tc>
        <w:tc>
          <w:tcPr>
            <w:tcW w:w="17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1"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(254)</w:t>
            </w:r>
          </w:p>
        </w:tc>
        <w:tc>
          <w:tcPr>
            <w:tcW w:w="171"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9"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(18)</w:t>
            </w:r>
          </w:p>
        </w:tc>
        <w:tc>
          <w:tcPr>
            <w:tcW w:w="17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665"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4"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777" w:type="dxa"/>
            <w:gridSpan w:val="3"/>
            <w:tcBorders>
              <w:top w:val="single" w:sz="2" w:space="0" w:color="8E939F"/>
              <w:bottom w:val="single" w:sz="2" w:space="0" w:color="143A84"/>
            </w:tcBorders>
            <w:shd w:fill="E6E7F4" w:val="clear"/>
            <w:tcMar>
              <w:top w:w="52"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color w:val="243782"/>
                <w:sz w:val="18"/>
              </w:rPr>
            </w:pPr>
            <w:r>
              <w:rPr>
                <w:rFonts w:ascii="Helvetica;sans-serif" w:hAnsi="Helvetica;sans-serif"/>
                <w:b/>
                <w:color w:val="243782"/>
                <w:sz w:val="18"/>
              </w:rPr>
              <w:t>Total</w:t>
            </w:r>
          </w:p>
        </w:tc>
        <w:tc>
          <w:tcPr>
            <w:tcW w:w="327" w:type="dxa"/>
            <w:gridSpan w:val="3"/>
            <w:tcBorders>
              <w:top w:val="single" w:sz="2" w:space="0" w:color="8E939F"/>
              <w:bottom w:val="single" w:sz="2" w:space="0" w:color="143A84"/>
            </w:tcBorders>
            <w:shd w:fill="E6E7F4" w:val="clear"/>
            <w:tcMar>
              <w:left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bottom w:val="single" w:sz="2" w:space="0" w:color="143A84"/>
            </w:tcBorders>
            <w:shd w:fill="E6E7F4" w:val="clear"/>
            <w:tcMar>
              <w:top w:w="52" w:type="dxa"/>
              <w:left w:w="0" w:type="dxa"/>
              <w:bottom w:w="3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8"/>
              </w:rPr>
              <w:t>43,482</w:t>
            </w:r>
            <w:r>
              <w:rPr>
                <w:color w:val="243782"/>
              </w:rPr>
              <w:t> </w:t>
            </w:r>
          </w:p>
        </w:tc>
        <w:tc>
          <w:tcPr>
            <w:tcW w:w="176" w:type="dxa"/>
            <w:tcBorders>
              <w:top w:val="single" w:sz="2" w:space="0" w:color="8E939F"/>
              <w:bottom w:val="single" w:sz="2" w:space="0" w:color="143A84"/>
            </w:tcBorders>
            <w:shd w:fill="E6E7F4"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2" w:space="0" w:color="8E939F"/>
              <w:bottom w:val="single" w:sz="2" w:space="0" w:color="143A84"/>
            </w:tcBorders>
            <w:shd w:fill="E6E7F4" w:val="clear"/>
            <w:tcMar>
              <w:left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bottom w:val="single" w:sz="2" w:space="0" w:color="143A84"/>
            </w:tcBorders>
            <w:shd w:fill="E6E7F4" w:val="clear"/>
            <w:tcMar>
              <w:top w:w="52" w:type="dxa"/>
              <w:left w:w="0" w:type="dxa"/>
              <w:bottom w:w="3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8"/>
              </w:rPr>
              <w:t>38,448</w:t>
            </w:r>
            <w:r>
              <w:rPr>
                <w:color w:val="243782"/>
              </w:rPr>
              <w:t> </w:t>
            </w:r>
          </w:p>
        </w:tc>
        <w:tc>
          <w:tcPr>
            <w:tcW w:w="176" w:type="dxa"/>
            <w:tcBorders>
              <w:top w:val="single" w:sz="2" w:space="0" w:color="8E939F"/>
              <w:bottom w:val="single" w:sz="2" w:space="0" w:color="143A84"/>
            </w:tcBorders>
            <w:shd w:fill="E6E7F4"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bottom w:val="single" w:sz="2" w:space="0" w:color="143A84"/>
            </w:tcBorders>
            <w:shd w:fill="E6E7F4"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1" w:type="dxa"/>
            <w:gridSpan w:val="2"/>
            <w:tcBorders>
              <w:top w:val="single" w:sz="2" w:space="0" w:color="8E939F"/>
              <w:bottom w:val="single" w:sz="2" w:space="0" w:color="143A84"/>
            </w:tcBorders>
            <w:shd w:fill="E6E7F4" w:val="clear"/>
            <w:tcMar>
              <w:top w:w="52" w:type="dxa"/>
              <w:left w:w="0" w:type="dxa"/>
              <w:bottom w:w="3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8"/>
              </w:rPr>
              <w:t>773</w:t>
            </w:r>
            <w:r>
              <w:rPr>
                <w:color w:val="243782"/>
              </w:rPr>
              <w:t> </w:t>
            </w:r>
          </w:p>
        </w:tc>
        <w:tc>
          <w:tcPr>
            <w:tcW w:w="171" w:type="dxa"/>
            <w:tcBorders>
              <w:top w:val="single" w:sz="2" w:space="0" w:color="8E939F"/>
              <w:bottom w:val="single" w:sz="2" w:space="0" w:color="143A84"/>
            </w:tcBorders>
            <w:shd w:fill="E6E7F4"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op w:val="single" w:sz="2" w:space="0" w:color="8E939F"/>
              <w:bottom w:val="single" w:sz="2" w:space="0" w:color="143A84"/>
            </w:tcBorders>
            <w:shd w:fill="E6E7F4" w:val="clear"/>
            <w:tcMar>
              <w:left w:w="0" w:type="dxa"/>
              <w:right w:w="0" w:type="dxa"/>
            </w:tcMar>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9" w:type="dxa"/>
            <w:gridSpan w:val="2"/>
            <w:tcBorders>
              <w:top w:val="single" w:sz="2" w:space="0" w:color="8E939F"/>
              <w:bottom w:val="single" w:sz="2" w:space="0" w:color="143A84"/>
            </w:tcBorders>
            <w:shd w:fill="E6E7F4" w:val="clear"/>
            <w:tcMar>
              <w:top w:w="52" w:type="dxa"/>
              <w:left w:w="0" w:type="dxa"/>
              <w:bottom w:w="3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8"/>
              </w:rPr>
              <w:t>213</w:t>
            </w:r>
            <w:r>
              <w:rPr>
                <w:color w:val="243782"/>
              </w:rPr>
              <w:t> </w:t>
            </w:r>
          </w:p>
        </w:tc>
        <w:tc>
          <w:tcPr>
            <w:tcW w:w="176" w:type="dxa"/>
            <w:tcBorders>
              <w:top w:val="single" w:sz="2" w:space="0" w:color="8E939F"/>
              <w:bottom w:val="single" w:sz="2" w:space="0" w:color="143A84"/>
            </w:tcBorders>
            <w:shd w:fill="E6E7F4"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bottom w:val="single" w:sz="2" w:space="0" w:color="143A84"/>
            </w:tcBorders>
            <w:shd w:fill="E6E7F4" w:val="clear"/>
            <w:tcMar>
              <w:left w:w="0" w:type="dxa"/>
              <w:right w:w="0" w:type="dxa"/>
            </w:tcMar>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665" w:type="dxa"/>
            <w:gridSpan w:val="2"/>
            <w:tcBorders>
              <w:top w:val="single" w:sz="2" w:space="0" w:color="8E939F"/>
              <w:bottom w:val="single" w:sz="2" w:space="0" w:color="143A84"/>
            </w:tcBorders>
            <w:shd w:fill="E6E7F4" w:val="clear"/>
            <w:tcMar>
              <w:top w:w="52" w:type="dxa"/>
              <w:left w:w="0" w:type="dxa"/>
              <w:bottom w:w="3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8"/>
              </w:rPr>
              <w:t>1,597</w:t>
            </w:r>
            <w:r>
              <w:rPr>
                <w:color w:val="243782"/>
              </w:rPr>
              <w:t> </w:t>
            </w:r>
          </w:p>
        </w:tc>
        <w:tc>
          <w:tcPr>
            <w:tcW w:w="274" w:type="dxa"/>
            <w:tcBorders>
              <w:top w:val="single" w:sz="2" w:space="0" w:color="8E939F"/>
              <w:bottom w:val="single" w:sz="2" w:space="0" w:color="143A84"/>
            </w:tcBorders>
            <w:shd w:fill="E6E7F4"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bottom w:val="single" w:sz="2" w:space="0" w:color="143A84"/>
            </w:tcBorders>
            <w:shd w:fill="E6E7F4" w:val="clear"/>
            <w:tcMar>
              <w:left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2" w:space="0" w:color="8E939F"/>
              <w:bottom w:val="single" w:sz="2" w:space="0" w:color="143A84"/>
            </w:tcBorders>
            <w:shd w:fill="E6E7F4" w:val="clear"/>
            <w:tcMar>
              <w:top w:w="52" w:type="dxa"/>
              <w:left w:w="0" w:type="dxa"/>
              <w:bottom w:w="3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8"/>
              </w:rPr>
              <w:t>1,447</w:t>
            </w:r>
            <w:r>
              <w:rPr>
                <w:color w:val="243782"/>
              </w:rPr>
              <w:t> </w:t>
            </w:r>
          </w:p>
        </w:tc>
        <w:tc>
          <w:tcPr>
            <w:tcW w:w="176" w:type="dxa"/>
            <w:tcBorders>
              <w:top w:val="single" w:sz="2" w:space="0" w:color="8E939F"/>
              <w:bottom w:val="single" w:sz="2" w:space="0" w:color="143A84"/>
            </w:tcBorders>
            <w:shd w:fill="E6E7F4"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841"/>
        <w:gridCol w:w="394"/>
        <w:gridCol w:w="395"/>
        <w:gridCol w:w="109"/>
        <w:gridCol w:w="109"/>
        <w:gridCol w:w="109"/>
        <w:gridCol w:w="367"/>
        <w:gridCol w:w="369"/>
        <w:gridCol w:w="176"/>
        <w:gridCol w:w="113"/>
        <w:gridCol w:w="113"/>
        <w:gridCol w:w="113"/>
        <w:gridCol w:w="367"/>
        <w:gridCol w:w="369"/>
        <w:gridCol w:w="176"/>
        <w:gridCol w:w="109"/>
        <w:gridCol w:w="109"/>
        <w:gridCol w:w="109"/>
        <w:gridCol w:w="109"/>
        <w:gridCol w:w="109"/>
        <w:gridCol w:w="436"/>
        <w:gridCol w:w="218"/>
        <w:gridCol w:w="159"/>
        <w:gridCol w:w="159"/>
        <w:gridCol w:w="159"/>
        <w:gridCol w:w="159"/>
        <w:gridCol w:w="166"/>
        <w:gridCol w:w="109"/>
        <w:gridCol w:w="307"/>
        <w:gridCol w:w="309"/>
        <w:gridCol w:w="176"/>
        <w:gridCol w:w="109"/>
        <w:gridCol w:w="109"/>
        <w:gridCol w:w="109"/>
        <w:gridCol w:w="264"/>
        <w:gridCol w:w="264"/>
        <w:gridCol w:w="390"/>
        <w:gridCol w:w="264"/>
        <w:gridCol w:w="265"/>
        <w:gridCol w:w="109"/>
        <w:gridCol w:w="109"/>
        <w:gridCol w:w="109"/>
        <w:gridCol w:w="315"/>
        <w:gridCol w:w="316"/>
        <w:gridCol w:w="176"/>
        <w:gridCol w:w="109"/>
        <w:gridCol w:w="166"/>
      </w:tblGrid>
      <w:tr>
        <w:trPr/>
        <w:tc>
          <w:tcPr>
            <w:tcW w:w="841"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3" w:type="dxa"/>
            <w:gridSpan w:val="9"/>
            <w:tcBorders>
              <w:bottom w:val="single" w:sz="2" w:space="0" w:color="8E939F"/>
            </w:tcBorders>
            <w:tcMar>
              <w:top w:w="0" w:type="dxa"/>
              <w:left w:w="0" w:type="dxa"/>
              <w:bottom w:w="30" w:type="dxa"/>
              <w:right w:w="0" w:type="dxa"/>
            </w:tcMar>
            <w:vAlign w:val="center"/>
          </w:tcPr>
          <w:p>
            <w:pPr>
              <w:pStyle w:val="TableContents"/>
              <w:bidi w:val="0"/>
              <w:spacing w:lineRule="auto" w:line="288" w:before="0" w:after="0"/>
              <w:jc w:val="center"/>
              <w:rPr/>
            </w:pPr>
            <w:r>
              <w:rPr>
                <w:rFonts w:ascii="Helvetica;sans-serif" w:hAnsi="Helvetica;sans-serif"/>
                <w:b/>
                <w:color w:val="243782"/>
                <w:sz w:val="18"/>
              </w:rPr>
              <w:t>Net revenues</w:t>
            </w:r>
            <w:r>
              <w:rPr>
                <w:rFonts w:ascii="Helvetica;sans-serif" w:hAnsi="Helvetica;sans-serif"/>
                <w:b/>
                <w:color w:val="243782"/>
                <w:sz w:val="12"/>
              </w:rPr>
              <w:t>(2)</w:t>
            </w:r>
          </w:p>
        </w:tc>
        <w:tc>
          <w:tcPr>
            <w:tcW w:w="327" w:type="dxa"/>
            <w:gridSpan w:val="3"/>
            <w:tcBorders>
              <w:bottom w:val="single" w:sz="2" w:space="0" w:color="8E939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6" w:type="dxa"/>
            <w:gridSpan w:val="7"/>
            <w:tcBorders>
              <w:bottom w:val="single" w:sz="2" w:space="0" w:color="8E939F"/>
            </w:tcBorders>
            <w:tcMar>
              <w:top w:w="0" w:type="dxa"/>
              <w:left w:w="0" w:type="dxa"/>
              <w:bottom w:w="30" w:type="dxa"/>
              <w:right w:w="0" w:type="dxa"/>
            </w:tcMar>
            <w:vAlign w:val="center"/>
          </w:tcPr>
          <w:p>
            <w:pPr>
              <w:pStyle w:val="TableContents"/>
              <w:bidi w:val="0"/>
              <w:spacing w:lineRule="auto" w:line="288" w:before="0" w:after="0"/>
              <w:jc w:val="center"/>
              <w:rPr/>
            </w:pPr>
            <w:r>
              <w:rPr>
                <w:rFonts w:ascii="Helvetica;sans-serif" w:hAnsi="Helvetica;sans-serif"/>
                <w:b/>
                <w:color w:val="243782"/>
                <w:sz w:val="18"/>
              </w:rPr>
              <w:t>Adjusted operating income/(loss)</w:t>
            </w:r>
            <w:r>
              <w:rPr>
                <w:rFonts w:ascii="Helvetica;sans-serif" w:hAnsi="Helvetica;sans-serif"/>
                <w:b/>
                <w:color w:val="243782"/>
                <w:sz w:val="12"/>
              </w:rPr>
              <w:t>(2)</w:t>
            </w:r>
          </w:p>
        </w:tc>
        <w:tc>
          <w:tcPr>
            <w:tcW w:w="109" w:type="dxa"/>
            <w:tcBorders>
              <w:bottom w:val="single" w:sz="2" w:space="0" w:color="8E939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7" w:type="dxa"/>
            <w:gridSpan w:val="5"/>
            <w:tcBorders>
              <w:bottom w:val="single" w:sz="2" w:space="0" w:color="8E939F"/>
            </w:tcBorders>
            <w:tcMar>
              <w:top w:w="0" w:type="dxa"/>
              <w:left w:w="0" w:type="dxa"/>
              <w:bottom w:w="3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Consolidated Shipments</w:t>
            </w:r>
          </w:p>
        </w:tc>
        <w:tc>
          <w:tcPr>
            <w:tcW w:w="1409" w:type="dxa"/>
            <w:gridSpan w:val="8"/>
            <w:tcBorders/>
          </w:tcPr>
          <w:p>
            <w:pPr>
              <w:pStyle w:val="TableContents"/>
              <w:bidi w:val="0"/>
              <w:spacing w:before="0" w:after="283"/>
              <w:jc w:val="left"/>
              <w:rPr>
                <w:sz w:val="4"/>
                <w:szCs w:val="4"/>
              </w:rPr>
            </w:pPr>
            <w:r>
              <w:rPr>
                <w:sz w:val="4"/>
                <w:szCs w:val="4"/>
              </w:rPr>
            </w:r>
          </w:p>
        </w:tc>
      </w:tr>
      <w:tr>
        <w:trPr/>
        <w:tc>
          <w:tcPr>
            <w:tcW w:w="1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5" w:type="dxa"/>
            <w:gridSpan w:val="25"/>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Six Months Ended June 30,</w:t>
            </w:r>
          </w:p>
        </w:tc>
        <w:tc>
          <w:tcPr>
            <w:tcW w:w="3183" w:type="dxa"/>
            <w:gridSpan w:val="16"/>
            <w:tcBorders/>
          </w:tcPr>
          <w:p>
            <w:pPr>
              <w:pStyle w:val="TableContents"/>
              <w:bidi w:val="0"/>
              <w:spacing w:before="0" w:after="283"/>
              <w:jc w:val="left"/>
              <w:rPr>
                <w:sz w:val="4"/>
                <w:szCs w:val="4"/>
              </w:rPr>
            </w:pPr>
            <w:r>
              <w:rPr>
                <w:sz w:val="4"/>
                <w:szCs w:val="4"/>
              </w:rPr>
            </w:r>
          </w:p>
        </w:tc>
      </w:tr>
      <w:tr>
        <w:trPr/>
        <w:tc>
          <w:tcPr>
            <w:tcW w:w="1630"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Helvetica;sans-serif" w:hAnsi="Helvetica;sans-serif"/>
                <w:b w:val="false"/>
                <w:i/>
                <w:color w:val="000000"/>
                <w:sz w:val="16"/>
              </w:rPr>
            </w:pPr>
            <w:r>
              <w:rPr>
                <w:rFonts w:ascii="Helvetica;sans-serif" w:hAnsi="Helvetica;sans-serif"/>
                <w:b w:val="false"/>
                <w:i/>
                <w:color w:val="000000"/>
                <w:sz w:val="16"/>
              </w:rPr>
              <w:t>(€ million, except shipments which are in thousands of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2026</w:t>
            </w:r>
          </w:p>
        </w:tc>
        <w:tc>
          <w:tcPr>
            <w:tcW w:w="339"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2025</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3"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2026</w:t>
            </w:r>
          </w:p>
        </w:tc>
        <w:tc>
          <w:tcPr>
            <w:tcW w:w="47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2"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2025</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19"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2026</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630" w:type="dxa"/>
            <w:gridSpan w:val="3"/>
            <w:tcBorders>
              <w:top w:val="single" w:sz="2" w:space="0" w:color="143A84"/>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North America</w:t>
            </w:r>
          </w:p>
        </w:tc>
        <w:tc>
          <w:tcPr>
            <w:tcW w:w="327"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143A84"/>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34,307 </w:t>
            </w:r>
          </w:p>
        </w:tc>
        <w:tc>
          <w:tcPr>
            <w:tcW w:w="176" w:type="dxa"/>
            <w:tcBorders>
              <w:top w:val="single" w:sz="2" w:space="0" w:color="143A84"/>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143A84"/>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28,303 </w:t>
            </w:r>
          </w:p>
        </w:tc>
        <w:tc>
          <w:tcPr>
            <w:tcW w:w="176" w:type="dxa"/>
            <w:tcBorders>
              <w:top w:val="single" w:sz="2" w:space="0" w:color="143A84"/>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4" w:type="dxa"/>
            <w:gridSpan w:val="2"/>
            <w:tcBorders>
              <w:top w:val="single" w:sz="2" w:space="0" w:color="143A84"/>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547 </w:t>
            </w:r>
          </w:p>
        </w:tc>
        <w:tc>
          <w:tcPr>
            <w:tcW w:w="159" w:type="dxa"/>
            <w:tcBorders>
              <w:top w:val="single" w:sz="2" w:space="0" w:color="143A84"/>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top w:val="single" w:sz="2" w:space="0" w:color="143A84"/>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(982)</w:t>
            </w:r>
          </w:p>
        </w:tc>
        <w:tc>
          <w:tcPr>
            <w:tcW w:w="176" w:type="dxa"/>
            <w:tcBorders>
              <w:top w:val="single" w:sz="2" w:space="0" w:color="143A84"/>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19" w:type="dxa"/>
            <w:gridSpan w:val="3"/>
            <w:tcBorders>
              <w:top w:val="single" w:sz="2" w:space="0" w:color="143A84"/>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824</w:t>
            </w:r>
          </w:p>
        </w:tc>
        <w:tc>
          <w:tcPr>
            <w:tcW w:w="327"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2" w:space="0" w:color="143A84"/>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648 </w:t>
            </w:r>
          </w:p>
        </w:tc>
        <w:tc>
          <w:tcPr>
            <w:tcW w:w="176" w:type="dxa"/>
            <w:tcBorders>
              <w:top w:val="single" w:sz="2" w:space="0" w:color="143A84"/>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630"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0"/>
              <w:jc w:val="left"/>
              <w:rPr>
                <w:rFonts w:ascii="Helvetica;sans-serif" w:hAnsi="Helvetica;sans-serif"/>
                <w:b w:val="false"/>
                <w:color w:val="000000"/>
                <w:sz w:val="18"/>
              </w:rPr>
            </w:pPr>
            <w:r>
              <w:rPr>
                <w:rFonts w:ascii="Helvetica;sans-serif" w:hAnsi="Helvetica;sans-serif"/>
                <w:b w:val="false"/>
                <w:color w:val="000000"/>
                <w:sz w:val="18"/>
              </w:rPr>
              <w:t>Enlarged Europe</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30,801 </w:t>
            </w:r>
          </w:p>
        </w:tc>
        <w:tc>
          <w:tcPr>
            <w:tcW w:w="176"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30,557 </w:t>
            </w:r>
          </w:p>
        </w:tc>
        <w:tc>
          <w:tcPr>
            <w:tcW w:w="17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4"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(86)</w:t>
            </w:r>
          </w:p>
        </w:tc>
        <w:tc>
          <w:tcPr>
            <w:tcW w:w="159"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(67)</w:t>
            </w:r>
          </w:p>
        </w:tc>
        <w:tc>
          <w:tcPr>
            <w:tcW w:w="17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19"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1,399</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1,291 </w:t>
            </w:r>
          </w:p>
        </w:tc>
        <w:tc>
          <w:tcPr>
            <w:tcW w:w="17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630"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Middle East &amp; Africa</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4,953 </w:t>
            </w:r>
          </w:p>
        </w:tc>
        <w:tc>
          <w:tcPr>
            <w:tcW w:w="176"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4,962 </w:t>
            </w:r>
          </w:p>
        </w:tc>
        <w:tc>
          <w:tcPr>
            <w:tcW w:w="17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4"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611 </w:t>
            </w:r>
          </w:p>
        </w:tc>
        <w:tc>
          <w:tcPr>
            <w:tcW w:w="159"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768 </w:t>
            </w:r>
          </w:p>
        </w:tc>
        <w:tc>
          <w:tcPr>
            <w:tcW w:w="17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19"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232</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225 </w:t>
            </w:r>
          </w:p>
        </w:tc>
        <w:tc>
          <w:tcPr>
            <w:tcW w:w="17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630"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0"/>
              <w:jc w:val="left"/>
              <w:rPr>
                <w:rFonts w:ascii="Helvetica;sans-serif" w:hAnsi="Helvetica;sans-serif"/>
                <w:b w:val="false"/>
                <w:color w:val="000000"/>
                <w:sz w:val="18"/>
              </w:rPr>
            </w:pPr>
            <w:r>
              <w:rPr>
                <w:rFonts w:ascii="Helvetica;sans-serif" w:hAnsi="Helvetica;sans-serif"/>
                <w:b w:val="false"/>
                <w:color w:val="000000"/>
                <w:sz w:val="18"/>
              </w:rPr>
              <w:t>South America</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7,961 </w:t>
            </w:r>
          </w:p>
        </w:tc>
        <w:tc>
          <w:tcPr>
            <w:tcW w:w="176"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7,771 </w:t>
            </w:r>
          </w:p>
        </w:tc>
        <w:tc>
          <w:tcPr>
            <w:tcW w:w="17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4"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795 </w:t>
            </w:r>
          </w:p>
        </w:tc>
        <w:tc>
          <w:tcPr>
            <w:tcW w:w="159"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1,189 </w:t>
            </w:r>
          </w:p>
        </w:tc>
        <w:tc>
          <w:tcPr>
            <w:tcW w:w="17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19"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472</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471 </w:t>
            </w:r>
          </w:p>
        </w:tc>
        <w:tc>
          <w:tcPr>
            <w:tcW w:w="17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630"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0"/>
              <w:jc w:val="left"/>
              <w:rPr>
                <w:rFonts w:ascii="Helvetica;sans-serif" w:hAnsi="Helvetica;sans-serif"/>
                <w:b w:val="false"/>
                <w:color w:val="000000"/>
                <w:sz w:val="18"/>
              </w:rPr>
            </w:pPr>
            <w:r>
              <w:rPr>
                <w:rFonts w:ascii="Helvetica;sans-serif" w:hAnsi="Helvetica;sans-serif"/>
                <w:b w:val="false"/>
                <w:color w:val="000000"/>
                <w:sz w:val="18"/>
              </w:rPr>
              <w:t>Asia Pacific</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934 </w:t>
            </w:r>
          </w:p>
        </w:tc>
        <w:tc>
          <w:tcPr>
            <w:tcW w:w="176"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1,010 </w:t>
            </w:r>
          </w:p>
        </w:tc>
        <w:tc>
          <w:tcPr>
            <w:tcW w:w="17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4"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(3)</w:t>
            </w:r>
          </w:p>
        </w:tc>
        <w:tc>
          <w:tcPr>
            <w:tcW w:w="159"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19"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31</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29 </w:t>
            </w:r>
          </w:p>
        </w:tc>
        <w:tc>
          <w:tcPr>
            <w:tcW w:w="17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630" w:type="dxa"/>
            <w:gridSpan w:val="3"/>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243782"/>
                <w:sz w:val="18"/>
              </w:rPr>
            </w:pPr>
            <w:r>
              <w:rPr>
                <w:rFonts w:ascii="Helvetica;sans-serif" w:hAnsi="Helvetica;sans-serif"/>
                <w:b/>
                <w:color w:val="243782"/>
                <w:sz w:val="18"/>
              </w:rPr>
              <w:t>Total Segments</w:t>
            </w:r>
          </w:p>
        </w:tc>
        <w:tc>
          <w:tcPr>
            <w:tcW w:w="327" w:type="dxa"/>
            <w:gridSpan w:val="3"/>
            <w:tcBorders>
              <w:top w:val="single" w:sz="2" w:space="0" w:color="8E939F"/>
            </w:tcBorders>
            <w:shd w:fill="E6E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8"/>
              </w:rPr>
              <w:t>78,956</w:t>
            </w:r>
            <w:r>
              <w:rPr>
                <w:color w:val="243782"/>
              </w:rPr>
              <w:t> </w:t>
            </w:r>
          </w:p>
        </w:tc>
        <w:tc>
          <w:tcPr>
            <w:tcW w:w="176"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2" w:space="0" w:color="8E939F"/>
            </w:tcBorders>
            <w:shd w:fill="E6E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8"/>
              </w:rPr>
              <w:t>72,603</w:t>
            </w:r>
            <w:r>
              <w:rPr>
                <w:color w:val="243782"/>
              </w:rPr>
              <w:t> </w:t>
            </w:r>
          </w:p>
        </w:tc>
        <w:tc>
          <w:tcPr>
            <w:tcW w:w="176"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E6E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4"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8"/>
              </w:rPr>
              <w:t>1,864</w:t>
            </w:r>
            <w:r>
              <w:rPr>
                <w:color w:val="243782"/>
              </w:rPr>
              <w:t> </w:t>
            </w:r>
          </w:p>
        </w:tc>
        <w:tc>
          <w:tcPr>
            <w:tcW w:w="159"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op w:val="single" w:sz="2" w:space="0" w:color="8E939F"/>
            </w:tcBorders>
            <w:shd w:fill="E6E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8"/>
              </w:rPr>
              <w:t>908</w:t>
            </w:r>
            <w:r>
              <w:rPr>
                <w:color w:val="243782"/>
              </w:rPr>
              <w:t> </w:t>
            </w:r>
          </w:p>
        </w:tc>
        <w:tc>
          <w:tcPr>
            <w:tcW w:w="176"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E6E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54"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8"/>
              </w:rPr>
              <w:t>2,958</w:t>
            </w:r>
            <w:r>
              <w:rPr>
                <w:color w:val="243782"/>
              </w:rPr>
              <w:t> </w:t>
            </w:r>
          </w:p>
        </w:tc>
        <w:tc>
          <w:tcPr>
            <w:tcW w:w="265"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E6E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8"/>
              </w:rPr>
              <w:t>2,664</w:t>
            </w:r>
            <w:r>
              <w:rPr>
                <w:color w:val="243782"/>
              </w:rPr>
              <w:t> </w:t>
            </w:r>
          </w:p>
        </w:tc>
        <w:tc>
          <w:tcPr>
            <w:tcW w:w="176"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630"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Other activities</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2,875 </w:t>
            </w:r>
          </w:p>
        </w:tc>
        <w:tc>
          <w:tcPr>
            <w:tcW w:w="176"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1,873 </w:t>
            </w:r>
          </w:p>
        </w:tc>
        <w:tc>
          <w:tcPr>
            <w:tcW w:w="17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4"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265 </w:t>
            </w:r>
          </w:p>
        </w:tc>
        <w:tc>
          <w:tcPr>
            <w:tcW w:w="159"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(73)</w:t>
            </w:r>
          </w:p>
        </w:tc>
        <w:tc>
          <w:tcPr>
            <w:tcW w:w="17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54"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5"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630"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0"/>
              <w:jc w:val="left"/>
              <w:rPr/>
            </w:pPr>
            <w:r>
              <w:rPr>
                <w:rFonts w:ascii="Helvetica;sans-serif" w:hAnsi="Helvetica;sans-serif"/>
                <w:b w:val="false"/>
                <w:color w:val="000000"/>
                <w:sz w:val="18"/>
              </w:rPr>
              <w:t>Unallocated items &amp; eliminations</w:t>
            </w:r>
            <w:r>
              <w:rPr>
                <w:rFonts w:ascii="Helvetica;sans-serif" w:hAnsi="Helvetica;sans-serif"/>
                <w:b w:val="false"/>
                <w:color w:val="000000"/>
                <w:sz w:val="12"/>
              </w:rPr>
              <w:t>(1)</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(217)</w:t>
            </w:r>
          </w:p>
        </w:tc>
        <w:tc>
          <w:tcPr>
            <w:tcW w:w="176"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(215)</w:t>
            </w:r>
          </w:p>
        </w:tc>
        <w:tc>
          <w:tcPr>
            <w:tcW w:w="17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4"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(396)</w:t>
            </w:r>
          </w:p>
        </w:tc>
        <w:tc>
          <w:tcPr>
            <w:tcW w:w="159"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(295)</w:t>
            </w:r>
          </w:p>
        </w:tc>
        <w:tc>
          <w:tcPr>
            <w:tcW w:w="17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54"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5"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630" w:type="dxa"/>
            <w:gridSpan w:val="3"/>
            <w:tcBorders>
              <w:top w:val="single" w:sz="2" w:space="0" w:color="8E939F"/>
              <w:bottom w:val="single" w:sz="2" w:space="0" w:color="143A84"/>
            </w:tcBorders>
            <w:shd w:fill="E6E7F4" w:val="clear"/>
            <w:tcMar>
              <w:top w:w="52"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color w:val="243782"/>
                <w:sz w:val="18"/>
              </w:rPr>
            </w:pPr>
            <w:r>
              <w:rPr>
                <w:rFonts w:ascii="Helvetica;sans-serif" w:hAnsi="Helvetica;sans-serif"/>
                <w:b/>
                <w:color w:val="243782"/>
                <w:sz w:val="18"/>
              </w:rPr>
              <w:t>Total</w:t>
            </w:r>
          </w:p>
        </w:tc>
        <w:tc>
          <w:tcPr>
            <w:tcW w:w="327" w:type="dxa"/>
            <w:gridSpan w:val="3"/>
            <w:tcBorders>
              <w:top w:val="single" w:sz="2" w:space="0" w:color="8E939F"/>
              <w:bottom w:val="single" w:sz="2" w:space="0" w:color="143A84"/>
            </w:tcBorders>
            <w:shd w:fill="E6E7F4" w:val="clear"/>
            <w:tcMar>
              <w:left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bottom w:val="single" w:sz="2" w:space="0" w:color="143A84"/>
            </w:tcBorders>
            <w:shd w:fill="E6E7F4" w:val="clear"/>
            <w:tcMar>
              <w:top w:w="52" w:type="dxa"/>
              <w:left w:w="0" w:type="dxa"/>
              <w:bottom w:w="3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8"/>
              </w:rPr>
              <w:t>81,614</w:t>
            </w:r>
            <w:r>
              <w:rPr>
                <w:color w:val="243782"/>
              </w:rPr>
              <w:t> </w:t>
            </w:r>
          </w:p>
        </w:tc>
        <w:tc>
          <w:tcPr>
            <w:tcW w:w="176" w:type="dxa"/>
            <w:tcBorders>
              <w:top w:val="single" w:sz="2" w:space="0" w:color="8E939F"/>
              <w:bottom w:val="single" w:sz="2" w:space="0" w:color="143A84"/>
            </w:tcBorders>
            <w:shd w:fill="E6E7F4"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2" w:space="0" w:color="8E939F"/>
              <w:bottom w:val="single" w:sz="2" w:space="0" w:color="143A84"/>
            </w:tcBorders>
            <w:shd w:fill="E6E7F4" w:val="clear"/>
            <w:tcMar>
              <w:left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bottom w:val="single" w:sz="2" w:space="0" w:color="143A84"/>
            </w:tcBorders>
            <w:shd w:fill="E6E7F4" w:val="clear"/>
            <w:tcMar>
              <w:top w:w="52" w:type="dxa"/>
              <w:left w:w="0" w:type="dxa"/>
              <w:bottom w:w="3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8"/>
              </w:rPr>
              <w:t>74,261</w:t>
            </w:r>
            <w:r>
              <w:rPr>
                <w:color w:val="243782"/>
              </w:rPr>
              <w:t> </w:t>
            </w:r>
          </w:p>
        </w:tc>
        <w:tc>
          <w:tcPr>
            <w:tcW w:w="176" w:type="dxa"/>
            <w:tcBorders>
              <w:top w:val="single" w:sz="2" w:space="0" w:color="8E939F"/>
              <w:bottom w:val="single" w:sz="2" w:space="0" w:color="143A84"/>
            </w:tcBorders>
            <w:shd w:fill="E6E7F4"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bottom w:val="single" w:sz="2" w:space="0" w:color="143A84"/>
            </w:tcBorders>
            <w:shd w:fill="E6E7F4"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4" w:type="dxa"/>
            <w:gridSpan w:val="2"/>
            <w:tcBorders>
              <w:top w:val="single" w:sz="2" w:space="0" w:color="8E939F"/>
              <w:bottom w:val="single" w:sz="2" w:space="0" w:color="143A84"/>
            </w:tcBorders>
            <w:shd w:fill="E6E7F4" w:val="clear"/>
            <w:tcMar>
              <w:top w:w="52" w:type="dxa"/>
              <w:left w:w="0" w:type="dxa"/>
              <w:bottom w:w="3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8"/>
              </w:rPr>
              <w:t>1,733</w:t>
            </w:r>
            <w:r>
              <w:rPr>
                <w:color w:val="243782"/>
              </w:rPr>
              <w:t> </w:t>
            </w:r>
          </w:p>
        </w:tc>
        <w:tc>
          <w:tcPr>
            <w:tcW w:w="159" w:type="dxa"/>
            <w:tcBorders>
              <w:top w:val="single" w:sz="2" w:space="0" w:color="8E939F"/>
              <w:bottom w:val="single" w:sz="2" w:space="0" w:color="143A84"/>
            </w:tcBorders>
            <w:shd w:fill="E6E7F4"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op w:val="single" w:sz="2" w:space="0" w:color="8E939F"/>
              <w:bottom w:val="single" w:sz="2" w:space="0" w:color="143A84"/>
            </w:tcBorders>
            <w:shd w:fill="E6E7F4" w:val="clear"/>
            <w:tcMar>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top w:val="single" w:sz="2" w:space="0" w:color="8E939F"/>
              <w:bottom w:val="single" w:sz="2" w:space="0" w:color="143A84"/>
            </w:tcBorders>
            <w:shd w:fill="E6E7F4" w:val="clear"/>
            <w:tcMar>
              <w:top w:w="52" w:type="dxa"/>
              <w:left w:w="0" w:type="dxa"/>
              <w:bottom w:w="3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8"/>
              </w:rPr>
              <w:t>540</w:t>
            </w:r>
            <w:r>
              <w:rPr>
                <w:color w:val="243782"/>
              </w:rPr>
              <w:t> </w:t>
            </w:r>
          </w:p>
        </w:tc>
        <w:tc>
          <w:tcPr>
            <w:tcW w:w="176" w:type="dxa"/>
            <w:tcBorders>
              <w:top w:val="single" w:sz="2" w:space="0" w:color="8E939F"/>
              <w:bottom w:val="single" w:sz="2" w:space="0" w:color="143A84"/>
            </w:tcBorders>
            <w:shd w:fill="E6E7F4"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bottom w:val="single" w:sz="2" w:space="0" w:color="143A84"/>
            </w:tcBorders>
            <w:shd w:fill="E6E7F4" w:val="clear"/>
            <w:tcMar>
              <w:left w:w="0" w:type="dxa"/>
              <w:right w:w="0" w:type="dxa"/>
            </w:tcMar>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54" w:type="dxa"/>
            <w:gridSpan w:val="2"/>
            <w:tcBorders>
              <w:top w:val="single" w:sz="2" w:space="0" w:color="8E939F"/>
              <w:bottom w:val="single" w:sz="2" w:space="0" w:color="143A84"/>
            </w:tcBorders>
            <w:shd w:fill="E6E7F4" w:val="clear"/>
            <w:tcMar>
              <w:top w:w="52" w:type="dxa"/>
              <w:left w:w="0" w:type="dxa"/>
              <w:bottom w:w="3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8"/>
              </w:rPr>
              <w:t>2,958</w:t>
            </w:r>
            <w:r>
              <w:rPr>
                <w:color w:val="243782"/>
              </w:rPr>
              <w:t> </w:t>
            </w:r>
          </w:p>
        </w:tc>
        <w:tc>
          <w:tcPr>
            <w:tcW w:w="265" w:type="dxa"/>
            <w:tcBorders>
              <w:top w:val="single" w:sz="2" w:space="0" w:color="8E939F"/>
              <w:bottom w:val="single" w:sz="2" w:space="0" w:color="143A84"/>
            </w:tcBorders>
            <w:shd w:fill="E6E7F4"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bottom w:val="single" w:sz="2" w:space="0" w:color="143A84"/>
            </w:tcBorders>
            <w:shd w:fill="E6E7F4" w:val="clear"/>
            <w:tcMar>
              <w:left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2" w:space="0" w:color="8E939F"/>
              <w:bottom w:val="single" w:sz="2" w:space="0" w:color="143A84"/>
            </w:tcBorders>
            <w:shd w:fill="E6E7F4" w:val="clear"/>
            <w:tcMar>
              <w:top w:w="52" w:type="dxa"/>
              <w:left w:w="0" w:type="dxa"/>
              <w:bottom w:w="3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8"/>
              </w:rPr>
              <w:t>2,664</w:t>
            </w:r>
            <w:r>
              <w:rPr>
                <w:color w:val="243782"/>
              </w:rPr>
              <w:t> </w:t>
            </w:r>
          </w:p>
        </w:tc>
        <w:tc>
          <w:tcPr>
            <w:tcW w:w="176" w:type="dxa"/>
            <w:tcBorders>
              <w:top w:val="single" w:sz="2" w:space="0" w:color="8E939F"/>
              <w:bottom w:val="single" w:sz="2" w:space="0" w:color="143A84"/>
            </w:tcBorders>
            <w:shd w:fill="E6E7F4"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Helvetica Light;sans-serif" w:hAnsi="Helvetica Light;sans-serif"/>
          <w:b w:val="false"/>
          <w:color w:val="000000"/>
          <w:sz w:val="10"/>
        </w:rPr>
        <w:t>(1)</w:t>
      </w:r>
      <w:r>
        <w:rPr>
          <w:color w:val="000000"/>
        </w:rPr>
        <w:t xml:space="preserve"> </w:t>
      </w:r>
      <w:r>
        <w:rPr>
          <w:rFonts w:ascii="Helvetica Light;sans-serif" w:hAnsi="Helvetica Light;sans-serif"/>
          <w:b w:val="false"/>
          <w:color w:val="000000"/>
          <w:sz w:val="16"/>
        </w:rPr>
        <w:t>Primarily includes intercompany transactions which are eliminated on consolidation</w:t>
      </w:r>
    </w:p>
    <w:p>
      <w:pPr>
        <w:pStyle w:val="TextBody"/>
        <w:bidi w:val="0"/>
        <w:spacing w:lineRule="auto" w:line="288" w:before="0" w:after="0"/>
        <w:jc w:val="left"/>
        <w:rPr/>
      </w:pPr>
      <w:r>
        <w:rPr>
          <w:rFonts w:ascii="Helvetica Light;sans-serif" w:hAnsi="Helvetica Light;sans-serif"/>
          <w:b w:val="false"/>
          <w:color w:val="000000"/>
          <w:sz w:val="10"/>
        </w:rPr>
        <w:t>(2)</w:t>
      </w:r>
      <w:r>
        <w:rPr>
          <w:color w:val="000000"/>
        </w:rPr>
        <w:t xml:space="preserve"> </w:t>
      </w:r>
      <w:r>
        <w:rPr>
          <w:rFonts w:ascii="Helvetica Light;sans-serif" w:hAnsi="Helvetica Light;sans-serif"/>
          <w:b w:val="false"/>
          <w:color w:val="000000"/>
          <w:sz w:val="16"/>
        </w:rPr>
        <w:t xml:space="preserve">Effective January 2026, the Company’s segment structure was updated to align with how the CODM reviews performance and allocates resources. Under the revised structure, the CODM reviews the business through the following operating and reportable segments: North America; Enlarged Europe; Middle East &amp; Africa; South America; and Asia Pacific. Refer to Note 1, </w:t>
      </w:r>
      <w:r>
        <w:rPr>
          <w:rFonts w:ascii="Helvetica Light;sans-serif" w:hAnsi="Helvetica Light;sans-serif"/>
          <w:b w:val="false"/>
          <w:i/>
          <w:color w:val="000000"/>
          <w:sz w:val="16"/>
        </w:rPr>
        <w:t>Basis of Preparation</w:t>
      </w:r>
      <w:r>
        <w:rPr>
          <w:color w:val="000000"/>
        </w:rPr>
        <w:t xml:space="preserve"> </w:t>
      </w:r>
      <w:r>
        <w:rPr>
          <w:rFonts w:ascii="Helvetica Light;sans-serif" w:hAnsi="Helvetica Light;sans-serif"/>
          <w:b w:val="false"/>
          <w:color w:val="000000"/>
          <w:sz w:val="16"/>
        </w:rPr>
        <w:t>in the Interim Condensed Consolidated Financial Statements included in this Interim Report for additional information</w:t>
      </w:r>
    </w:p>
    <w:p>
      <w:pPr>
        <w:pStyle w:val="TextBody"/>
        <w:bidi w:val="0"/>
        <w:spacing w:before="120" w:after="283"/>
        <w:jc w:val="left"/>
        <w:rPr/>
      </w:pPr>
      <w:r>
        <w:rPr/>
      </w:r>
    </w:p>
    <w:p>
      <w:pPr>
        <w:pStyle w:val="TextBody"/>
        <w:bidi w:val="0"/>
        <w:spacing w:before="0" w:after="24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503555"/>
                <wp:effectExtent l="0" t="0" r="0" b="0"/>
                <wp:wrapNone/>
                <wp:docPr id="31" name="Frame26"/>
                <a:graphic xmlns:a="http://schemas.openxmlformats.org/drawingml/2006/main">
                  <a:graphicData uri="http://schemas.microsoft.com/office/word/2010/wordprocessingShape">
                    <wps:wsp>
                      <wps:cNvSpPr txBox="1"/>
                      <wps:spPr>
                        <a:xfrm>
                          <a:off x="0" y="0"/>
                          <a:ext cx="6480175" cy="5035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22</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22</w:t>
                      </w:r>
                    </w:p>
                    <w:p>
                      <w:pPr>
                        <w:pStyle w:val="TextBody"/>
                        <w:bidi w:val="0"/>
                        <w:spacing w:before="0" w:after="24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The following are the market shares by segment for the three and six months ended June 30, 2026 and 2025:</w:t>
      </w:r>
    </w:p>
    <w:tbl>
      <w:tblPr>
        <w:tblW w:w="8289" w:type="dxa"/>
        <w:jc w:val="left"/>
        <w:tblInd w:w="0" w:type="dxa"/>
        <w:tblLayout w:type="fixed"/>
        <w:tblCellMar>
          <w:top w:w="28" w:type="dxa"/>
          <w:left w:w="28" w:type="dxa"/>
          <w:bottom w:w="28" w:type="dxa"/>
          <w:right w:w="28" w:type="dxa"/>
        </w:tblCellMar>
      </w:tblPr>
      <w:tblGrid>
        <w:gridCol w:w="635"/>
        <w:gridCol w:w="557"/>
        <w:gridCol w:w="562"/>
        <w:gridCol w:w="109"/>
        <w:gridCol w:w="109"/>
        <w:gridCol w:w="109"/>
        <w:gridCol w:w="282"/>
        <w:gridCol w:w="219"/>
        <w:gridCol w:w="545"/>
        <w:gridCol w:w="219"/>
        <w:gridCol w:w="219"/>
        <w:gridCol w:w="219"/>
        <w:gridCol w:w="275"/>
        <w:gridCol w:w="236"/>
        <w:gridCol w:w="545"/>
        <w:gridCol w:w="109"/>
        <w:gridCol w:w="109"/>
        <w:gridCol w:w="109"/>
        <w:gridCol w:w="247"/>
        <w:gridCol w:w="247"/>
        <w:gridCol w:w="614"/>
        <w:gridCol w:w="247"/>
        <w:gridCol w:w="247"/>
        <w:gridCol w:w="247"/>
        <w:gridCol w:w="310"/>
        <w:gridCol w:w="247"/>
        <w:gridCol w:w="716"/>
      </w:tblGrid>
      <w:tr>
        <w:trPr/>
        <w:tc>
          <w:tcPr>
            <w:tcW w:w="635"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9" w:type="dxa"/>
            <w:gridSpan w:val="9"/>
            <w:tcBorders>
              <w:bottom w:val="single" w:sz="2" w:space="0" w:color="8E939F"/>
            </w:tcBorders>
            <w:tcMar>
              <w:top w:w="0" w:type="dxa"/>
              <w:left w:w="0" w:type="dxa"/>
              <w:bottom w:w="30" w:type="dxa"/>
              <w:right w:w="0" w:type="dxa"/>
            </w:tcMar>
            <w:vAlign w:val="center"/>
          </w:tcPr>
          <w:p>
            <w:pPr>
              <w:pStyle w:val="TableContents"/>
              <w:bidi w:val="0"/>
              <w:spacing w:lineRule="auto" w:line="288" w:before="0" w:after="0"/>
              <w:jc w:val="center"/>
              <w:rPr/>
            </w:pPr>
            <w:r>
              <w:rPr>
                <w:rFonts w:ascii="Helvetica;sans-serif" w:hAnsi="Helvetica;sans-serif"/>
                <w:b/>
                <w:color w:val="243782"/>
                <w:sz w:val="18"/>
              </w:rPr>
              <w:t>Stellantis market share</w:t>
            </w:r>
            <w:r>
              <w:rPr>
                <w:rFonts w:ascii="Helvetica;sans-serif" w:hAnsi="Helvetica;sans-serif"/>
                <w:b/>
                <w:color w:val="243782"/>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2" w:type="dxa"/>
            <w:gridSpan w:val="9"/>
            <w:tcBorders>
              <w:bottom w:val="single" w:sz="2" w:space="0" w:color="8E939F"/>
            </w:tcBorders>
            <w:tcMar>
              <w:top w:w="0" w:type="dxa"/>
              <w:left w:w="0" w:type="dxa"/>
              <w:bottom w:w="30" w:type="dxa"/>
              <w:right w:w="0" w:type="dxa"/>
            </w:tcMar>
            <w:vAlign w:val="center"/>
          </w:tcPr>
          <w:p>
            <w:pPr>
              <w:pStyle w:val="TableContents"/>
              <w:bidi w:val="0"/>
              <w:spacing w:lineRule="auto" w:line="288" w:before="0" w:after="0"/>
              <w:jc w:val="center"/>
              <w:rPr/>
            </w:pPr>
            <w:r>
              <w:rPr>
                <w:rFonts w:ascii="Helvetica;sans-serif" w:hAnsi="Helvetica;sans-serif"/>
                <w:b/>
                <w:color w:val="243782"/>
                <w:sz w:val="18"/>
              </w:rPr>
              <w:t>Stellantis and LPM</w:t>
            </w:r>
            <w:r>
              <w:rPr>
                <w:rFonts w:ascii="Helvetica;sans-serif" w:hAnsi="Helvetica;sans-serif"/>
                <w:b/>
                <w:color w:val="243782"/>
                <w:sz w:val="12"/>
              </w:rPr>
              <w:t xml:space="preserve">(2) </w:t>
            </w:r>
            <w:r>
              <w:rPr>
                <w:rFonts w:ascii="Helvetica;sans-serif" w:hAnsi="Helvetica;sans-serif"/>
                <w:b/>
                <w:color w:val="243782"/>
                <w:sz w:val="18"/>
              </w:rPr>
              <w:t>market share</w:t>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9" w:type="dxa"/>
            <w:gridSpan w:val="9"/>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Three months ended June 30,</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2" w:type="dxa"/>
            <w:gridSpan w:val="9"/>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Three months ended June 30,</w:t>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2026</w:t>
            </w:r>
          </w:p>
        </w:tc>
        <w:tc>
          <w:tcPr>
            <w:tcW w:w="65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2025</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2026</w:t>
            </w:r>
          </w:p>
        </w:tc>
        <w:tc>
          <w:tcPr>
            <w:tcW w:w="741"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2025</w:t>
            </w:r>
          </w:p>
        </w:tc>
      </w:tr>
      <w:tr>
        <w:trPr/>
        <w:tc>
          <w:tcPr>
            <w:tcW w:w="1754" w:type="dxa"/>
            <w:gridSpan w:val="3"/>
            <w:tcBorders>
              <w:top w:val="single" w:sz="2" w:space="0" w:color="143A84"/>
            </w:tcBorders>
            <w:tcMar>
              <w:top w:w="52" w:type="dxa"/>
              <w:left w:w="0" w:type="dxa"/>
              <w:bottom w:w="0" w:type="dxa"/>
              <w:right w:w="0" w:type="dxa"/>
            </w:tcMar>
            <w:vAlign w:val="center"/>
          </w:tcPr>
          <w:p>
            <w:pPr>
              <w:pStyle w:val="TableContents"/>
              <w:bidi w:val="0"/>
              <w:spacing w:lineRule="auto" w:line="288" w:before="0" w:after="0"/>
              <w:jc w:val="left"/>
              <w:rPr>
                <w:rFonts w:ascii="Helvetica;sans-serif" w:hAnsi="Helvetica;sans-serif"/>
                <w:b w:val="false"/>
                <w:color w:val="000000"/>
                <w:sz w:val="18"/>
              </w:rPr>
            </w:pPr>
            <w:r>
              <w:rPr>
                <w:rFonts w:ascii="Helvetica;sans-serif" w:hAnsi="Helvetica;sans-serif"/>
                <w:b w:val="false"/>
                <w:color w:val="000000"/>
                <w:sz w:val="18"/>
              </w:rPr>
              <w:t>North America</w:t>
            </w:r>
          </w:p>
        </w:tc>
        <w:tc>
          <w:tcPr>
            <w:tcW w:w="327"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2"/>
            <w:tcBorders>
              <w:top w:val="single" w:sz="2" w:space="0" w:color="143A84"/>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7.4</w:t>
            </w:r>
          </w:p>
        </w:tc>
        <w:tc>
          <w:tcPr>
            <w:tcW w:w="545" w:type="dxa"/>
            <w:tcBorders>
              <w:top w:val="single" w:sz="2" w:space="0" w:color="143A84"/>
            </w:tcBorders>
            <w:shd w:fill="F3F3F9"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657"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2" w:space="0" w:color="143A84"/>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7.0 </w:t>
            </w:r>
          </w:p>
        </w:tc>
        <w:tc>
          <w:tcPr>
            <w:tcW w:w="545" w:type="dxa"/>
            <w:tcBorders>
              <w:top w:val="single" w:sz="2" w:space="0" w:color="143A84"/>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w:t>
            </w:r>
          </w:p>
        </w:tc>
        <w:tc>
          <w:tcPr>
            <w:tcW w:w="327"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top w:val="single" w:sz="2" w:space="0" w:color="143A84"/>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7.4</w:t>
            </w:r>
          </w:p>
        </w:tc>
        <w:tc>
          <w:tcPr>
            <w:tcW w:w="614" w:type="dxa"/>
            <w:tcBorders>
              <w:top w:val="single" w:sz="2" w:space="0" w:color="143A84"/>
            </w:tcBorders>
            <w:shd w:fill="F3F3F9"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741"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op w:val="single" w:sz="2" w:space="0" w:color="143A84"/>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7.0 </w:t>
            </w:r>
          </w:p>
        </w:tc>
        <w:tc>
          <w:tcPr>
            <w:tcW w:w="716" w:type="dxa"/>
            <w:tcBorders>
              <w:top w:val="single" w:sz="2" w:space="0" w:color="143A84"/>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w:t>
            </w:r>
          </w:p>
        </w:tc>
      </w:tr>
      <w:tr>
        <w:trPr/>
        <w:tc>
          <w:tcPr>
            <w:tcW w:w="1754"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0"/>
              <w:jc w:val="left"/>
              <w:rPr>
                <w:rFonts w:ascii="Helvetica;sans-serif" w:hAnsi="Helvetica;sans-serif"/>
                <w:b w:val="false"/>
                <w:color w:val="000000"/>
                <w:sz w:val="18"/>
              </w:rPr>
            </w:pPr>
            <w:r>
              <w:rPr>
                <w:rFonts w:ascii="Helvetica;sans-serif" w:hAnsi="Helvetica;sans-serif"/>
                <w:b w:val="false"/>
                <w:color w:val="000000"/>
                <w:sz w:val="18"/>
              </w:rPr>
              <w:t>Enlarged Europe</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15.2</w:t>
            </w:r>
          </w:p>
        </w:tc>
        <w:tc>
          <w:tcPr>
            <w:tcW w:w="545" w:type="dxa"/>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65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15.9 </w:t>
            </w:r>
          </w:p>
        </w:tc>
        <w:tc>
          <w:tcPr>
            <w:tcW w:w="545" w:type="dxa"/>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15.9</w:t>
            </w:r>
          </w:p>
        </w:tc>
        <w:tc>
          <w:tcPr>
            <w:tcW w:w="614" w:type="dxa"/>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741"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16.1 </w:t>
            </w:r>
          </w:p>
        </w:tc>
        <w:tc>
          <w:tcPr>
            <w:tcW w:w="716" w:type="dxa"/>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w:t>
            </w:r>
          </w:p>
        </w:tc>
      </w:tr>
      <w:tr>
        <w:trPr/>
        <w:tc>
          <w:tcPr>
            <w:tcW w:w="1754"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Middle East &amp; Africa</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12.2</w:t>
            </w:r>
          </w:p>
        </w:tc>
        <w:tc>
          <w:tcPr>
            <w:tcW w:w="545" w:type="dxa"/>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65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12.0 </w:t>
            </w:r>
          </w:p>
        </w:tc>
        <w:tc>
          <w:tcPr>
            <w:tcW w:w="545" w:type="dxa"/>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12.3</w:t>
            </w:r>
          </w:p>
        </w:tc>
        <w:tc>
          <w:tcPr>
            <w:tcW w:w="614" w:type="dxa"/>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741"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12.0 </w:t>
            </w:r>
          </w:p>
        </w:tc>
        <w:tc>
          <w:tcPr>
            <w:tcW w:w="716" w:type="dxa"/>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w:t>
            </w:r>
          </w:p>
        </w:tc>
      </w:tr>
      <w:tr>
        <w:trPr/>
        <w:tc>
          <w:tcPr>
            <w:tcW w:w="1754"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0"/>
              <w:jc w:val="left"/>
              <w:rPr>
                <w:rFonts w:ascii="Helvetica;sans-serif" w:hAnsi="Helvetica;sans-serif"/>
                <w:b w:val="false"/>
                <w:color w:val="000000"/>
                <w:sz w:val="18"/>
              </w:rPr>
            </w:pPr>
            <w:r>
              <w:rPr>
                <w:rFonts w:ascii="Helvetica;sans-serif" w:hAnsi="Helvetica;sans-serif"/>
                <w:b w:val="false"/>
                <w:color w:val="000000"/>
                <w:sz w:val="18"/>
              </w:rPr>
              <w:t>South America</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19.1</w:t>
            </w:r>
          </w:p>
        </w:tc>
        <w:tc>
          <w:tcPr>
            <w:tcW w:w="545" w:type="dxa"/>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65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23.3 </w:t>
            </w:r>
          </w:p>
        </w:tc>
        <w:tc>
          <w:tcPr>
            <w:tcW w:w="545" w:type="dxa"/>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19.4</w:t>
            </w:r>
          </w:p>
        </w:tc>
        <w:tc>
          <w:tcPr>
            <w:tcW w:w="614" w:type="dxa"/>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741"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23.3 </w:t>
            </w:r>
          </w:p>
        </w:tc>
        <w:tc>
          <w:tcPr>
            <w:tcW w:w="716" w:type="dxa"/>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w:t>
            </w:r>
          </w:p>
        </w:tc>
      </w:tr>
      <w:tr>
        <w:trPr/>
        <w:tc>
          <w:tcPr>
            <w:tcW w:w="1754" w:type="dxa"/>
            <w:gridSpan w:val="3"/>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Asia Pacific</w:t>
            </w:r>
          </w:p>
        </w:tc>
        <w:tc>
          <w:tcPr>
            <w:tcW w:w="327" w:type="dxa"/>
            <w:gridSpan w:val="3"/>
            <w:tcBorders>
              <w:top w:val="single" w:sz="2" w:space="0" w:color="8E939F"/>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501" w:type="dxa"/>
            <w:gridSpan w:val="2"/>
            <w:tcBorders>
              <w:top w:val="single" w:sz="2" w:space="0" w:color="8E939F"/>
              <w:bottom w:val="single" w:sz="2" w:space="0" w:color="8E939F"/>
            </w:tcBorders>
            <w:shd w:fill="F3F3F9" w:val="clear"/>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0.2</w:t>
            </w:r>
          </w:p>
        </w:tc>
        <w:tc>
          <w:tcPr>
            <w:tcW w:w="545" w:type="dxa"/>
            <w:tcBorders>
              <w:top w:val="single" w:sz="2" w:space="0" w:color="8E939F"/>
              <w:bottom w:val="single" w:sz="2" w:space="0" w:color="8E939F"/>
            </w:tcBorders>
            <w:shd w:fill="F3F3F9" w:val="clear"/>
            <w:tcMar>
              <w:top w:w="52"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657" w:type="dxa"/>
            <w:gridSpan w:val="3"/>
            <w:tcBorders>
              <w:top w:val="single" w:sz="2" w:space="0" w:color="8E939F"/>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0.3 </w:t>
            </w:r>
          </w:p>
        </w:tc>
        <w:tc>
          <w:tcPr>
            <w:tcW w:w="545" w:type="dxa"/>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w:t>
            </w:r>
          </w:p>
        </w:tc>
        <w:tc>
          <w:tcPr>
            <w:tcW w:w="327" w:type="dxa"/>
            <w:gridSpan w:val="3"/>
            <w:tcBorders>
              <w:top w:val="single" w:sz="2" w:space="0" w:color="8E939F"/>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top w:val="single" w:sz="2" w:space="0" w:color="8E939F"/>
              <w:bottom w:val="single" w:sz="2" w:space="0" w:color="8E939F"/>
            </w:tcBorders>
            <w:shd w:fill="F3F3F9" w:val="clear"/>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0.3</w:t>
            </w:r>
          </w:p>
        </w:tc>
        <w:tc>
          <w:tcPr>
            <w:tcW w:w="614" w:type="dxa"/>
            <w:tcBorders>
              <w:top w:val="single" w:sz="2" w:space="0" w:color="8E939F"/>
              <w:bottom w:val="single" w:sz="2" w:space="0" w:color="8E939F"/>
            </w:tcBorders>
            <w:shd w:fill="F3F3F9" w:val="clear"/>
            <w:tcMar>
              <w:top w:w="52"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741" w:type="dxa"/>
            <w:gridSpan w:val="3"/>
            <w:tcBorders>
              <w:top w:val="single" w:sz="2" w:space="0" w:color="8E939F"/>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0.3 </w:t>
            </w:r>
          </w:p>
        </w:tc>
        <w:tc>
          <w:tcPr>
            <w:tcW w:w="716" w:type="dxa"/>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w:t>
            </w:r>
          </w:p>
        </w:tc>
      </w:tr>
    </w:tbl>
    <w:tbl>
      <w:tblPr>
        <w:tblW w:w="8103" w:type="dxa"/>
        <w:jc w:val="left"/>
        <w:tblInd w:w="0" w:type="dxa"/>
        <w:tblLayout w:type="fixed"/>
        <w:tblCellMar>
          <w:top w:w="28" w:type="dxa"/>
          <w:left w:w="28" w:type="dxa"/>
          <w:bottom w:w="28" w:type="dxa"/>
          <w:right w:w="28" w:type="dxa"/>
        </w:tblCellMar>
      </w:tblPr>
      <w:tblGrid>
        <w:gridCol w:w="635"/>
        <w:gridCol w:w="557"/>
        <w:gridCol w:w="562"/>
        <w:gridCol w:w="109"/>
        <w:gridCol w:w="109"/>
        <w:gridCol w:w="109"/>
        <w:gridCol w:w="258"/>
        <w:gridCol w:w="208"/>
        <w:gridCol w:w="498"/>
        <w:gridCol w:w="200"/>
        <w:gridCol w:w="200"/>
        <w:gridCol w:w="200"/>
        <w:gridCol w:w="292"/>
        <w:gridCol w:w="219"/>
        <w:gridCol w:w="498"/>
        <w:gridCol w:w="109"/>
        <w:gridCol w:w="109"/>
        <w:gridCol w:w="109"/>
        <w:gridCol w:w="247"/>
        <w:gridCol w:w="247"/>
        <w:gridCol w:w="614"/>
        <w:gridCol w:w="247"/>
        <w:gridCol w:w="247"/>
        <w:gridCol w:w="247"/>
        <w:gridCol w:w="310"/>
        <w:gridCol w:w="247"/>
        <w:gridCol w:w="716"/>
      </w:tblGrid>
      <w:tr>
        <w:trPr/>
        <w:tc>
          <w:tcPr>
            <w:tcW w:w="635"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3" w:type="dxa"/>
            <w:gridSpan w:val="9"/>
            <w:tcBorders>
              <w:bottom w:val="single" w:sz="2" w:space="0" w:color="8E939F"/>
            </w:tcBorders>
            <w:tcMar>
              <w:top w:w="0" w:type="dxa"/>
              <w:left w:w="0" w:type="dxa"/>
              <w:bottom w:w="30" w:type="dxa"/>
              <w:right w:w="0" w:type="dxa"/>
            </w:tcMar>
            <w:vAlign w:val="center"/>
          </w:tcPr>
          <w:p>
            <w:pPr>
              <w:pStyle w:val="TableContents"/>
              <w:bidi w:val="0"/>
              <w:spacing w:lineRule="auto" w:line="288" w:before="0" w:after="0"/>
              <w:jc w:val="center"/>
              <w:rPr/>
            </w:pPr>
            <w:r>
              <w:rPr>
                <w:rFonts w:ascii="Helvetica;sans-serif" w:hAnsi="Helvetica;sans-serif"/>
                <w:b/>
                <w:color w:val="243782"/>
                <w:sz w:val="18"/>
              </w:rPr>
              <w:t>Stellantis market share</w:t>
            </w:r>
            <w:r>
              <w:rPr>
                <w:rFonts w:ascii="Helvetica;sans-serif" w:hAnsi="Helvetica;sans-serif"/>
                <w:b/>
                <w:color w:val="243782"/>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2" w:type="dxa"/>
            <w:gridSpan w:val="9"/>
            <w:tcBorders>
              <w:bottom w:val="single" w:sz="2" w:space="0" w:color="8E939F"/>
            </w:tcBorders>
            <w:tcMar>
              <w:top w:w="0" w:type="dxa"/>
              <w:left w:w="0" w:type="dxa"/>
              <w:bottom w:w="30" w:type="dxa"/>
              <w:right w:w="0" w:type="dxa"/>
            </w:tcMar>
            <w:vAlign w:val="center"/>
          </w:tcPr>
          <w:p>
            <w:pPr>
              <w:pStyle w:val="TableContents"/>
              <w:bidi w:val="0"/>
              <w:spacing w:lineRule="auto" w:line="288" w:before="0" w:after="0"/>
              <w:jc w:val="center"/>
              <w:rPr/>
            </w:pPr>
            <w:r>
              <w:rPr>
                <w:rFonts w:ascii="Helvetica;sans-serif" w:hAnsi="Helvetica;sans-serif"/>
                <w:b/>
                <w:color w:val="243782"/>
                <w:sz w:val="18"/>
              </w:rPr>
              <w:t>Stellantis and LPM</w:t>
            </w:r>
            <w:r>
              <w:rPr>
                <w:rFonts w:ascii="Helvetica;sans-serif" w:hAnsi="Helvetica;sans-serif"/>
                <w:b/>
                <w:color w:val="243782"/>
                <w:sz w:val="12"/>
              </w:rPr>
              <w:t xml:space="preserve">(2) </w:t>
            </w:r>
            <w:r>
              <w:rPr>
                <w:rFonts w:ascii="Helvetica;sans-serif" w:hAnsi="Helvetica;sans-serif"/>
                <w:b/>
                <w:color w:val="243782"/>
                <w:sz w:val="18"/>
              </w:rPr>
              <w:t>market share</w:t>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3" w:type="dxa"/>
            <w:gridSpan w:val="9"/>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Six Months Ended June 30,</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2" w:type="dxa"/>
            <w:gridSpan w:val="9"/>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Six Months Ended June 30,</w:t>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2026</w:t>
            </w:r>
          </w:p>
        </w:tc>
        <w:tc>
          <w:tcPr>
            <w:tcW w:w="600"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2025</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2026</w:t>
            </w:r>
          </w:p>
        </w:tc>
        <w:tc>
          <w:tcPr>
            <w:tcW w:w="741"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2025</w:t>
            </w:r>
          </w:p>
        </w:tc>
      </w:tr>
      <w:tr>
        <w:trPr/>
        <w:tc>
          <w:tcPr>
            <w:tcW w:w="1754" w:type="dxa"/>
            <w:gridSpan w:val="3"/>
            <w:tcBorders>
              <w:top w:val="single" w:sz="2" w:space="0" w:color="143A84"/>
            </w:tcBorders>
            <w:tcMar>
              <w:top w:w="52" w:type="dxa"/>
              <w:left w:w="0" w:type="dxa"/>
              <w:bottom w:w="0" w:type="dxa"/>
              <w:right w:w="0" w:type="dxa"/>
            </w:tcMar>
            <w:vAlign w:val="center"/>
          </w:tcPr>
          <w:p>
            <w:pPr>
              <w:pStyle w:val="TableContents"/>
              <w:bidi w:val="0"/>
              <w:spacing w:lineRule="auto" w:line="288" w:before="0" w:after="0"/>
              <w:jc w:val="left"/>
              <w:rPr>
                <w:rFonts w:ascii="Helvetica;sans-serif" w:hAnsi="Helvetica;sans-serif"/>
                <w:b w:val="false"/>
                <w:color w:val="000000"/>
                <w:sz w:val="18"/>
              </w:rPr>
            </w:pPr>
            <w:r>
              <w:rPr>
                <w:rFonts w:ascii="Helvetica;sans-serif" w:hAnsi="Helvetica;sans-serif"/>
                <w:b w:val="false"/>
                <w:color w:val="000000"/>
                <w:sz w:val="18"/>
              </w:rPr>
              <w:t>North America</w:t>
            </w:r>
          </w:p>
        </w:tc>
        <w:tc>
          <w:tcPr>
            <w:tcW w:w="327"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2" w:space="0" w:color="143A84"/>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7.6</w:t>
            </w:r>
          </w:p>
        </w:tc>
        <w:tc>
          <w:tcPr>
            <w:tcW w:w="498" w:type="dxa"/>
            <w:tcBorders>
              <w:top w:val="single" w:sz="2" w:space="0" w:color="143A84"/>
            </w:tcBorders>
            <w:shd w:fill="F3F3F9"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600"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2" w:space="0" w:color="143A84"/>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7.1 </w:t>
            </w:r>
          </w:p>
        </w:tc>
        <w:tc>
          <w:tcPr>
            <w:tcW w:w="498" w:type="dxa"/>
            <w:tcBorders>
              <w:top w:val="single" w:sz="2" w:space="0" w:color="143A84"/>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w:t>
            </w:r>
          </w:p>
        </w:tc>
        <w:tc>
          <w:tcPr>
            <w:tcW w:w="327"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top w:val="single" w:sz="2" w:space="0" w:color="143A84"/>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7.6</w:t>
            </w:r>
          </w:p>
        </w:tc>
        <w:tc>
          <w:tcPr>
            <w:tcW w:w="614" w:type="dxa"/>
            <w:tcBorders>
              <w:top w:val="single" w:sz="2" w:space="0" w:color="143A84"/>
            </w:tcBorders>
            <w:shd w:fill="F3F3F9"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741"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op w:val="single" w:sz="2" w:space="0" w:color="143A84"/>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7.1 </w:t>
            </w:r>
          </w:p>
        </w:tc>
        <w:tc>
          <w:tcPr>
            <w:tcW w:w="716" w:type="dxa"/>
            <w:tcBorders>
              <w:top w:val="single" w:sz="2" w:space="0" w:color="143A84"/>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w:t>
            </w:r>
          </w:p>
        </w:tc>
      </w:tr>
      <w:tr>
        <w:trPr/>
        <w:tc>
          <w:tcPr>
            <w:tcW w:w="1754"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0"/>
              <w:jc w:val="left"/>
              <w:rPr>
                <w:rFonts w:ascii="Helvetica;sans-serif" w:hAnsi="Helvetica;sans-serif"/>
                <w:b w:val="false"/>
                <w:color w:val="000000"/>
                <w:sz w:val="18"/>
              </w:rPr>
            </w:pPr>
            <w:r>
              <w:rPr>
                <w:rFonts w:ascii="Helvetica;sans-serif" w:hAnsi="Helvetica;sans-serif"/>
                <w:b w:val="false"/>
                <w:color w:val="000000"/>
                <w:sz w:val="18"/>
              </w:rPr>
              <w:t>Enlarged Europe</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16.0</w:t>
            </w:r>
          </w:p>
        </w:tc>
        <w:tc>
          <w:tcPr>
            <w:tcW w:w="498" w:type="dxa"/>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600"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16.2 </w:t>
            </w:r>
          </w:p>
        </w:tc>
        <w:tc>
          <w:tcPr>
            <w:tcW w:w="498" w:type="dxa"/>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16.6</w:t>
            </w:r>
          </w:p>
        </w:tc>
        <w:tc>
          <w:tcPr>
            <w:tcW w:w="614" w:type="dxa"/>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741"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16.3 </w:t>
            </w:r>
          </w:p>
        </w:tc>
        <w:tc>
          <w:tcPr>
            <w:tcW w:w="716" w:type="dxa"/>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w:t>
            </w:r>
          </w:p>
        </w:tc>
      </w:tr>
      <w:tr>
        <w:trPr/>
        <w:tc>
          <w:tcPr>
            <w:tcW w:w="1754"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Middle East &amp; Africa</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11.9</w:t>
            </w:r>
          </w:p>
        </w:tc>
        <w:tc>
          <w:tcPr>
            <w:tcW w:w="498" w:type="dxa"/>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600"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11.5 </w:t>
            </w:r>
          </w:p>
        </w:tc>
        <w:tc>
          <w:tcPr>
            <w:tcW w:w="498" w:type="dxa"/>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11.9</w:t>
            </w:r>
          </w:p>
        </w:tc>
        <w:tc>
          <w:tcPr>
            <w:tcW w:w="614" w:type="dxa"/>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741"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11.5 </w:t>
            </w:r>
          </w:p>
        </w:tc>
        <w:tc>
          <w:tcPr>
            <w:tcW w:w="716" w:type="dxa"/>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w:t>
            </w:r>
          </w:p>
        </w:tc>
      </w:tr>
      <w:tr>
        <w:trPr/>
        <w:tc>
          <w:tcPr>
            <w:tcW w:w="1754"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0"/>
              <w:jc w:val="left"/>
              <w:rPr>
                <w:rFonts w:ascii="Helvetica;sans-serif" w:hAnsi="Helvetica;sans-serif"/>
                <w:b w:val="false"/>
                <w:color w:val="000000"/>
                <w:sz w:val="18"/>
              </w:rPr>
            </w:pPr>
            <w:r>
              <w:rPr>
                <w:rFonts w:ascii="Helvetica;sans-serif" w:hAnsi="Helvetica;sans-serif"/>
                <w:b w:val="false"/>
                <w:color w:val="000000"/>
                <w:sz w:val="18"/>
              </w:rPr>
              <w:t>South America</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20.0</w:t>
            </w:r>
          </w:p>
        </w:tc>
        <w:tc>
          <w:tcPr>
            <w:tcW w:w="498" w:type="dxa"/>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600"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23.5 </w:t>
            </w:r>
          </w:p>
        </w:tc>
        <w:tc>
          <w:tcPr>
            <w:tcW w:w="498" w:type="dxa"/>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20.2</w:t>
            </w:r>
          </w:p>
        </w:tc>
        <w:tc>
          <w:tcPr>
            <w:tcW w:w="614" w:type="dxa"/>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741"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23.5 </w:t>
            </w:r>
          </w:p>
        </w:tc>
        <w:tc>
          <w:tcPr>
            <w:tcW w:w="716" w:type="dxa"/>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w:t>
            </w:r>
          </w:p>
        </w:tc>
      </w:tr>
      <w:tr>
        <w:trPr/>
        <w:tc>
          <w:tcPr>
            <w:tcW w:w="1754" w:type="dxa"/>
            <w:gridSpan w:val="3"/>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Asia Pacific</w:t>
            </w:r>
          </w:p>
        </w:tc>
        <w:tc>
          <w:tcPr>
            <w:tcW w:w="327" w:type="dxa"/>
            <w:gridSpan w:val="3"/>
            <w:tcBorders>
              <w:top w:val="single" w:sz="2" w:space="0" w:color="8E939F"/>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2" w:space="0" w:color="8E939F"/>
              <w:bottom w:val="single" w:sz="2" w:space="0" w:color="8E939F"/>
            </w:tcBorders>
            <w:shd w:fill="F3F3F9" w:val="clear"/>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0.3</w:t>
            </w:r>
          </w:p>
        </w:tc>
        <w:tc>
          <w:tcPr>
            <w:tcW w:w="498" w:type="dxa"/>
            <w:tcBorders>
              <w:top w:val="single" w:sz="2" w:space="0" w:color="8E939F"/>
              <w:bottom w:val="single" w:sz="2" w:space="0" w:color="8E939F"/>
            </w:tcBorders>
            <w:shd w:fill="F3F3F9" w:val="clear"/>
            <w:tcMar>
              <w:top w:w="52"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600" w:type="dxa"/>
            <w:gridSpan w:val="3"/>
            <w:tcBorders>
              <w:top w:val="single" w:sz="2" w:space="0" w:color="8E939F"/>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0.3 </w:t>
            </w:r>
          </w:p>
        </w:tc>
        <w:tc>
          <w:tcPr>
            <w:tcW w:w="498" w:type="dxa"/>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w:t>
            </w:r>
          </w:p>
        </w:tc>
        <w:tc>
          <w:tcPr>
            <w:tcW w:w="327" w:type="dxa"/>
            <w:gridSpan w:val="3"/>
            <w:tcBorders>
              <w:top w:val="single" w:sz="2" w:space="0" w:color="8E939F"/>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top w:val="single" w:sz="2" w:space="0" w:color="8E939F"/>
              <w:bottom w:val="single" w:sz="2" w:space="0" w:color="8E939F"/>
            </w:tcBorders>
            <w:shd w:fill="F3F3F9" w:val="clear"/>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0.3</w:t>
            </w:r>
          </w:p>
        </w:tc>
        <w:tc>
          <w:tcPr>
            <w:tcW w:w="614" w:type="dxa"/>
            <w:tcBorders>
              <w:top w:val="single" w:sz="2" w:space="0" w:color="8E939F"/>
              <w:bottom w:val="single" w:sz="2" w:space="0" w:color="8E939F"/>
            </w:tcBorders>
            <w:shd w:fill="F3F3F9" w:val="clear"/>
            <w:tcMar>
              <w:top w:w="52"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741" w:type="dxa"/>
            <w:gridSpan w:val="3"/>
            <w:tcBorders>
              <w:top w:val="single" w:sz="2" w:space="0" w:color="8E939F"/>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0.3 </w:t>
            </w:r>
          </w:p>
        </w:tc>
        <w:tc>
          <w:tcPr>
            <w:tcW w:w="716" w:type="dxa"/>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w:t>
            </w:r>
          </w:p>
        </w:tc>
      </w:tr>
    </w:tbl>
    <w:p>
      <w:pPr>
        <w:pStyle w:val="TextBody"/>
        <w:bidi w:val="0"/>
        <w:spacing w:lineRule="auto" w:line="288" w:before="0" w:after="0"/>
        <w:jc w:val="left"/>
        <w:rPr/>
      </w:pPr>
      <w:r>
        <w:rPr>
          <w:rFonts w:ascii="Helvetica Light;sans-serif" w:hAnsi="Helvetica Light;sans-serif"/>
          <w:b w:val="false"/>
          <w:color w:val="000000"/>
          <w:sz w:val="10"/>
        </w:rPr>
        <w:t>(1)</w:t>
      </w:r>
      <w:r>
        <w:rPr>
          <w:color w:val="000000"/>
        </w:rPr>
        <w:t xml:space="preserve"> </w:t>
      </w:r>
      <w:r>
        <w:rPr>
          <w:rFonts w:ascii="Helvetica Light;sans-serif" w:hAnsi="Helvetica Light;sans-serif"/>
          <w:b w:val="false"/>
          <w:color w:val="000000"/>
          <w:sz w:val="16"/>
        </w:rPr>
        <w:t xml:space="preserve">Industry and market share information is derived from third-party industry sources (e.g. Agence Nationale des Titres Sécurisés (“ANTS”), Associação Nacional dos Fabricantes de Veículos Automotores (“ANFAVEA”), Ministry of Infrastructure and Sustainable Mobility (“MIMS”), Ward’s Automotive) and internal information. Represents passenger cars (“PC”) and light commercial vehicles (“LCV”), except as noted </w:t>
      </w:r>
    </w:p>
    <w:p>
      <w:pPr>
        <w:pStyle w:val="TextBody"/>
        <w:bidi w:val="0"/>
        <w:spacing w:lineRule="auto" w:line="288" w:before="60" w:after="283"/>
        <w:ind w:left="0" w:right="0" w:hanging="173"/>
        <w:jc w:val="left"/>
        <w:rPr/>
      </w:pPr>
      <w:r>
        <w:rPr>
          <w:color w:val="143A84"/>
        </w:rPr>
        <w:t>•</w:t>
      </w:r>
      <w:r>
        <w:rPr>
          <w:rFonts w:ascii="Helvetica Light;sans-serif" w:hAnsi="Helvetica Light;sans-serif"/>
          <w:b w:val="false"/>
          <w:color w:val="000000"/>
          <w:sz w:val="16"/>
        </w:rPr>
        <w:t>Enlarged Europe excludes Russia and Belarus;</w:t>
      </w:r>
    </w:p>
    <w:p>
      <w:pPr>
        <w:pStyle w:val="TextBody"/>
        <w:bidi w:val="0"/>
        <w:spacing w:lineRule="auto" w:line="288" w:before="60" w:after="283"/>
        <w:ind w:left="0" w:right="0" w:hanging="173"/>
        <w:jc w:val="left"/>
        <w:rPr/>
      </w:pPr>
      <w:r>
        <w:rPr>
          <w:color w:val="143A84"/>
        </w:rPr>
        <w:t>•</w:t>
      </w:r>
      <w:r>
        <w:rPr>
          <w:rFonts w:ascii="Helvetica Light;sans-serif" w:hAnsi="Helvetica Light;sans-serif"/>
          <w:b w:val="false"/>
          <w:color w:val="000000"/>
          <w:sz w:val="16"/>
        </w:rPr>
        <w:t>Middle East &amp; Africa excludes Iran, Sudan and Syria;</w:t>
      </w:r>
    </w:p>
    <w:p>
      <w:pPr>
        <w:pStyle w:val="TextBody"/>
        <w:bidi w:val="0"/>
        <w:spacing w:lineRule="auto" w:line="288" w:before="60" w:after="283"/>
        <w:ind w:left="0" w:right="0" w:hanging="173"/>
        <w:jc w:val="left"/>
        <w:rPr/>
      </w:pPr>
      <w:r>
        <w:rPr>
          <w:color w:val="143A84"/>
        </w:rPr>
        <w:t>•</w:t>
      </w:r>
      <w:r>
        <w:rPr>
          <w:rFonts w:ascii="Helvetica Light;sans-serif" w:hAnsi="Helvetica Light;sans-serif"/>
          <w:b w:val="false"/>
          <w:color w:val="000000"/>
          <w:sz w:val="16"/>
        </w:rPr>
        <w:t>South America excludes Cuba; and</w:t>
      </w:r>
    </w:p>
    <w:p>
      <w:pPr>
        <w:pStyle w:val="TextBody"/>
        <w:bidi w:val="0"/>
        <w:spacing w:lineRule="auto" w:line="288" w:before="60" w:after="283"/>
        <w:ind w:left="0" w:right="0" w:hanging="173"/>
        <w:jc w:val="left"/>
        <w:rPr/>
      </w:pPr>
      <w:r>
        <w:rPr>
          <w:color w:val="143A84"/>
        </w:rPr>
        <w:t>•</w:t>
      </w:r>
      <w:r>
        <w:rPr>
          <w:rFonts w:ascii="Helvetica Light;sans-serif" w:hAnsi="Helvetica Light;sans-serif"/>
          <w:b w:val="false"/>
          <w:color w:val="000000"/>
          <w:sz w:val="16"/>
        </w:rPr>
        <w:t xml:space="preserve">Asia Pacific reflects the major markets where Stellantis competes including China (PC only) including licensed sales from Dongfeng Peugeot Citroën Automobiles, Japan (PC), India (PC), South Korea (PC + Pickups), Australia, New Zealand and South East Asia </w:t>
      </w:r>
    </w:p>
    <w:p>
      <w:pPr>
        <w:pStyle w:val="TextBody"/>
        <w:bidi w:val="0"/>
        <w:spacing w:lineRule="auto" w:line="288" w:before="120" w:after="283"/>
        <w:jc w:val="left"/>
        <w:rPr/>
      </w:pPr>
      <w:r>
        <w:rPr>
          <w:rFonts w:ascii="Helvetica Light;sans-serif" w:hAnsi="Helvetica Light;sans-serif"/>
          <w:b w:val="false"/>
          <w:color w:val="000000"/>
          <w:sz w:val="10"/>
        </w:rPr>
        <w:t>(2)</w:t>
      </w:r>
      <w:r>
        <w:rPr>
          <w:color w:val="000000"/>
        </w:rPr>
        <w:t xml:space="preserve"> </w:t>
      </w:r>
      <w:r>
        <w:rPr>
          <w:rFonts w:ascii="Helvetica Light;sans-serif" w:hAnsi="Helvetica Light;sans-serif"/>
          <w:b w:val="false"/>
          <w:color w:val="000000"/>
          <w:sz w:val="16"/>
        </w:rPr>
        <w:t>This metric combines Stellantis-owned brands and Leapmotor vehicles distributed by Leapmotor International, a jointly established, Stellantis-controlled company created in 2024 and owned 51 percent by Stellantis and 49 percent by Leapmotor, to distribute Leapmotor-branded vehicles outside of China. Stellantis does not design, or manufacture Leapmotor-branded vehicles and does not own the Leapmotor brand or intellectual property</w:t>
      </w:r>
    </w:p>
    <w:p>
      <w:pPr>
        <w:pStyle w:val="TextBody"/>
        <w:bidi w:val="0"/>
        <w:spacing w:lineRule="auto" w:line="288" w:before="120" w:after="240"/>
        <w:jc w:val="left"/>
        <w:rPr>
          <w:rFonts w:ascii="Helvetica Light;sans-serif" w:hAnsi="Helvetica Light;sans-serif"/>
          <w:b w:val="false"/>
          <w:color w:val="000000"/>
          <w:sz w:val="16"/>
        </w:rPr>
      </w:pPr>
      <w:r>
        <w:rPr>
          <w:rFonts w:ascii="Helvetica Light;sans-serif" w:hAnsi="Helvetica Light;sans-serif"/>
          <w:b w:val="false"/>
          <w:color w:val="000000"/>
          <w:sz w:val="16"/>
        </w:rPr>
        <w:t>Figures may not add due to rounding. Prior period figures have been updated to reflect current information provided by third-party industry sources</w:t>
      </w:r>
    </w:p>
    <w:p>
      <w:pPr>
        <w:pStyle w:val="TextBody"/>
        <w:bidi w:val="0"/>
        <w:spacing w:lineRule="auto" w:line="343" w:before="0" w:after="240"/>
        <w:jc w:val="left"/>
        <w:rPr/>
      </w:pPr>
      <w:r>
        <w:rPr>
          <w:rFonts w:ascii="Helvetica Light;sans-serif" w:hAnsi="Helvetica Light;sans-serif"/>
          <w:b w:val="false"/>
          <w:color w:val="000000"/>
          <w:sz w:val="20"/>
        </w:rPr>
        <w:t xml:space="preserve">Refer to Note 20, </w:t>
      </w:r>
      <w:r>
        <w:rPr>
          <w:rFonts w:ascii="Helvetica Light;sans-serif" w:hAnsi="Helvetica Light;sans-serif"/>
          <w:b w:val="false"/>
          <w:i/>
          <w:color w:val="000000"/>
          <w:sz w:val="20"/>
        </w:rPr>
        <w:t>Segment reporting</w:t>
      </w:r>
      <w:r>
        <w:rPr>
          <w:color w:val="000000"/>
        </w:rPr>
        <w:t xml:space="preserve"> </w:t>
      </w:r>
      <w:r>
        <w:rPr>
          <w:rFonts w:ascii="Helvetica Light;sans-serif" w:hAnsi="Helvetica Light;sans-serif"/>
          <w:b w:val="false"/>
          <w:color w:val="000000"/>
          <w:sz w:val="20"/>
        </w:rPr>
        <w:t>in the Interim Condensed Consolidated Financial Statements included in this Interim Report for additional information on the Company’s reportable segments.</w:t>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The following is a discussion of Net revenues, Shipments and Adjusted operating income/(loss) for each of our five reportable segments for the three and six months ended June 30, 2026 as compared to the three and six months ended June 30, 2025.</w:t>
      </w:r>
    </w:p>
    <w:p>
      <w:pPr>
        <w:pStyle w:val="TextBody"/>
        <w:bidi w:val="0"/>
        <w:spacing w:lineRule="auto" w:line="343" w:before="0" w:after="120"/>
        <w:ind w:left="0" w:right="0" w:hanging="173"/>
        <w:jc w:val="left"/>
        <w:rPr/>
      </w:pPr>
      <w:r>
        <w:rPr>
          <w:color w:val="143A84"/>
        </w:rPr>
        <w:t>•</w:t>
      </w:r>
      <w:r>
        <w:rPr>
          <w:rFonts w:ascii="Helvetica;sans-serif" w:hAnsi="Helvetica;sans-serif"/>
          <w:b/>
          <w:color w:val="000000"/>
          <w:sz w:val="20"/>
        </w:rPr>
        <w:t>Volume &amp; Mix:</w:t>
      </w:r>
      <w:r>
        <w:rPr>
          <w:color w:val="000000"/>
        </w:rPr>
        <w:t xml:space="preserve"> </w:t>
      </w:r>
      <w:r>
        <w:rPr>
          <w:rFonts w:ascii="Helvetica Light;sans-serif" w:hAnsi="Helvetica Light;sans-serif"/>
          <w:b w:val="false"/>
          <w:color w:val="000000"/>
          <w:sz w:val="20"/>
        </w:rPr>
        <w:t>Reflects changes in new car volumes (consolidated shipments), driven by industry volume, market share and dealer stocks, and mix evolutions such as channel, product line and trim mix. It also reflects the impact of some non-pricing items;</w:t>
      </w:r>
    </w:p>
    <w:p>
      <w:pPr>
        <w:pStyle w:val="TextBody"/>
        <w:bidi w:val="0"/>
        <w:spacing w:lineRule="auto" w:line="343" w:before="0" w:after="120"/>
        <w:ind w:left="0" w:right="0" w:hanging="173"/>
        <w:jc w:val="left"/>
        <w:rPr/>
      </w:pPr>
      <w:r>
        <w:rPr>
          <w:color w:val="143A84"/>
        </w:rPr>
        <w:t>•</w:t>
      </w:r>
      <w:r>
        <w:rPr>
          <w:rFonts w:ascii="Helvetica;sans-serif" w:hAnsi="Helvetica;sans-serif"/>
          <w:b/>
          <w:color w:val="000000"/>
          <w:sz w:val="20"/>
        </w:rPr>
        <w:t>Vehicle Net Price:</w:t>
      </w:r>
      <w:r>
        <w:rPr>
          <w:color w:val="000000"/>
        </w:rPr>
        <w:t xml:space="preserve"> </w:t>
      </w:r>
      <w:r>
        <w:rPr>
          <w:rFonts w:ascii="Helvetica Light;sans-serif" w:hAnsi="Helvetica Light;sans-serif"/>
          <w:b w:val="false"/>
          <w:color w:val="000000"/>
          <w:sz w:val="20"/>
        </w:rPr>
        <w:t>Reflects changes in prices, net of discounts and other sales incentive programs;</w:t>
      </w:r>
    </w:p>
    <w:p>
      <w:pPr>
        <w:pStyle w:val="TextBody"/>
        <w:bidi w:val="0"/>
        <w:spacing w:before="0" w:after="24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503555"/>
                <wp:effectExtent l="0" t="0" r="0" b="0"/>
                <wp:wrapNone/>
                <wp:docPr id="32" name="Frame27"/>
                <a:graphic xmlns:a="http://schemas.openxmlformats.org/drawingml/2006/main">
                  <a:graphicData uri="http://schemas.microsoft.com/office/word/2010/wordprocessingShape">
                    <wps:wsp>
                      <wps:cNvSpPr txBox="1"/>
                      <wps:spPr>
                        <a:xfrm>
                          <a:off x="0" y="0"/>
                          <a:ext cx="6480175" cy="5035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23</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23</w:t>
                      </w:r>
                    </w:p>
                    <w:p>
                      <w:pPr>
                        <w:pStyle w:val="TextBody"/>
                        <w:bidi w:val="0"/>
                        <w:spacing w:before="0" w:after="24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343" w:before="0" w:after="120"/>
        <w:ind w:left="0" w:right="0" w:hanging="173"/>
        <w:jc w:val="left"/>
        <w:rPr/>
      </w:pPr>
      <w:r>
        <w:rPr>
          <w:color w:val="143A84"/>
        </w:rPr>
        <w:t>•</w:t>
      </w:r>
      <w:r>
        <w:rPr>
          <w:rFonts w:ascii="Helvetica;sans-serif" w:hAnsi="Helvetica;sans-serif"/>
          <w:b/>
          <w:color w:val="000000"/>
          <w:sz w:val="20"/>
        </w:rPr>
        <w:t>Industrial:</w:t>
      </w:r>
      <w:r>
        <w:rPr>
          <w:color w:val="000000"/>
        </w:rPr>
        <w:t xml:space="preserve"> </w:t>
      </w:r>
      <w:r>
        <w:rPr>
          <w:rFonts w:ascii="Helvetica Light;sans-serif" w:hAnsi="Helvetica Light;sans-serif"/>
          <w:b w:val="false"/>
          <w:color w:val="000000"/>
          <w:sz w:val="20"/>
        </w:rPr>
        <w:t>Reflects manufacturing and purchasing cost changes associated with content, technology and enhancement of vehicle features, as well as industrial, logistics and purchasing efficiencies and inefficiencies. The impact of fixed manufacturing costs absorption related to the change in production output is included here. Cost changes to purchasing of raw materials, warranty, compliance costs, as well as depreciation related to property, plant and equipment are also included here. This also encompasses costs of tariffs;</w:t>
      </w:r>
    </w:p>
    <w:p>
      <w:pPr>
        <w:pStyle w:val="TextBody"/>
        <w:bidi w:val="0"/>
        <w:spacing w:lineRule="auto" w:line="343" w:before="0" w:after="120"/>
        <w:ind w:left="0" w:right="0" w:hanging="173"/>
        <w:jc w:val="left"/>
        <w:rPr/>
      </w:pPr>
      <w:r>
        <w:rPr>
          <w:color w:val="143A84"/>
        </w:rPr>
        <w:t>•</w:t>
      </w:r>
      <w:r>
        <w:rPr>
          <w:rFonts w:ascii="Helvetica;sans-serif" w:hAnsi="Helvetica;sans-serif"/>
          <w:b/>
          <w:color w:val="000000"/>
          <w:sz w:val="20"/>
        </w:rPr>
        <w:t>SG&amp;A:</w:t>
      </w:r>
      <w:r>
        <w:rPr>
          <w:color w:val="000000"/>
        </w:rPr>
        <w:t xml:space="preserve"> </w:t>
      </w:r>
      <w:r>
        <w:rPr>
          <w:rFonts w:ascii="Helvetica Light;sans-serif" w:hAnsi="Helvetica Light;sans-serif"/>
          <w:b w:val="false"/>
          <w:color w:val="000000"/>
          <w:sz w:val="20"/>
        </w:rPr>
        <w:t>Primarily includes costs for advertising and promotional activities, purchased services, information technology costs and other costs not directly related to the development and manufacturing of Stellantis products;</w:t>
      </w:r>
    </w:p>
    <w:p>
      <w:pPr>
        <w:pStyle w:val="TextBody"/>
        <w:bidi w:val="0"/>
        <w:spacing w:lineRule="auto" w:line="343" w:before="0" w:after="120"/>
        <w:ind w:left="0" w:right="0" w:hanging="173"/>
        <w:jc w:val="left"/>
        <w:rPr/>
      </w:pPr>
      <w:r>
        <w:rPr>
          <w:color w:val="143A84"/>
        </w:rPr>
        <w:t>•</w:t>
      </w:r>
      <w:r>
        <w:rPr>
          <w:rFonts w:ascii="Helvetica;sans-serif" w:hAnsi="Helvetica;sans-serif"/>
          <w:b/>
          <w:color w:val="000000"/>
          <w:sz w:val="20"/>
        </w:rPr>
        <w:t>R&amp;D:</w:t>
      </w:r>
      <w:r>
        <w:rPr>
          <w:color w:val="000000"/>
        </w:rPr>
        <w:t xml:space="preserve"> </w:t>
      </w:r>
      <w:r>
        <w:rPr>
          <w:rFonts w:ascii="Helvetica Light;sans-serif" w:hAnsi="Helvetica Light;sans-serif"/>
          <w:b w:val="false"/>
          <w:color w:val="000000"/>
          <w:sz w:val="20"/>
        </w:rPr>
        <w:t>Includes research and development costs, as well as amortization of capitalized development expenditures; and</w:t>
      </w:r>
    </w:p>
    <w:p>
      <w:pPr>
        <w:pStyle w:val="TextBody"/>
        <w:bidi w:val="0"/>
        <w:spacing w:lineRule="auto" w:line="343" w:before="0" w:after="120"/>
        <w:ind w:left="0" w:right="0" w:hanging="173"/>
        <w:jc w:val="left"/>
        <w:rPr/>
      </w:pPr>
      <w:r>
        <w:rPr>
          <w:color w:val="143A84"/>
        </w:rPr>
        <w:t>•</w:t>
      </w:r>
      <w:r>
        <w:rPr>
          <w:rFonts w:ascii="Helvetica;sans-serif" w:hAnsi="Helvetica;sans-serif"/>
          <w:b/>
          <w:color w:val="000000"/>
          <w:sz w:val="20"/>
        </w:rPr>
        <w:t>FX and Other:</w:t>
      </w:r>
      <w:r>
        <w:rPr>
          <w:color w:val="000000"/>
        </w:rPr>
        <w:t xml:space="preserve"> </w:t>
      </w:r>
      <w:r>
        <w:rPr>
          <w:rFonts w:ascii="Helvetica Light;sans-serif" w:hAnsi="Helvetica Light;sans-serif"/>
          <w:b w:val="false"/>
          <w:color w:val="000000"/>
          <w:sz w:val="20"/>
        </w:rPr>
        <w:t>includes other items not mentioned above, such as used cars, parts &amp; services, sales to partners, royalties, as well as foreign currency exchange translation, transaction and hedging.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503555"/>
                <wp:effectExtent l="0" t="0" r="0" b="0"/>
                <wp:wrapNone/>
                <wp:docPr id="33" name="Frame28"/>
                <a:graphic xmlns:a="http://schemas.openxmlformats.org/drawingml/2006/main">
                  <a:graphicData uri="http://schemas.microsoft.com/office/word/2010/wordprocessingShape">
                    <wps:wsp>
                      <wps:cNvSpPr txBox="1"/>
                      <wps:spPr>
                        <a:xfrm>
                          <a:off x="0" y="0"/>
                          <a:ext cx="6480175" cy="5035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24</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24</w:t>
                      </w:r>
                    </w:p>
                    <w:p>
                      <w:pPr>
                        <w:pStyle w:val="TextBody"/>
                        <w:bidi w:val="0"/>
                        <w:spacing w:before="0" w:after="24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88" w:before="0" w:after="120"/>
        <w:jc w:val="left"/>
        <w:rPr>
          <w:rFonts w:ascii="Helvetica;sans-serif" w:hAnsi="Helvetica;sans-serif"/>
          <w:b/>
          <w:color w:val="143A84"/>
          <w:sz w:val="18"/>
        </w:rPr>
      </w:pPr>
      <w:r>
        <w:rPr>
          <w:rFonts w:ascii="Helvetica;sans-serif" w:hAnsi="Helvetica;sans-serif"/>
          <w:b/>
          <w:color w:val="143A84"/>
          <w:sz w:val="18"/>
        </w:rPr>
        <w:t>North America</w:t>
      </w:r>
    </w:p>
    <w:tbl>
      <w:tblPr>
        <w:tblW w:w="10205" w:type="dxa"/>
        <w:jc w:val="left"/>
        <w:tblInd w:w="0" w:type="dxa"/>
        <w:tblLayout w:type="fixed"/>
        <w:tblCellMar>
          <w:top w:w="28" w:type="dxa"/>
          <w:left w:w="28" w:type="dxa"/>
          <w:bottom w:w="28" w:type="dxa"/>
          <w:right w:w="28" w:type="dxa"/>
        </w:tblCellMar>
      </w:tblPr>
      <w:tblGrid>
        <w:gridCol w:w="248"/>
        <w:gridCol w:w="189"/>
        <w:gridCol w:w="369"/>
        <w:gridCol w:w="148"/>
        <w:gridCol w:w="148"/>
        <w:gridCol w:w="148"/>
        <w:gridCol w:w="226"/>
        <w:gridCol w:w="216"/>
        <w:gridCol w:w="369"/>
        <w:gridCol w:w="109"/>
        <w:gridCol w:w="109"/>
        <w:gridCol w:w="109"/>
        <w:gridCol w:w="304"/>
        <w:gridCol w:w="293"/>
        <w:gridCol w:w="730"/>
        <w:gridCol w:w="109"/>
        <w:gridCol w:w="109"/>
        <w:gridCol w:w="109"/>
        <w:gridCol w:w="708"/>
        <w:gridCol w:w="708"/>
        <w:gridCol w:w="709"/>
        <w:gridCol w:w="109"/>
        <w:gridCol w:w="109"/>
        <w:gridCol w:w="109"/>
        <w:gridCol w:w="203"/>
        <w:gridCol w:w="203"/>
        <w:gridCol w:w="357"/>
        <w:gridCol w:w="142"/>
        <w:gridCol w:w="142"/>
        <w:gridCol w:w="142"/>
        <w:gridCol w:w="220"/>
        <w:gridCol w:w="221"/>
        <w:gridCol w:w="357"/>
        <w:gridCol w:w="109"/>
        <w:gridCol w:w="109"/>
        <w:gridCol w:w="109"/>
        <w:gridCol w:w="301"/>
        <w:gridCol w:w="277"/>
        <w:gridCol w:w="819"/>
      </w:tblGrid>
      <w:tr>
        <w:trPr/>
        <w:tc>
          <w:tcPr>
            <w:tcW w:w="24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r>
      <w:tr>
        <w:trPr/>
        <w:tc>
          <w:tcPr>
            <w:tcW w:w="206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Increase/(Decrease)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Increase/(Decrease)</w:t>
            </w:r>
          </w:p>
        </w:tc>
      </w:tr>
      <w:tr>
        <w:trPr/>
        <w:tc>
          <w:tcPr>
            <w:tcW w:w="806"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2026</w:t>
            </w:r>
          </w:p>
        </w:tc>
        <w:tc>
          <w:tcPr>
            <w:tcW w:w="444"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2025</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2026 vs.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2026</w:t>
            </w:r>
          </w:p>
        </w:tc>
        <w:tc>
          <w:tcPr>
            <w:tcW w:w="426"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2025</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2026 vs. 2025</w:t>
            </w:r>
          </w:p>
        </w:tc>
      </w:tr>
      <w:tr>
        <w:trPr/>
        <w:tc>
          <w:tcPr>
            <w:tcW w:w="806" w:type="dxa"/>
            <w:gridSpan w:val="3"/>
            <w:tcBorders>
              <w:top w:val="single" w:sz="2" w:space="0" w:color="143A84"/>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445</w:t>
            </w:r>
          </w:p>
        </w:tc>
        <w:tc>
          <w:tcPr>
            <w:tcW w:w="444"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2" w:space="0" w:color="143A84"/>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323</w:t>
            </w:r>
          </w:p>
        </w:tc>
        <w:tc>
          <w:tcPr>
            <w:tcW w:w="327"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top w:val="single" w:sz="2" w:space="0" w:color="143A84"/>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37.8</w:t>
            </w:r>
          </w:p>
        </w:tc>
        <w:tc>
          <w:tcPr>
            <w:tcW w:w="730" w:type="dxa"/>
            <w:tcBorders>
              <w:top w:val="single" w:sz="2" w:space="0" w:color="143A84"/>
            </w:tcBorders>
            <w:shd w:fill="E6E7F4"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327"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5" w:type="dxa"/>
            <w:gridSpan w:val="3"/>
            <w:tcBorders>
              <w:top w:val="single" w:sz="2" w:space="0" w:color="143A84"/>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Consolidated shipments (thousands of units)</w:t>
            </w:r>
          </w:p>
        </w:tc>
        <w:tc>
          <w:tcPr>
            <w:tcW w:w="327"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op w:val="single" w:sz="2" w:space="0" w:color="143A84"/>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824</w:t>
            </w:r>
          </w:p>
        </w:tc>
        <w:tc>
          <w:tcPr>
            <w:tcW w:w="426"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2" w:space="0" w:color="143A84"/>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648</w:t>
            </w:r>
          </w:p>
        </w:tc>
        <w:tc>
          <w:tcPr>
            <w:tcW w:w="327"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top w:val="single" w:sz="2" w:space="0" w:color="143A84"/>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27.2</w:t>
            </w:r>
          </w:p>
        </w:tc>
        <w:tc>
          <w:tcPr>
            <w:tcW w:w="819" w:type="dxa"/>
            <w:tcBorders>
              <w:top w:val="single" w:sz="2" w:space="0" w:color="143A84"/>
            </w:tcBorders>
            <w:shd w:fill="E6E7F4"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w:t>
            </w:r>
          </w:p>
        </w:tc>
      </w:tr>
      <w:tr>
        <w:trPr/>
        <w:tc>
          <w:tcPr>
            <w:tcW w:w="806"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18,193</w:t>
            </w:r>
          </w:p>
        </w:tc>
        <w:tc>
          <w:tcPr>
            <w:tcW w:w="444"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13,834</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31.5</w:t>
            </w:r>
          </w:p>
        </w:tc>
        <w:tc>
          <w:tcPr>
            <w:tcW w:w="730" w:type="dxa"/>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5"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 xml:space="preserve">Net revenues (€ million) </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34,307</w:t>
            </w:r>
          </w:p>
        </w:tc>
        <w:tc>
          <w:tcPr>
            <w:tcW w:w="426"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28,303</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21.2</w:t>
            </w:r>
          </w:p>
        </w:tc>
        <w:tc>
          <w:tcPr>
            <w:tcW w:w="819" w:type="dxa"/>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w:t>
            </w:r>
          </w:p>
        </w:tc>
      </w:tr>
      <w:tr>
        <w:trPr/>
        <w:tc>
          <w:tcPr>
            <w:tcW w:w="806"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284</w:t>
            </w:r>
          </w:p>
        </w:tc>
        <w:tc>
          <w:tcPr>
            <w:tcW w:w="444"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(440)</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n.m.</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5"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Adjusted operating income/(loss)(€ million)</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547</w:t>
            </w:r>
          </w:p>
        </w:tc>
        <w:tc>
          <w:tcPr>
            <w:tcW w:w="426"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(982)</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n.m.</w:t>
            </w:r>
          </w:p>
        </w:tc>
      </w:tr>
      <w:tr>
        <w:trPr/>
        <w:tc>
          <w:tcPr>
            <w:tcW w:w="437" w:type="dxa"/>
            <w:gridSpan w:val="2"/>
            <w:tcBorders>
              <w:top w:val="single" w:sz="2" w:space="0" w:color="8E939F"/>
              <w:bottom w:val="single" w:sz="2" w:space="0" w:color="8E939F"/>
            </w:tcBorders>
            <w:shd w:fill="F3F3F9" w:val="clear"/>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1.6 </w:t>
            </w:r>
          </w:p>
        </w:tc>
        <w:tc>
          <w:tcPr>
            <w:tcW w:w="369" w:type="dxa"/>
            <w:tcBorders>
              <w:top w:val="single" w:sz="2" w:space="0" w:color="8E939F"/>
              <w:bottom w:val="single" w:sz="2" w:space="0" w:color="8E939F"/>
            </w:tcBorders>
            <w:shd w:fill="F3F3F9" w:val="clear"/>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w:t>
            </w:r>
          </w:p>
        </w:tc>
        <w:tc>
          <w:tcPr>
            <w:tcW w:w="444" w:type="dxa"/>
            <w:gridSpan w:val="3"/>
            <w:tcBorders>
              <w:top w:val="single" w:sz="2" w:space="0" w:color="8E939F"/>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(3.2)</w:t>
            </w:r>
          </w:p>
        </w:tc>
        <w:tc>
          <w:tcPr>
            <w:tcW w:w="369" w:type="dxa"/>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w:t>
            </w:r>
          </w:p>
        </w:tc>
        <w:tc>
          <w:tcPr>
            <w:tcW w:w="327" w:type="dxa"/>
            <w:gridSpan w:val="3"/>
            <w:tcBorders>
              <w:top w:val="single" w:sz="2" w:space="0" w:color="8E939F"/>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480 bps</w:t>
            </w:r>
          </w:p>
        </w:tc>
        <w:tc>
          <w:tcPr>
            <w:tcW w:w="327" w:type="dxa"/>
            <w:gridSpan w:val="3"/>
            <w:tcBorders>
              <w:top w:val="single" w:sz="2" w:space="0" w:color="8E939F"/>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2125" w:type="dxa"/>
            <w:gridSpan w:val="3"/>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Adjusted operating income margin (%)</w:t>
            </w:r>
          </w:p>
        </w:tc>
        <w:tc>
          <w:tcPr>
            <w:tcW w:w="327" w:type="dxa"/>
            <w:gridSpan w:val="3"/>
            <w:tcBorders>
              <w:top w:val="single" w:sz="2" w:space="0" w:color="8E939F"/>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2" w:space="0" w:color="8E939F"/>
              <w:bottom w:val="single" w:sz="2" w:space="0" w:color="8E939F"/>
            </w:tcBorders>
            <w:shd w:fill="F3F3F9" w:val="clear"/>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1.6 </w:t>
            </w:r>
          </w:p>
        </w:tc>
        <w:tc>
          <w:tcPr>
            <w:tcW w:w="357" w:type="dxa"/>
            <w:tcBorders>
              <w:top w:val="single" w:sz="2" w:space="0" w:color="8E939F"/>
              <w:bottom w:val="single" w:sz="2" w:space="0" w:color="8E939F"/>
            </w:tcBorders>
            <w:shd w:fill="F3F3F9" w:val="clear"/>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w:t>
            </w:r>
          </w:p>
        </w:tc>
        <w:tc>
          <w:tcPr>
            <w:tcW w:w="426" w:type="dxa"/>
            <w:gridSpan w:val="3"/>
            <w:tcBorders>
              <w:top w:val="single" w:sz="2" w:space="0" w:color="8E939F"/>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441" w:type="dxa"/>
            <w:gridSpan w:val="2"/>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(3.5)</w:t>
            </w:r>
          </w:p>
        </w:tc>
        <w:tc>
          <w:tcPr>
            <w:tcW w:w="357" w:type="dxa"/>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w:t>
            </w:r>
          </w:p>
        </w:tc>
        <w:tc>
          <w:tcPr>
            <w:tcW w:w="327" w:type="dxa"/>
            <w:gridSpan w:val="3"/>
            <w:tcBorders>
              <w:top w:val="single" w:sz="2" w:space="0" w:color="8E939F"/>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510 bps</w:t>
            </w:r>
          </w:p>
        </w:tc>
      </w:tr>
    </w:tbl>
    <w:p>
      <w:pPr>
        <w:pStyle w:val="TextBody"/>
        <w:bidi w:val="0"/>
        <w:spacing w:lineRule="auto" w:line="288" w:before="0" w:after="240"/>
        <w:jc w:val="left"/>
        <w:rPr>
          <w:rFonts w:ascii="Helvetica Light;sans-serif" w:hAnsi="Helvetica Light;sans-serif"/>
          <w:b w:val="false"/>
          <w:color w:val="000000"/>
          <w:sz w:val="16"/>
        </w:rPr>
      </w:pPr>
      <w:r>
        <w:rPr>
          <w:rFonts w:ascii="Helvetica Light;sans-serif" w:hAnsi="Helvetica Light;sans-serif"/>
          <w:b w:val="false"/>
          <w:color w:val="000000"/>
          <w:sz w:val="16"/>
        </w:rPr>
        <w:t>n.m. = not meaningful</w:t>
      </w:r>
    </w:p>
    <w:p>
      <w:pPr>
        <w:pStyle w:val="TextBody"/>
        <w:bidi w:val="0"/>
        <w:spacing w:lineRule="auto" w:line="288" w:before="0" w:after="240"/>
        <w:jc w:val="left"/>
        <w:rPr>
          <w:rFonts w:ascii="Helvetica;sans-serif" w:hAnsi="Helvetica;sans-serif"/>
          <w:b w:val="false"/>
          <w:color w:val="143A84"/>
          <w:sz w:val="18"/>
        </w:rPr>
      </w:pPr>
      <w:r>
        <w:rPr>
          <w:rFonts w:ascii="Helvetica;sans-serif" w:hAnsi="Helvetica;sans-serif"/>
          <w:b w:val="false"/>
          <w:color w:val="143A84"/>
          <w:sz w:val="18"/>
        </w:rPr>
        <w:t>Three months ended June 30, 2026</w:t>
      </w:r>
    </w:p>
    <w:p>
      <w:pPr>
        <w:pStyle w:val="TextBody"/>
        <w:bidi w:val="0"/>
        <w:spacing w:lineRule="auto" w:line="343" w:before="0" w:after="240"/>
        <w:jc w:val="left"/>
        <w:rPr/>
      </w:pPr>
      <w:r>
        <w:rPr>
          <w:rFonts w:ascii="Helvetica Light;sans-serif" w:hAnsi="Helvetica Light;sans-serif"/>
          <w:b w:val="false"/>
          <w:color w:val="000000"/>
          <w:sz w:val="20"/>
        </w:rPr>
        <w:t>The following table presents Stellantis market share</w:t>
      </w:r>
      <w:r>
        <w:rPr>
          <w:rFonts w:ascii="Helvetica Light;sans-serif" w:hAnsi="Helvetica Light;sans-serif"/>
          <w:b w:val="false"/>
          <w:color w:val="000000"/>
          <w:sz w:val="13"/>
        </w:rPr>
        <w:t>(1)</w:t>
      </w:r>
      <w:r>
        <w:rPr>
          <w:color w:val="000000"/>
        </w:rPr>
        <w:t xml:space="preserve"> </w:t>
      </w:r>
      <w:r>
        <w:rPr>
          <w:rFonts w:ascii="Helvetica Light;sans-serif" w:hAnsi="Helvetica Light;sans-serif"/>
          <w:b w:val="false"/>
          <w:color w:val="000000"/>
          <w:sz w:val="20"/>
        </w:rPr>
        <w:t xml:space="preserve">and Stellantis and LPM market share for the three months ended June 30, 2026 and 2025. </w:t>
      </w:r>
    </w:p>
    <w:tbl>
      <w:tblPr>
        <w:tblW w:w="10205" w:type="dxa"/>
        <w:jc w:val="left"/>
        <w:tblInd w:w="0" w:type="dxa"/>
        <w:tblLayout w:type="fixed"/>
        <w:tblCellMar>
          <w:top w:w="28" w:type="dxa"/>
          <w:left w:w="28" w:type="dxa"/>
          <w:bottom w:w="28" w:type="dxa"/>
          <w:right w:w="28" w:type="dxa"/>
        </w:tblCellMar>
      </w:tblPr>
      <w:tblGrid>
        <w:gridCol w:w="426"/>
        <w:gridCol w:w="374"/>
        <w:gridCol w:w="377"/>
        <w:gridCol w:w="109"/>
        <w:gridCol w:w="109"/>
        <w:gridCol w:w="109"/>
        <w:gridCol w:w="205"/>
        <w:gridCol w:w="204"/>
        <w:gridCol w:w="457"/>
        <w:gridCol w:w="183"/>
        <w:gridCol w:w="183"/>
        <w:gridCol w:w="183"/>
        <w:gridCol w:w="205"/>
        <w:gridCol w:w="204"/>
        <w:gridCol w:w="457"/>
        <w:gridCol w:w="114"/>
        <w:gridCol w:w="114"/>
        <w:gridCol w:w="114"/>
        <w:gridCol w:w="491"/>
        <w:gridCol w:w="491"/>
        <w:gridCol w:w="493"/>
        <w:gridCol w:w="109"/>
        <w:gridCol w:w="109"/>
        <w:gridCol w:w="109"/>
        <w:gridCol w:w="205"/>
        <w:gridCol w:w="204"/>
        <w:gridCol w:w="456"/>
        <w:gridCol w:w="183"/>
        <w:gridCol w:w="183"/>
        <w:gridCol w:w="183"/>
        <w:gridCol w:w="205"/>
        <w:gridCol w:w="204"/>
        <w:gridCol w:w="456"/>
        <w:gridCol w:w="154"/>
        <w:gridCol w:w="154"/>
        <w:gridCol w:w="154"/>
        <w:gridCol w:w="444"/>
        <w:gridCol w:w="444"/>
        <w:gridCol w:w="647"/>
      </w:tblGrid>
      <w:tr>
        <w:trPr/>
        <w:tc>
          <w:tcPr>
            <w:tcW w:w="426"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r>
      <w:tr>
        <w:trPr/>
        <w:tc>
          <w:tcPr>
            <w:tcW w:w="1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8"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Stellantis market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6" w:type="dxa"/>
            <w:gridSpan w:val="15"/>
            <w:tcBorders/>
            <w:tcMar>
              <w:top w:w="0" w:type="dxa"/>
              <w:left w:w="0" w:type="dxa"/>
              <w:bottom w:w="0" w:type="dxa"/>
              <w:right w:w="0" w:type="dxa"/>
            </w:tcMar>
            <w:vAlign w:val="center"/>
          </w:tcPr>
          <w:p>
            <w:pPr>
              <w:pStyle w:val="TableContents"/>
              <w:bidi w:val="0"/>
              <w:spacing w:lineRule="auto" w:line="288" w:before="0" w:after="0"/>
              <w:jc w:val="center"/>
              <w:rPr/>
            </w:pPr>
            <w:r>
              <w:rPr>
                <w:rFonts w:ascii="Helvetica;sans-serif" w:hAnsi="Helvetica;sans-serif"/>
                <w:b/>
                <w:color w:val="243782"/>
                <w:sz w:val="18"/>
              </w:rPr>
              <w:t>Stellantis and LPM</w:t>
            </w:r>
            <w:r>
              <w:rPr>
                <w:rFonts w:ascii="Helvetica;sans-serif" w:hAnsi="Helvetica;sans-serif"/>
                <w:b/>
                <w:color w:val="243782"/>
                <w:sz w:val="12"/>
              </w:rPr>
              <w:t>(2)</w:t>
            </w:r>
            <w:r>
              <w:rPr>
                <w:color w:val="243782"/>
              </w:rPr>
              <w:t xml:space="preserve"> </w:t>
            </w:r>
            <w:r>
              <w:rPr>
                <w:rFonts w:ascii="Helvetica;sans-serif" w:hAnsi="Helvetica;sans-serif"/>
                <w:b/>
                <w:color w:val="243782"/>
                <w:sz w:val="18"/>
              </w:rPr>
              <w:t>market share</w:t>
            </w:r>
          </w:p>
        </w:tc>
      </w:tr>
      <w:tr>
        <w:trPr/>
        <w:tc>
          <w:tcPr>
            <w:tcW w:w="1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9"/>
            <w:tcBorders>
              <w:top w:val="single" w:sz="2" w:space="0" w:color="143A84"/>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7"/>
              </w:rPr>
            </w:pPr>
            <w:r>
              <w:rPr>
                <w:rFonts w:ascii="Helvetica;sans-serif" w:hAnsi="Helvetica;sans-serif"/>
                <w:b/>
                <w:color w:val="243782"/>
                <w:sz w:val="17"/>
              </w:rPr>
              <w:t>Three months ended June 30,</w:t>
            </w:r>
          </w:p>
        </w:tc>
        <w:tc>
          <w:tcPr>
            <w:tcW w:w="342"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op w:val="single" w:sz="2" w:space="0" w:color="143A84"/>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7"/>
              </w:rPr>
            </w:pPr>
            <w:r>
              <w:rPr>
                <w:rFonts w:ascii="Helvetica;sans-serif" w:hAnsi="Helvetica;sans-serif"/>
                <w:b/>
                <w:color w:val="243782"/>
                <w:sz w:val="17"/>
              </w:rPr>
              <w:t>Increase/(Decrease)</w:t>
            </w:r>
          </w:p>
        </w:tc>
        <w:tc>
          <w:tcPr>
            <w:tcW w:w="327"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9"/>
            <w:tcBorders>
              <w:top w:val="single" w:sz="2" w:space="0" w:color="143A84"/>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7"/>
              </w:rPr>
            </w:pPr>
            <w:r>
              <w:rPr>
                <w:rFonts w:ascii="Helvetica;sans-serif" w:hAnsi="Helvetica;sans-serif"/>
                <w:b/>
                <w:color w:val="243782"/>
                <w:sz w:val="17"/>
              </w:rPr>
              <w:t>Three months ended June 30,</w:t>
            </w:r>
          </w:p>
        </w:tc>
        <w:tc>
          <w:tcPr>
            <w:tcW w:w="462"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top w:val="single" w:sz="2" w:space="0" w:color="143A84"/>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7"/>
              </w:rPr>
            </w:pPr>
            <w:r>
              <w:rPr>
                <w:rFonts w:ascii="Helvetica;sans-serif" w:hAnsi="Helvetica;sans-serif"/>
                <w:b/>
                <w:color w:val="243782"/>
                <w:sz w:val="17"/>
              </w:rPr>
              <w:t>Increase/(Decrease)</w:t>
            </w:r>
          </w:p>
        </w:tc>
      </w:tr>
      <w:tr>
        <w:trPr/>
        <w:tc>
          <w:tcPr>
            <w:tcW w:w="1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2026</w:t>
            </w:r>
          </w:p>
        </w:tc>
        <w:tc>
          <w:tcPr>
            <w:tcW w:w="549"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2025</w:t>
            </w:r>
          </w:p>
        </w:tc>
        <w:tc>
          <w:tcPr>
            <w:tcW w:w="342"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2026 vs. 2025</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2026</w:t>
            </w:r>
          </w:p>
        </w:tc>
        <w:tc>
          <w:tcPr>
            <w:tcW w:w="549"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2025</w:t>
            </w:r>
          </w:p>
        </w:tc>
        <w:tc>
          <w:tcPr>
            <w:tcW w:w="462"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2026 vs. 2025</w:t>
            </w:r>
          </w:p>
        </w:tc>
      </w:tr>
      <w:tr>
        <w:trPr/>
        <w:tc>
          <w:tcPr>
            <w:tcW w:w="1177" w:type="dxa"/>
            <w:gridSpan w:val="3"/>
            <w:tcBorders>
              <w:top w:val="single" w:sz="2" w:space="0" w:color="143A84"/>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North America</w:t>
            </w:r>
          </w:p>
        </w:tc>
        <w:tc>
          <w:tcPr>
            <w:tcW w:w="327"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2"/>
            <w:tcBorders>
              <w:top w:val="single" w:sz="2" w:space="0" w:color="143A84"/>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7.4 </w:t>
            </w:r>
          </w:p>
        </w:tc>
        <w:tc>
          <w:tcPr>
            <w:tcW w:w="457" w:type="dxa"/>
            <w:tcBorders>
              <w:top w:val="single" w:sz="2" w:space="0" w:color="143A84"/>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w:t>
            </w:r>
          </w:p>
        </w:tc>
        <w:tc>
          <w:tcPr>
            <w:tcW w:w="549"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2"/>
            <w:tcBorders>
              <w:top w:val="single" w:sz="2" w:space="0" w:color="143A84"/>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7.0 </w:t>
            </w:r>
          </w:p>
        </w:tc>
        <w:tc>
          <w:tcPr>
            <w:tcW w:w="457" w:type="dxa"/>
            <w:tcBorders>
              <w:top w:val="single" w:sz="2" w:space="0" w:color="143A84"/>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w:t>
            </w:r>
          </w:p>
        </w:tc>
        <w:tc>
          <w:tcPr>
            <w:tcW w:w="342"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op w:val="single" w:sz="2" w:space="0" w:color="143A84"/>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40 bps</w:t>
            </w:r>
          </w:p>
        </w:tc>
        <w:tc>
          <w:tcPr>
            <w:tcW w:w="327"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2"/>
            <w:tcBorders>
              <w:top w:val="single" w:sz="2" w:space="0" w:color="143A84"/>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7.4 </w:t>
            </w:r>
          </w:p>
        </w:tc>
        <w:tc>
          <w:tcPr>
            <w:tcW w:w="456" w:type="dxa"/>
            <w:tcBorders>
              <w:top w:val="single" w:sz="2" w:space="0" w:color="143A84"/>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w:t>
            </w:r>
          </w:p>
        </w:tc>
        <w:tc>
          <w:tcPr>
            <w:tcW w:w="549"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2"/>
            <w:tcBorders>
              <w:top w:val="single" w:sz="2" w:space="0" w:color="143A84"/>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7.0 </w:t>
            </w:r>
          </w:p>
        </w:tc>
        <w:tc>
          <w:tcPr>
            <w:tcW w:w="456" w:type="dxa"/>
            <w:tcBorders>
              <w:top w:val="single" w:sz="2" w:space="0" w:color="143A84"/>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w:t>
            </w:r>
          </w:p>
        </w:tc>
        <w:tc>
          <w:tcPr>
            <w:tcW w:w="462"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top w:val="single" w:sz="2" w:space="0" w:color="143A84"/>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40 bps</w:t>
            </w:r>
          </w:p>
        </w:tc>
      </w:tr>
      <w:tr>
        <w:trPr/>
        <w:tc>
          <w:tcPr>
            <w:tcW w:w="1177" w:type="dxa"/>
            <w:gridSpan w:val="3"/>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U.S.</w:t>
            </w:r>
          </w:p>
        </w:tc>
        <w:tc>
          <w:tcPr>
            <w:tcW w:w="327" w:type="dxa"/>
            <w:gridSpan w:val="3"/>
            <w:tcBorders>
              <w:top w:val="single" w:sz="2" w:space="0" w:color="8E939F"/>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409" w:type="dxa"/>
            <w:gridSpan w:val="2"/>
            <w:tcBorders>
              <w:top w:val="single" w:sz="2" w:space="0" w:color="8E939F"/>
              <w:bottom w:val="single" w:sz="2" w:space="0" w:color="8E939F"/>
            </w:tcBorders>
            <w:shd w:fill="F3F3F9" w:val="clear"/>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7.7 </w:t>
            </w:r>
          </w:p>
        </w:tc>
        <w:tc>
          <w:tcPr>
            <w:tcW w:w="457" w:type="dxa"/>
            <w:tcBorders>
              <w:top w:val="single" w:sz="2" w:space="0" w:color="8E939F"/>
              <w:bottom w:val="single" w:sz="2" w:space="0" w:color="8E939F"/>
            </w:tcBorders>
            <w:shd w:fill="F3F3F9" w:val="clear"/>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w:t>
            </w:r>
          </w:p>
        </w:tc>
        <w:tc>
          <w:tcPr>
            <w:tcW w:w="549" w:type="dxa"/>
            <w:gridSpan w:val="3"/>
            <w:tcBorders>
              <w:top w:val="single" w:sz="2" w:space="0" w:color="8E939F"/>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409" w:type="dxa"/>
            <w:gridSpan w:val="2"/>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7.2 </w:t>
            </w:r>
          </w:p>
        </w:tc>
        <w:tc>
          <w:tcPr>
            <w:tcW w:w="457" w:type="dxa"/>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w:t>
            </w:r>
          </w:p>
        </w:tc>
        <w:tc>
          <w:tcPr>
            <w:tcW w:w="342" w:type="dxa"/>
            <w:gridSpan w:val="3"/>
            <w:tcBorders>
              <w:top w:val="single" w:sz="2" w:space="0" w:color="8E939F"/>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50 bps</w:t>
            </w:r>
          </w:p>
        </w:tc>
        <w:tc>
          <w:tcPr>
            <w:tcW w:w="327" w:type="dxa"/>
            <w:gridSpan w:val="3"/>
            <w:tcBorders>
              <w:top w:val="single" w:sz="2" w:space="0" w:color="8E939F"/>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409" w:type="dxa"/>
            <w:gridSpan w:val="2"/>
            <w:tcBorders>
              <w:top w:val="single" w:sz="2" w:space="0" w:color="8E939F"/>
              <w:bottom w:val="single" w:sz="2" w:space="0" w:color="8E939F"/>
            </w:tcBorders>
            <w:shd w:fill="F3F3F9" w:val="clear"/>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7.7 </w:t>
            </w:r>
          </w:p>
        </w:tc>
        <w:tc>
          <w:tcPr>
            <w:tcW w:w="456" w:type="dxa"/>
            <w:tcBorders>
              <w:top w:val="single" w:sz="2" w:space="0" w:color="8E939F"/>
              <w:bottom w:val="single" w:sz="2" w:space="0" w:color="8E939F"/>
            </w:tcBorders>
            <w:shd w:fill="F3F3F9" w:val="clear"/>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w:t>
            </w:r>
          </w:p>
        </w:tc>
        <w:tc>
          <w:tcPr>
            <w:tcW w:w="549" w:type="dxa"/>
            <w:gridSpan w:val="3"/>
            <w:tcBorders>
              <w:top w:val="single" w:sz="2" w:space="0" w:color="8E939F"/>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409" w:type="dxa"/>
            <w:gridSpan w:val="2"/>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7.2 </w:t>
            </w:r>
          </w:p>
        </w:tc>
        <w:tc>
          <w:tcPr>
            <w:tcW w:w="456" w:type="dxa"/>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w:t>
            </w:r>
          </w:p>
        </w:tc>
        <w:tc>
          <w:tcPr>
            <w:tcW w:w="462" w:type="dxa"/>
            <w:gridSpan w:val="3"/>
            <w:tcBorders>
              <w:top w:val="single" w:sz="2" w:space="0" w:color="8E939F"/>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50 bps</w:t>
            </w:r>
          </w:p>
        </w:tc>
      </w:tr>
    </w:tbl>
    <w:p>
      <w:pPr>
        <w:pStyle w:val="TextBody"/>
        <w:bidi w:val="0"/>
        <w:spacing w:lineRule="auto" w:line="288" w:before="0" w:after="0"/>
        <w:jc w:val="left"/>
        <w:rPr/>
      </w:pPr>
      <w:r>
        <w:rPr>
          <w:rFonts w:ascii="Helvetica Light;sans-serif" w:hAnsi="Helvetica Light;sans-serif"/>
          <w:b w:val="false"/>
          <w:color w:val="000000"/>
          <w:sz w:val="10"/>
        </w:rPr>
        <w:t>(2)</w:t>
      </w:r>
      <w:r>
        <w:rPr>
          <w:color w:val="000000"/>
        </w:rPr>
        <w:t xml:space="preserve"> </w:t>
      </w:r>
      <w:r>
        <w:rPr>
          <w:rFonts w:ascii="Helvetica Light;sans-serif" w:hAnsi="Helvetica Light;sans-serif"/>
          <w:b w:val="false"/>
          <w:color w:val="000000"/>
          <w:sz w:val="16"/>
        </w:rPr>
        <w:t xml:space="preserve">This metric combines Stellantis-owned brands and Leapmotor vehicles distributed by Leapmotor International, a jointly established, Stellantis-controlled company created in 2024 and owned 51 percent by Stellantis and 49 percent by Leapmotor, to distribute Leapmotor-branded vehicles outside of China. Stellantis does not design, or manufacture Leapmotor-branded vehicles and does not own the Leapmotor brand or intellectual property </w:t>
      </w:r>
    </w:p>
    <w:p>
      <w:pPr>
        <w:pStyle w:val="TextBody"/>
        <w:bidi w:val="0"/>
        <w:spacing w:before="0" w:after="0"/>
        <w:jc w:val="left"/>
        <w:rPr/>
      </w:pPr>
      <w:r>
        <w:rPr/>
      </w:r>
    </w:p>
    <w:p>
      <w:pPr>
        <w:pStyle w:val="TextBody"/>
        <w:bidi w:val="0"/>
        <w:spacing w:lineRule="auto" w:line="288" w:before="0" w:after="240"/>
        <w:jc w:val="left"/>
        <w:rPr>
          <w:rFonts w:ascii="Helvetica;sans-serif" w:hAnsi="Helvetica;sans-serif"/>
          <w:b w:val="false"/>
          <w:color w:val="143A84"/>
          <w:sz w:val="20"/>
        </w:rPr>
      </w:pPr>
      <w:r>
        <w:rPr>
          <w:rFonts w:ascii="Helvetica;sans-serif" w:hAnsi="Helvetica;sans-serif"/>
          <w:b w:val="false"/>
          <w:color w:val="143A84"/>
          <w:sz w:val="20"/>
        </w:rPr>
        <w:t>Shipments</w:t>
      </w:r>
    </w:p>
    <w:p>
      <w:pPr>
        <w:pStyle w:val="TextBody"/>
        <w:bidi w:val="0"/>
        <w:spacing w:lineRule="auto" w:line="343" w:before="0" w:after="240"/>
        <w:jc w:val="left"/>
        <w:rPr/>
      </w:pPr>
      <w:r>
        <w:rPr>
          <w:rFonts w:ascii="Helvetica Light;sans-serif" w:hAnsi="Helvetica Light;sans-serif"/>
          <w:b w:val="false"/>
          <w:color w:val="000000"/>
          <w:sz w:val="20"/>
        </w:rPr>
        <w:t>North America shipments increased in the three months ended June 30, 2026 compared to the corresponding period in 2025, primarily due to</w:t>
      </w:r>
      <w:r>
        <w:rPr>
          <w:color w:val="000000"/>
        </w:rPr>
        <w:t xml:space="preserve"> </w:t>
      </w:r>
      <w:r>
        <w:rPr>
          <w:rFonts w:ascii="Helvetica Light;sans-serif" w:hAnsi="Helvetica Light;sans-serif"/>
          <w:b w:val="false"/>
          <w:color w:val="000000"/>
          <w:sz w:val="20"/>
        </w:rPr>
        <w:t>new or refreshed products and powertrain offerings, including Ram 1500 HEMI V8 and Ram 1500 TRX SRT, Jeep Grand Wagoneer and Cherokee HEV and Chrysler Pacifica, the increase also reflects inventory build ahead of the planned summer production shutdown.</w:t>
      </w:r>
    </w:p>
    <w:p>
      <w:pPr>
        <w:pStyle w:val="TextBody"/>
        <w:bidi w:val="0"/>
        <w:spacing w:lineRule="auto" w:line="288" w:before="0" w:after="240"/>
        <w:jc w:val="left"/>
        <w:rPr>
          <w:rFonts w:ascii="Helvetica;sans-serif" w:hAnsi="Helvetica;sans-serif"/>
          <w:b w:val="false"/>
          <w:color w:val="143A84"/>
          <w:sz w:val="20"/>
        </w:rPr>
      </w:pPr>
      <w:r>
        <w:rPr>
          <w:rFonts w:ascii="Helvetica;sans-serif" w:hAnsi="Helvetica;sans-serif"/>
          <w:b w:val="false"/>
          <w:color w:val="143A84"/>
          <w:sz w:val="20"/>
        </w:rPr>
        <w:t>Net revenues</w:t>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The increase in North America Net revenues in the three months ended June 30, 2026 compared to the corresponding period in 2025 was driven by higher volumes, partially offset by unfavorable foreign exchange translation impacts.</w:t>
      </w:r>
    </w:p>
    <w:p>
      <w:pPr>
        <w:pStyle w:val="TextBody"/>
        <w:bidi w:val="0"/>
        <w:spacing w:lineRule="auto" w:line="288" w:before="0" w:after="240"/>
        <w:jc w:val="left"/>
        <w:rPr>
          <w:rFonts w:ascii="Helvetica;sans-serif" w:hAnsi="Helvetica;sans-serif"/>
          <w:b w:val="false"/>
          <w:color w:val="143A84"/>
          <w:sz w:val="20"/>
        </w:rPr>
      </w:pPr>
      <w:r>
        <w:rPr>
          <w:rFonts w:ascii="Helvetica;sans-serif" w:hAnsi="Helvetica;sans-serif"/>
          <w:b w:val="false"/>
          <w:color w:val="143A84"/>
          <w:sz w:val="20"/>
        </w:rPr>
        <w:t>Adjusted operating income</w:t>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The following chart reflects the change in North America Adjusted operating income/(loss) by operational driver for the three months ended June 30, 2026 compared to the same period in 2025.</w:t>
      </w:r>
    </w:p>
    <w:p>
      <w:pPr>
        <w:pStyle w:val="TextBody"/>
        <w:bidi w:val="0"/>
        <w:spacing w:lineRule="auto" w:line="288" w:before="120" w:after="283"/>
        <w:jc w:val="left"/>
        <w:rPr/>
      </w:pPr>
      <w:r>
        <w:rPr>
          <w:rFonts w:ascii="Helvetica Light;sans-serif" w:hAnsi="Helvetica Light;sans-serif"/>
          <w:b w:val="false"/>
          <w:color w:val="000000"/>
          <w:sz w:val="10"/>
        </w:rPr>
        <w:t>1</w:t>
      </w:r>
      <w:r>
        <w:rPr>
          <w:color w:val="000000"/>
        </w:rPr>
        <w:t xml:space="preserve"> </w:t>
      </w:r>
      <w:r>
        <w:rPr>
          <w:rFonts w:ascii="Helvetica Light;sans-serif" w:hAnsi="Helvetica Light;sans-serif"/>
          <w:b w:val="false"/>
          <w:color w:val="000000"/>
          <w:sz w:val="16"/>
        </w:rPr>
        <w:t>Industry and market share information is derived from third-party industry sources (e.g. Agence Nationale des Titres Sécurisés (“ANTS”), Associação Nacional dos Fabricantes de Veículos Automotores (“ANFAVEA”), Ministry of Infrastructure and Sustainable Mobility (“MIMS”), Ward’s Automotive) and internal information</w:t>
      </w:r>
    </w:p>
    <w:p>
      <w:pPr>
        <w:pStyle w:val="TextBody"/>
        <w:bidi w:val="0"/>
        <w:spacing w:before="0" w:after="24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503555"/>
                <wp:effectExtent l="0" t="0" r="0" b="0"/>
                <wp:wrapNone/>
                <wp:docPr id="34" name="Frame29"/>
                <a:graphic xmlns:a="http://schemas.openxmlformats.org/drawingml/2006/main">
                  <a:graphicData uri="http://schemas.microsoft.com/office/word/2010/wordprocessingShape">
                    <wps:wsp>
                      <wps:cNvSpPr txBox="1"/>
                      <wps:spPr>
                        <a:xfrm>
                          <a:off x="0" y="0"/>
                          <a:ext cx="6480175" cy="5035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25</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25</w:t>
                      </w:r>
                    </w:p>
                    <w:p>
                      <w:pPr>
                        <w:pStyle w:val="TextBody"/>
                        <w:bidi w:val="0"/>
                        <w:spacing w:before="0" w:after="24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88" w:before="0" w:after="120"/>
        <w:jc w:val="left"/>
        <w:rPr>
          <w:rFonts w:ascii="Helvetica;sans-serif" w:hAnsi="Helvetica;sans-serif"/>
          <w:b/>
          <w:color w:val="143A84"/>
          <w:sz w:val="18"/>
        </w:rPr>
      </w:pPr>
      <w:r>
        <w:rPr>
          <w:rFonts w:ascii="Helvetica;sans-serif" w:hAnsi="Helvetica;sans-serif"/>
          <w:b/>
          <w:color w:val="143A84"/>
          <w:sz w:val="18"/>
        </w:rPr>
        <w:t>Adjusted operating income/(loss) by operational driver - Three months ended June 30, 2026 compared to the three months ended June 30, 2025 (€ million)</w:t>
      </w:r>
    </w:p>
    <w:p>
      <w:pPr>
        <w:pStyle w:val="TextBody"/>
        <w:bidi w:val="0"/>
        <w:spacing w:before="0" w:after="140"/>
        <w:jc w:val="center"/>
        <w:rPr/>
      </w:pPr>
      <w:r>
        <w:rPr/>
      </w:r>
    </w:p>
    <w:p>
      <w:pPr>
        <w:pStyle w:val="TextBody"/>
        <w:bidi w:val="0"/>
        <w:spacing w:before="0" w:after="180"/>
        <w:jc w:val="center"/>
        <w:rPr/>
      </w:pPr>
      <w:r>
        <w:rPr/>
        <w:drawing>
          <wp:inline distT="0" distB="0" distL="0" distR="0">
            <wp:extent cx="6343650" cy="2533650"/>
            <wp:effectExtent l="0" t="0" r="0" b="0"/>
            <wp:docPr id="35"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6" descr=""/>
                    <pic:cNvPicPr>
                      <a:picLocks noChangeAspect="1" noChangeArrowheads="1"/>
                    </pic:cNvPicPr>
                  </pic:nvPicPr>
                  <pic:blipFill>
                    <a:blip r:embed="rId7"/>
                    <a:stretch>
                      <a:fillRect/>
                    </a:stretch>
                  </pic:blipFill>
                  <pic:spPr bwMode="auto">
                    <a:xfrm>
                      <a:off x="0" y="0"/>
                      <a:ext cx="6343650" cy="2533650"/>
                    </a:xfrm>
                    <a:prstGeom prst="rect">
                      <a:avLst/>
                    </a:prstGeom>
                  </pic:spPr>
                </pic:pic>
              </a:graphicData>
            </a:graphic>
          </wp:inline>
        </w:drawing>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The increase in North America Adjusted operating income/(loss) in the three months ended June 30, 2026 compared to the same period in 2025 was driven by higher volumes, operational performance improvements, and a reduction of regulatory expenses, partially offset by raw material inflation and higher recall campaign costs.</w:t>
      </w:r>
    </w:p>
    <w:p>
      <w:pPr>
        <w:pStyle w:val="TextBody"/>
        <w:bidi w:val="0"/>
        <w:spacing w:lineRule="auto" w:line="288" w:before="0" w:after="240"/>
        <w:jc w:val="left"/>
        <w:rPr>
          <w:rFonts w:ascii="Helvetica;sans-serif" w:hAnsi="Helvetica;sans-serif"/>
          <w:b w:val="false"/>
          <w:color w:val="143A84"/>
          <w:sz w:val="20"/>
        </w:rPr>
      </w:pPr>
      <w:r>
        <w:rPr>
          <w:rFonts w:ascii="Helvetica;sans-serif" w:hAnsi="Helvetica;sans-serif"/>
          <w:b w:val="false"/>
          <w:color w:val="143A84"/>
          <w:sz w:val="20"/>
        </w:rPr>
        <w:t>Six Months Ended June 30, 2026</w:t>
      </w:r>
    </w:p>
    <w:p>
      <w:pPr>
        <w:pStyle w:val="TextBody"/>
        <w:bidi w:val="0"/>
        <w:spacing w:lineRule="auto" w:line="343" w:before="0" w:after="240"/>
        <w:jc w:val="left"/>
        <w:rPr/>
      </w:pPr>
      <w:r>
        <w:rPr>
          <w:rFonts w:ascii="Helvetica Light;sans-serif" w:hAnsi="Helvetica Light;sans-serif"/>
          <w:b w:val="false"/>
          <w:color w:val="000000"/>
          <w:sz w:val="20"/>
        </w:rPr>
        <w:t>The following table presents Stellantis market share</w:t>
      </w:r>
      <w:r>
        <w:rPr>
          <w:rFonts w:ascii="Helvetica Light;sans-serif" w:hAnsi="Helvetica Light;sans-serif"/>
          <w:b w:val="false"/>
          <w:color w:val="000000"/>
          <w:sz w:val="13"/>
        </w:rPr>
        <w:t>(2)</w:t>
      </w:r>
      <w:r>
        <w:rPr>
          <w:color w:val="000000"/>
        </w:rPr>
        <w:t xml:space="preserve"> </w:t>
      </w:r>
      <w:r>
        <w:rPr>
          <w:rFonts w:ascii="Helvetica Light;sans-serif" w:hAnsi="Helvetica Light;sans-serif"/>
          <w:b w:val="false"/>
          <w:color w:val="000000"/>
          <w:sz w:val="20"/>
        </w:rPr>
        <w:t xml:space="preserve">and Stellantis and LPM market share for the six months ended June 30, 2026 and 2025. </w:t>
      </w:r>
    </w:p>
    <w:tbl>
      <w:tblPr>
        <w:tblW w:w="10205" w:type="dxa"/>
        <w:jc w:val="left"/>
        <w:tblInd w:w="0" w:type="dxa"/>
        <w:tblLayout w:type="fixed"/>
        <w:tblCellMar>
          <w:top w:w="28" w:type="dxa"/>
          <w:left w:w="28" w:type="dxa"/>
          <w:bottom w:w="28" w:type="dxa"/>
          <w:right w:w="28" w:type="dxa"/>
        </w:tblCellMar>
      </w:tblPr>
      <w:tblGrid>
        <w:gridCol w:w="436"/>
        <w:gridCol w:w="383"/>
        <w:gridCol w:w="385"/>
        <w:gridCol w:w="109"/>
        <w:gridCol w:w="109"/>
        <w:gridCol w:w="109"/>
        <w:gridCol w:w="232"/>
        <w:gridCol w:w="184"/>
        <w:gridCol w:w="434"/>
        <w:gridCol w:w="173"/>
        <w:gridCol w:w="173"/>
        <w:gridCol w:w="173"/>
        <w:gridCol w:w="232"/>
        <w:gridCol w:w="184"/>
        <w:gridCol w:w="434"/>
        <w:gridCol w:w="114"/>
        <w:gridCol w:w="114"/>
        <w:gridCol w:w="114"/>
        <w:gridCol w:w="505"/>
        <w:gridCol w:w="505"/>
        <w:gridCol w:w="507"/>
        <w:gridCol w:w="109"/>
        <w:gridCol w:w="109"/>
        <w:gridCol w:w="109"/>
        <w:gridCol w:w="232"/>
        <w:gridCol w:w="185"/>
        <w:gridCol w:w="432"/>
        <w:gridCol w:w="174"/>
        <w:gridCol w:w="174"/>
        <w:gridCol w:w="174"/>
        <w:gridCol w:w="232"/>
        <w:gridCol w:w="185"/>
        <w:gridCol w:w="432"/>
        <w:gridCol w:w="157"/>
        <w:gridCol w:w="157"/>
        <w:gridCol w:w="157"/>
        <w:gridCol w:w="456"/>
        <w:gridCol w:w="456"/>
        <w:gridCol w:w="666"/>
      </w:tblGrid>
      <w:tr>
        <w:trPr/>
        <w:tc>
          <w:tcPr>
            <w:tcW w:w="436"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r>
      <w:tr>
        <w:trPr/>
        <w:tc>
          <w:tcPr>
            <w:tcW w:w="1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8"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Stellantis market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9" w:type="dxa"/>
            <w:gridSpan w:val="15"/>
            <w:tcBorders/>
            <w:tcMar>
              <w:top w:w="0" w:type="dxa"/>
              <w:left w:w="0" w:type="dxa"/>
              <w:bottom w:w="0" w:type="dxa"/>
              <w:right w:w="0" w:type="dxa"/>
            </w:tcMar>
            <w:vAlign w:val="center"/>
          </w:tcPr>
          <w:p>
            <w:pPr>
              <w:pStyle w:val="TableContents"/>
              <w:bidi w:val="0"/>
              <w:spacing w:lineRule="auto" w:line="288" w:before="0" w:after="0"/>
              <w:jc w:val="center"/>
              <w:rPr/>
            </w:pPr>
            <w:r>
              <w:rPr>
                <w:rFonts w:ascii="Helvetica;sans-serif" w:hAnsi="Helvetica;sans-serif"/>
                <w:b/>
                <w:color w:val="243782"/>
                <w:sz w:val="18"/>
              </w:rPr>
              <w:t>Stellantis and LPM</w:t>
            </w:r>
            <w:r>
              <w:rPr>
                <w:rFonts w:ascii="Helvetica;sans-serif" w:hAnsi="Helvetica;sans-serif"/>
                <w:b/>
                <w:color w:val="243782"/>
                <w:sz w:val="12"/>
              </w:rPr>
              <w:t>(1)</w:t>
            </w:r>
            <w:r>
              <w:rPr>
                <w:color w:val="243782"/>
              </w:rPr>
              <w:t xml:space="preserve"> </w:t>
            </w:r>
            <w:r>
              <w:rPr>
                <w:rFonts w:ascii="Helvetica;sans-serif" w:hAnsi="Helvetica;sans-serif"/>
                <w:b/>
                <w:color w:val="243782"/>
                <w:sz w:val="18"/>
              </w:rPr>
              <w:t>market share</w:t>
            </w:r>
          </w:p>
        </w:tc>
      </w:tr>
      <w:tr>
        <w:trPr/>
        <w:tc>
          <w:tcPr>
            <w:tcW w:w="1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9"/>
            <w:tcBorders>
              <w:top w:val="single" w:sz="2" w:space="0" w:color="143A84"/>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7"/>
              </w:rPr>
            </w:pPr>
            <w:r>
              <w:rPr>
                <w:rFonts w:ascii="Helvetica;sans-serif" w:hAnsi="Helvetica;sans-serif"/>
                <w:b/>
                <w:color w:val="243782"/>
                <w:sz w:val="17"/>
              </w:rPr>
              <w:t>Six Months Ended June 30,</w:t>
            </w:r>
          </w:p>
        </w:tc>
        <w:tc>
          <w:tcPr>
            <w:tcW w:w="342"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top w:val="single" w:sz="2" w:space="0" w:color="143A84"/>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7"/>
              </w:rPr>
            </w:pPr>
            <w:r>
              <w:rPr>
                <w:rFonts w:ascii="Helvetica;sans-serif" w:hAnsi="Helvetica;sans-serif"/>
                <w:b/>
                <w:color w:val="243782"/>
                <w:sz w:val="17"/>
              </w:rPr>
              <w:t>Increase/(Decrease)</w:t>
            </w:r>
          </w:p>
        </w:tc>
        <w:tc>
          <w:tcPr>
            <w:tcW w:w="327"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9"/>
            <w:tcBorders>
              <w:top w:val="single" w:sz="2" w:space="0" w:color="143A84"/>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7"/>
              </w:rPr>
            </w:pPr>
            <w:r>
              <w:rPr>
                <w:rFonts w:ascii="Helvetica;sans-serif" w:hAnsi="Helvetica;sans-serif"/>
                <w:b/>
                <w:color w:val="243782"/>
                <w:sz w:val="17"/>
              </w:rPr>
              <w:t>Six Months Ended June 30,</w:t>
            </w:r>
          </w:p>
        </w:tc>
        <w:tc>
          <w:tcPr>
            <w:tcW w:w="471"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top w:val="single" w:sz="2" w:space="0" w:color="143A84"/>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7"/>
              </w:rPr>
            </w:pPr>
            <w:r>
              <w:rPr>
                <w:rFonts w:ascii="Helvetica;sans-serif" w:hAnsi="Helvetica;sans-serif"/>
                <w:b/>
                <w:color w:val="243782"/>
                <w:sz w:val="17"/>
              </w:rPr>
              <w:t>Increase/(Decrease)</w:t>
            </w:r>
          </w:p>
        </w:tc>
      </w:tr>
      <w:tr>
        <w:trPr/>
        <w:tc>
          <w:tcPr>
            <w:tcW w:w="1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2026</w:t>
            </w:r>
          </w:p>
        </w:tc>
        <w:tc>
          <w:tcPr>
            <w:tcW w:w="519"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2025</w:t>
            </w:r>
          </w:p>
        </w:tc>
        <w:tc>
          <w:tcPr>
            <w:tcW w:w="342"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2026 vs. 2025</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2026</w:t>
            </w:r>
          </w:p>
        </w:tc>
        <w:tc>
          <w:tcPr>
            <w:tcW w:w="522"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2025</w:t>
            </w:r>
          </w:p>
        </w:tc>
        <w:tc>
          <w:tcPr>
            <w:tcW w:w="471"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2026 vs. 2025</w:t>
            </w:r>
          </w:p>
        </w:tc>
      </w:tr>
      <w:tr>
        <w:trPr/>
        <w:tc>
          <w:tcPr>
            <w:tcW w:w="1204" w:type="dxa"/>
            <w:gridSpan w:val="3"/>
            <w:tcBorders>
              <w:top w:val="single" w:sz="2" w:space="0" w:color="143A84"/>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North America</w:t>
            </w:r>
          </w:p>
        </w:tc>
        <w:tc>
          <w:tcPr>
            <w:tcW w:w="327"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top w:val="single" w:sz="2" w:space="0" w:color="143A84"/>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7.6 </w:t>
            </w:r>
          </w:p>
        </w:tc>
        <w:tc>
          <w:tcPr>
            <w:tcW w:w="434" w:type="dxa"/>
            <w:tcBorders>
              <w:top w:val="single" w:sz="2" w:space="0" w:color="143A84"/>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w:t>
            </w:r>
          </w:p>
        </w:tc>
        <w:tc>
          <w:tcPr>
            <w:tcW w:w="519"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top w:val="single" w:sz="2" w:space="0" w:color="143A84"/>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7.1 </w:t>
            </w:r>
          </w:p>
        </w:tc>
        <w:tc>
          <w:tcPr>
            <w:tcW w:w="434" w:type="dxa"/>
            <w:tcBorders>
              <w:top w:val="single" w:sz="2" w:space="0" w:color="143A84"/>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w:t>
            </w:r>
          </w:p>
        </w:tc>
        <w:tc>
          <w:tcPr>
            <w:tcW w:w="342"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top w:val="single" w:sz="2" w:space="0" w:color="143A84"/>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50 bps</w:t>
            </w:r>
          </w:p>
        </w:tc>
        <w:tc>
          <w:tcPr>
            <w:tcW w:w="327"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2"/>
            <w:tcBorders>
              <w:top w:val="single" w:sz="2" w:space="0" w:color="143A84"/>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7.6 </w:t>
            </w:r>
          </w:p>
        </w:tc>
        <w:tc>
          <w:tcPr>
            <w:tcW w:w="432" w:type="dxa"/>
            <w:tcBorders>
              <w:top w:val="single" w:sz="2" w:space="0" w:color="143A84"/>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w:t>
            </w:r>
          </w:p>
        </w:tc>
        <w:tc>
          <w:tcPr>
            <w:tcW w:w="522"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2"/>
            <w:tcBorders>
              <w:top w:val="single" w:sz="2" w:space="0" w:color="143A84"/>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7.1 </w:t>
            </w:r>
          </w:p>
        </w:tc>
        <w:tc>
          <w:tcPr>
            <w:tcW w:w="432" w:type="dxa"/>
            <w:tcBorders>
              <w:top w:val="single" w:sz="2" w:space="0" w:color="143A84"/>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w:t>
            </w:r>
          </w:p>
        </w:tc>
        <w:tc>
          <w:tcPr>
            <w:tcW w:w="471"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top w:val="single" w:sz="2" w:space="0" w:color="143A84"/>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50 bps</w:t>
            </w:r>
          </w:p>
        </w:tc>
      </w:tr>
      <w:tr>
        <w:trPr/>
        <w:tc>
          <w:tcPr>
            <w:tcW w:w="1204" w:type="dxa"/>
            <w:gridSpan w:val="3"/>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U.S.</w:t>
            </w:r>
          </w:p>
        </w:tc>
        <w:tc>
          <w:tcPr>
            <w:tcW w:w="327" w:type="dxa"/>
            <w:gridSpan w:val="3"/>
            <w:tcBorders>
              <w:top w:val="single" w:sz="2" w:space="0" w:color="8E939F"/>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top w:val="single" w:sz="2" w:space="0" w:color="8E939F"/>
              <w:bottom w:val="single" w:sz="2" w:space="0" w:color="8E939F"/>
            </w:tcBorders>
            <w:shd w:fill="F3F3F9" w:val="clear"/>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7.9 </w:t>
            </w:r>
          </w:p>
        </w:tc>
        <w:tc>
          <w:tcPr>
            <w:tcW w:w="434" w:type="dxa"/>
            <w:tcBorders>
              <w:top w:val="single" w:sz="2" w:space="0" w:color="8E939F"/>
              <w:bottom w:val="single" w:sz="2" w:space="0" w:color="8E939F"/>
            </w:tcBorders>
            <w:shd w:fill="F3F3F9" w:val="clear"/>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w:t>
            </w:r>
          </w:p>
        </w:tc>
        <w:tc>
          <w:tcPr>
            <w:tcW w:w="519" w:type="dxa"/>
            <w:gridSpan w:val="3"/>
            <w:tcBorders>
              <w:top w:val="single" w:sz="2" w:space="0" w:color="8E939F"/>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7.3 </w:t>
            </w:r>
          </w:p>
        </w:tc>
        <w:tc>
          <w:tcPr>
            <w:tcW w:w="434" w:type="dxa"/>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w:t>
            </w:r>
          </w:p>
        </w:tc>
        <w:tc>
          <w:tcPr>
            <w:tcW w:w="342" w:type="dxa"/>
            <w:gridSpan w:val="3"/>
            <w:tcBorders>
              <w:top w:val="single" w:sz="2" w:space="0" w:color="8E939F"/>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60 bps</w:t>
            </w:r>
          </w:p>
        </w:tc>
        <w:tc>
          <w:tcPr>
            <w:tcW w:w="327" w:type="dxa"/>
            <w:gridSpan w:val="3"/>
            <w:tcBorders>
              <w:top w:val="single" w:sz="2" w:space="0" w:color="8E939F"/>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417" w:type="dxa"/>
            <w:gridSpan w:val="2"/>
            <w:tcBorders>
              <w:top w:val="single" w:sz="2" w:space="0" w:color="8E939F"/>
              <w:bottom w:val="single" w:sz="2" w:space="0" w:color="8E939F"/>
            </w:tcBorders>
            <w:shd w:fill="F3F3F9" w:val="clear"/>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7.9 </w:t>
            </w:r>
          </w:p>
        </w:tc>
        <w:tc>
          <w:tcPr>
            <w:tcW w:w="432" w:type="dxa"/>
            <w:tcBorders>
              <w:top w:val="single" w:sz="2" w:space="0" w:color="8E939F"/>
              <w:bottom w:val="single" w:sz="2" w:space="0" w:color="8E939F"/>
            </w:tcBorders>
            <w:shd w:fill="F3F3F9" w:val="clear"/>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w:t>
            </w:r>
          </w:p>
        </w:tc>
        <w:tc>
          <w:tcPr>
            <w:tcW w:w="522" w:type="dxa"/>
            <w:gridSpan w:val="3"/>
            <w:tcBorders>
              <w:top w:val="single" w:sz="2" w:space="0" w:color="8E939F"/>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417" w:type="dxa"/>
            <w:gridSpan w:val="2"/>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7.3 </w:t>
            </w:r>
          </w:p>
        </w:tc>
        <w:tc>
          <w:tcPr>
            <w:tcW w:w="432" w:type="dxa"/>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w:t>
            </w:r>
          </w:p>
        </w:tc>
        <w:tc>
          <w:tcPr>
            <w:tcW w:w="471" w:type="dxa"/>
            <w:gridSpan w:val="3"/>
            <w:tcBorders>
              <w:top w:val="single" w:sz="2" w:space="0" w:color="8E939F"/>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60 bps</w:t>
            </w:r>
          </w:p>
        </w:tc>
      </w:tr>
    </w:tbl>
    <w:p>
      <w:pPr>
        <w:pStyle w:val="TextBody"/>
        <w:bidi w:val="0"/>
        <w:spacing w:lineRule="auto" w:line="288" w:before="0" w:after="0"/>
        <w:jc w:val="left"/>
        <w:rPr/>
      </w:pPr>
      <w:r>
        <w:rPr>
          <w:rFonts w:ascii="Helvetica Light;sans-serif" w:hAnsi="Helvetica Light;sans-serif"/>
          <w:b w:val="false"/>
          <w:color w:val="000000"/>
          <w:sz w:val="10"/>
        </w:rPr>
        <w:t>(1)</w:t>
      </w:r>
      <w:r>
        <w:rPr>
          <w:color w:val="000000"/>
        </w:rPr>
        <w:t xml:space="preserve"> </w:t>
      </w:r>
      <w:r>
        <w:rPr>
          <w:rFonts w:ascii="Helvetica Light;sans-serif" w:hAnsi="Helvetica Light;sans-serif"/>
          <w:b w:val="false"/>
          <w:color w:val="000000"/>
          <w:sz w:val="16"/>
        </w:rPr>
        <w:t>This metric combines Stellantis-owned brands and Leapmotor vehicles distributed by Leapmotor International, a jointly established, Stellantis-controlled company created in 2024 and owned 51 percent by Stellantis and 49 percent by Leapmotor, to distribute Leapmotor-branded vehicles outside of China. Stellantis does not design, or manufacture Leapmotor-branded vehicles and does not own the Leapmotor brand or intellectual property</w:t>
      </w:r>
    </w:p>
    <w:p>
      <w:pPr>
        <w:pStyle w:val="TextBody"/>
        <w:bidi w:val="0"/>
        <w:spacing w:before="0" w:after="0"/>
        <w:jc w:val="left"/>
        <w:rPr/>
      </w:pPr>
      <w:r>
        <w:rPr/>
      </w:r>
    </w:p>
    <w:p>
      <w:pPr>
        <w:pStyle w:val="TextBody"/>
        <w:bidi w:val="0"/>
        <w:spacing w:lineRule="auto" w:line="288" w:before="0" w:after="240"/>
        <w:jc w:val="left"/>
        <w:rPr>
          <w:rFonts w:ascii="Helvetica;sans-serif" w:hAnsi="Helvetica;sans-serif"/>
          <w:b w:val="false"/>
          <w:color w:val="143A84"/>
          <w:sz w:val="20"/>
        </w:rPr>
      </w:pPr>
      <w:r>
        <w:rPr>
          <w:rFonts w:ascii="Helvetica;sans-serif" w:hAnsi="Helvetica;sans-serif"/>
          <w:b w:val="false"/>
          <w:color w:val="143A84"/>
          <w:sz w:val="20"/>
        </w:rPr>
        <w:t>Shipments</w:t>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North America shipments increased in the six months ended June 30, 2026 compared to the corresponding period in 2025, primarily reflecting higher Ram and Jeep volumes following new and refreshed model launches, as well as inventory build up ahead of the planned summer production shutdown, to support new product launches and anticipated demand in the second half of the year.</w:t>
      </w:r>
    </w:p>
    <w:p>
      <w:pPr>
        <w:pStyle w:val="TextBody"/>
        <w:bidi w:val="0"/>
        <w:spacing w:lineRule="auto" w:line="288" w:before="120" w:after="283"/>
        <w:jc w:val="left"/>
        <w:rPr/>
      </w:pPr>
      <w:r>
        <w:rPr>
          <w:rFonts w:ascii="Helvetica Light;sans-serif" w:hAnsi="Helvetica Light;sans-serif"/>
          <w:b w:val="false"/>
          <w:color w:val="000000"/>
          <w:sz w:val="10"/>
        </w:rPr>
        <w:t>2</w:t>
      </w:r>
      <w:r>
        <w:rPr>
          <w:color w:val="000000"/>
        </w:rPr>
        <w:t xml:space="preserve"> </w:t>
      </w:r>
      <w:r>
        <w:rPr>
          <w:rFonts w:ascii="Helvetica Light;sans-serif" w:hAnsi="Helvetica Light;sans-serif"/>
          <w:b w:val="false"/>
          <w:color w:val="000000"/>
          <w:sz w:val="16"/>
        </w:rPr>
        <w:t>Industry and market share information is derived from third-party industry sources (e.g. Agence Nationale des Titres Sécurisés (“ANTS”), Associação Nacional dos Fabricantes de Veículos Automotores (“ANFAVEA”), Ministry of Infrastructure and Sustainable Mobility (“MIMS”), Ward’s Automotive) and internal information</w:t>
      </w:r>
    </w:p>
    <w:p>
      <w:pPr>
        <w:pStyle w:val="TextBody"/>
        <w:bidi w:val="0"/>
        <w:spacing w:before="0" w:after="24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503555"/>
                <wp:effectExtent l="0" t="0" r="0" b="0"/>
                <wp:wrapNone/>
                <wp:docPr id="36" name="Frame30"/>
                <a:graphic xmlns:a="http://schemas.openxmlformats.org/drawingml/2006/main">
                  <a:graphicData uri="http://schemas.microsoft.com/office/word/2010/wordprocessingShape">
                    <wps:wsp>
                      <wps:cNvSpPr txBox="1"/>
                      <wps:spPr>
                        <a:xfrm>
                          <a:off x="0" y="0"/>
                          <a:ext cx="6480175" cy="5035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26</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26</w:t>
                      </w:r>
                    </w:p>
                    <w:p>
                      <w:pPr>
                        <w:pStyle w:val="TextBody"/>
                        <w:bidi w:val="0"/>
                        <w:spacing w:before="0" w:after="24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88" w:before="0" w:after="240"/>
        <w:jc w:val="left"/>
        <w:rPr>
          <w:rFonts w:ascii="Helvetica;sans-serif" w:hAnsi="Helvetica;sans-serif"/>
          <w:b w:val="false"/>
          <w:color w:val="143A84"/>
          <w:sz w:val="20"/>
        </w:rPr>
      </w:pPr>
      <w:r>
        <w:rPr>
          <w:rFonts w:ascii="Helvetica;sans-serif" w:hAnsi="Helvetica;sans-serif"/>
          <w:b w:val="false"/>
          <w:color w:val="143A84"/>
          <w:sz w:val="20"/>
        </w:rPr>
        <w:t>Net revenues</w:t>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The increase in North America Net revenues in the six months ended June 30, 2026 compared to the corresponding period in 2025 was driven by higher volumes, improved mix and positive net pricing, partially offset by unfavorable foreign exchange translation impacts.</w:t>
      </w:r>
    </w:p>
    <w:p>
      <w:pPr>
        <w:pStyle w:val="TextBody"/>
        <w:bidi w:val="0"/>
        <w:spacing w:lineRule="auto" w:line="288" w:before="0" w:after="240"/>
        <w:jc w:val="left"/>
        <w:rPr>
          <w:rFonts w:ascii="Helvetica;sans-serif" w:hAnsi="Helvetica;sans-serif"/>
          <w:b w:val="false"/>
          <w:color w:val="143A84"/>
          <w:sz w:val="20"/>
        </w:rPr>
      </w:pPr>
      <w:r>
        <w:rPr>
          <w:rFonts w:ascii="Helvetica;sans-serif" w:hAnsi="Helvetica;sans-serif"/>
          <w:b w:val="false"/>
          <w:color w:val="143A84"/>
          <w:sz w:val="20"/>
        </w:rPr>
        <w:t>Adjusted operating income/(loss)</w:t>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The following chart reflects the change in North America Adjusted operating income/(loss) by operational driver for the six months ended June 30, 2026 compared to the same period in 2025.</w:t>
      </w:r>
    </w:p>
    <w:p>
      <w:pPr>
        <w:pStyle w:val="TextBody"/>
        <w:bidi w:val="0"/>
        <w:spacing w:lineRule="auto" w:line="288" w:before="0" w:after="120"/>
        <w:jc w:val="left"/>
        <w:rPr>
          <w:rFonts w:ascii="Helvetica;sans-serif" w:hAnsi="Helvetica;sans-serif"/>
          <w:b/>
          <w:color w:val="143A84"/>
          <w:sz w:val="18"/>
        </w:rPr>
      </w:pPr>
      <w:r>
        <w:rPr>
          <w:rFonts w:ascii="Helvetica;sans-serif" w:hAnsi="Helvetica;sans-serif"/>
          <w:b/>
          <w:color w:val="143A84"/>
          <w:sz w:val="18"/>
        </w:rPr>
        <w:t>Adjusted operating income/(loss) by operational driver - Six months ended June 30, 2026 compared to the six months ended June 30, 2025 (€ million)</w:t>
      </w:r>
    </w:p>
    <w:p>
      <w:pPr>
        <w:pStyle w:val="TextBody"/>
        <w:bidi w:val="0"/>
        <w:spacing w:before="0" w:after="180"/>
        <w:jc w:val="center"/>
        <w:rPr/>
      </w:pPr>
      <w:r>
        <w:rPr/>
        <w:drawing>
          <wp:inline distT="0" distB="0" distL="0" distR="0">
            <wp:extent cx="6343650" cy="2533650"/>
            <wp:effectExtent l="0" t="0" r="0" b="0"/>
            <wp:docPr id="3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7" descr=""/>
                    <pic:cNvPicPr>
                      <a:picLocks noChangeAspect="1" noChangeArrowheads="1"/>
                    </pic:cNvPicPr>
                  </pic:nvPicPr>
                  <pic:blipFill>
                    <a:blip r:embed="rId8"/>
                    <a:stretch>
                      <a:fillRect/>
                    </a:stretch>
                  </pic:blipFill>
                  <pic:spPr bwMode="auto">
                    <a:xfrm>
                      <a:off x="0" y="0"/>
                      <a:ext cx="6343650" cy="2533650"/>
                    </a:xfrm>
                    <a:prstGeom prst="rect">
                      <a:avLst/>
                    </a:prstGeom>
                  </pic:spPr>
                </pic:pic>
              </a:graphicData>
            </a:graphic>
          </wp:inline>
        </w:drawing>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The increase in North America Adjusted operating income/(loss) in the six months ended June 30, 2026 compared to the same period in 2025 was mainly driven by higher volumes, favorable mix and positive net pricing. In addition, improved industrial costs included a reduction of regulatory expenses. These benefits were partially offset by higher SG&amp;A reflecting increased marketing initiatives and higher R&amp;D as a result of expensing certain development costs incurred on platforms that were fully-impaired in 2025 and therefore no longer eligible for capitalization. During the six months ended June 30, 2025, tariff impacts were broadly neutral year-over-year, with the International Emergency Economic Powers Act (“IEEPA”) tariff cost adjustment offsetting 2026 tariff costs.</w:t>
      </w:r>
    </w:p>
    <w:p>
      <w:pPr>
        <w:pStyle w:val="TextBody"/>
        <w:bidi w:val="0"/>
        <w:spacing w:before="0" w:after="240"/>
        <w:jc w:val="left"/>
        <w:rPr/>
      </w:pPr>
      <w:r>
        <w:rPr/>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503555"/>
                <wp:effectExtent l="0" t="0" r="0" b="0"/>
                <wp:wrapNone/>
                <wp:docPr id="38" name="Frame31"/>
                <a:graphic xmlns:a="http://schemas.openxmlformats.org/drawingml/2006/main">
                  <a:graphicData uri="http://schemas.microsoft.com/office/word/2010/wordprocessingShape">
                    <wps:wsp>
                      <wps:cNvSpPr txBox="1"/>
                      <wps:spPr>
                        <a:xfrm>
                          <a:off x="0" y="0"/>
                          <a:ext cx="6480175" cy="5035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27</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27</w:t>
                      </w:r>
                    </w:p>
                    <w:p>
                      <w:pPr>
                        <w:pStyle w:val="TextBody"/>
                        <w:bidi w:val="0"/>
                        <w:spacing w:before="0" w:after="24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88" w:before="0" w:after="120"/>
        <w:jc w:val="left"/>
        <w:rPr>
          <w:rFonts w:ascii="Helvetica;sans-serif" w:hAnsi="Helvetica;sans-serif"/>
          <w:b/>
          <w:color w:val="143A84"/>
          <w:sz w:val="18"/>
        </w:rPr>
      </w:pPr>
      <w:r>
        <w:rPr>
          <w:rFonts w:ascii="Helvetica;sans-serif" w:hAnsi="Helvetica;sans-serif"/>
          <w:b/>
          <w:color w:val="143A84"/>
          <w:sz w:val="18"/>
        </w:rPr>
        <w:t>Enlarged Europe</w:t>
      </w:r>
    </w:p>
    <w:tbl>
      <w:tblPr>
        <w:tblW w:w="10205" w:type="dxa"/>
        <w:jc w:val="left"/>
        <w:tblInd w:w="0" w:type="dxa"/>
        <w:tblLayout w:type="fixed"/>
        <w:tblCellMar>
          <w:top w:w="28" w:type="dxa"/>
          <w:left w:w="28" w:type="dxa"/>
          <w:bottom w:w="28" w:type="dxa"/>
          <w:right w:w="28" w:type="dxa"/>
        </w:tblCellMar>
      </w:tblPr>
      <w:tblGrid>
        <w:gridCol w:w="235"/>
        <w:gridCol w:w="201"/>
        <w:gridCol w:w="387"/>
        <w:gridCol w:w="140"/>
        <w:gridCol w:w="140"/>
        <w:gridCol w:w="140"/>
        <w:gridCol w:w="210"/>
        <w:gridCol w:w="211"/>
        <w:gridCol w:w="391"/>
        <w:gridCol w:w="109"/>
        <w:gridCol w:w="109"/>
        <w:gridCol w:w="109"/>
        <w:gridCol w:w="301"/>
        <w:gridCol w:w="289"/>
        <w:gridCol w:w="722"/>
        <w:gridCol w:w="109"/>
        <w:gridCol w:w="109"/>
        <w:gridCol w:w="109"/>
        <w:gridCol w:w="692"/>
        <w:gridCol w:w="692"/>
        <w:gridCol w:w="694"/>
        <w:gridCol w:w="109"/>
        <w:gridCol w:w="109"/>
        <w:gridCol w:w="109"/>
        <w:gridCol w:w="210"/>
        <w:gridCol w:w="211"/>
        <w:gridCol w:w="395"/>
        <w:gridCol w:w="134"/>
        <w:gridCol w:w="134"/>
        <w:gridCol w:w="134"/>
        <w:gridCol w:w="210"/>
        <w:gridCol w:w="211"/>
        <w:gridCol w:w="395"/>
        <w:gridCol w:w="109"/>
        <w:gridCol w:w="109"/>
        <w:gridCol w:w="109"/>
        <w:gridCol w:w="338"/>
        <w:gridCol w:w="274"/>
        <w:gridCol w:w="806"/>
      </w:tblGrid>
      <w:tr>
        <w:trPr/>
        <w:tc>
          <w:tcPr>
            <w:tcW w:w="235"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r>
      <w:tr>
        <w:trPr/>
        <w:tc>
          <w:tcPr>
            <w:tcW w:w="205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Increase/(Decrease)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Increase/(Decrease)</w:t>
            </w:r>
          </w:p>
        </w:tc>
      </w:tr>
      <w:tr>
        <w:trPr/>
        <w:tc>
          <w:tcPr>
            <w:tcW w:w="823"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2026</w:t>
            </w:r>
          </w:p>
        </w:tc>
        <w:tc>
          <w:tcPr>
            <w:tcW w:w="420"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2025</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2026 vs.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2026</w:t>
            </w:r>
          </w:p>
        </w:tc>
        <w:tc>
          <w:tcPr>
            <w:tcW w:w="402"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2025</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2026 vs. 2025</w:t>
            </w:r>
          </w:p>
        </w:tc>
      </w:tr>
      <w:tr>
        <w:trPr/>
        <w:tc>
          <w:tcPr>
            <w:tcW w:w="823" w:type="dxa"/>
            <w:gridSpan w:val="3"/>
            <w:tcBorders>
              <w:top w:val="single" w:sz="2" w:space="0" w:color="143A84"/>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762</w:t>
            </w:r>
          </w:p>
        </w:tc>
        <w:tc>
          <w:tcPr>
            <w:tcW w:w="420"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2" w:space="0" w:color="143A84"/>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723</w:t>
            </w:r>
          </w:p>
        </w:tc>
        <w:tc>
          <w:tcPr>
            <w:tcW w:w="327"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op w:val="single" w:sz="2" w:space="0" w:color="143A84"/>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5.4</w:t>
            </w:r>
          </w:p>
        </w:tc>
        <w:tc>
          <w:tcPr>
            <w:tcW w:w="722" w:type="dxa"/>
            <w:tcBorders>
              <w:top w:val="single" w:sz="2" w:space="0" w:color="143A84"/>
            </w:tcBorders>
            <w:shd w:fill="E6E7F4"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327"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8" w:type="dxa"/>
            <w:gridSpan w:val="3"/>
            <w:tcBorders>
              <w:top w:val="single" w:sz="2" w:space="0" w:color="143A84"/>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Consolidated shipments (thousands of units)</w:t>
            </w:r>
          </w:p>
        </w:tc>
        <w:tc>
          <w:tcPr>
            <w:tcW w:w="327"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2" w:space="0" w:color="143A84"/>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shd w:fill="F3F3F9" w:val="clear"/>
              </w:rPr>
            </w:pPr>
            <w:r>
              <w:rPr>
                <w:rFonts w:ascii="Helvetica;sans-serif" w:hAnsi="Helvetica;sans-serif"/>
                <w:b w:val="false"/>
                <w:color w:val="000000"/>
                <w:sz w:val="18"/>
                <w:shd w:fill="F3F3F9" w:val="clear"/>
              </w:rPr>
              <w:t>1,399</w:t>
            </w:r>
          </w:p>
        </w:tc>
        <w:tc>
          <w:tcPr>
            <w:tcW w:w="402"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2" w:space="0" w:color="143A84"/>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1,291</w:t>
            </w:r>
          </w:p>
        </w:tc>
        <w:tc>
          <w:tcPr>
            <w:tcW w:w="327"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top w:val="single" w:sz="2" w:space="0" w:color="143A84"/>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8.4</w:t>
            </w:r>
          </w:p>
        </w:tc>
        <w:tc>
          <w:tcPr>
            <w:tcW w:w="806" w:type="dxa"/>
            <w:tcBorders>
              <w:top w:val="single" w:sz="2" w:space="0" w:color="143A84"/>
            </w:tcBorders>
            <w:shd w:fill="E6E7F4"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w:t>
            </w:r>
          </w:p>
        </w:tc>
      </w:tr>
      <w:tr>
        <w:trPr/>
        <w:tc>
          <w:tcPr>
            <w:tcW w:w="823"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16,426</w:t>
            </w:r>
          </w:p>
        </w:tc>
        <w:tc>
          <w:tcPr>
            <w:tcW w:w="420"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16,387</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0.2</w:t>
            </w:r>
          </w:p>
        </w:tc>
        <w:tc>
          <w:tcPr>
            <w:tcW w:w="722" w:type="dxa"/>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8"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 xml:space="preserve">Net revenues (€ million) </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shd w:fill="F3F3F9" w:val="clear"/>
              </w:rPr>
            </w:pPr>
            <w:r>
              <w:rPr>
                <w:rFonts w:ascii="Helvetica;sans-serif" w:hAnsi="Helvetica;sans-serif"/>
                <w:b w:val="false"/>
                <w:color w:val="000000"/>
                <w:sz w:val="18"/>
                <w:shd w:fill="F3F3F9" w:val="clear"/>
              </w:rPr>
              <w:t>30,801</w:t>
            </w:r>
          </w:p>
        </w:tc>
        <w:tc>
          <w:tcPr>
            <w:tcW w:w="402"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30,557</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0.8</w:t>
            </w:r>
          </w:p>
        </w:tc>
        <w:tc>
          <w:tcPr>
            <w:tcW w:w="806" w:type="dxa"/>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w:t>
            </w:r>
          </w:p>
        </w:tc>
      </w:tr>
      <w:tr>
        <w:trPr/>
        <w:tc>
          <w:tcPr>
            <w:tcW w:w="823"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shd w:fill="F3F3F9" w:val="clear"/>
              </w:rPr>
            </w:pPr>
            <w:r>
              <w:rPr>
                <w:rFonts w:ascii="Helvetica;sans-serif" w:hAnsi="Helvetica;sans-serif"/>
                <w:b w:val="false"/>
                <w:color w:val="000000"/>
                <w:sz w:val="18"/>
                <w:shd w:fill="F3F3F9" w:val="clear"/>
              </w:rPr>
              <w:t>(94)</w:t>
            </w:r>
          </w:p>
        </w:tc>
        <w:tc>
          <w:tcPr>
            <w:tcW w:w="420"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(359)</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73.8</w:t>
            </w:r>
          </w:p>
        </w:tc>
        <w:tc>
          <w:tcPr>
            <w:tcW w:w="722" w:type="dxa"/>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8"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Adjusted operating income/(loss) (€ million)</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shd w:fill="F3F3F9" w:val="clear"/>
              </w:rPr>
            </w:pPr>
            <w:r>
              <w:rPr>
                <w:rFonts w:ascii="Helvetica;sans-serif" w:hAnsi="Helvetica;sans-serif"/>
                <w:b w:val="false"/>
                <w:color w:val="000000"/>
                <w:sz w:val="18"/>
                <w:shd w:fill="F3F3F9" w:val="clear"/>
              </w:rPr>
              <w:t>(86)</w:t>
            </w:r>
          </w:p>
        </w:tc>
        <w:tc>
          <w:tcPr>
            <w:tcW w:w="402"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(67)</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(28.4</w:t>
            </w:r>
          </w:p>
        </w:tc>
        <w:tc>
          <w:tcPr>
            <w:tcW w:w="806" w:type="dxa"/>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w:t>
            </w:r>
          </w:p>
        </w:tc>
      </w:tr>
      <w:tr>
        <w:trPr/>
        <w:tc>
          <w:tcPr>
            <w:tcW w:w="436" w:type="dxa"/>
            <w:gridSpan w:val="2"/>
            <w:tcBorders>
              <w:top w:val="single" w:sz="2" w:space="0" w:color="8E939F"/>
              <w:bottom w:val="single" w:sz="2" w:space="0" w:color="8E939F"/>
            </w:tcBorders>
            <w:shd w:fill="F3F3F9" w:val="clear"/>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(0.6</w:t>
            </w:r>
          </w:p>
        </w:tc>
        <w:tc>
          <w:tcPr>
            <w:tcW w:w="387" w:type="dxa"/>
            <w:tcBorders>
              <w:top w:val="single" w:sz="2" w:space="0" w:color="8E939F"/>
              <w:bottom w:val="single" w:sz="2" w:space="0" w:color="8E939F"/>
            </w:tcBorders>
            <w:shd w:fill="F3F3F9" w:val="clear"/>
            <w:tcMar>
              <w:top w:w="52"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420" w:type="dxa"/>
            <w:gridSpan w:val="3"/>
            <w:tcBorders>
              <w:top w:val="single" w:sz="2" w:space="0" w:color="8E939F"/>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(2.2</w:t>
            </w:r>
          </w:p>
        </w:tc>
        <w:tc>
          <w:tcPr>
            <w:tcW w:w="391" w:type="dxa"/>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327" w:type="dxa"/>
            <w:gridSpan w:val="3"/>
            <w:tcBorders>
              <w:top w:val="single" w:sz="2" w:space="0" w:color="8E939F"/>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160 bps</w:t>
            </w:r>
          </w:p>
        </w:tc>
        <w:tc>
          <w:tcPr>
            <w:tcW w:w="327" w:type="dxa"/>
            <w:gridSpan w:val="3"/>
            <w:tcBorders>
              <w:top w:val="single" w:sz="2" w:space="0" w:color="8E939F"/>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2078" w:type="dxa"/>
            <w:gridSpan w:val="3"/>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Adjusted operating income margin (%)</w:t>
            </w:r>
          </w:p>
        </w:tc>
        <w:tc>
          <w:tcPr>
            <w:tcW w:w="327" w:type="dxa"/>
            <w:gridSpan w:val="3"/>
            <w:tcBorders>
              <w:top w:val="single" w:sz="2" w:space="0" w:color="8E939F"/>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2" w:space="0" w:color="8E939F"/>
              <w:bottom w:val="single" w:sz="2" w:space="0" w:color="8E939F"/>
            </w:tcBorders>
            <w:shd w:fill="F3F3F9" w:val="clear"/>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(0.3</w:t>
            </w:r>
          </w:p>
        </w:tc>
        <w:tc>
          <w:tcPr>
            <w:tcW w:w="395" w:type="dxa"/>
            <w:tcBorders>
              <w:top w:val="single" w:sz="2" w:space="0" w:color="8E939F"/>
              <w:bottom w:val="single" w:sz="2" w:space="0" w:color="8E939F"/>
            </w:tcBorders>
            <w:shd w:fill="F3F3F9" w:val="clear"/>
            <w:tcMar>
              <w:top w:w="52"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402" w:type="dxa"/>
            <w:gridSpan w:val="3"/>
            <w:tcBorders>
              <w:top w:val="single" w:sz="2" w:space="0" w:color="8E939F"/>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(0.2</w:t>
            </w:r>
          </w:p>
        </w:tc>
        <w:tc>
          <w:tcPr>
            <w:tcW w:w="395" w:type="dxa"/>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327" w:type="dxa"/>
            <w:gridSpan w:val="3"/>
            <w:tcBorders>
              <w:top w:val="single" w:sz="2" w:space="0" w:color="8E939F"/>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-10 bps</w:t>
            </w:r>
          </w:p>
        </w:tc>
      </w:tr>
    </w:tbl>
    <w:p>
      <w:pPr>
        <w:pStyle w:val="TextBody"/>
        <w:bidi w:val="0"/>
        <w:spacing w:lineRule="auto" w:line="288" w:before="0" w:after="240"/>
        <w:jc w:val="left"/>
        <w:rPr>
          <w:rFonts w:ascii="Helvetica;sans-serif" w:hAnsi="Helvetica;sans-serif"/>
          <w:b w:val="false"/>
          <w:color w:val="143A84"/>
          <w:sz w:val="20"/>
        </w:rPr>
      </w:pPr>
      <w:r>
        <w:rPr>
          <w:rFonts w:ascii="Helvetica;sans-serif" w:hAnsi="Helvetica;sans-serif"/>
          <w:b w:val="false"/>
          <w:color w:val="143A84"/>
          <w:sz w:val="20"/>
        </w:rPr>
        <w:t>Three months ended June 30, 2026</w:t>
      </w:r>
    </w:p>
    <w:p>
      <w:pPr>
        <w:pStyle w:val="TextBody"/>
        <w:bidi w:val="0"/>
        <w:spacing w:lineRule="auto" w:line="343" w:before="0" w:after="120"/>
        <w:jc w:val="left"/>
        <w:rPr/>
      </w:pPr>
      <w:r>
        <w:rPr>
          <w:rFonts w:ascii="Helvetica Light;sans-serif" w:hAnsi="Helvetica Light;sans-serif"/>
          <w:b w:val="false"/>
          <w:color w:val="000000"/>
          <w:sz w:val="20"/>
        </w:rPr>
        <w:t>The following table presents Stellantis market share</w:t>
      </w:r>
      <w:r>
        <w:rPr>
          <w:rFonts w:ascii="Helvetica Light;sans-serif" w:hAnsi="Helvetica Light;sans-serif"/>
          <w:b w:val="false"/>
          <w:color w:val="000000"/>
          <w:sz w:val="13"/>
        </w:rPr>
        <w:t>(3)</w:t>
      </w:r>
      <w:r>
        <w:rPr>
          <w:color w:val="000000"/>
        </w:rPr>
        <w:t xml:space="preserve"> </w:t>
      </w:r>
      <w:r>
        <w:rPr>
          <w:rFonts w:ascii="Helvetica Light;sans-serif" w:hAnsi="Helvetica Light;sans-serif"/>
          <w:b w:val="false"/>
          <w:color w:val="000000"/>
          <w:sz w:val="20"/>
        </w:rPr>
        <w:t xml:space="preserve">and Stellantis and LPM market share for the three months ended June 30, 2026 and 2025. </w:t>
      </w:r>
    </w:p>
    <w:tbl>
      <w:tblPr>
        <w:tblW w:w="10205" w:type="dxa"/>
        <w:jc w:val="left"/>
        <w:tblInd w:w="0" w:type="dxa"/>
        <w:tblLayout w:type="fixed"/>
        <w:tblCellMar>
          <w:top w:w="28" w:type="dxa"/>
          <w:left w:w="28" w:type="dxa"/>
          <w:bottom w:w="28" w:type="dxa"/>
          <w:right w:w="28" w:type="dxa"/>
        </w:tblCellMar>
      </w:tblPr>
      <w:tblGrid>
        <w:gridCol w:w="459"/>
        <w:gridCol w:w="404"/>
        <w:gridCol w:w="407"/>
        <w:gridCol w:w="109"/>
        <w:gridCol w:w="109"/>
        <w:gridCol w:w="109"/>
        <w:gridCol w:w="292"/>
        <w:gridCol w:w="219"/>
        <w:gridCol w:w="420"/>
        <w:gridCol w:w="168"/>
        <w:gridCol w:w="168"/>
        <w:gridCol w:w="168"/>
        <w:gridCol w:w="292"/>
        <w:gridCol w:w="219"/>
        <w:gridCol w:w="420"/>
        <w:gridCol w:w="113"/>
        <w:gridCol w:w="113"/>
        <w:gridCol w:w="113"/>
        <w:gridCol w:w="452"/>
        <w:gridCol w:w="452"/>
        <w:gridCol w:w="454"/>
        <w:gridCol w:w="109"/>
        <w:gridCol w:w="109"/>
        <w:gridCol w:w="109"/>
        <w:gridCol w:w="292"/>
        <w:gridCol w:w="219"/>
        <w:gridCol w:w="419"/>
        <w:gridCol w:w="168"/>
        <w:gridCol w:w="168"/>
        <w:gridCol w:w="168"/>
        <w:gridCol w:w="292"/>
        <w:gridCol w:w="219"/>
        <w:gridCol w:w="419"/>
        <w:gridCol w:w="145"/>
        <w:gridCol w:w="145"/>
        <w:gridCol w:w="145"/>
        <w:gridCol w:w="410"/>
        <w:gridCol w:w="410"/>
        <w:gridCol w:w="599"/>
      </w:tblGrid>
      <w:tr>
        <w:trPr/>
        <w:tc>
          <w:tcPr>
            <w:tcW w:w="45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1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3"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Stellantis market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8" w:type="dxa"/>
            <w:gridSpan w:val="15"/>
            <w:tcBorders/>
            <w:tcMar>
              <w:top w:w="0" w:type="dxa"/>
              <w:left w:w="0" w:type="dxa"/>
              <w:bottom w:w="0" w:type="dxa"/>
              <w:right w:w="0" w:type="dxa"/>
            </w:tcMar>
            <w:vAlign w:val="center"/>
          </w:tcPr>
          <w:p>
            <w:pPr>
              <w:pStyle w:val="TableContents"/>
              <w:bidi w:val="0"/>
              <w:spacing w:lineRule="auto" w:line="288" w:before="0" w:after="0"/>
              <w:jc w:val="center"/>
              <w:rPr/>
            </w:pPr>
            <w:r>
              <w:rPr>
                <w:rFonts w:ascii="Helvetica;sans-serif" w:hAnsi="Helvetica;sans-serif"/>
                <w:b/>
                <w:color w:val="243782"/>
                <w:sz w:val="18"/>
              </w:rPr>
              <w:t>Stellantis and LPM</w:t>
            </w:r>
            <w:r>
              <w:rPr>
                <w:rFonts w:ascii="Helvetica;sans-serif" w:hAnsi="Helvetica;sans-serif"/>
                <w:b/>
                <w:color w:val="243782"/>
                <w:sz w:val="12"/>
              </w:rPr>
              <w:t>(1)</w:t>
            </w:r>
            <w:r>
              <w:rPr>
                <w:color w:val="243782"/>
              </w:rPr>
              <w:t xml:space="preserve"> </w:t>
            </w:r>
            <w:r>
              <w:rPr>
                <w:rFonts w:ascii="Helvetica;sans-serif" w:hAnsi="Helvetica;sans-serif"/>
                <w:b/>
                <w:color w:val="243782"/>
                <w:sz w:val="18"/>
              </w:rPr>
              <w:t>market share</w:t>
            </w:r>
          </w:p>
        </w:tc>
      </w:tr>
      <w:tr>
        <w:trPr/>
        <w:tc>
          <w:tcPr>
            <w:tcW w:w="1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6" w:type="dxa"/>
            <w:gridSpan w:val="9"/>
            <w:tcBorders>
              <w:top w:val="single" w:sz="2" w:space="0" w:color="143A84"/>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7"/>
              </w:rPr>
            </w:pPr>
            <w:r>
              <w:rPr>
                <w:rFonts w:ascii="Helvetica;sans-serif" w:hAnsi="Helvetica;sans-serif"/>
                <w:b/>
                <w:color w:val="243782"/>
                <w:sz w:val="17"/>
              </w:rPr>
              <w:t>Three months ended June 30,</w:t>
            </w:r>
          </w:p>
        </w:tc>
        <w:tc>
          <w:tcPr>
            <w:tcW w:w="339"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2" w:space="0" w:color="143A84"/>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7"/>
              </w:rPr>
            </w:pPr>
            <w:r>
              <w:rPr>
                <w:rFonts w:ascii="Helvetica;sans-serif" w:hAnsi="Helvetica;sans-serif"/>
                <w:b/>
                <w:color w:val="243782"/>
                <w:sz w:val="17"/>
              </w:rPr>
              <w:t>Increase/(Decrease)</w:t>
            </w:r>
          </w:p>
        </w:tc>
        <w:tc>
          <w:tcPr>
            <w:tcW w:w="327"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4" w:type="dxa"/>
            <w:gridSpan w:val="9"/>
            <w:tcBorders>
              <w:top w:val="single" w:sz="2" w:space="0" w:color="143A84"/>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7"/>
              </w:rPr>
            </w:pPr>
            <w:r>
              <w:rPr>
                <w:rFonts w:ascii="Helvetica;sans-serif" w:hAnsi="Helvetica;sans-serif"/>
                <w:b/>
                <w:color w:val="243782"/>
                <w:sz w:val="17"/>
              </w:rPr>
              <w:t>Three months ended June 30,</w:t>
            </w:r>
          </w:p>
        </w:tc>
        <w:tc>
          <w:tcPr>
            <w:tcW w:w="435"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op w:val="single" w:sz="2" w:space="0" w:color="143A84"/>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7"/>
              </w:rPr>
            </w:pPr>
            <w:r>
              <w:rPr>
                <w:rFonts w:ascii="Helvetica;sans-serif" w:hAnsi="Helvetica;sans-serif"/>
                <w:b/>
                <w:color w:val="243782"/>
                <w:sz w:val="17"/>
              </w:rPr>
              <w:t>Increase/(Decrease)</w:t>
            </w:r>
          </w:p>
        </w:tc>
      </w:tr>
      <w:tr>
        <w:trPr/>
        <w:tc>
          <w:tcPr>
            <w:tcW w:w="1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2026</w:t>
            </w:r>
          </w:p>
        </w:tc>
        <w:tc>
          <w:tcPr>
            <w:tcW w:w="504"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2025</w:t>
            </w:r>
          </w:p>
        </w:tc>
        <w:tc>
          <w:tcPr>
            <w:tcW w:w="339"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2026 vs. 2025</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2026</w:t>
            </w:r>
          </w:p>
        </w:tc>
        <w:tc>
          <w:tcPr>
            <w:tcW w:w="504"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2025</w:t>
            </w:r>
          </w:p>
        </w:tc>
        <w:tc>
          <w:tcPr>
            <w:tcW w:w="435"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2026 vs. 2025</w:t>
            </w:r>
          </w:p>
        </w:tc>
      </w:tr>
      <w:tr>
        <w:trPr/>
        <w:tc>
          <w:tcPr>
            <w:tcW w:w="1270" w:type="dxa"/>
            <w:gridSpan w:val="3"/>
            <w:tcBorders>
              <w:top w:val="single" w:sz="2" w:space="0" w:color="143A84"/>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Enlarged Europe</w:t>
            </w:r>
          </w:p>
        </w:tc>
        <w:tc>
          <w:tcPr>
            <w:tcW w:w="327"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2" w:space="0" w:color="143A84"/>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15.2 </w:t>
            </w:r>
          </w:p>
        </w:tc>
        <w:tc>
          <w:tcPr>
            <w:tcW w:w="420" w:type="dxa"/>
            <w:tcBorders>
              <w:top w:val="single" w:sz="2" w:space="0" w:color="143A84"/>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w:t>
            </w:r>
          </w:p>
        </w:tc>
        <w:tc>
          <w:tcPr>
            <w:tcW w:w="504"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2" w:space="0" w:color="143A84"/>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15.9 </w:t>
            </w:r>
          </w:p>
        </w:tc>
        <w:tc>
          <w:tcPr>
            <w:tcW w:w="420" w:type="dxa"/>
            <w:tcBorders>
              <w:top w:val="single" w:sz="2" w:space="0" w:color="143A84"/>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w:t>
            </w:r>
          </w:p>
        </w:tc>
        <w:tc>
          <w:tcPr>
            <w:tcW w:w="339"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2" w:space="0" w:color="143A84"/>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(70) bps</w:t>
            </w:r>
          </w:p>
        </w:tc>
        <w:tc>
          <w:tcPr>
            <w:tcW w:w="327"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2" w:space="0" w:color="143A84"/>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15.9 </w:t>
            </w:r>
          </w:p>
        </w:tc>
        <w:tc>
          <w:tcPr>
            <w:tcW w:w="419" w:type="dxa"/>
            <w:tcBorders>
              <w:top w:val="single" w:sz="2" w:space="0" w:color="143A84"/>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w:t>
            </w:r>
          </w:p>
        </w:tc>
        <w:tc>
          <w:tcPr>
            <w:tcW w:w="504"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2" w:space="0" w:color="143A84"/>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16.1 </w:t>
            </w:r>
          </w:p>
        </w:tc>
        <w:tc>
          <w:tcPr>
            <w:tcW w:w="419" w:type="dxa"/>
            <w:tcBorders>
              <w:top w:val="single" w:sz="2" w:space="0" w:color="143A84"/>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w:t>
            </w:r>
          </w:p>
        </w:tc>
        <w:tc>
          <w:tcPr>
            <w:tcW w:w="435"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op w:val="single" w:sz="2" w:space="0" w:color="143A84"/>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(20) bps</w:t>
            </w:r>
          </w:p>
        </w:tc>
      </w:tr>
      <w:tr>
        <w:trPr/>
        <w:tc>
          <w:tcPr>
            <w:tcW w:w="1270" w:type="dxa"/>
            <w:gridSpan w:val="3"/>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EU30</w:t>
            </w:r>
          </w:p>
        </w:tc>
        <w:tc>
          <w:tcPr>
            <w:tcW w:w="327" w:type="dxa"/>
            <w:gridSpan w:val="3"/>
            <w:tcBorders>
              <w:top w:val="single" w:sz="2" w:space="0" w:color="8E939F"/>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2" w:space="0" w:color="8E939F"/>
              <w:bottom w:val="single" w:sz="2" w:space="0" w:color="8E939F"/>
            </w:tcBorders>
            <w:shd w:fill="F3F3F9" w:val="clear"/>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16.0 </w:t>
            </w:r>
          </w:p>
        </w:tc>
        <w:tc>
          <w:tcPr>
            <w:tcW w:w="420" w:type="dxa"/>
            <w:tcBorders>
              <w:top w:val="single" w:sz="2" w:space="0" w:color="8E939F"/>
              <w:bottom w:val="single" w:sz="2" w:space="0" w:color="8E939F"/>
            </w:tcBorders>
            <w:shd w:fill="F3F3F9" w:val="clear"/>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w:t>
            </w:r>
          </w:p>
        </w:tc>
        <w:tc>
          <w:tcPr>
            <w:tcW w:w="504" w:type="dxa"/>
            <w:gridSpan w:val="3"/>
            <w:tcBorders>
              <w:top w:val="single" w:sz="2" w:space="0" w:color="8E939F"/>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16.8 </w:t>
            </w:r>
          </w:p>
        </w:tc>
        <w:tc>
          <w:tcPr>
            <w:tcW w:w="420" w:type="dxa"/>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w:t>
            </w:r>
          </w:p>
        </w:tc>
        <w:tc>
          <w:tcPr>
            <w:tcW w:w="339" w:type="dxa"/>
            <w:gridSpan w:val="3"/>
            <w:tcBorders>
              <w:top w:val="single" w:sz="2" w:space="0" w:color="8E939F"/>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(80) bps</w:t>
            </w:r>
          </w:p>
        </w:tc>
        <w:tc>
          <w:tcPr>
            <w:tcW w:w="327" w:type="dxa"/>
            <w:gridSpan w:val="3"/>
            <w:tcBorders>
              <w:top w:val="single" w:sz="2" w:space="0" w:color="8E939F"/>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2" w:space="0" w:color="8E939F"/>
              <w:bottom w:val="single" w:sz="2" w:space="0" w:color="8E939F"/>
            </w:tcBorders>
            <w:shd w:fill="F3F3F9" w:val="clear"/>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16.8 </w:t>
            </w:r>
          </w:p>
        </w:tc>
        <w:tc>
          <w:tcPr>
            <w:tcW w:w="419" w:type="dxa"/>
            <w:tcBorders>
              <w:top w:val="single" w:sz="2" w:space="0" w:color="8E939F"/>
              <w:bottom w:val="single" w:sz="2" w:space="0" w:color="8E939F"/>
            </w:tcBorders>
            <w:shd w:fill="F3F3F9" w:val="clear"/>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w:t>
            </w:r>
          </w:p>
        </w:tc>
        <w:tc>
          <w:tcPr>
            <w:tcW w:w="504" w:type="dxa"/>
            <w:gridSpan w:val="3"/>
            <w:tcBorders>
              <w:top w:val="single" w:sz="2" w:space="0" w:color="8E939F"/>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16.9 </w:t>
            </w:r>
          </w:p>
        </w:tc>
        <w:tc>
          <w:tcPr>
            <w:tcW w:w="419" w:type="dxa"/>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w:t>
            </w:r>
          </w:p>
        </w:tc>
        <w:tc>
          <w:tcPr>
            <w:tcW w:w="435" w:type="dxa"/>
            <w:gridSpan w:val="3"/>
            <w:tcBorders>
              <w:top w:val="single" w:sz="2" w:space="0" w:color="8E939F"/>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(10) bps</w:t>
            </w:r>
          </w:p>
        </w:tc>
      </w:tr>
    </w:tbl>
    <w:p>
      <w:pPr>
        <w:pStyle w:val="TextBody"/>
        <w:bidi w:val="0"/>
        <w:spacing w:lineRule="auto" w:line="288" w:before="0" w:after="240"/>
        <w:jc w:val="left"/>
        <w:rPr/>
      </w:pPr>
      <w:r>
        <w:rPr>
          <w:rFonts w:ascii="Helvetica Light;sans-serif" w:hAnsi="Helvetica Light;sans-serif"/>
          <w:b w:val="false"/>
          <w:color w:val="000000"/>
          <w:sz w:val="10"/>
        </w:rPr>
        <w:t>(1)</w:t>
      </w:r>
      <w:r>
        <w:rPr>
          <w:color w:val="000000"/>
        </w:rPr>
        <w:t xml:space="preserve"> </w:t>
      </w:r>
      <w:r>
        <w:rPr>
          <w:rFonts w:ascii="Helvetica Light;sans-serif" w:hAnsi="Helvetica Light;sans-serif"/>
          <w:b w:val="false"/>
          <w:color w:val="000000"/>
          <w:sz w:val="16"/>
        </w:rPr>
        <w:t>This metric combines Stellantis-owned brands and Leapmotor vehicles distributed by Leapmotor International, a jointly established, Stellantis-controlled company created in 2024 and owned 51 percent by Stellantis and 49 percent by Leapmotor, to distribute Leapmotor-branded vehicles outside of China. Stellantis does not design, or manufacture Leapmotor-branded vehicles and does not own the Leapmotor brand or intellectual property</w:t>
      </w:r>
    </w:p>
    <w:p>
      <w:pPr>
        <w:pStyle w:val="TextBody"/>
        <w:bidi w:val="0"/>
        <w:spacing w:lineRule="auto" w:line="288" w:before="0" w:after="240"/>
        <w:jc w:val="left"/>
        <w:rPr>
          <w:rFonts w:ascii="Helvetica;sans-serif" w:hAnsi="Helvetica;sans-serif"/>
          <w:b w:val="false"/>
          <w:color w:val="143A84"/>
          <w:sz w:val="20"/>
        </w:rPr>
      </w:pPr>
      <w:r>
        <w:rPr>
          <w:rFonts w:ascii="Helvetica;sans-serif" w:hAnsi="Helvetica;sans-serif"/>
          <w:b w:val="false"/>
          <w:color w:val="143A84"/>
          <w:sz w:val="20"/>
        </w:rPr>
        <w:t>Shipments</w:t>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Shipments in Enlarged Europe increased in the three months ended June 30, 2026 compared to the corresponding period in 2025, mainly due to higher volumes of Fiat 500 and Grande Panda, Citroën C3 Aircross, Opel/Vauxhall Frontera, Jeep Compass and Leapmotor-branded vehicles, notably T03 and B10.</w:t>
      </w:r>
    </w:p>
    <w:p>
      <w:pPr>
        <w:pStyle w:val="TextBody"/>
        <w:bidi w:val="0"/>
        <w:spacing w:lineRule="auto" w:line="288" w:before="0" w:after="240"/>
        <w:jc w:val="left"/>
        <w:rPr>
          <w:rFonts w:ascii="Helvetica;sans-serif" w:hAnsi="Helvetica;sans-serif"/>
          <w:b w:val="false"/>
          <w:color w:val="143A84"/>
          <w:sz w:val="20"/>
        </w:rPr>
      </w:pPr>
      <w:r>
        <w:rPr>
          <w:rFonts w:ascii="Helvetica;sans-serif" w:hAnsi="Helvetica;sans-serif"/>
          <w:b w:val="false"/>
          <w:color w:val="143A84"/>
          <w:sz w:val="20"/>
        </w:rPr>
        <w:t xml:space="preserve">Net revenues </w:t>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Enlarged Europe Net revenues were flat in the three months ended June 30, 2026 compared to the corresponding period in 2025, as higher volumes were offset by negative net pricing.</w:t>
      </w:r>
    </w:p>
    <w:p>
      <w:pPr>
        <w:pStyle w:val="TextBody"/>
        <w:bidi w:val="0"/>
        <w:spacing w:lineRule="auto" w:line="288" w:before="0" w:after="240"/>
        <w:jc w:val="left"/>
        <w:rPr>
          <w:rFonts w:ascii="Helvetica;sans-serif" w:hAnsi="Helvetica;sans-serif"/>
          <w:b w:val="false"/>
          <w:color w:val="143A84"/>
          <w:sz w:val="20"/>
        </w:rPr>
      </w:pPr>
      <w:r>
        <w:rPr>
          <w:rFonts w:ascii="Helvetica;sans-serif" w:hAnsi="Helvetica;sans-serif"/>
          <w:b w:val="false"/>
          <w:color w:val="143A84"/>
          <w:sz w:val="20"/>
        </w:rPr>
        <w:t>Adjusted operating income/(loss)</w:t>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The following chart reflects the change in Enlarged Europe Adjusted operating income/(loss) by operational driver for the three months ended June 30, 2026 compared to the same period in 2025.</w:t>
      </w:r>
    </w:p>
    <w:p>
      <w:pPr>
        <w:pStyle w:val="TextBody"/>
        <w:bidi w:val="0"/>
        <w:spacing w:lineRule="auto" w:line="288" w:before="120" w:after="283"/>
        <w:jc w:val="left"/>
        <w:rPr/>
      </w:pPr>
      <w:r>
        <w:rPr>
          <w:rFonts w:ascii="Helvetica Light;sans-serif" w:hAnsi="Helvetica Light;sans-serif"/>
          <w:b w:val="false"/>
          <w:color w:val="000000"/>
          <w:sz w:val="10"/>
        </w:rPr>
        <w:t>3</w:t>
      </w:r>
      <w:r>
        <w:rPr>
          <w:color w:val="000000"/>
        </w:rPr>
        <w:t xml:space="preserve"> </w:t>
      </w:r>
      <w:r>
        <w:rPr>
          <w:rFonts w:ascii="Helvetica Light;sans-serif" w:hAnsi="Helvetica Light;sans-serif"/>
          <w:b w:val="false"/>
          <w:color w:val="000000"/>
          <w:sz w:val="16"/>
        </w:rPr>
        <w:t>EU30 = EU27 (excluding Malta) and including Iceland, Norway, Switzerland and UK. Industry and market share information is derived from third-party industry sources (e.g. Agence Nationale des Titres Sécurisés (“ANTS”), Associação Nacional dos Fabricantes de Veículos Automotores (“ANFAVEA”), Ministry of Infrastructure and Sustainable Mobility (“MIMS”), Ward’s Automotive) and internal information</w:t>
      </w:r>
      <w:r>
        <w:rPr>
          <w:color w:val="143A84"/>
        </w:rPr>
        <w:t xml:space="preserve"> </w:t>
      </w:r>
    </w:p>
    <w:p>
      <w:pPr>
        <w:pStyle w:val="TextBody"/>
        <w:bidi w:val="0"/>
        <w:spacing w:before="0" w:after="24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503555"/>
                <wp:effectExtent l="0" t="0" r="0" b="0"/>
                <wp:wrapNone/>
                <wp:docPr id="39" name="Frame32"/>
                <a:graphic xmlns:a="http://schemas.openxmlformats.org/drawingml/2006/main">
                  <a:graphicData uri="http://schemas.microsoft.com/office/word/2010/wordprocessingShape">
                    <wps:wsp>
                      <wps:cNvSpPr txBox="1"/>
                      <wps:spPr>
                        <a:xfrm>
                          <a:off x="0" y="0"/>
                          <a:ext cx="6480175" cy="5035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28</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28</w:t>
                      </w:r>
                    </w:p>
                    <w:p>
                      <w:pPr>
                        <w:pStyle w:val="TextBody"/>
                        <w:bidi w:val="0"/>
                        <w:spacing w:before="0" w:after="24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88" w:before="0" w:after="120"/>
        <w:jc w:val="left"/>
        <w:rPr>
          <w:rFonts w:ascii="Helvetica;sans-serif" w:hAnsi="Helvetica;sans-serif"/>
          <w:b/>
          <w:color w:val="143A84"/>
          <w:sz w:val="18"/>
        </w:rPr>
      </w:pPr>
      <w:r>
        <w:rPr>
          <w:rFonts w:ascii="Helvetica;sans-serif" w:hAnsi="Helvetica;sans-serif"/>
          <w:b/>
          <w:color w:val="143A84"/>
          <w:sz w:val="18"/>
        </w:rPr>
        <w:t>Adjusted operating income/(loss) by operational driver - Three months ended June 30, 2026 compared to the three months ended June 30, 2025 (€ million)</w:t>
      </w:r>
    </w:p>
    <w:p>
      <w:pPr>
        <w:pStyle w:val="TextBody"/>
        <w:bidi w:val="0"/>
        <w:spacing w:before="0" w:after="240"/>
        <w:jc w:val="center"/>
        <w:rPr/>
      </w:pPr>
      <w:r>
        <w:rPr/>
        <w:drawing>
          <wp:inline distT="0" distB="0" distL="0" distR="0">
            <wp:extent cx="6515100" cy="2533650"/>
            <wp:effectExtent l="0" t="0" r="0" b="0"/>
            <wp:docPr id="40"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8" descr=""/>
                    <pic:cNvPicPr>
                      <a:picLocks noChangeAspect="1" noChangeArrowheads="1"/>
                    </pic:cNvPicPr>
                  </pic:nvPicPr>
                  <pic:blipFill>
                    <a:blip r:embed="rId9"/>
                    <a:stretch>
                      <a:fillRect/>
                    </a:stretch>
                  </pic:blipFill>
                  <pic:spPr bwMode="auto">
                    <a:xfrm>
                      <a:off x="0" y="0"/>
                      <a:ext cx="6515100" cy="2533650"/>
                    </a:xfrm>
                    <a:prstGeom prst="rect">
                      <a:avLst/>
                    </a:prstGeom>
                  </pic:spPr>
                </pic:pic>
              </a:graphicData>
            </a:graphic>
          </wp:inline>
        </w:drawing>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The increase in Enlarged Europe Adjusted operating income in the three months ended June 30, 2026 compared to the same period in 2025 was driven mainly by increased volumes, operational performance improvements and lower recall campaign costs of €0.5 billion, partially offset by negative net pricing and raw material inflation.</w:t>
      </w:r>
    </w:p>
    <w:p>
      <w:pPr>
        <w:pStyle w:val="TextBody"/>
        <w:bidi w:val="0"/>
        <w:spacing w:lineRule="auto" w:line="288" w:before="0" w:after="240"/>
        <w:jc w:val="left"/>
        <w:rPr>
          <w:rFonts w:ascii="Helvetica;sans-serif" w:hAnsi="Helvetica;sans-serif"/>
          <w:b w:val="false"/>
          <w:color w:val="143A84"/>
          <w:sz w:val="20"/>
        </w:rPr>
      </w:pPr>
      <w:r>
        <w:rPr>
          <w:rFonts w:ascii="Helvetica;sans-serif" w:hAnsi="Helvetica;sans-serif"/>
          <w:b w:val="false"/>
          <w:color w:val="143A84"/>
          <w:sz w:val="20"/>
        </w:rPr>
        <w:t>Six Months Ended June 30, 2026</w:t>
      </w:r>
    </w:p>
    <w:p>
      <w:pPr>
        <w:pStyle w:val="TextBody"/>
        <w:bidi w:val="0"/>
        <w:spacing w:lineRule="auto" w:line="343" w:before="0" w:after="120"/>
        <w:jc w:val="left"/>
        <w:rPr/>
      </w:pPr>
      <w:r>
        <w:rPr>
          <w:rFonts w:ascii="Helvetica Light;sans-serif" w:hAnsi="Helvetica Light;sans-serif"/>
          <w:b w:val="false"/>
          <w:color w:val="000000"/>
          <w:sz w:val="20"/>
        </w:rPr>
        <w:t>The following table presents Stellantis market share</w:t>
      </w:r>
      <w:r>
        <w:rPr>
          <w:rFonts w:ascii="Helvetica Light;sans-serif" w:hAnsi="Helvetica Light;sans-serif"/>
          <w:b w:val="false"/>
          <w:color w:val="000000"/>
          <w:sz w:val="13"/>
        </w:rPr>
        <w:t>(4)</w:t>
      </w:r>
      <w:r>
        <w:rPr>
          <w:color w:val="000000"/>
        </w:rPr>
        <w:t xml:space="preserve"> </w:t>
      </w:r>
      <w:r>
        <w:rPr>
          <w:rFonts w:ascii="Helvetica Light;sans-serif" w:hAnsi="Helvetica Light;sans-serif"/>
          <w:b w:val="false"/>
          <w:color w:val="000000"/>
          <w:sz w:val="20"/>
        </w:rPr>
        <w:t xml:space="preserve">and Stellantis and LPM market share for the six months ended June 30, 2026 and 2025. </w:t>
      </w:r>
    </w:p>
    <w:tbl>
      <w:tblPr>
        <w:tblW w:w="10205" w:type="dxa"/>
        <w:jc w:val="left"/>
        <w:tblInd w:w="0" w:type="dxa"/>
        <w:tblLayout w:type="fixed"/>
        <w:tblCellMar>
          <w:top w:w="28" w:type="dxa"/>
          <w:left w:w="28" w:type="dxa"/>
          <w:bottom w:w="28" w:type="dxa"/>
          <w:right w:w="28" w:type="dxa"/>
        </w:tblCellMar>
      </w:tblPr>
      <w:tblGrid>
        <w:gridCol w:w="471"/>
        <w:gridCol w:w="414"/>
        <w:gridCol w:w="416"/>
        <w:gridCol w:w="109"/>
        <w:gridCol w:w="109"/>
        <w:gridCol w:w="109"/>
        <w:gridCol w:w="292"/>
        <w:gridCol w:w="219"/>
        <w:gridCol w:w="402"/>
        <w:gridCol w:w="161"/>
        <w:gridCol w:w="161"/>
        <w:gridCol w:w="161"/>
        <w:gridCol w:w="292"/>
        <w:gridCol w:w="219"/>
        <w:gridCol w:w="402"/>
        <w:gridCol w:w="113"/>
        <w:gridCol w:w="113"/>
        <w:gridCol w:w="113"/>
        <w:gridCol w:w="465"/>
        <w:gridCol w:w="465"/>
        <w:gridCol w:w="466"/>
        <w:gridCol w:w="109"/>
        <w:gridCol w:w="109"/>
        <w:gridCol w:w="109"/>
        <w:gridCol w:w="292"/>
        <w:gridCol w:w="219"/>
        <w:gridCol w:w="401"/>
        <w:gridCol w:w="161"/>
        <w:gridCol w:w="161"/>
        <w:gridCol w:w="161"/>
        <w:gridCol w:w="292"/>
        <w:gridCol w:w="219"/>
        <w:gridCol w:w="401"/>
        <w:gridCol w:w="148"/>
        <w:gridCol w:w="148"/>
        <w:gridCol w:w="148"/>
        <w:gridCol w:w="421"/>
        <w:gridCol w:w="421"/>
        <w:gridCol w:w="613"/>
      </w:tblGrid>
      <w:tr>
        <w:trPr/>
        <w:tc>
          <w:tcPr>
            <w:tcW w:w="471"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r>
      <w:tr>
        <w:trPr/>
        <w:tc>
          <w:tcPr>
            <w:tcW w:w="1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4"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Stellantis market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6" w:type="dxa"/>
            <w:gridSpan w:val="15"/>
            <w:tcBorders/>
            <w:tcMar>
              <w:top w:w="0" w:type="dxa"/>
              <w:left w:w="0" w:type="dxa"/>
              <w:bottom w:w="0" w:type="dxa"/>
              <w:right w:w="0" w:type="dxa"/>
            </w:tcMar>
            <w:vAlign w:val="center"/>
          </w:tcPr>
          <w:p>
            <w:pPr>
              <w:pStyle w:val="TableContents"/>
              <w:bidi w:val="0"/>
              <w:spacing w:lineRule="auto" w:line="288" w:before="0" w:after="0"/>
              <w:jc w:val="center"/>
              <w:rPr/>
            </w:pPr>
            <w:r>
              <w:rPr>
                <w:rFonts w:ascii="Helvetica;sans-serif" w:hAnsi="Helvetica;sans-serif"/>
                <w:b/>
                <w:color w:val="243782"/>
                <w:sz w:val="18"/>
              </w:rPr>
              <w:t>Stellantis and LPM</w:t>
            </w:r>
            <w:r>
              <w:rPr>
                <w:rFonts w:ascii="Helvetica;sans-serif" w:hAnsi="Helvetica;sans-serif"/>
                <w:b/>
                <w:color w:val="243782"/>
                <w:sz w:val="12"/>
              </w:rPr>
              <w:t>(1)</w:t>
            </w:r>
            <w:r>
              <w:rPr>
                <w:color w:val="243782"/>
              </w:rPr>
              <w:t xml:space="preserve"> </w:t>
            </w:r>
            <w:r>
              <w:rPr>
                <w:rFonts w:ascii="Helvetica;sans-serif" w:hAnsi="Helvetica;sans-serif"/>
                <w:b/>
                <w:color w:val="243782"/>
                <w:sz w:val="18"/>
              </w:rPr>
              <w:t>market share</w:t>
            </w:r>
          </w:p>
        </w:tc>
      </w:tr>
      <w:tr>
        <w:trPr/>
        <w:tc>
          <w:tcPr>
            <w:tcW w:w="1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9"/>
            <w:tcBorders>
              <w:top w:val="single" w:sz="2" w:space="0" w:color="143A84"/>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7"/>
              </w:rPr>
            </w:pPr>
            <w:r>
              <w:rPr>
                <w:rFonts w:ascii="Helvetica;sans-serif" w:hAnsi="Helvetica;sans-serif"/>
                <w:b/>
                <w:color w:val="243782"/>
                <w:sz w:val="17"/>
              </w:rPr>
              <w:t>Six Months Ended June 30,</w:t>
            </w:r>
          </w:p>
        </w:tc>
        <w:tc>
          <w:tcPr>
            <w:tcW w:w="339"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single" w:sz="2" w:space="0" w:color="143A84"/>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7"/>
              </w:rPr>
            </w:pPr>
            <w:r>
              <w:rPr>
                <w:rFonts w:ascii="Helvetica;sans-serif" w:hAnsi="Helvetica;sans-serif"/>
                <w:b/>
                <w:color w:val="243782"/>
                <w:sz w:val="17"/>
              </w:rPr>
              <w:t>Increase/(Decrease)</w:t>
            </w:r>
          </w:p>
        </w:tc>
        <w:tc>
          <w:tcPr>
            <w:tcW w:w="327"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7" w:type="dxa"/>
            <w:gridSpan w:val="9"/>
            <w:tcBorders>
              <w:top w:val="single" w:sz="2" w:space="0" w:color="143A84"/>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7"/>
              </w:rPr>
            </w:pPr>
            <w:r>
              <w:rPr>
                <w:rFonts w:ascii="Helvetica;sans-serif" w:hAnsi="Helvetica;sans-serif"/>
                <w:b/>
                <w:color w:val="243782"/>
                <w:sz w:val="17"/>
              </w:rPr>
              <w:t>Six Months Ended June 30,</w:t>
            </w:r>
          </w:p>
        </w:tc>
        <w:tc>
          <w:tcPr>
            <w:tcW w:w="444"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2" w:space="0" w:color="143A84"/>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7"/>
              </w:rPr>
            </w:pPr>
            <w:r>
              <w:rPr>
                <w:rFonts w:ascii="Helvetica;sans-serif" w:hAnsi="Helvetica;sans-serif"/>
                <w:b/>
                <w:color w:val="243782"/>
                <w:sz w:val="17"/>
              </w:rPr>
              <w:t>Increase/(Decrease)</w:t>
            </w:r>
          </w:p>
        </w:tc>
      </w:tr>
      <w:tr>
        <w:trPr/>
        <w:tc>
          <w:tcPr>
            <w:tcW w:w="1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2026</w:t>
            </w:r>
          </w:p>
        </w:tc>
        <w:tc>
          <w:tcPr>
            <w:tcW w:w="483"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2025</w:t>
            </w:r>
          </w:p>
        </w:tc>
        <w:tc>
          <w:tcPr>
            <w:tcW w:w="339"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2026 vs. 2025</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2026</w:t>
            </w:r>
          </w:p>
        </w:tc>
        <w:tc>
          <w:tcPr>
            <w:tcW w:w="483"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2025</w:t>
            </w:r>
          </w:p>
        </w:tc>
        <w:tc>
          <w:tcPr>
            <w:tcW w:w="444"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2026 vs. 2025</w:t>
            </w:r>
          </w:p>
        </w:tc>
      </w:tr>
      <w:tr>
        <w:trPr/>
        <w:tc>
          <w:tcPr>
            <w:tcW w:w="1301" w:type="dxa"/>
            <w:gridSpan w:val="3"/>
            <w:tcBorders>
              <w:top w:val="single" w:sz="2" w:space="0" w:color="143A84"/>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Enlarged Europe</w:t>
            </w:r>
          </w:p>
        </w:tc>
        <w:tc>
          <w:tcPr>
            <w:tcW w:w="327"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2" w:space="0" w:color="143A84"/>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16.0 </w:t>
            </w:r>
          </w:p>
        </w:tc>
        <w:tc>
          <w:tcPr>
            <w:tcW w:w="402" w:type="dxa"/>
            <w:tcBorders>
              <w:top w:val="single" w:sz="2" w:space="0" w:color="143A84"/>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w:t>
            </w:r>
          </w:p>
        </w:tc>
        <w:tc>
          <w:tcPr>
            <w:tcW w:w="483"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2" w:space="0" w:color="143A84"/>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16.2 </w:t>
            </w:r>
          </w:p>
        </w:tc>
        <w:tc>
          <w:tcPr>
            <w:tcW w:w="402" w:type="dxa"/>
            <w:tcBorders>
              <w:top w:val="single" w:sz="2" w:space="0" w:color="143A84"/>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w:t>
            </w:r>
          </w:p>
        </w:tc>
        <w:tc>
          <w:tcPr>
            <w:tcW w:w="339"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single" w:sz="2" w:space="0" w:color="143A84"/>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-20 bps</w:t>
            </w:r>
          </w:p>
        </w:tc>
        <w:tc>
          <w:tcPr>
            <w:tcW w:w="327"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2" w:space="0" w:color="143A84"/>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16.6 </w:t>
            </w:r>
          </w:p>
        </w:tc>
        <w:tc>
          <w:tcPr>
            <w:tcW w:w="401" w:type="dxa"/>
            <w:tcBorders>
              <w:top w:val="single" w:sz="2" w:space="0" w:color="143A84"/>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w:t>
            </w:r>
          </w:p>
        </w:tc>
        <w:tc>
          <w:tcPr>
            <w:tcW w:w="483"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2" w:space="0" w:color="143A84"/>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16.3 </w:t>
            </w:r>
          </w:p>
        </w:tc>
        <w:tc>
          <w:tcPr>
            <w:tcW w:w="401" w:type="dxa"/>
            <w:tcBorders>
              <w:top w:val="single" w:sz="2" w:space="0" w:color="143A84"/>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w:t>
            </w:r>
          </w:p>
        </w:tc>
        <w:tc>
          <w:tcPr>
            <w:tcW w:w="444"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2" w:space="0" w:color="143A84"/>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30 bps</w:t>
            </w:r>
          </w:p>
        </w:tc>
      </w:tr>
      <w:tr>
        <w:trPr/>
        <w:tc>
          <w:tcPr>
            <w:tcW w:w="1301" w:type="dxa"/>
            <w:gridSpan w:val="3"/>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EU30</w:t>
            </w:r>
          </w:p>
        </w:tc>
        <w:tc>
          <w:tcPr>
            <w:tcW w:w="327" w:type="dxa"/>
            <w:gridSpan w:val="3"/>
            <w:tcBorders>
              <w:top w:val="single" w:sz="2" w:space="0" w:color="8E939F"/>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2" w:space="0" w:color="8E939F"/>
              <w:bottom w:val="single" w:sz="2" w:space="0" w:color="8E939F"/>
            </w:tcBorders>
            <w:shd w:fill="F3F3F9" w:val="clear"/>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16.7 </w:t>
            </w:r>
          </w:p>
        </w:tc>
        <w:tc>
          <w:tcPr>
            <w:tcW w:w="402" w:type="dxa"/>
            <w:tcBorders>
              <w:top w:val="single" w:sz="2" w:space="0" w:color="8E939F"/>
              <w:bottom w:val="single" w:sz="2" w:space="0" w:color="8E939F"/>
            </w:tcBorders>
            <w:shd w:fill="F3F3F9" w:val="clear"/>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w:t>
            </w:r>
          </w:p>
        </w:tc>
        <w:tc>
          <w:tcPr>
            <w:tcW w:w="483" w:type="dxa"/>
            <w:gridSpan w:val="3"/>
            <w:tcBorders>
              <w:top w:val="single" w:sz="2" w:space="0" w:color="8E939F"/>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17.0 </w:t>
            </w:r>
          </w:p>
        </w:tc>
        <w:tc>
          <w:tcPr>
            <w:tcW w:w="402" w:type="dxa"/>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w:t>
            </w:r>
          </w:p>
        </w:tc>
        <w:tc>
          <w:tcPr>
            <w:tcW w:w="339" w:type="dxa"/>
            <w:gridSpan w:val="3"/>
            <w:tcBorders>
              <w:top w:val="single" w:sz="2" w:space="0" w:color="8E939F"/>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-30 bps</w:t>
            </w:r>
          </w:p>
        </w:tc>
        <w:tc>
          <w:tcPr>
            <w:tcW w:w="327" w:type="dxa"/>
            <w:gridSpan w:val="3"/>
            <w:tcBorders>
              <w:top w:val="single" w:sz="2" w:space="0" w:color="8E939F"/>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2" w:space="0" w:color="8E939F"/>
              <w:bottom w:val="single" w:sz="2" w:space="0" w:color="8E939F"/>
            </w:tcBorders>
            <w:shd w:fill="F3F3F9" w:val="clear"/>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17.4 </w:t>
            </w:r>
          </w:p>
        </w:tc>
        <w:tc>
          <w:tcPr>
            <w:tcW w:w="401" w:type="dxa"/>
            <w:tcBorders>
              <w:top w:val="single" w:sz="2" w:space="0" w:color="8E939F"/>
              <w:bottom w:val="single" w:sz="2" w:space="0" w:color="8E939F"/>
            </w:tcBorders>
            <w:shd w:fill="F3F3F9" w:val="clear"/>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w:t>
            </w:r>
          </w:p>
        </w:tc>
        <w:tc>
          <w:tcPr>
            <w:tcW w:w="483" w:type="dxa"/>
            <w:gridSpan w:val="3"/>
            <w:tcBorders>
              <w:top w:val="single" w:sz="2" w:space="0" w:color="8E939F"/>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17.1 </w:t>
            </w:r>
          </w:p>
        </w:tc>
        <w:tc>
          <w:tcPr>
            <w:tcW w:w="401" w:type="dxa"/>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w:t>
            </w:r>
          </w:p>
        </w:tc>
        <w:tc>
          <w:tcPr>
            <w:tcW w:w="444" w:type="dxa"/>
            <w:gridSpan w:val="3"/>
            <w:tcBorders>
              <w:top w:val="single" w:sz="2" w:space="0" w:color="8E939F"/>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30 bps</w:t>
            </w:r>
          </w:p>
        </w:tc>
      </w:tr>
    </w:tbl>
    <w:p>
      <w:pPr>
        <w:pStyle w:val="TextBody"/>
        <w:bidi w:val="0"/>
        <w:spacing w:lineRule="auto" w:line="288" w:before="0" w:after="0"/>
        <w:jc w:val="left"/>
        <w:rPr/>
      </w:pPr>
      <w:r>
        <w:rPr>
          <w:rFonts w:ascii="Helvetica Light;sans-serif" w:hAnsi="Helvetica Light;sans-serif"/>
          <w:b w:val="false"/>
          <w:color w:val="000000"/>
          <w:sz w:val="10"/>
        </w:rPr>
        <w:t>(1)</w:t>
      </w:r>
      <w:r>
        <w:rPr>
          <w:color w:val="000000"/>
        </w:rPr>
        <w:t xml:space="preserve"> </w:t>
      </w:r>
      <w:r>
        <w:rPr>
          <w:rFonts w:ascii="Helvetica Light;sans-serif" w:hAnsi="Helvetica Light;sans-serif"/>
          <w:b w:val="false"/>
          <w:color w:val="000000"/>
          <w:sz w:val="16"/>
        </w:rPr>
        <w:t>This metric combines Stellantis-owned brands and Leapmotor vehicles distributed by Leapmotor International, a jointly established, Stellantis-controlled company created in 2024 and owned 51 percent by Stellantis and 49 percent by Leapmotor, to distribute Leapmotor-branded vehicles outside of China. Stellantis does not design, or manufacture Leapmotor-branded vehicles and does not own the Leapmotor brand or intellectual property</w:t>
      </w:r>
    </w:p>
    <w:p>
      <w:pPr>
        <w:pStyle w:val="TextBody"/>
        <w:bidi w:val="0"/>
        <w:spacing w:before="120" w:after="283"/>
        <w:jc w:val="left"/>
        <w:rPr/>
      </w:pPr>
      <w:r>
        <w:rPr/>
      </w:r>
    </w:p>
    <w:p>
      <w:pPr>
        <w:pStyle w:val="TextBody"/>
        <w:bidi w:val="0"/>
        <w:spacing w:lineRule="auto" w:line="288" w:before="0" w:after="240"/>
        <w:jc w:val="left"/>
        <w:rPr>
          <w:rFonts w:ascii="Helvetica;sans-serif" w:hAnsi="Helvetica;sans-serif"/>
          <w:b w:val="false"/>
          <w:color w:val="143A84"/>
          <w:sz w:val="20"/>
        </w:rPr>
      </w:pPr>
      <w:r>
        <w:rPr>
          <w:rFonts w:ascii="Helvetica;sans-serif" w:hAnsi="Helvetica;sans-serif"/>
          <w:b w:val="false"/>
          <w:color w:val="143A84"/>
          <w:sz w:val="20"/>
        </w:rPr>
        <w:t>Shipments</w:t>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 xml:space="preserve">Shipments in Enlarged Europe increased in the six months ended June 30, 2026 compared to the corresponding period in 2025, mainly due to higher volumes in FIAT, Citroën, Opel/Vauxhall and Leapmotor brands. Main contributors were Fiat 500 and Grande Panda, Citroën C3 Aircross, Opel/Vauxhall Frontera and Leapmotor T03 and B10. </w:t>
      </w:r>
    </w:p>
    <w:p>
      <w:pPr>
        <w:pStyle w:val="TextBody"/>
        <w:bidi w:val="0"/>
        <w:spacing w:lineRule="auto" w:line="288" w:before="120" w:after="283"/>
        <w:jc w:val="left"/>
        <w:rPr/>
      </w:pPr>
      <w:r>
        <w:rPr>
          <w:rFonts w:ascii="Helvetica Light;sans-serif" w:hAnsi="Helvetica Light;sans-serif"/>
          <w:b w:val="false"/>
          <w:color w:val="000000"/>
          <w:sz w:val="10"/>
        </w:rPr>
        <w:t>4</w:t>
      </w:r>
      <w:r>
        <w:rPr>
          <w:color w:val="000000"/>
        </w:rPr>
        <w:t xml:space="preserve"> </w:t>
      </w:r>
      <w:r>
        <w:rPr>
          <w:rFonts w:ascii="Helvetica Light;sans-serif" w:hAnsi="Helvetica Light;sans-serif"/>
          <w:b w:val="false"/>
          <w:color w:val="000000"/>
          <w:sz w:val="16"/>
        </w:rPr>
        <w:t>EU30 = EU27 (excluding Malta) and including Iceland, Norway, Switzerland and UK. Industry and market share information is derived from third-party industry sources (e.g. Agence Nationale des Titres Sécurisés (“ANTS”), Associação Nacional dos Fabricantes de Veículos Automotores (“ANFAVEA”), Ministry of Infrastructure and Sustainable Mobility (“MIMS”), Ward’s Automotive) and internal information</w:t>
      </w:r>
      <w:r>
        <w:rPr>
          <w:color w:val="143A84"/>
        </w:rPr>
        <w:t xml:space="preserve"> </w:t>
      </w:r>
    </w:p>
    <w:p>
      <w:pPr>
        <w:pStyle w:val="TextBody"/>
        <w:bidi w:val="0"/>
        <w:spacing w:before="0" w:after="24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503555"/>
                <wp:effectExtent l="0" t="0" r="0" b="0"/>
                <wp:wrapNone/>
                <wp:docPr id="41" name="Frame33"/>
                <a:graphic xmlns:a="http://schemas.openxmlformats.org/drawingml/2006/main">
                  <a:graphicData uri="http://schemas.microsoft.com/office/word/2010/wordprocessingShape">
                    <wps:wsp>
                      <wps:cNvSpPr txBox="1"/>
                      <wps:spPr>
                        <a:xfrm>
                          <a:off x="0" y="0"/>
                          <a:ext cx="6480175" cy="5035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29</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29</w:t>
                      </w:r>
                    </w:p>
                    <w:p>
                      <w:pPr>
                        <w:pStyle w:val="TextBody"/>
                        <w:bidi w:val="0"/>
                        <w:spacing w:before="0" w:after="24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88" w:before="0" w:after="240"/>
        <w:jc w:val="left"/>
        <w:rPr>
          <w:rFonts w:ascii="Helvetica;sans-serif" w:hAnsi="Helvetica;sans-serif"/>
          <w:b w:val="false"/>
          <w:color w:val="143A84"/>
          <w:sz w:val="20"/>
        </w:rPr>
      </w:pPr>
      <w:r>
        <w:rPr>
          <w:rFonts w:ascii="Helvetica;sans-serif" w:hAnsi="Helvetica;sans-serif"/>
          <w:b w:val="false"/>
          <w:color w:val="143A84"/>
          <w:sz w:val="20"/>
        </w:rPr>
        <w:t xml:space="preserve">Net revenues </w:t>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 xml:space="preserve">The slight increase in Enlarged Europe Net revenues in the six months ended June 30, 2026 compared to the corresponding period in 2025 was driven by higher volumes largely offset by negative net pricing and unfavorable mix. </w:t>
      </w:r>
    </w:p>
    <w:p>
      <w:pPr>
        <w:pStyle w:val="TextBody"/>
        <w:bidi w:val="0"/>
        <w:spacing w:before="120" w:after="283"/>
        <w:jc w:val="left"/>
        <w:rPr/>
      </w:pPr>
      <w:r>
        <w:rPr/>
      </w:r>
    </w:p>
    <w:p>
      <w:pPr>
        <w:pStyle w:val="TextBody"/>
        <w:bidi w:val="0"/>
        <w:spacing w:lineRule="auto" w:line="288" w:before="0" w:after="240"/>
        <w:jc w:val="left"/>
        <w:rPr>
          <w:rFonts w:ascii="Helvetica;sans-serif" w:hAnsi="Helvetica;sans-serif"/>
          <w:b w:val="false"/>
          <w:color w:val="143A84"/>
          <w:sz w:val="20"/>
        </w:rPr>
      </w:pPr>
      <w:r>
        <w:rPr>
          <w:rFonts w:ascii="Helvetica;sans-serif" w:hAnsi="Helvetica;sans-serif"/>
          <w:b w:val="false"/>
          <w:color w:val="143A84"/>
          <w:sz w:val="20"/>
        </w:rPr>
        <w:t xml:space="preserve">Adjusted operating income/(loss) </w:t>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The following chart reflects the change in Enlarged Europe Adjusted operating income/(loss) by operational driver for the six months ended June 30, 2026 compared to the same period in 2025.</w:t>
      </w:r>
    </w:p>
    <w:p>
      <w:pPr>
        <w:pStyle w:val="TextBody"/>
        <w:bidi w:val="0"/>
        <w:spacing w:lineRule="auto" w:line="288" w:before="0" w:after="120"/>
        <w:jc w:val="left"/>
        <w:rPr>
          <w:rFonts w:ascii="Helvetica;sans-serif" w:hAnsi="Helvetica;sans-serif"/>
          <w:b/>
          <w:color w:val="143A84"/>
          <w:sz w:val="18"/>
        </w:rPr>
      </w:pPr>
      <w:r>
        <w:rPr>
          <w:rFonts w:ascii="Helvetica;sans-serif" w:hAnsi="Helvetica;sans-serif"/>
          <w:b/>
          <w:color w:val="143A84"/>
          <w:sz w:val="18"/>
        </w:rPr>
        <w:t>Adjusted operating income/(loss) by operational driver - Six months ended June 30, 2026 compared to the six months ended June 30, 2025 (€ million)</w:t>
      </w:r>
    </w:p>
    <w:p>
      <w:pPr>
        <w:pStyle w:val="TextBody"/>
        <w:bidi w:val="0"/>
        <w:spacing w:before="0" w:after="240"/>
        <w:jc w:val="center"/>
        <w:rPr/>
      </w:pPr>
      <w:r>
        <w:rPr/>
        <w:drawing>
          <wp:inline distT="0" distB="0" distL="0" distR="0">
            <wp:extent cx="6515100" cy="2533650"/>
            <wp:effectExtent l="0" t="0" r="0" b="0"/>
            <wp:docPr id="42"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9" descr=""/>
                    <pic:cNvPicPr>
                      <a:picLocks noChangeAspect="1" noChangeArrowheads="1"/>
                    </pic:cNvPicPr>
                  </pic:nvPicPr>
                  <pic:blipFill>
                    <a:blip r:embed="rId10"/>
                    <a:stretch>
                      <a:fillRect/>
                    </a:stretch>
                  </pic:blipFill>
                  <pic:spPr bwMode="auto">
                    <a:xfrm>
                      <a:off x="0" y="0"/>
                      <a:ext cx="6515100" cy="2533650"/>
                    </a:xfrm>
                    <a:prstGeom prst="rect">
                      <a:avLst/>
                    </a:prstGeom>
                  </pic:spPr>
                </pic:pic>
              </a:graphicData>
            </a:graphic>
          </wp:inline>
        </w:drawing>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 xml:space="preserve">Enlarged Europe Adjusted operating loss in the six months ended June 30, 2026 was substantially unchanged compared to the same period in 2025. Positive impacts from improved industrial costs driven by the non-recurrence of recall campaign costs recognized in 2025 of €0.5 billion, manufacturing efficiencies and increased volumes were offset by negative pricing from higher incentives, and unfavorable mix.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Helvetica;sans-serif" w:hAnsi="Helvetica;sans-serif"/>
          <w:b/>
          <w:color w:val="143A84"/>
          <w:sz w:val="18"/>
        </w:rPr>
      </w:pPr>
      <w:r>
        <w:rPr>
          <w:rFonts w:ascii="Helvetica;sans-serif" w:hAnsi="Helvetica;sans-serif"/>
          <w:b/>
          <w:color w:val="143A84"/>
          <w:sz w:val="18"/>
        </w:rPr>
        <w:t>Middle East &amp; Africa</w:t>
      </w:r>
    </w:p>
    <w:tbl>
      <w:tblPr>
        <w:tblW w:w="10205" w:type="dxa"/>
        <w:jc w:val="left"/>
        <w:tblInd w:w="0" w:type="dxa"/>
        <w:tblLayout w:type="fixed"/>
        <w:tblCellMar>
          <w:top w:w="28" w:type="dxa"/>
          <w:left w:w="28" w:type="dxa"/>
          <w:bottom w:w="28" w:type="dxa"/>
          <w:right w:w="28" w:type="dxa"/>
        </w:tblCellMar>
      </w:tblPr>
      <w:tblGrid>
        <w:gridCol w:w="343"/>
        <w:gridCol w:w="193"/>
        <w:gridCol w:w="349"/>
        <w:gridCol w:w="140"/>
        <w:gridCol w:w="140"/>
        <w:gridCol w:w="140"/>
        <w:gridCol w:w="325"/>
        <w:gridCol w:w="195"/>
        <w:gridCol w:w="349"/>
        <w:gridCol w:w="109"/>
        <w:gridCol w:w="109"/>
        <w:gridCol w:w="109"/>
        <w:gridCol w:w="334"/>
        <w:gridCol w:w="278"/>
        <w:gridCol w:w="695"/>
        <w:gridCol w:w="109"/>
        <w:gridCol w:w="109"/>
        <w:gridCol w:w="109"/>
        <w:gridCol w:w="729"/>
        <w:gridCol w:w="601"/>
        <w:gridCol w:w="603"/>
        <w:gridCol w:w="109"/>
        <w:gridCol w:w="109"/>
        <w:gridCol w:w="109"/>
        <w:gridCol w:w="325"/>
        <w:gridCol w:w="190"/>
        <w:gridCol w:w="336"/>
        <w:gridCol w:w="135"/>
        <w:gridCol w:w="135"/>
        <w:gridCol w:w="135"/>
        <w:gridCol w:w="325"/>
        <w:gridCol w:w="190"/>
        <w:gridCol w:w="336"/>
        <w:gridCol w:w="109"/>
        <w:gridCol w:w="109"/>
        <w:gridCol w:w="109"/>
        <w:gridCol w:w="333"/>
        <w:gridCol w:w="264"/>
        <w:gridCol w:w="779"/>
      </w:tblGrid>
      <w:tr>
        <w:trPr/>
        <w:tc>
          <w:tcPr>
            <w:tcW w:w="34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r>
      <w:tr>
        <w:trPr/>
        <w:tc>
          <w:tcPr>
            <w:tcW w:w="21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Increase/(Decrease)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Increase/(Decrease)</w:t>
            </w:r>
          </w:p>
        </w:tc>
      </w:tr>
      <w:tr>
        <w:trPr/>
        <w:tc>
          <w:tcPr>
            <w:tcW w:w="885"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2026</w:t>
            </w:r>
          </w:p>
        </w:tc>
        <w:tc>
          <w:tcPr>
            <w:tcW w:w="420"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2025</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2026 vs.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2026</w:t>
            </w:r>
          </w:p>
        </w:tc>
        <w:tc>
          <w:tcPr>
            <w:tcW w:w="405"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2025</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2026 vs. 2025</w:t>
            </w:r>
          </w:p>
        </w:tc>
      </w:tr>
      <w:tr>
        <w:trPr/>
        <w:tc>
          <w:tcPr>
            <w:tcW w:w="885" w:type="dxa"/>
            <w:gridSpan w:val="3"/>
            <w:tcBorders>
              <w:top w:val="single" w:sz="2" w:space="0" w:color="143A84"/>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128</w:t>
            </w:r>
          </w:p>
        </w:tc>
        <w:tc>
          <w:tcPr>
            <w:tcW w:w="420"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2" w:space="0" w:color="143A84"/>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135</w:t>
            </w:r>
          </w:p>
        </w:tc>
        <w:tc>
          <w:tcPr>
            <w:tcW w:w="327"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top w:val="single" w:sz="2" w:space="0" w:color="143A84"/>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(5.2</w:t>
            </w:r>
          </w:p>
        </w:tc>
        <w:tc>
          <w:tcPr>
            <w:tcW w:w="695" w:type="dxa"/>
            <w:tcBorders>
              <w:top w:val="single" w:sz="2" w:space="0" w:color="143A84"/>
            </w:tcBorders>
            <w:shd w:fill="E6E7F4"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327"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3" w:type="dxa"/>
            <w:gridSpan w:val="3"/>
            <w:tcBorders>
              <w:top w:val="single" w:sz="2" w:space="0" w:color="143A84"/>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Combined shipments (thousands of units)</w:t>
            </w:r>
          </w:p>
        </w:tc>
        <w:tc>
          <w:tcPr>
            <w:tcW w:w="327"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op w:val="single" w:sz="2" w:space="0" w:color="143A84"/>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243</w:t>
            </w:r>
          </w:p>
        </w:tc>
        <w:tc>
          <w:tcPr>
            <w:tcW w:w="405"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op w:val="single" w:sz="2" w:space="0" w:color="143A84"/>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251</w:t>
            </w:r>
          </w:p>
        </w:tc>
        <w:tc>
          <w:tcPr>
            <w:tcW w:w="327"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top w:val="single" w:sz="2" w:space="0" w:color="143A84"/>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(3.2</w:t>
            </w:r>
          </w:p>
        </w:tc>
        <w:tc>
          <w:tcPr>
            <w:tcW w:w="779" w:type="dxa"/>
            <w:tcBorders>
              <w:top w:val="single" w:sz="2" w:space="0" w:color="143A84"/>
            </w:tcBorders>
            <w:shd w:fill="E6E7F4"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w:t>
            </w:r>
          </w:p>
        </w:tc>
      </w:tr>
      <w:tr>
        <w:trPr/>
        <w:tc>
          <w:tcPr>
            <w:tcW w:w="885"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121</w:t>
            </w:r>
          </w:p>
        </w:tc>
        <w:tc>
          <w:tcPr>
            <w:tcW w:w="420"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125</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(3.2</w:t>
            </w:r>
          </w:p>
        </w:tc>
        <w:tc>
          <w:tcPr>
            <w:tcW w:w="695" w:type="dxa"/>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3"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Consolidated shipments (thousands of units)</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232</w:t>
            </w:r>
          </w:p>
        </w:tc>
        <w:tc>
          <w:tcPr>
            <w:tcW w:w="405"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225</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3.1</w:t>
            </w:r>
          </w:p>
        </w:tc>
        <w:tc>
          <w:tcPr>
            <w:tcW w:w="779" w:type="dxa"/>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w:t>
            </w:r>
          </w:p>
        </w:tc>
      </w:tr>
      <w:tr>
        <w:trPr/>
        <w:tc>
          <w:tcPr>
            <w:tcW w:w="885"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2,565</w:t>
            </w:r>
          </w:p>
        </w:tc>
        <w:tc>
          <w:tcPr>
            <w:tcW w:w="420"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2,674</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(4.1</w:t>
            </w:r>
          </w:p>
        </w:tc>
        <w:tc>
          <w:tcPr>
            <w:tcW w:w="695" w:type="dxa"/>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3"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 xml:space="preserve">Net revenues (€ million) </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4,953</w:t>
            </w:r>
          </w:p>
        </w:tc>
        <w:tc>
          <w:tcPr>
            <w:tcW w:w="405"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4,962</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(0.2</w:t>
            </w:r>
          </w:p>
        </w:tc>
        <w:tc>
          <w:tcPr>
            <w:tcW w:w="779" w:type="dxa"/>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w:t>
            </w:r>
          </w:p>
        </w:tc>
      </w:tr>
      <w:tr>
        <w:trPr/>
        <w:tc>
          <w:tcPr>
            <w:tcW w:w="885"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329</w:t>
            </w:r>
          </w:p>
        </w:tc>
        <w:tc>
          <w:tcPr>
            <w:tcW w:w="420"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392</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(16.1</w:t>
            </w:r>
          </w:p>
        </w:tc>
        <w:tc>
          <w:tcPr>
            <w:tcW w:w="695" w:type="dxa"/>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3"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Adjusted operating income (€ million)</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611</w:t>
            </w:r>
          </w:p>
        </w:tc>
        <w:tc>
          <w:tcPr>
            <w:tcW w:w="405"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768</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(20.4</w:t>
            </w:r>
          </w:p>
        </w:tc>
        <w:tc>
          <w:tcPr>
            <w:tcW w:w="779" w:type="dxa"/>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w:t>
            </w:r>
          </w:p>
        </w:tc>
      </w:tr>
      <w:tr>
        <w:trPr/>
        <w:tc>
          <w:tcPr>
            <w:tcW w:w="536" w:type="dxa"/>
            <w:gridSpan w:val="2"/>
            <w:tcBorders>
              <w:top w:val="single" w:sz="2" w:space="0" w:color="8E939F"/>
              <w:bottom w:val="single" w:sz="2" w:space="0" w:color="8E939F"/>
            </w:tcBorders>
            <w:shd w:fill="F3F3F9" w:val="clear"/>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12.8 </w:t>
            </w:r>
          </w:p>
        </w:tc>
        <w:tc>
          <w:tcPr>
            <w:tcW w:w="349" w:type="dxa"/>
            <w:tcBorders>
              <w:top w:val="single" w:sz="2" w:space="0" w:color="8E939F"/>
              <w:bottom w:val="single" w:sz="2" w:space="0" w:color="8E939F"/>
            </w:tcBorders>
            <w:shd w:fill="F3F3F9" w:val="clear"/>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w:t>
            </w:r>
          </w:p>
        </w:tc>
        <w:tc>
          <w:tcPr>
            <w:tcW w:w="420" w:type="dxa"/>
            <w:gridSpan w:val="3"/>
            <w:tcBorders>
              <w:top w:val="single" w:sz="2" w:space="0" w:color="8E939F"/>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14.7 </w:t>
            </w:r>
          </w:p>
        </w:tc>
        <w:tc>
          <w:tcPr>
            <w:tcW w:w="349" w:type="dxa"/>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w:t>
            </w:r>
          </w:p>
        </w:tc>
        <w:tc>
          <w:tcPr>
            <w:tcW w:w="327" w:type="dxa"/>
            <w:gridSpan w:val="3"/>
            <w:tcBorders>
              <w:top w:val="single" w:sz="2" w:space="0" w:color="8E939F"/>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(190) bps</w:t>
            </w:r>
          </w:p>
        </w:tc>
        <w:tc>
          <w:tcPr>
            <w:tcW w:w="327" w:type="dxa"/>
            <w:gridSpan w:val="3"/>
            <w:tcBorders>
              <w:top w:val="single" w:sz="2" w:space="0" w:color="8E939F"/>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1933" w:type="dxa"/>
            <w:gridSpan w:val="3"/>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Adjusted operating income margin (%)</w:t>
            </w:r>
          </w:p>
        </w:tc>
        <w:tc>
          <w:tcPr>
            <w:tcW w:w="327" w:type="dxa"/>
            <w:gridSpan w:val="3"/>
            <w:tcBorders>
              <w:top w:val="single" w:sz="2" w:space="0" w:color="8E939F"/>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515" w:type="dxa"/>
            <w:gridSpan w:val="2"/>
            <w:tcBorders>
              <w:top w:val="single" w:sz="2" w:space="0" w:color="8E939F"/>
              <w:bottom w:val="single" w:sz="2" w:space="0" w:color="8E939F"/>
            </w:tcBorders>
            <w:shd w:fill="F3F3F9" w:val="clear"/>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12.3 </w:t>
            </w:r>
          </w:p>
        </w:tc>
        <w:tc>
          <w:tcPr>
            <w:tcW w:w="336" w:type="dxa"/>
            <w:tcBorders>
              <w:top w:val="single" w:sz="2" w:space="0" w:color="8E939F"/>
              <w:bottom w:val="single" w:sz="2" w:space="0" w:color="8E939F"/>
            </w:tcBorders>
            <w:shd w:fill="F3F3F9" w:val="clear"/>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w:t>
            </w:r>
          </w:p>
        </w:tc>
        <w:tc>
          <w:tcPr>
            <w:tcW w:w="405" w:type="dxa"/>
            <w:gridSpan w:val="3"/>
            <w:tcBorders>
              <w:top w:val="single" w:sz="2" w:space="0" w:color="8E939F"/>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515" w:type="dxa"/>
            <w:gridSpan w:val="2"/>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15.5 </w:t>
            </w:r>
          </w:p>
        </w:tc>
        <w:tc>
          <w:tcPr>
            <w:tcW w:w="336" w:type="dxa"/>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w:t>
            </w:r>
          </w:p>
        </w:tc>
        <w:tc>
          <w:tcPr>
            <w:tcW w:w="327" w:type="dxa"/>
            <w:gridSpan w:val="3"/>
            <w:tcBorders>
              <w:top w:val="single" w:sz="2" w:space="0" w:color="8E939F"/>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(320) bps</w:t>
            </w:r>
          </w:p>
        </w:tc>
      </w:tr>
    </w:tbl>
    <w:p>
      <w:pPr>
        <w:pStyle w:val="TextBody"/>
        <w:bidi w:val="0"/>
        <w:spacing w:before="0" w:after="24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503555"/>
                <wp:effectExtent l="0" t="0" r="0" b="0"/>
                <wp:wrapNone/>
                <wp:docPr id="43" name="Frame34"/>
                <a:graphic xmlns:a="http://schemas.openxmlformats.org/drawingml/2006/main">
                  <a:graphicData uri="http://schemas.microsoft.com/office/word/2010/wordprocessingShape">
                    <wps:wsp>
                      <wps:cNvSpPr txBox="1"/>
                      <wps:spPr>
                        <a:xfrm>
                          <a:off x="0" y="0"/>
                          <a:ext cx="6480175" cy="5035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30</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30</w:t>
                      </w:r>
                    </w:p>
                    <w:p>
                      <w:pPr>
                        <w:pStyle w:val="TextBody"/>
                        <w:bidi w:val="0"/>
                        <w:spacing w:before="0" w:after="24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88" w:before="0" w:after="240"/>
        <w:jc w:val="left"/>
        <w:rPr>
          <w:rFonts w:ascii="Helvetica;sans-serif" w:hAnsi="Helvetica;sans-serif"/>
          <w:b w:val="false"/>
          <w:color w:val="143A84"/>
          <w:sz w:val="20"/>
        </w:rPr>
      </w:pPr>
      <w:r>
        <w:rPr>
          <w:rFonts w:ascii="Helvetica;sans-serif" w:hAnsi="Helvetica;sans-serif"/>
          <w:b w:val="false"/>
          <w:color w:val="143A84"/>
          <w:sz w:val="20"/>
        </w:rPr>
        <w:t>Three months ended June 30, 2026</w:t>
      </w:r>
    </w:p>
    <w:p>
      <w:pPr>
        <w:pStyle w:val="TextBody"/>
        <w:bidi w:val="0"/>
        <w:spacing w:lineRule="auto" w:line="343" w:before="0" w:after="240"/>
        <w:jc w:val="left"/>
        <w:rPr/>
      </w:pPr>
      <w:r>
        <w:rPr>
          <w:rFonts w:ascii="Helvetica Light;sans-serif" w:hAnsi="Helvetica Light;sans-serif"/>
          <w:b w:val="false"/>
          <w:color w:val="000000"/>
          <w:sz w:val="20"/>
        </w:rPr>
        <w:t>The following table presents Stellantis market share</w:t>
      </w:r>
      <w:r>
        <w:rPr>
          <w:rFonts w:ascii="Helvetica Light;sans-serif" w:hAnsi="Helvetica Light;sans-serif"/>
          <w:b w:val="false"/>
          <w:color w:val="000000"/>
          <w:sz w:val="13"/>
        </w:rPr>
        <w:t>(5)</w:t>
      </w:r>
      <w:r>
        <w:rPr>
          <w:color w:val="000000"/>
        </w:rPr>
        <w:t xml:space="preserve"> </w:t>
      </w:r>
      <w:r>
        <w:rPr>
          <w:rFonts w:ascii="Helvetica Light;sans-serif" w:hAnsi="Helvetica Light;sans-serif"/>
          <w:b w:val="false"/>
          <w:color w:val="000000"/>
          <w:sz w:val="20"/>
        </w:rPr>
        <w:t xml:space="preserve">and Stellantis and LPM market share for the three months ended June 30, 2026 and 2025. </w:t>
      </w:r>
    </w:p>
    <w:tbl>
      <w:tblPr>
        <w:tblW w:w="10205" w:type="dxa"/>
        <w:jc w:val="left"/>
        <w:tblInd w:w="0" w:type="dxa"/>
        <w:tblLayout w:type="fixed"/>
        <w:tblCellMar>
          <w:top w:w="28" w:type="dxa"/>
          <w:left w:w="28" w:type="dxa"/>
          <w:bottom w:w="28" w:type="dxa"/>
          <w:right w:w="28" w:type="dxa"/>
        </w:tblCellMar>
      </w:tblPr>
      <w:tblGrid>
        <w:gridCol w:w="488"/>
        <w:gridCol w:w="429"/>
        <w:gridCol w:w="431"/>
        <w:gridCol w:w="109"/>
        <w:gridCol w:w="109"/>
        <w:gridCol w:w="109"/>
        <w:gridCol w:w="292"/>
        <w:gridCol w:w="219"/>
        <w:gridCol w:w="414"/>
        <w:gridCol w:w="166"/>
        <w:gridCol w:w="166"/>
        <w:gridCol w:w="166"/>
        <w:gridCol w:w="292"/>
        <w:gridCol w:w="219"/>
        <w:gridCol w:w="414"/>
        <w:gridCol w:w="113"/>
        <w:gridCol w:w="113"/>
        <w:gridCol w:w="113"/>
        <w:gridCol w:w="446"/>
        <w:gridCol w:w="446"/>
        <w:gridCol w:w="448"/>
        <w:gridCol w:w="109"/>
        <w:gridCol w:w="109"/>
        <w:gridCol w:w="109"/>
        <w:gridCol w:w="292"/>
        <w:gridCol w:w="219"/>
        <w:gridCol w:w="413"/>
        <w:gridCol w:w="166"/>
        <w:gridCol w:w="166"/>
        <w:gridCol w:w="166"/>
        <w:gridCol w:w="292"/>
        <w:gridCol w:w="219"/>
        <w:gridCol w:w="413"/>
        <w:gridCol w:w="144"/>
        <w:gridCol w:w="144"/>
        <w:gridCol w:w="144"/>
        <w:gridCol w:w="405"/>
        <w:gridCol w:w="405"/>
        <w:gridCol w:w="588"/>
      </w:tblGrid>
      <w:tr>
        <w:trPr/>
        <w:tc>
          <w:tcPr>
            <w:tcW w:w="48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r>
      <w:tr>
        <w:trPr/>
        <w:tc>
          <w:tcPr>
            <w:tcW w:w="1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Stellantis market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6" w:type="dxa"/>
            <w:gridSpan w:val="15"/>
            <w:tcBorders/>
            <w:tcMar>
              <w:top w:w="0" w:type="dxa"/>
              <w:left w:w="0" w:type="dxa"/>
              <w:bottom w:w="0" w:type="dxa"/>
              <w:right w:w="0" w:type="dxa"/>
            </w:tcMar>
            <w:vAlign w:val="center"/>
          </w:tcPr>
          <w:p>
            <w:pPr>
              <w:pStyle w:val="TableContents"/>
              <w:bidi w:val="0"/>
              <w:spacing w:lineRule="auto" w:line="288" w:before="0" w:after="0"/>
              <w:jc w:val="center"/>
              <w:rPr/>
            </w:pPr>
            <w:r>
              <w:rPr>
                <w:rFonts w:ascii="Helvetica;sans-serif" w:hAnsi="Helvetica;sans-serif"/>
                <w:b/>
                <w:color w:val="243782"/>
                <w:sz w:val="18"/>
              </w:rPr>
              <w:t>Stellantis and LPM</w:t>
            </w:r>
            <w:r>
              <w:rPr>
                <w:rFonts w:ascii="Helvetica;sans-serif" w:hAnsi="Helvetica;sans-serif"/>
                <w:b/>
                <w:color w:val="243782"/>
                <w:sz w:val="12"/>
              </w:rPr>
              <w:t>(1)</w:t>
            </w:r>
            <w:r>
              <w:rPr>
                <w:color w:val="243782"/>
              </w:rPr>
              <w:t xml:space="preserve"> </w:t>
            </w:r>
            <w:r>
              <w:rPr>
                <w:rFonts w:ascii="Helvetica;sans-serif" w:hAnsi="Helvetica;sans-serif"/>
                <w:b/>
                <w:color w:val="243782"/>
                <w:sz w:val="18"/>
              </w:rPr>
              <w:t>market share</w:t>
            </w:r>
          </w:p>
        </w:tc>
      </w:tr>
      <w:tr>
        <w:trPr/>
        <w:tc>
          <w:tcPr>
            <w:tcW w:w="1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8" w:type="dxa"/>
            <w:gridSpan w:val="9"/>
            <w:tcBorders>
              <w:top w:val="single" w:sz="2" w:space="0" w:color="143A84"/>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7"/>
              </w:rPr>
            </w:pPr>
            <w:r>
              <w:rPr>
                <w:rFonts w:ascii="Helvetica;sans-serif" w:hAnsi="Helvetica;sans-serif"/>
                <w:b/>
                <w:color w:val="243782"/>
                <w:sz w:val="17"/>
              </w:rPr>
              <w:t>Three months ended June 30,</w:t>
            </w:r>
          </w:p>
        </w:tc>
        <w:tc>
          <w:tcPr>
            <w:tcW w:w="339"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2" w:space="0" w:color="143A84"/>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7"/>
              </w:rPr>
            </w:pPr>
            <w:r>
              <w:rPr>
                <w:rFonts w:ascii="Helvetica;sans-serif" w:hAnsi="Helvetica;sans-serif"/>
                <w:b/>
                <w:color w:val="243782"/>
                <w:sz w:val="17"/>
              </w:rPr>
              <w:t>Increase/(Decrease)</w:t>
            </w:r>
          </w:p>
        </w:tc>
        <w:tc>
          <w:tcPr>
            <w:tcW w:w="327"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6" w:type="dxa"/>
            <w:gridSpan w:val="9"/>
            <w:tcBorders>
              <w:top w:val="single" w:sz="2" w:space="0" w:color="143A84"/>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7"/>
              </w:rPr>
            </w:pPr>
            <w:r>
              <w:rPr>
                <w:rFonts w:ascii="Helvetica;sans-serif" w:hAnsi="Helvetica;sans-serif"/>
                <w:b/>
                <w:color w:val="243782"/>
                <w:sz w:val="17"/>
              </w:rPr>
              <w:t>Three months ended June 30,</w:t>
            </w:r>
          </w:p>
        </w:tc>
        <w:tc>
          <w:tcPr>
            <w:tcW w:w="432"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2" w:space="0" w:color="143A84"/>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7"/>
              </w:rPr>
            </w:pPr>
            <w:r>
              <w:rPr>
                <w:rFonts w:ascii="Helvetica;sans-serif" w:hAnsi="Helvetica;sans-serif"/>
                <w:b/>
                <w:color w:val="243782"/>
                <w:sz w:val="17"/>
              </w:rPr>
              <w:t>Increase/(Decrease)</w:t>
            </w:r>
          </w:p>
        </w:tc>
      </w:tr>
      <w:tr>
        <w:trPr/>
        <w:tc>
          <w:tcPr>
            <w:tcW w:w="1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2026</w:t>
            </w:r>
          </w:p>
        </w:tc>
        <w:tc>
          <w:tcPr>
            <w:tcW w:w="498"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2025</w:t>
            </w:r>
          </w:p>
        </w:tc>
        <w:tc>
          <w:tcPr>
            <w:tcW w:w="339"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2026 vs. 2025</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2026</w:t>
            </w:r>
          </w:p>
        </w:tc>
        <w:tc>
          <w:tcPr>
            <w:tcW w:w="498"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2025</w:t>
            </w:r>
          </w:p>
        </w:tc>
        <w:tc>
          <w:tcPr>
            <w:tcW w:w="432"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2026 vs. 2025</w:t>
            </w:r>
          </w:p>
        </w:tc>
      </w:tr>
      <w:tr>
        <w:trPr/>
        <w:tc>
          <w:tcPr>
            <w:tcW w:w="1348" w:type="dxa"/>
            <w:gridSpan w:val="3"/>
            <w:tcBorders>
              <w:top w:val="single" w:sz="2" w:space="0" w:color="143A84"/>
              <w:bottom w:val="single" w:sz="2" w:space="0" w:color="8E939F"/>
            </w:tcBorders>
            <w:tcMar>
              <w:top w:w="52" w:type="dxa"/>
              <w:left w:w="0" w:type="dxa"/>
              <w:bottom w:w="30" w:type="dxa"/>
              <w:right w:w="0" w:type="dxa"/>
            </w:tcMar>
            <w:vAlign w:val="center"/>
          </w:tcPr>
          <w:p>
            <w:pPr>
              <w:pStyle w:val="TableContents"/>
              <w:bidi w:val="0"/>
              <w:spacing w:lineRule="auto" w:line="288" w:before="0" w:after="0"/>
              <w:jc w:val="left"/>
              <w:rPr>
                <w:rFonts w:ascii="Helvetica;sans-serif" w:hAnsi="Helvetica;sans-serif"/>
                <w:b w:val="false"/>
                <w:color w:val="000000"/>
                <w:sz w:val="18"/>
              </w:rPr>
            </w:pPr>
            <w:r>
              <w:rPr>
                <w:rFonts w:ascii="Helvetica;sans-serif" w:hAnsi="Helvetica;sans-serif"/>
                <w:b w:val="false"/>
                <w:color w:val="000000"/>
                <w:sz w:val="18"/>
              </w:rPr>
              <w:t>Middle East &amp; Africa</w:t>
            </w:r>
          </w:p>
        </w:tc>
        <w:tc>
          <w:tcPr>
            <w:tcW w:w="327" w:type="dxa"/>
            <w:gridSpan w:val="3"/>
            <w:tcBorders>
              <w:top w:val="single" w:sz="2" w:space="0" w:color="143A84"/>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2" w:space="0" w:color="143A84"/>
              <w:bottom w:val="single" w:sz="2" w:space="0" w:color="8E939F"/>
            </w:tcBorders>
            <w:shd w:fill="F3F3F9" w:val="clear"/>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12.2 </w:t>
            </w:r>
          </w:p>
        </w:tc>
        <w:tc>
          <w:tcPr>
            <w:tcW w:w="414" w:type="dxa"/>
            <w:tcBorders>
              <w:top w:val="single" w:sz="2" w:space="0" w:color="143A84"/>
              <w:bottom w:val="single" w:sz="2" w:space="0" w:color="8E939F"/>
            </w:tcBorders>
            <w:shd w:fill="F3F3F9" w:val="clear"/>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w:t>
            </w:r>
          </w:p>
        </w:tc>
        <w:tc>
          <w:tcPr>
            <w:tcW w:w="498" w:type="dxa"/>
            <w:gridSpan w:val="3"/>
            <w:tcBorders>
              <w:top w:val="single" w:sz="2" w:space="0" w:color="143A84"/>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2" w:space="0" w:color="143A84"/>
              <w:bottom w:val="single" w:sz="2" w:space="0" w:color="8E939F"/>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12.0 </w:t>
            </w:r>
          </w:p>
        </w:tc>
        <w:tc>
          <w:tcPr>
            <w:tcW w:w="414" w:type="dxa"/>
            <w:tcBorders>
              <w:top w:val="single" w:sz="2" w:space="0" w:color="143A84"/>
              <w:bottom w:val="single" w:sz="2" w:space="0" w:color="8E939F"/>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w:t>
            </w:r>
          </w:p>
        </w:tc>
        <w:tc>
          <w:tcPr>
            <w:tcW w:w="339" w:type="dxa"/>
            <w:gridSpan w:val="3"/>
            <w:tcBorders>
              <w:top w:val="single" w:sz="2" w:space="0" w:color="143A84"/>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2" w:space="0" w:color="143A84"/>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20 bps</w:t>
            </w:r>
          </w:p>
        </w:tc>
        <w:tc>
          <w:tcPr>
            <w:tcW w:w="327" w:type="dxa"/>
            <w:gridSpan w:val="3"/>
            <w:tcBorders>
              <w:top w:val="single" w:sz="2" w:space="0" w:color="143A84"/>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2" w:space="0" w:color="143A84"/>
              <w:bottom w:val="single" w:sz="2" w:space="0" w:color="8E939F"/>
            </w:tcBorders>
            <w:shd w:fill="F3F3F9" w:val="clear"/>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12.3 </w:t>
            </w:r>
          </w:p>
        </w:tc>
        <w:tc>
          <w:tcPr>
            <w:tcW w:w="413" w:type="dxa"/>
            <w:tcBorders>
              <w:top w:val="single" w:sz="2" w:space="0" w:color="143A84"/>
              <w:bottom w:val="single" w:sz="2" w:space="0" w:color="8E939F"/>
            </w:tcBorders>
            <w:shd w:fill="F3F3F9" w:val="clear"/>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w:t>
            </w:r>
          </w:p>
        </w:tc>
        <w:tc>
          <w:tcPr>
            <w:tcW w:w="498" w:type="dxa"/>
            <w:gridSpan w:val="3"/>
            <w:tcBorders>
              <w:top w:val="single" w:sz="2" w:space="0" w:color="143A84"/>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2" w:space="0" w:color="143A84"/>
              <w:bottom w:val="single" w:sz="2" w:space="0" w:color="8E939F"/>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12.0 </w:t>
            </w:r>
          </w:p>
        </w:tc>
        <w:tc>
          <w:tcPr>
            <w:tcW w:w="413" w:type="dxa"/>
            <w:tcBorders>
              <w:top w:val="single" w:sz="2" w:space="0" w:color="143A84"/>
              <w:bottom w:val="single" w:sz="2" w:space="0" w:color="8E939F"/>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w:t>
            </w:r>
          </w:p>
        </w:tc>
        <w:tc>
          <w:tcPr>
            <w:tcW w:w="432" w:type="dxa"/>
            <w:gridSpan w:val="3"/>
            <w:tcBorders>
              <w:top w:val="single" w:sz="2" w:space="0" w:color="143A84"/>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2" w:space="0" w:color="143A84"/>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30 bps</w:t>
            </w:r>
          </w:p>
        </w:tc>
      </w:tr>
    </w:tbl>
    <w:p>
      <w:pPr>
        <w:pStyle w:val="TextBody"/>
        <w:bidi w:val="0"/>
        <w:spacing w:lineRule="auto" w:line="288" w:before="0" w:after="240"/>
        <w:jc w:val="left"/>
        <w:rPr/>
      </w:pPr>
      <w:r>
        <w:rPr>
          <w:rFonts w:ascii="Helvetica Light;sans-serif" w:hAnsi="Helvetica Light;sans-serif"/>
          <w:b w:val="false"/>
          <w:color w:val="000000"/>
          <w:sz w:val="10"/>
        </w:rPr>
        <w:t>(1)</w:t>
      </w:r>
      <w:r>
        <w:rPr>
          <w:color w:val="000000"/>
        </w:rPr>
        <w:t xml:space="preserve"> </w:t>
      </w:r>
      <w:r>
        <w:rPr>
          <w:rFonts w:ascii="Helvetica Light;sans-serif" w:hAnsi="Helvetica Light;sans-serif"/>
          <w:b w:val="false"/>
          <w:color w:val="000000"/>
          <w:sz w:val="16"/>
        </w:rPr>
        <w:t>This metric combines Stellantis-owned brands and Leapmotor vehicles distributed by Leapmotor International, a jointly established, Stellantis-controlled company created in 2024 and owned 51 percent by Stellantis and 49 percent by Leapmotor, to distribute Leapmotor-branded vehicles outside of China. Stellantis does not design, or manufacture Leapmotor-branded vehicles and does not own the Leapmotor brand or intellectual property</w:t>
      </w:r>
    </w:p>
    <w:p>
      <w:pPr>
        <w:pStyle w:val="TextBody"/>
        <w:bidi w:val="0"/>
        <w:spacing w:lineRule="auto" w:line="288" w:before="0" w:after="240"/>
        <w:jc w:val="left"/>
        <w:rPr>
          <w:rFonts w:ascii="Helvetica;sans-serif" w:hAnsi="Helvetica;sans-serif"/>
          <w:b w:val="false"/>
          <w:color w:val="143A84"/>
          <w:sz w:val="20"/>
        </w:rPr>
      </w:pPr>
      <w:r>
        <w:rPr>
          <w:rFonts w:ascii="Helvetica;sans-serif" w:hAnsi="Helvetica;sans-serif"/>
          <w:b w:val="false"/>
          <w:color w:val="143A84"/>
          <w:sz w:val="20"/>
        </w:rPr>
        <w:t>Shipments</w:t>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The decrease in consolidated shipments in Middle East &amp; Africa in the three months ended June 30, 2026 compared to the corresponding period in 2025 was mainly due to the industry decline in Türkiye and Gulf Cooperation Council countries largely due to the regional conflict, partially offset by higher volumes in Algeria.</w:t>
      </w:r>
    </w:p>
    <w:p>
      <w:pPr>
        <w:pStyle w:val="TextBody"/>
        <w:bidi w:val="0"/>
        <w:spacing w:lineRule="auto" w:line="288" w:before="0" w:after="240"/>
        <w:jc w:val="left"/>
        <w:rPr>
          <w:rFonts w:ascii="Helvetica;sans-serif" w:hAnsi="Helvetica;sans-serif"/>
          <w:b w:val="false"/>
          <w:color w:val="143A84"/>
          <w:sz w:val="20"/>
        </w:rPr>
      </w:pPr>
      <w:r>
        <w:rPr>
          <w:rFonts w:ascii="Helvetica;sans-serif" w:hAnsi="Helvetica;sans-serif"/>
          <w:b w:val="false"/>
          <w:color w:val="143A84"/>
          <w:sz w:val="20"/>
        </w:rPr>
        <w:t xml:space="preserve">Net revenues </w:t>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The decrease in Middle East &amp; Africa Net revenues in the three months ended June 30, 2026 compared to the corresponding period in 2025 was driven by unfavorable foreign exchange translation effects from the Turkish Lira partially offset by positive net pricing.</w:t>
      </w:r>
    </w:p>
    <w:p>
      <w:pPr>
        <w:pStyle w:val="TextBody"/>
        <w:bidi w:val="0"/>
        <w:spacing w:lineRule="auto" w:line="288" w:before="0" w:after="240"/>
        <w:jc w:val="left"/>
        <w:rPr>
          <w:rFonts w:ascii="Helvetica;sans-serif" w:hAnsi="Helvetica;sans-serif"/>
          <w:b w:val="false"/>
          <w:color w:val="143A84"/>
          <w:sz w:val="20"/>
        </w:rPr>
      </w:pPr>
      <w:r>
        <w:rPr>
          <w:rFonts w:ascii="Helvetica;sans-serif" w:hAnsi="Helvetica;sans-serif"/>
          <w:b w:val="false"/>
          <w:color w:val="143A84"/>
          <w:sz w:val="20"/>
        </w:rPr>
        <w:t>Adjusted operating income/(loss)</w:t>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The following chart reflects the change in Middle East &amp; Africa Adjusted operating income/(loss) by operational driver for the three months ended June 30, 2026 compared to the same period in 2025.</w:t>
      </w:r>
    </w:p>
    <w:p>
      <w:pPr>
        <w:pStyle w:val="TextBody"/>
        <w:bidi w:val="0"/>
        <w:spacing w:lineRule="auto" w:line="288" w:before="120" w:after="283"/>
        <w:jc w:val="left"/>
        <w:rPr/>
      </w:pPr>
      <w:r>
        <w:rPr>
          <w:rFonts w:ascii="Helvetica Light;sans-serif" w:hAnsi="Helvetica Light;sans-serif"/>
          <w:b w:val="false"/>
          <w:color w:val="000000"/>
          <w:sz w:val="10"/>
        </w:rPr>
        <w:t>5</w:t>
      </w:r>
      <w:r>
        <w:rPr>
          <w:color w:val="000000"/>
        </w:rPr>
        <w:t xml:space="preserve"> </w:t>
      </w:r>
      <w:r>
        <w:rPr>
          <w:rFonts w:ascii="Helvetica Light;sans-serif" w:hAnsi="Helvetica Light;sans-serif"/>
          <w:b w:val="false"/>
          <w:color w:val="000000"/>
          <w:sz w:val="16"/>
        </w:rPr>
        <w:t>Industry and market share information is derived from third-party industry sources (e.g. Agence Nationale des Titres Sécurisés (“ANTS”), Associação Nacional dos Fabricantes de Veículos Automotores (“ANFAVEA”), Ministry of Infrastructure and Sustainable Mobility (“MIMS”), Ward’s Automotive) and internal information</w:t>
      </w:r>
    </w:p>
    <w:p>
      <w:pPr>
        <w:pStyle w:val="TextBody"/>
        <w:bidi w:val="0"/>
        <w:spacing w:before="0" w:after="24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503555"/>
                <wp:effectExtent l="0" t="0" r="0" b="0"/>
                <wp:wrapNone/>
                <wp:docPr id="44" name="Frame35"/>
                <a:graphic xmlns:a="http://schemas.openxmlformats.org/drawingml/2006/main">
                  <a:graphicData uri="http://schemas.microsoft.com/office/word/2010/wordprocessingShape">
                    <wps:wsp>
                      <wps:cNvSpPr txBox="1"/>
                      <wps:spPr>
                        <a:xfrm>
                          <a:off x="0" y="0"/>
                          <a:ext cx="6480175" cy="5035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31</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31</w:t>
                      </w:r>
                    </w:p>
                    <w:p>
                      <w:pPr>
                        <w:pStyle w:val="TextBody"/>
                        <w:bidi w:val="0"/>
                        <w:spacing w:before="0" w:after="24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88" w:before="0" w:after="120"/>
        <w:jc w:val="left"/>
        <w:rPr>
          <w:rFonts w:ascii="Helvetica;sans-serif" w:hAnsi="Helvetica;sans-serif"/>
          <w:b/>
          <w:color w:val="143A84"/>
          <w:sz w:val="18"/>
        </w:rPr>
      </w:pPr>
      <w:r>
        <w:rPr>
          <w:rFonts w:ascii="Helvetica;sans-serif" w:hAnsi="Helvetica;sans-serif"/>
          <w:b/>
          <w:color w:val="143A84"/>
          <w:sz w:val="18"/>
        </w:rPr>
        <w:t>Adjusted operating income/(loss) by operational driver - Three months ended June 30, 2026 compared to the three months ended June 30, 2025 (€ million)</w:t>
      </w:r>
    </w:p>
    <w:p>
      <w:pPr>
        <w:pStyle w:val="TextBody"/>
        <w:bidi w:val="0"/>
        <w:spacing w:before="0" w:after="240"/>
        <w:jc w:val="center"/>
        <w:rPr/>
      </w:pPr>
      <w:r>
        <w:rPr/>
        <w:drawing>
          <wp:inline distT="0" distB="0" distL="0" distR="0">
            <wp:extent cx="6515100" cy="2533650"/>
            <wp:effectExtent l="0" t="0" r="0" b="0"/>
            <wp:docPr id="45"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10" descr=""/>
                    <pic:cNvPicPr>
                      <a:picLocks noChangeAspect="1" noChangeArrowheads="1"/>
                    </pic:cNvPicPr>
                  </pic:nvPicPr>
                  <pic:blipFill>
                    <a:blip r:embed="rId11"/>
                    <a:stretch>
                      <a:fillRect/>
                    </a:stretch>
                  </pic:blipFill>
                  <pic:spPr bwMode="auto">
                    <a:xfrm>
                      <a:off x="0" y="0"/>
                      <a:ext cx="6515100" cy="2533650"/>
                    </a:xfrm>
                    <a:prstGeom prst="rect">
                      <a:avLst/>
                    </a:prstGeom>
                  </pic:spPr>
                </pic:pic>
              </a:graphicData>
            </a:graphic>
          </wp:inline>
        </w:drawing>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The decrease in Middle East &amp; Africa Adjusted operating income in the three months ended June 30, 2026 compared to the same period in 2025 was primarily due to unfavorable foreign exchange effects related to Turkish Lira devaluation, partially offset by positive net pricing, favorable mix and improved industrial costs.</w:t>
      </w:r>
    </w:p>
    <w:p>
      <w:pPr>
        <w:pStyle w:val="TextBody"/>
        <w:bidi w:val="0"/>
        <w:spacing w:lineRule="auto" w:line="288" w:before="0" w:after="240"/>
        <w:jc w:val="left"/>
        <w:rPr>
          <w:rFonts w:ascii="Helvetica;sans-serif" w:hAnsi="Helvetica;sans-serif"/>
          <w:b w:val="false"/>
          <w:color w:val="143A84"/>
          <w:sz w:val="20"/>
        </w:rPr>
      </w:pPr>
      <w:r>
        <w:rPr>
          <w:rFonts w:ascii="Helvetica;sans-serif" w:hAnsi="Helvetica;sans-serif"/>
          <w:b w:val="false"/>
          <w:color w:val="143A84"/>
          <w:sz w:val="20"/>
        </w:rPr>
        <w:t>Six Months Ended June 30, 2026</w:t>
      </w:r>
    </w:p>
    <w:p>
      <w:pPr>
        <w:pStyle w:val="TextBody"/>
        <w:bidi w:val="0"/>
        <w:spacing w:lineRule="auto" w:line="343" w:before="0" w:after="240"/>
        <w:jc w:val="left"/>
        <w:rPr/>
      </w:pPr>
      <w:r>
        <w:rPr>
          <w:rFonts w:ascii="Helvetica Light;sans-serif" w:hAnsi="Helvetica Light;sans-serif"/>
          <w:b w:val="false"/>
          <w:color w:val="000000"/>
          <w:sz w:val="20"/>
        </w:rPr>
        <w:t>The following table presents Stellantis market share</w:t>
      </w:r>
      <w:r>
        <w:rPr>
          <w:rFonts w:ascii="Helvetica Light;sans-serif" w:hAnsi="Helvetica Light;sans-serif"/>
          <w:b w:val="false"/>
          <w:color w:val="000000"/>
          <w:sz w:val="13"/>
        </w:rPr>
        <w:t>(6)</w:t>
      </w:r>
      <w:r>
        <w:rPr>
          <w:color w:val="000000"/>
        </w:rPr>
        <w:t xml:space="preserve"> </w:t>
      </w:r>
      <w:r>
        <w:rPr>
          <w:rFonts w:ascii="Helvetica Light;sans-serif" w:hAnsi="Helvetica Light;sans-serif"/>
          <w:b w:val="false"/>
          <w:color w:val="000000"/>
          <w:sz w:val="20"/>
        </w:rPr>
        <w:t xml:space="preserve">and Stellantis and LPM market share for the six months ended June 30, 2026 and 2025. </w:t>
      </w:r>
    </w:p>
    <w:tbl>
      <w:tblPr>
        <w:tblW w:w="10205" w:type="dxa"/>
        <w:jc w:val="left"/>
        <w:tblInd w:w="0" w:type="dxa"/>
        <w:tblLayout w:type="fixed"/>
        <w:tblCellMar>
          <w:top w:w="28" w:type="dxa"/>
          <w:left w:w="28" w:type="dxa"/>
          <w:bottom w:w="28" w:type="dxa"/>
          <w:right w:w="28" w:type="dxa"/>
        </w:tblCellMar>
      </w:tblPr>
      <w:tblGrid>
        <w:gridCol w:w="504"/>
        <w:gridCol w:w="443"/>
        <w:gridCol w:w="445"/>
        <w:gridCol w:w="109"/>
        <w:gridCol w:w="109"/>
        <w:gridCol w:w="109"/>
        <w:gridCol w:w="292"/>
        <w:gridCol w:w="219"/>
        <w:gridCol w:w="397"/>
        <w:gridCol w:w="158"/>
        <w:gridCol w:w="158"/>
        <w:gridCol w:w="158"/>
        <w:gridCol w:w="292"/>
        <w:gridCol w:w="219"/>
        <w:gridCol w:w="397"/>
        <w:gridCol w:w="113"/>
        <w:gridCol w:w="113"/>
        <w:gridCol w:w="113"/>
        <w:gridCol w:w="457"/>
        <w:gridCol w:w="457"/>
        <w:gridCol w:w="459"/>
        <w:gridCol w:w="109"/>
        <w:gridCol w:w="109"/>
        <w:gridCol w:w="109"/>
        <w:gridCol w:w="292"/>
        <w:gridCol w:w="219"/>
        <w:gridCol w:w="395"/>
        <w:gridCol w:w="159"/>
        <w:gridCol w:w="159"/>
        <w:gridCol w:w="159"/>
        <w:gridCol w:w="292"/>
        <w:gridCol w:w="219"/>
        <w:gridCol w:w="395"/>
        <w:gridCol w:w="146"/>
        <w:gridCol w:w="146"/>
        <w:gridCol w:w="146"/>
        <w:gridCol w:w="414"/>
        <w:gridCol w:w="414"/>
        <w:gridCol w:w="602"/>
      </w:tblGrid>
      <w:tr>
        <w:trPr/>
        <w:tc>
          <w:tcPr>
            <w:tcW w:w="504"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r>
      <w:tr>
        <w:trPr/>
        <w:tc>
          <w:tcPr>
            <w:tcW w:w="1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Stellantis market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7" w:type="dxa"/>
            <w:gridSpan w:val="15"/>
            <w:tcBorders/>
            <w:tcMar>
              <w:top w:w="0" w:type="dxa"/>
              <w:left w:w="0" w:type="dxa"/>
              <w:bottom w:w="0" w:type="dxa"/>
              <w:right w:w="0" w:type="dxa"/>
            </w:tcMar>
            <w:vAlign w:val="center"/>
          </w:tcPr>
          <w:p>
            <w:pPr>
              <w:pStyle w:val="TableContents"/>
              <w:bidi w:val="0"/>
              <w:spacing w:lineRule="auto" w:line="288" w:before="0" w:after="0"/>
              <w:jc w:val="center"/>
              <w:rPr/>
            </w:pPr>
            <w:r>
              <w:rPr>
                <w:rFonts w:ascii="Helvetica;sans-serif" w:hAnsi="Helvetica;sans-serif"/>
                <w:b/>
                <w:color w:val="243782"/>
                <w:sz w:val="18"/>
              </w:rPr>
              <w:t>Stellantis and LPM</w:t>
            </w:r>
            <w:r>
              <w:rPr>
                <w:rFonts w:ascii="Helvetica;sans-serif" w:hAnsi="Helvetica;sans-serif"/>
                <w:b/>
                <w:color w:val="243782"/>
                <w:sz w:val="12"/>
              </w:rPr>
              <w:t>(1)</w:t>
            </w:r>
            <w:r>
              <w:rPr>
                <w:color w:val="243782"/>
              </w:rPr>
              <w:t xml:space="preserve"> </w:t>
            </w:r>
            <w:r>
              <w:rPr>
                <w:rFonts w:ascii="Helvetica;sans-serif" w:hAnsi="Helvetica;sans-serif"/>
                <w:b/>
                <w:color w:val="243782"/>
                <w:sz w:val="18"/>
              </w:rPr>
              <w:t>market share</w:t>
            </w:r>
          </w:p>
        </w:tc>
      </w:tr>
      <w:tr>
        <w:trPr/>
        <w:tc>
          <w:tcPr>
            <w:tcW w:w="1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0" w:type="dxa"/>
            <w:gridSpan w:val="9"/>
            <w:tcBorders>
              <w:top w:val="single" w:sz="2" w:space="0" w:color="143A84"/>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7"/>
              </w:rPr>
            </w:pPr>
            <w:r>
              <w:rPr>
                <w:rFonts w:ascii="Helvetica;sans-serif" w:hAnsi="Helvetica;sans-serif"/>
                <w:b/>
                <w:color w:val="243782"/>
                <w:sz w:val="17"/>
              </w:rPr>
              <w:t>Six Months Ended June 30,</w:t>
            </w:r>
          </w:p>
        </w:tc>
        <w:tc>
          <w:tcPr>
            <w:tcW w:w="339"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op w:val="single" w:sz="2" w:space="0" w:color="143A84"/>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7"/>
              </w:rPr>
            </w:pPr>
            <w:r>
              <w:rPr>
                <w:rFonts w:ascii="Helvetica;sans-serif" w:hAnsi="Helvetica;sans-serif"/>
                <w:b/>
                <w:color w:val="243782"/>
                <w:sz w:val="17"/>
              </w:rPr>
              <w:t>Increase/(Decrease)</w:t>
            </w:r>
          </w:p>
        </w:tc>
        <w:tc>
          <w:tcPr>
            <w:tcW w:w="327"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9" w:type="dxa"/>
            <w:gridSpan w:val="9"/>
            <w:tcBorders>
              <w:top w:val="single" w:sz="2" w:space="0" w:color="143A84"/>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7"/>
              </w:rPr>
            </w:pPr>
            <w:r>
              <w:rPr>
                <w:rFonts w:ascii="Helvetica;sans-serif" w:hAnsi="Helvetica;sans-serif"/>
                <w:b/>
                <w:color w:val="243782"/>
                <w:sz w:val="17"/>
              </w:rPr>
              <w:t>Six Months Ended June 30,</w:t>
            </w:r>
          </w:p>
        </w:tc>
        <w:tc>
          <w:tcPr>
            <w:tcW w:w="438"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op w:val="single" w:sz="2" w:space="0" w:color="143A84"/>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7"/>
              </w:rPr>
            </w:pPr>
            <w:r>
              <w:rPr>
                <w:rFonts w:ascii="Helvetica;sans-serif" w:hAnsi="Helvetica;sans-serif"/>
                <w:b/>
                <w:color w:val="243782"/>
                <w:sz w:val="17"/>
              </w:rPr>
              <w:t>Increase/(Decrease)</w:t>
            </w:r>
          </w:p>
        </w:tc>
      </w:tr>
      <w:tr>
        <w:trPr/>
        <w:tc>
          <w:tcPr>
            <w:tcW w:w="1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2026</w:t>
            </w:r>
          </w:p>
        </w:tc>
        <w:tc>
          <w:tcPr>
            <w:tcW w:w="474"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2025</w:t>
            </w:r>
          </w:p>
        </w:tc>
        <w:tc>
          <w:tcPr>
            <w:tcW w:w="339"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2026 vs. 2025</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2026</w:t>
            </w:r>
          </w:p>
        </w:tc>
        <w:tc>
          <w:tcPr>
            <w:tcW w:w="47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2025</w:t>
            </w:r>
          </w:p>
        </w:tc>
        <w:tc>
          <w:tcPr>
            <w:tcW w:w="438"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2026 vs. 2025</w:t>
            </w:r>
          </w:p>
        </w:tc>
      </w:tr>
      <w:tr>
        <w:trPr/>
        <w:tc>
          <w:tcPr>
            <w:tcW w:w="1392" w:type="dxa"/>
            <w:gridSpan w:val="3"/>
            <w:tcBorders>
              <w:top w:val="single" w:sz="2" w:space="0" w:color="143A84"/>
              <w:bottom w:val="single" w:sz="2" w:space="0" w:color="8E939F"/>
            </w:tcBorders>
            <w:tcMar>
              <w:top w:w="52" w:type="dxa"/>
              <w:left w:w="0" w:type="dxa"/>
              <w:bottom w:w="30" w:type="dxa"/>
              <w:right w:w="0" w:type="dxa"/>
            </w:tcMar>
            <w:vAlign w:val="center"/>
          </w:tcPr>
          <w:p>
            <w:pPr>
              <w:pStyle w:val="TableContents"/>
              <w:bidi w:val="0"/>
              <w:spacing w:lineRule="auto" w:line="288" w:before="0" w:after="0"/>
              <w:jc w:val="left"/>
              <w:rPr>
                <w:rFonts w:ascii="Helvetica;sans-serif" w:hAnsi="Helvetica;sans-serif"/>
                <w:b w:val="false"/>
                <w:color w:val="000000"/>
                <w:sz w:val="18"/>
              </w:rPr>
            </w:pPr>
            <w:r>
              <w:rPr>
                <w:rFonts w:ascii="Helvetica;sans-serif" w:hAnsi="Helvetica;sans-serif"/>
                <w:b w:val="false"/>
                <w:color w:val="000000"/>
                <w:sz w:val="18"/>
              </w:rPr>
              <w:t>Middle East &amp; Africa</w:t>
            </w:r>
          </w:p>
        </w:tc>
        <w:tc>
          <w:tcPr>
            <w:tcW w:w="327" w:type="dxa"/>
            <w:gridSpan w:val="3"/>
            <w:tcBorders>
              <w:top w:val="single" w:sz="2" w:space="0" w:color="143A84"/>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2" w:space="0" w:color="143A84"/>
              <w:bottom w:val="single" w:sz="2" w:space="0" w:color="8E939F"/>
            </w:tcBorders>
            <w:shd w:fill="F3F3F9" w:val="clear"/>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11.9 </w:t>
            </w:r>
          </w:p>
        </w:tc>
        <w:tc>
          <w:tcPr>
            <w:tcW w:w="397" w:type="dxa"/>
            <w:tcBorders>
              <w:top w:val="single" w:sz="2" w:space="0" w:color="143A84"/>
              <w:bottom w:val="single" w:sz="2" w:space="0" w:color="8E939F"/>
            </w:tcBorders>
            <w:shd w:fill="F3F3F9" w:val="clear"/>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w:t>
            </w:r>
          </w:p>
        </w:tc>
        <w:tc>
          <w:tcPr>
            <w:tcW w:w="474" w:type="dxa"/>
            <w:gridSpan w:val="3"/>
            <w:tcBorders>
              <w:top w:val="single" w:sz="2" w:space="0" w:color="143A84"/>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2" w:space="0" w:color="143A84"/>
              <w:bottom w:val="single" w:sz="2" w:space="0" w:color="8E939F"/>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11.5 </w:t>
            </w:r>
          </w:p>
        </w:tc>
        <w:tc>
          <w:tcPr>
            <w:tcW w:w="397" w:type="dxa"/>
            <w:tcBorders>
              <w:top w:val="single" w:sz="2" w:space="0" w:color="143A84"/>
              <w:bottom w:val="single" w:sz="2" w:space="0" w:color="8E939F"/>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w:t>
            </w:r>
          </w:p>
        </w:tc>
        <w:tc>
          <w:tcPr>
            <w:tcW w:w="339" w:type="dxa"/>
            <w:gridSpan w:val="3"/>
            <w:tcBorders>
              <w:top w:val="single" w:sz="2" w:space="0" w:color="143A84"/>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op w:val="single" w:sz="2" w:space="0" w:color="143A84"/>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40 bps</w:t>
            </w:r>
          </w:p>
        </w:tc>
        <w:tc>
          <w:tcPr>
            <w:tcW w:w="327" w:type="dxa"/>
            <w:gridSpan w:val="3"/>
            <w:tcBorders>
              <w:top w:val="single" w:sz="2" w:space="0" w:color="143A84"/>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2" w:space="0" w:color="143A84"/>
              <w:bottom w:val="single" w:sz="2" w:space="0" w:color="8E939F"/>
            </w:tcBorders>
            <w:shd w:fill="F3F3F9" w:val="clear"/>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11.9 </w:t>
            </w:r>
          </w:p>
        </w:tc>
        <w:tc>
          <w:tcPr>
            <w:tcW w:w="395" w:type="dxa"/>
            <w:tcBorders>
              <w:top w:val="single" w:sz="2" w:space="0" w:color="143A84"/>
              <w:bottom w:val="single" w:sz="2" w:space="0" w:color="8E939F"/>
            </w:tcBorders>
            <w:shd w:fill="F3F3F9" w:val="clear"/>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w:t>
            </w:r>
          </w:p>
        </w:tc>
        <w:tc>
          <w:tcPr>
            <w:tcW w:w="477" w:type="dxa"/>
            <w:gridSpan w:val="3"/>
            <w:tcBorders>
              <w:top w:val="single" w:sz="2" w:space="0" w:color="143A84"/>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2" w:space="0" w:color="143A84"/>
              <w:bottom w:val="single" w:sz="2" w:space="0" w:color="8E939F"/>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11.5 </w:t>
            </w:r>
          </w:p>
        </w:tc>
        <w:tc>
          <w:tcPr>
            <w:tcW w:w="395" w:type="dxa"/>
            <w:tcBorders>
              <w:top w:val="single" w:sz="2" w:space="0" w:color="143A84"/>
              <w:bottom w:val="single" w:sz="2" w:space="0" w:color="8E939F"/>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w:t>
            </w:r>
          </w:p>
        </w:tc>
        <w:tc>
          <w:tcPr>
            <w:tcW w:w="438" w:type="dxa"/>
            <w:gridSpan w:val="3"/>
            <w:tcBorders>
              <w:top w:val="single" w:sz="2" w:space="0" w:color="143A84"/>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op w:val="single" w:sz="2" w:space="0" w:color="143A84"/>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40 bps</w:t>
            </w:r>
          </w:p>
        </w:tc>
      </w:tr>
    </w:tbl>
    <w:p>
      <w:pPr>
        <w:pStyle w:val="TextBody"/>
        <w:bidi w:val="0"/>
        <w:spacing w:lineRule="auto" w:line="288" w:before="0" w:after="240"/>
        <w:jc w:val="left"/>
        <w:rPr/>
      </w:pPr>
      <w:r>
        <w:rPr>
          <w:rFonts w:ascii="Helvetica Light;sans-serif" w:hAnsi="Helvetica Light;sans-serif"/>
          <w:b w:val="false"/>
          <w:color w:val="000000"/>
          <w:sz w:val="10"/>
        </w:rPr>
        <w:t>(1)</w:t>
      </w:r>
      <w:r>
        <w:rPr>
          <w:color w:val="000000"/>
        </w:rPr>
        <w:t xml:space="preserve"> </w:t>
      </w:r>
      <w:r>
        <w:rPr>
          <w:rFonts w:ascii="Helvetica Light;sans-serif" w:hAnsi="Helvetica Light;sans-serif"/>
          <w:b w:val="false"/>
          <w:color w:val="000000"/>
          <w:sz w:val="16"/>
        </w:rPr>
        <w:t>This metric combines Stellantis-owned brands and Leapmotor vehicles distributed by Leapmotor International, a jointly established, Stellantis-controlled company created in 2024 and owned 51 percent by Stellantis and 49 percent by Leapmotor, to distribute Leapmotor-branded vehicles outside of China. Stellantis does not design, or manufacture Leapmotor-branded vehicles and does not own the Leapmotor brand or intellectual property</w:t>
      </w:r>
    </w:p>
    <w:p>
      <w:pPr>
        <w:pStyle w:val="TextBody"/>
        <w:bidi w:val="0"/>
        <w:spacing w:lineRule="auto" w:line="288" w:before="0" w:after="240"/>
        <w:jc w:val="left"/>
        <w:rPr>
          <w:rFonts w:ascii="Helvetica;sans-serif" w:hAnsi="Helvetica;sans-serif"/>
          <w:b w:val="false"/>
          <w:color w:val="143A84"/>
          <w:sz w:val="20"/>
        </w:rPr>
      </w:pPr>
      <w:r>
        <w:rPr>
          <w:rFonts w:ascii="Helvetica;sans-serif" w:hAnsi="Helvetica;sans-serif"/>
          <w:b w:val="false"/>
          <w:color w:val="143A84"/>
          <w:sz w:val="20"/>
        </w:rPr>
        <w:t>Shipments</w:t>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The increase in consolidated shipments in Middle East &amp; Africa in the six months ended June 30, 2026 compared to the corresponding period in 2025 was driven primarily by increased volumes in Algeria, Türkiye and Morocco which was partially offset by lower volumes in the Middle East due to the regional conflict.</w:t>
      </w:r>
    </w:p>
    <w:p>
      <w:pPr>
        <w:pStyle w:val="TextBody"/>
        <w:bidi w:val="0"/>
        <w:spacing w:lineRule="auto" w:line="288" w:before="0" w:after="240"/>
        <w:jc w:val="left"/>
        <w:rPr>
          <w:rFonts w:ascii="Helvetica;sans-serif" w:hAnsi="Helvetica;sans-serif"/>
          <w:b w:val="false"/>
          <w:color w:val="143A84"/>
          <w:sz w:val="20"/>
        </w:rPr>
      </w:pPr>
      <w:r>
        <w:rPr>
          <w:rFonts w:ascii="Helvetica;sans-serif" w:hAnsi="Helvetica;sans-serif"/>
          <w:b w:val="false"/>
          <w:color w:val="143A84"/>
          <w:sz w:val="20"/>
        </w:rPr>
        <w:t xml:space="preserve">Net revenues </w:t>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Middle East &amp; Africa Net revenues in the six months ended June 30, 2026 were substantially unchanged compared to the corresponding period in 2025, with positive net pricing and higher volumes being offset by the negative impact of foreign currency translation, primarily related to the Turkish Lira.</w:t>
      </w:r>
    </w:p>
    <w:p>
      <w:pPr>
        <w:pStyle w:val="TextBody"/>
        <w:bidi w:val="0"/>
        <w:spacing w:lineRule="auto" w:line="288" w:before="120" w:after="283"/>
        <w:jc w:val="left"/>
        <w:rPr/>
      </w:pPr>
      <w:r>
        <w:rPr>
          <w:rFonts w:ascii="Helvetica Light;sans-serif" w:hAnsi="Helvetica Light;sans-serif"/>
          <w:b w:val="false"/>
          <w:color w:val="000000"/>
          <w:sz w:val="10"/>
        </w:rPr>
        <w:t>6</w:t>
      </w:r>
      <w:r>
        <w:rPr>
          <w:color w:val="000000"/>
        </w:rPr>
        <w:t xml:space="preserve"> </w:t>
      </w:r>
      <w:r>
        <w:rPr>
          <w:rFonts w:ascii="Helvetica Light;sans-serif" w:hAnsi="Helvetica Light;sans-serif"/>
          <w:b w:val="false"/>
          <w:color w:val="000000"/>
          <w:sz w:val="16"/>
        </w:rPr>
        <w:t>Industry and market share information is derived from third-party industry sources (e.g. Agence Nationale des Titres Sécurisés (“ANTS”), Associação Nacional dos Fabricantes de Veículos Automotores (“ANFAVEA”), Ministry of Infrastructure and Sustainable Mobility (“MIMS”), Ward’s Automotive) and internal information</w:t>
      </w:r>
    </w:p>
    <w:p>
      <w:pPr>
        <w:pStyle w:val="TextBody"/>
        <w:bidi w:val="0"/>
        <w:spacing w:before="0" w:after="24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503555"/>
                <wp:effectExtent l="0" t="0" r="0" b="0"/>
                <wp:wrapNone/>
                <wp:docPr id="46" name="Frame36"/>
                <a:graphic xmlns:a="http://schemas.openxmlformats.org/drawingml/2006/main">
                  <a:graphicData uri="http://schemas.microsoft.com/office/word/2010/wordprocessingShape">
                    <wps:wsp>
                      <wps:cNvSpPr txBox="1"/>
                      <wps:spPr>
                        <a:xfrm>
                          <a:off x="0" y="0"/>
                          <a:ext cx="6480175" cy="5035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32</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32</w:t>
                      </w:r>
                    </w:p>
                    <w:p>
                      <w:pPr>
                        <w:pStyle w:val="TextBody"/>
                        <w:bidi w:val="0"/>
                        <w:spacing w:before="0" w:after="24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88" w:before="0" w:after="240"/>
        <w:jc w:val="left"/>
        <w:rPr>
          <w:rFonts w:ascii="Helvetica;sans-serif" w:hAnsi="Helvetica;sans-serif"/>
          <w:b w:val="false"/>
          <w:color w:val="143A84"/>
          <w:sz w:val="20"/>
        </w:rPr>
      </w:pPr>
      <w:r>
        <w:rPr>
          <w:rFonts w:ascii="Helvetica;sans-serif" w:hAnsi="Helvetica;sans-serif"/>
          <w:b w:val="false"/>
          <w:color w:val="143A84"/>
          <w:sz w:val="20"/>
        </w:rPr>
        <w:t>Adjusted operating income/(loss)</w:t>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The following chart reflects the change in Middle East &amp; Africa Adjusted operating income/(loss) by operational driver for the six months ended June 30, 2026 compared to the same period in 2025.</w:t>
      </w:r>
    </w:p>
    <w:p>
      <w:pPr>
        <w:pStyle w:val="TextBody"/>
        <w:bidi w:val="0"/>
        <w:spacing w:lineRule="auto" w:line="288" w:before="0" w:after="120"/>
        <w:jc w:val="left"/>
        <w:rPr>
          <w:rFonts w:ascii="Helvetica;sans-serif" w:hAnsi="Helvetica;sans-serif"/>
          <w:b/>
          <w:color w:val="143A84"/>
          <w:sz w:val="18"/>
        </w:rPr>
      </w:pPr>
      <w:r>
        <w:rPr>
          <w:rFonts w:ascii="Helvetica;sans-serif" w:hAnsi="Helvetica;sans-serif"/>
          <w:b/>
          <w:color w:val="143A84"/>
          <w:sz w:val="18"/>
        </w:rPr>
        <w:t>Adjusted operating income/(loss) by operational driver - Six months ended June 30, 2026 compared to the six months ended June 30, 2025 (€ million)</w:t>
      </w:r>
    </w:p>
    <w:p>
      <w:pPr>
        <w:pStyle w:val="TextBody"/>
        <w:bidi w:val="0"/>
        <w:spacing w:before="0" w:after="240"/>
        <w:jc w:val="center"/>
        <w:rPr/>
      </w:pPr>
      <w:r>
        <w:rPr/>
        <w:drawing>
          <wp:inline distT="0" distB="0" distL="0" distR="0">
            <wp:extent cx="6515100" cy="2533650"/>
            <wp:effectExtent l="0" t="0" r="0" b="0"/>
            <wp:docPr id="47"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11" descr=""/>
                    <pic:cNvPicPr>
                      <a:picLocks noChangeAspect="1" noChangeArrowheads="1"/>
                    </pic:cNvPicPr>
                  </pic:nvPicPr>
                  <pic:blipFill>
                    <a:blip r:embed="rId12"/>
                    <a:stretch>
                      <a:fillRect/>
                    </a:stretch>
                  </pic:blipFill>
                  <pic:spPr bwMode="auto">
                    <a:xfrm>
                      <a:off x="0" y="0"/>
                      <a:ext cx="6515100" cy="2533650"/>
                    </a:xfrm>
                    <a:prstGeom prst="rect">
                      <a:avLst/>
                    </a:prstGeom>
                  </pic:spPr>
                </pic:pic>
              </a:graphicData>
            </a:graphic>
          </wp:inline>
        </w:drawing>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The decrease in Middle East &amp; Africa Adjusted operating income/(loss) in the six months ended June 30, 2026 compared to the same period in 2025 was primarily due to unfavorable foreign currency translation effects, mainly related to the Turkish Lira, which offset the benefits from improved net pricing and volume and mix.</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Helvetica;sans-serif" w:hAnsi="Helvetica;sans-serif"/>
          <w:b/>
          <w:color w:val="143A84"/>
          <w:sz w:val="18"/>
        </w:rPr>
      </w:pPr>
      <w:r>
        <w:rPr>
          <w:rFonts w:ascii="Helvetica;sans-serif" w:hAnsi="Helvetica;sans-serif"/>
          <w:b/>
          <w:color w:val="143A84"/>
          <w:sz w:val="18"/>
        </w:rPr>
        <w:t>South America</w:t>
      </w:r>
    </w:p>
    <w:tbl>
      <w:tblPr>
        <w:tblW w:w="10205" w:type="dxa"/>
        <w:jc w:val="left"/>
        <w:tblInd w:w="0" w:type="dxa"/>
        <w:tblLayout w:type="fixed"/>
        <w:tblCellMar>
          <w:top w:w="28" w:type="dxa"/>
          <w:left w:w="28" w:type="dxa"/>
          <w:bottom w:w="28" w:type="dxa"/>
          <w:right w:w="28" w:type="dxa"/>
        </w:tblCellMar>
      </w:tblPr>
      <w:tblGrid>
        <w:gridCol w:w="248"/>
        <w:gridCol w:w="157"/>
        <w:gridCol w:w="361"/>
        <w:gridCol w:w="145"/>
        <w:gridCol w:w="145"/>
        <w:gridCol w:w="145"/>
        <w:gridCol w:w="296"/>
        <w:gridCol w:w="185"/>
        <w:gridCol w:w="361"/>
        <w:gridCol w:w="109"/>
        <w:gridCol w:w="109"/>
        <w:gridCol w:w="109"/>
        <w:gridCol w:w="339"/>
        <w:gridCol w:w="287"/>
        <w:gridCol w:w="715"/>
        <w:gridCol w:w="109"/>
        <w:gridCol w:w="109"/>
        <w:gridCol w:w="109"/>
        <w:gridCol w:w="680"/>
        <w:gridCol w:w="680"/>
        <w:gridCol w:w="682"/>
        <w:gridCol w:w="109"/>
        <w:gridCol w:w="109"/>
        <w:gridCol w:w="109"/>
        <w:gridCol w:w="296"/>
        <w:gridCol w:w="179"/>
        <w:gridCol w:w="346"/>
        <w:gridCol w:w="139"/>
        <w:gridCol w:w="139"/>
        <w:gridCol w:w="139"/>
        <w:gridCol w:w="296"/>
        <w:gridCol w:w="179"/>
        <w:gridCol w:w="346"/>
        <w:gridCol w:w="109"/>
        <w:gridCol w:w="109"/>
        <w:gridCol w:w="109"/>
        <w:gridCol w:w="337"/>
        <w:gridCol w:w="271"/>
        <w:gridCol w:w="804"/>
      </w:tblGrid>
      <w:tr>
        <w:trPr/>
        <w:tc>
          <w:tcPr>
            <w:tcW w:w="24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r>
      <w:tr>
        <w:trPr/>
        <w:tc>
          <w:tcPr>
            <w:tcW w:w="204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Increase/(Decrease)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Increase/(Decrease)</w:t>
            </w:r>
          </w:p>
        </w:tc>
      </w:tr>
      <w:tr>
        <w:trPr/>
        <w:tc>
          <w:tcPr>
            <w:tcW w:w="766"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2026</w:t>
            </w:r>
          </w:p>
        </w:tc>
        <w:tc>
          <w:tcPr>
            <w:tcW w:w="435"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2025</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2026 vs.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2026</w:t>
            </w:r>
          </w:p>
        </w:tc>
        <w:tc>
          <w:tcPr>
            <w:tcW w:w="41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2025</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2026 vs. 2025</w:t>
            </w:r>
          </w:p>
        </w:tc>
      </w:tr>
      <w:tr>
        <w:trPr/>
        <w:tc>
          <w:tcPr>
            <w:tcW w:w="766" w:type="dxa"/>
            <w:gridSpan w:val="3"/>
            <w:tcBorders>
              <w:top w:val="single" w:sz="2" w:space="0" w:color="143A84"/>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253</w:t>
            </w:r>
          </w:p>
        </w:tc>
        <w:tc>
          <w:tcPr>
            <w:tcW w:w="435"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2" w:space="0" w:color="143A84"/>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260</w:t>
            </w:r>
          </w:p>
        </w:tc>
        <w:tc>
          <w:tcPr>
            <w:tcW w:w="327"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top w:val="single" w:sz="2" w:space="0" w:color="143A84"/>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(2.7</w:t>
            </w:r>
          </w:p>
        </w:tc>
        <w:tc>
          <w:tcPr>
            <w:tcW w:w="715" w:type="dxa"/>
            <w:tcBorders>
              <w:top w:val="single" w:sz="2" w:space="0" w:color="143A84"/>
            </w:tcBorders>
            <w:shd w:fill="E6E7F4"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327"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2" w:type="dxa"/>
            <w:gridSpan w:val="3"/>
            <w:tcBorders>
              <w:top w:val="single" w:sz="2" w:space="0" w:color="143A84"/>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Consolidated shipments (thousands of units)</w:t>
            </w:r>
          </w:p>
        </w:tc>
        <w:tc>
          <w:tcPr>
            <w:tcW w:w="327"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single" w:sz="2" w:space="0" w:color="143A84"/>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472</w:t>
            </w:r>
          </w:p>
        </w:tc>
        <w:tc>
          <w:tcPr>
            <w:tcW w:w="417"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single" w:sz="2" w:space="0" w:color="143A84"/>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471</w:t>
            </w:r>
          </w:p>
        </w:tc>
        <w:tc>
          <w:tcPr>
            <w:tcW w:w="327"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top w:val="single" w:sz="2" w:space="0" w:color="143A84"/>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0.2</w:t>
            </w:r>
          </w:p>
        </w:tc>
        <w:tc>
          <w:tcPr>
            <w:tcW w:w="804" w:type="dxa"/>
            <w:tcBorders>
              <w:top w:val="single" w:sz="2" w:space="0" w:color="143A84"/>
            </w:tcBorders>
            <w:shd w:fill="E6E7F4"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w:t>
            </w:r>
          </w:p>
        </w:tc>
      </w:tr>
      <w:tr>
        <w:trPr/>
        <w:tc>
          <w:tcPr>
            <w:tcW w:w="766"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4,338</w:t>
            </w:r>
          </w:p>
        </w:tc>
        <w:tc>
          <w:tcPr>
            <w:tcW w:w="435"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4,092</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6.0</w:t>
            </w:r>
          </w:p>
        </w:tc>
        <w:tc>
          <w:tcPr>
            <w:tcW w:w="715" w:type="dxa"/>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2"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 xml:space="preserve">Net revenues (€ million) </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7,961</w:t>
            </w:r>
          </w:p>
        </w:tc>
        <w:tc>
          <w:tcPr>
            <w:tcW w:w="41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7,771</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2.4</w:t>
            </w:r>
          </w:p>
        </w:tc>
        <w:tc>
          <w:tcPr>
            <w:tcW w:w="804" w:type="dxa"/>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w:t>
            </w:r>
          </w:p>
        </w:tc>
      </w:tr>
      <w:tr>
        <w:trPr/>
        <w:tc>
          <w:tcPr>
            <w:tcW w:w="766"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402</w:t>
            </w:r>
          </w:p>
        </w:tc>
        <w:tc>
          <w:tcPr>
            <w:tcW w:w="435"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782</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(48.6</w:t>
            </w:r>
          </w:p>
        </w:tc>
        <w:tc>
          <w:tcPr>
            <w:tcW w:w="715" w:type="dxa"/>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2"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Adjusted operating income (€ million)</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795</w:t>
            </w:r>
          </w:p>
        </w:tc>
        <w:tc>
          <w:tcPr>
            <w:tcW w:w="41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1,189</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(33.1</w:t>
            </w:r>
          </w:p>
        </w:tc>
        <w:tc>
          <w:tcPr>
            <w:tcW w:w="804" w:type="dxa"/>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w:t>
            </w:r>
          </w:p>
        </w:tc>
      </w:tr>
      <w:tr>
        <w:trPr/>
        <w:tc>
          <w:tcPr>
            <w:tcW w:w="405" w:type="dxa"/>
            <w:gridSpan w:val="2"/>
            <w:tcBorders>
              <w:top w:val="single" w:sz="2" w:space="0" w:color="8E939F"/>
              <w:bottom w:val="single" w:sz="2" w:space="0" w:color="8E939F"/>
            </w:tcBorders>
            <w:shd w:fill="F3F3F9" w:val="clear"/>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9.3</w:t>
            </w:r>
          </w:p>
        </w:tc>
        <w:tc>
          <w:tcPr>
            <w:tcW w:w="361" w:type="dxa"/>
            <w:tcBorders>
              <w:top w:val="single" w:sz="2" w:space="0" w:color="8E939F"/>
              <w:bottom w:val="single" w:sz="2" w:space="0" w:color="8E939F"/>
            </w:tcBorders>
            <w:shd w:fill="F3F3F9" w:val="clear"/>
            <w:tcMar>
              <w:top w:w="52"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435" w:type="dxa"/>
            <w:gridSpan w:val="3"/>
            <w:tcBorders>
              <w:top w:val="single" w:sz="2" w:space="0" w:color="8E939F"/>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19.1</w:t>
            </w:r>
          </w:p>
        </w:tc>
        <w:tc>
          <w:tcPr>
            <w:tcW w:w="361" w:type="dxa"/>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327" w:type="dxa"/>
            <w:gridSpan w:val="3"/>
            <w:tcBorders>
              <w:top w:val="single" w:sz="2" w:space="0" w:color="8E939F"/>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(980) bps</w:t>
            </w:r>
          </w:p>
        </w:tc>
        <w:tc>
          <w:tcPr>
            <w:tcW w:w="327" w:type="dxa"/>
            <w:gridSpan w:val="3"/>
            <w:tcBorders>
              <w:top w:val="single" w:sz="2" w:space="0" w:color="8E939F"/>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2042" w:type="dxa"/>
            <w:gridSpan w:val="3"/>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Adjusted operating income margin (%)</w:t>
            </w:r>
          </w:p>
        </w:tc>
        <w:tc>
          <w:tcPr>
            <w:tcW w:w="327" w:type="dxa"/>
            <w:gridSpan w:val="3"/>
            <w:tcBorders>
              <w:top w:val="single" w:sz="2" w:space="0" w:color="8E939F"/>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475" w:type="dxa"/>
            <w:gridSpan w:val="2"/>
            <w:tcBorders>
              <w:top w:val="single" w:sz="2" w:space="0" w:color="8E939F"/>
              <w:bottom w:val="single" w:sz="2" w:space="0" w:color="8E939F"/>
            </w:tcBorders>
            <w:shd w:fill="F3F3F9" w:val="clear"/>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10.0</w:t>
            </w:r>
          </w:p>
        </w:tc>
        <w:tc>
          <w:tcPr>
            <w:tcW w:w="346" w:type="dxa"/>
            <w:tcBorders>
              <w:top w:val="single" w:sz="2" w:space="0" w:color="8E939F"/>
              <w:bottom w:val="single" w:sz="2" w:space="0" w:color="8E939F"/>
            </w:tcBorders>
            <w:shd w:fill="F3F3F9" w:val="clear"/>
            <w:tcMar>
              <w:top w:w="52"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417" w:type="dxa"/>
            <w:gridSpan w:val="3"/>
            <w:tcBorders>
              <w:top w:val="single" w:sz="2" w:space="0" w:color="8E939F"/>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475" w:type="dxa"/>
            <w:gridSpan w:val="2"/>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15.3</w:t>
            </w:r>
          </w:p>
        </w:tc>
        <w:tc>
          <w:tcPr>
            <w:tcW w:w="346" w:type="dxa"/>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327" w:type="dxa"/>
            <w:gridSpan w:val="3"/>
            <w:tcBorders>
              <w:top w:val="single" w:sz="2" w:space="0" w:color="8E939F"/>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(530) bps</w:t>
            </w:r>
          </w:p>
        </w:tc>
      </w:tr>
    </w:tbl>
    <w:p>
      <w:pPr>
        <w:pStyle w:val="TextBody"/>
        <w:bidi w:val="0"/>
        <w:spacing w:lineRule="auto" w:line="288" w:before="0" w:after="240"/>
        <w:jc w:val="left"/>
        <w:rPr>
          <w:rFonts w:ascii="Helvetica;sans-serif" w:hAnsi="Helvetica;sans-serif"/>
          <w:b w:val="false"/>
          <w:color w:val="143A84"/>
          <w:sz w:val="20"/>
        </w:rPr>
      </w:pPr>
      <w:r>
        <w:rPr>
          <w:rFonts w:ascii="Helvetica;sans-serif" w:hAnsi="Helvetica;sans-serif"/>
          <w:b w:val="false"/>
          <w:color w:val="143A84"/>
          <w:sz w:val="20"/>
        </w:rPr>
        <w:t>Three months ended June 30, 2026</w:t>
      </w:r>
    </w:p>
    <w:p>
      <w:pPr>
        <w:pStyle w:val="TextBody"/>
        <w:bidi w:val="0"/>
        <w:spacing w:lineRule="auto" w:line="343" w:before="0" w:after="240"/>
        <w:jc w:val="left"/>
        <w:rPr/>
      </w:pPr>
      <w:r>
        <w:rPr>
          <w:rFonts w:ascii="Helvetica Light;sans-serif" w:hAnsi="Helvetica Light;sans-serif"/>
          <w:b w:val="false"/>
          <w:color w:val="000000"/>
          <w:sz w:val="20"/>
        </w:rPr>
        <w:t>The following table presents Stellantis market share</w:t>
      </w:r>
      <w:r>
        <w:rPr>
          <w:rFonts w:ascii="Helvetica Light;sans-serif" w:hAnsi="Helvetica Light;sans-serif"/>
          <w:b w:val="false"/>
          <w:color w:val="000000"/>
          <w:sz w:val="13"/>
        </w:rPr>
        <w:t>(7)</w:t>
      </w:r>
      <w:r>
        <w:rPr>
          <w:color w:val="000000"/>
        </w:rPr>
        <w:t xml:space="preserve"> </w:t>
      </w:r>
      <w:r>
        <w:rPr>
          <w:rFonts w:ascii="Helvetica Light;sans-serif" w:hAnsi="Helvetica Light;sans-serif"/>
          <w:b w:val="false"/>
          <w:color w:val="000000"/>
          <w:sz w:val="20"/>
        </w:rPr>
        <w:t xml:space="preserve">and Stellantis and LPM market share for the three months ended June 30, 2026 and 2025. </w:t>
      </w:r>
    </w:p>
    <w:p>
      <w:pPr>
        <w:pStyle w:val="TextBody"/>
        <w:bidi w:val="0"/>
        <w:spacing w:lineRule="auto" w:line="288" w:before="120" w:after="283"/>
        <w:jc w:val="left"/>
        <w:rPr/>
      </w:pPr>
      <w:r>
        <w:rPr>
          <w:rFonts w:ascii="Helvetica Light;sans-serif" w:hAnsi="Helvetica Light;sans-serif"/>
          <w:b w:val="false"/>
          <w:color w:val="000000"/>
          <w:sz w:val="10"/>
        </w:rPr>
        <w:t>7</w:t>
      </w:r>
      <w:r>
        <w:rPr>
          <w:color w:val="000000"/>
        </w:rPr>
        <w:t xml:space="preserve"> </w:t>
      </w:r>
      <w:r>
        <w:rPr>
          <w:rFonts w:ascii="Helvetica Light;sans-serif" w:hAnsi="Helvetica Light;sans-serif"/>
          <w:b w:val="false"/>
          <w:color w:val="000000"/>
          <w:sz w:val="16"/>
        </w:rPr>
        <w:t>Industry and market share information is derived from third-party industry sources (e.g. Agence Nationale des Titres Sécurisés (“ANTS”), Associação Nacional dos Fabricantes de Veículos Automotores (“ANFAVEA”), Ministry of Infrastructure and Sustainable Mobility (“MIMS”), Ward’s Automotive) and internal information</w:t>
      </w:r>
    </w:p>
    <w:p>
      <w:pPr>
        <w:pStyle w:val="TextBody"/>
        <w:bidi w:val="0"/>
        <w:spacing w:before="0" w:after="24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503555"/>
                <wp:effectExtent l="0" t="0" r="0" b="0"/>
                <wp:wrapNone/>
                <wp:docPr id="48" name="Frame37"/>
                <a:graphic xmlns:a="http://schemas.openxmlformats.org/drawingml/2006/main">
                  <a:graphicData uri="http://schemas.microsoft.com/office/word/2010/wordprocessingShape">
                    <wps:wsp>
                      <wps:cNvSpPr txBox="1"/>
                      <wps:spPr>
                        <a:xfrm>
                          <a:off x="0" y="0"/>
                          <a:ext cx="6480175" cy="5035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33</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33</w:t>
                      </w:r>
                    </w:p>
                    <w:p>
                      <w:pPr>
                        <w:pStyle w:val="TextBody"/>
                        <w:bidi w:val="0"/>
                        <w:spacing w:before="0" w:after="24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tbl>
      <w:tblPr>
        <w:tblW w:w="10205" w:type="dxa"/>
        <w:jc w:val="left"/>
        <w:tblInd w:w="0" w:type="dxa"/>
        <w:tblLayout w:type="fixed"/>
        <w:tblCellMar>
          <w:top w:w="28" w:type="dxa"/>
          <w:left w:w="28" w:type="dxa"/>
          <w:bottom w:w="28" w:type="dxa"/>
          <w:right w:w="28" w:type="dxa"/>
        </w:tblCellMar>
      </w:tblPr>
      <w:tblGrid>
        <w:gridCol w:w="452"/>
        <w:gridCol w:w="360"/>
        <w:gridCol w:w="364"/>
        <w:gridCol w:w="109"/>
        <w:gridCol w:w="109"/>
        <w:gridCol w:w="109"/>
        <w:gridCol w:w="292"/>
        <w:gridCol w:w="219"/>
        <w:gridCol w:w="427"/>
        <w:gridCol w:w="171"/>
        <w:gridCol w:w="171"/>
        <w:gridCol w:w="171"/>
        <w:gridCol w:w="292"/>
        <w:gridCol w:w="219"/>
        <w:gridCol w:w="427"/>
        <w:gridCol w:w="113"/>
        <w:gridCol w:w="113"/>
        <w:gridCol w:w="113"/>
        <w:gridCol w:w="460"/>
        <w:gridCol w:w="460"/>
        <w:gridCol w:w="461"/>
        <w:gridCol w:w="109"/>
        <w:gridCol w:w="109"/>
        <w:gridCol w:w="109"/>
        <w:gridCol w:w="292"/>
        <w:gridCol w:w="219"/>
        <w:gridCol w:w="426"/>
        <w:gridCol w:w="171"/>
        <w:gridCol w:w="171"/>
        <w:gridCol w:w="171"/>
        <w:gridCol w:w="292"/>
        <w:gridCol w:w="219"/>
        <w:gridCol w:w="426"/>
        <w:gridCol w:w="147"/>
        <w:gridCol w:w="147"/>
        <w:gridCol w:w="147"/>
        <w:gridCol w:w="417"/>
        <w:gridCol w:w="417"/>
        <w:gridCol w:w="604"/>
      </w:tblGrid>
      <w:tr>
        <w:trPr/>
        <w:tc>
          <w:tcPr>
            <w:tcW w:w="452"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r>
      <w:tr>
        <w:trPr/>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9"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Stellantis market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6" w:type="dxa"/>
            <w:gridSpan w:val="15"/>
            <w:tcBorders/>
            <w:tcMar>
              <w:top w:w="0" w:type="dxa"/>
              <w:left w:w="0" w:type="dxa"/>
              <w:bottom w:w="0" w:type="dxa"/>
              <w:right w:w="0" w:type="dxa"/>
            </w:tcMar>
            <w:vAlign w:val="center"/>
          </w:tcPr>
          <w:p>
            <w:pPr>
              <w:pStyle w:val="TableContents"/>
              <w:bidi w:val="0"/>
              <w:spacing w:lineRule="auto" w:line="288" w:before="0" w:after="0"/>
              <w:jc w:val="center"/>
              <w:rPr/>
            </w:pPr>
            <w:r>
              <w:rPr>
                <w:rFonts w:ascii="Helvetica;sans-serif" w:hAnsi="Helvetica;sans-serif"/>
                <w:b/>
                <w:color w:val="243782"/>
                <w:sz w:val="18"/>
              </w:rPr>
              <w:t>Stellantis and LPM</w:t>
            </w:r>
            <w:r>
              <w:rPr>
                <w:rFonts w:ascii="Helvetica;sans-serif" w:hAnsi="Helvetica;sans-serif"/>
                <w:b/>
                <w:color w:val="243782"/>
                <w:sz w:val="12"/>
              </w:rPr>
              <w:t>(1)</w:t>
            </w:r>
            <w:r>
              <w:rPr>
                <w:color w:val="243782"/>
              </w:rPr>
              <w:t xml:space="preserve"> </w:t>
            </w:r>
            <w:r>
              <w:rPr>
                <w:rFonts w:ascii="Helvetica;sans-serif" w:hAnsi="Helvetica;sans-serif"/>
                <w:b/>
                <w:color w:val="243782"/>
                <w:sz w:val="18"/>
              </w:rPr>
              <w:t>market share</w:t>
            </w:r>
          </w:p>
        </w:tc>
      </w:tr>
      <w:tr>
        <w:trPr/>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9" w:type="dxa"/>
            <w:gridSpan w:val="9"/>
            <w:tcBorders>
              <w:top w:val="single" w:sz="2" w:space="0" w:color="143A84"/>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7"/>
              </w:rPr>
            </w:pPr>
            <w:r>
              <w:rPr>
                <w:rFonts w:ascii="Helvetica;sans-serif" w:hAnsi="Helvetica;sans-serif"/>
                <w:b/>
                <w:color w:val="243782"/>
                <w:sz w:val="17"/>
              </w:rPr>
              <w:t>Three months ended June 30,</w:t>
            </w:r>
          </w:p>
        </w:tc>
        <w:tc>
          <w:tcPr>
            <w:tcW w:w="339"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2" w:space="0" w:color="143A84"/>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7"/>
              </w:rPr>
            </w:pPr>
            <w:r>
              <w:rPr>
                <w:rFonts w:ascii="Helvetica;sans-serif" w:hAnsi="Helvetica;sans-serif"/>
                <w:b/>
                <w:color w:val="243782"/>
                <w:sz w:val="17"/>
              </w:rPr>
              <w:t>Increase/(Decrease)</w:t>
            </w:r>
          </w:p>
        </w:tc>
        <w:tc>
          <w:tcPr>
            <w:tcW w:w="327"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7" w:type="dxa"/>
            <w:gridSpan w:val="9"/>
            <w:tcBorders>
              <w:top w:val="single" w:sz="2" w:space="0" w:color="143A84"/>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7"/>
              </w:rPr>
            </w:pPr>
            <w:r>
              <w:rPr>
                <w:rFonts w:ascii="Helvetica;sans-serif" w:hAnsi="Helvetica;sans-serif"/>
                <w:b/>
                <w:color w:val="243782"/>
                <w:sz w:val="17"/>
              </w:rPr>
              <w:t>Three months ended June 30,</w:t>
            </w:r>
          </w:p>
        </w:tc>
        <w:tc>
          <w:tcPr>
            <w:tcW w:w="441"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single" w:sz="2" w:space="0" w:color="143A84"/>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7"/>
              </w:rPr>
            </w:pPr>
            <w:r>
              <w:rPr>
                <w:rFonts w:ascii="Helvetica;sans-serif" w:hAnsi="Helvetica;sans-serif"/>
                <w:b/>
                <w:color w:val="243782"/>
                <w:sz w:val="17"/>
              </w:rPr>
              <w:t>Increase/(Decrease)</w:t>
            </w:r>
          </w:p>
        </w:tc>
      </w:tr>
      <w:tr>
        <w:trPr/>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2026</w:t>
            </w:r>
          </w:p>
        </w:tc>
        <w:tc>
          <w:tcPr>
            <w:tcW w:w="513"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2025</w:t>
            </w:r>
          </w:p>
        </w:tc>
        <w:tc>
          <w:tcPr>
            <w:tcW w:w="339"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2026 vs. 2025</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2026</w:t>
            </w:r>
          </w:p>
        </w:tc>
        <w:tc>
          <w:tcPr>
            <w:tcW w:w="513"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2025</w:t>
            </w:r>
          </w:p>
        </w:tc>
        <w:tc>
          <w:tcPr>
            <w:tcW w:w="441"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2026 vs. 2025</w:t>
            </w:r>
          </w:p>
        </w:tc>
      </w:tr>
      <w:tr>
        <w:trPr/>
        <w:tc>
          <w:tcPr>
            <w:tcW w:w="1176" w:type="dxa"/>
            <w:gridSpan w:val="3"/>
            <w:tcBorders>
              <w:top w:val="single" w:sz="2" w:space="0" w:color="143A84"/>
            </w:tcBorders>
            <w:tcMar>
              <w:top w:w="52" w:type="dxa"/>
              <w:left w:w="0" w:type="dxa"/>
              <w:bottom w:w="0" w:type="dxa"/>
              <w:right w:w="0" w:type="dxa"/>
            </w:tcMar>
            <w:vAlign w:val="center"/>
          </w:tcPr>
          <w:p>
            <w:pPr>
              <w:pStyle w:val="TableContents"/>
              <w:bidi w:val="0"/>
              <w:spacing w:lineRule="auto" w:line="288" w:before="0" w:after="0"/>
              <w:jc w:val="left"/>
              <w:rPr>
                <w:rFonts w:ascii="Helvetica;sans-serif" w:hAnsi="Helvetica;sans-serif"/>
                <w:b w:val="false"/>
                <w:color w:val="000000"/>
                <w:sz w:val="18"/>
              </w:rPr>
            </w:pPr>
            <w:r>
              <w:rPr>
                <w:rFonts w:ascii="Helvetica;sans-serif" w:hAnsi="Helvetica;sans-serif"/>
                <w:b w:val="false"/>
                <w:color w:val="000000"/>
                <w:sz w:val="18"/>
              </w:rPr>
              <w:t>South America</w:t>
            </w:r>
          </w:p>
        </w:tc>
        <w:tc>
          <w:tcPr>
            <w:tcW w:w="327"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2" w:space="0" w:color="143A84"/>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19.1 </w:t>
            </w:r>
          </w:p>
        </w:tc>
        <w:tc>
          <w:tcPr>
            <w:tcW w:w="427" w:type="dxa"/>
            <w:tcBorders>
              <w:top w:val="single" w:sz="2" w:space="0" w:color="143A84"/>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w:t>
            </w:r>
          </w:p>
        </w:tc>
        <w:tc>
          <w:tcPr>
            <w:tcW w:w="513"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2" w:space="0" w:color="143A84"/>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23.3 </w:t>
            </w:r>
          </w:p>
        </w:tc>
        <w:tc>
          <w:tcPr>
            <w:tcW w:w="427" w:type="dxa"/>
            <w:tcBorders>
              <w:top w:val="single" w:sz="2" w:space="0" w:color="143A84"/>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w:t>
            </w:r>
          </w:p>
        </w:tc>
        <w:tc>
          <w:tcPr>
            <w:tcW w:w="339"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2" w:space="0" w:color="143A84"/>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-420 bps</w:t>
            </w:r>
          </w:p>
        </w:tc>
        <w:tc>
          <w:tcPr>
            <w:tcW w:w="327"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2" w:space="0" w:color="143A84"/>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19.4 </w:t>
            </w:r>
          </w:p>
        </w:tc>
        <w:tc>
          <w:tcPr>
            <w:tcW w:w="426" w:type="dxa"/>
            <w:tcBorders>
              <w:top w:val="single" w:sz="2" w:space="0" w:color="143A84"/>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w:t>
            </w:r>
          </w:p>
        </w:tc>
        <w:tc>
          <w:tcPr>
            <w:tcW w:w="513"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2" w:space="0" w:color="143A84"/>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23.3 </w:t>
            </w:r>
          </w:p>
        </w:tc>
        <w:tc>
          <w:tcPr>
            <w:tcW w:w="426" w:type="dxa"/>
            <w:tcBorders>
              <w:top w:val="single" w:sz="2" w:space="0" w:color="143A84"/>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w:t>
            </w:r>
          </w:p>
        </w:tc>
        <w:tc>
          <w:tcPr>
            <w:tcW w:w="441"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single" w:sz="2" w:space="0" w:color="143A84"/>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-390 bps</w:t>
            </w:r>
          </w:p>
        </w:tc>
      </w:tr>
      <w:tr>
        <w:trPr/>
        <w:tc>
          <w:tcPr>
            <w:tcW w:w="1176"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Brazil</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25.6 </w:t>
            </w:r>
          </w:p>
        </w:tc>
        <w:tc>
          <w:tcPr>
            <w:tcW w:w="427" w:type="dxa"/>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w:t>
            </w:r>
          </w:p>
        </w:tc>
        <w:tc>
          <w:tcPr>
            <w:tcW w:w="513"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29.7 </w:t>
            </w:r>
          </w:p>
        </w:tc>
        <w:tc>
          <w:tcPr>
            <w:tcW w:w="427" w:type="dxa"/>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w:t>
            </w:r>
          </w:p>
        </w:tc>
        <w:tc>
          <w:tcPr>
            <w:tcW w:w="339"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-410 bps</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25.9 </w:t>
            </w:r>
          </w:p>
        </w:tc>
        <w:tc>
          <w:tcPr>
            <w:tcW w:w="426" w:type="dxa"/>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w:t>
            </w:r>
          </w:p>
        </w:tc>
        <w:tc>
          <w:tcPr>
            <w:tcW w:w="513"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29.7 </w:t>
            </w:r>
          </w:p>
        </w:tc>
        <w:tc>
          <w:tcPr>
            <w:tcW w:w="426" w:type="dxa"/>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w:t>
            </w:r>
          </w:p>
        </w:tc>
        <w:tc>
          <w:tcPr>
            <w:tcW w:w="441"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-380 bps</w:t>
            </w:r>
          </w:p>
        </w:tc>
      </w:tr>
      <w:tr>
        <w:trPr/>
        <w:tc>
          <w:tcPr>
            <w:tcW w:w="1176" w:type="dxa"/>
            <w:gridSpan w:val="3"/>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Argentina</w:t>
            </w:r>
          </w:p>
        </w:tc>
        <w:tc>
          <w:tcPr>
            <w:tcW w:w="327" w:type="dxa"/>
            <w:gridSpan w:val="3"/>
            <w:tcBorders>
              <w:top w:val="single" w:sz="2" w:space="0" w:color="8E939F"/>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2" w:space="0" w:color="8E939F"/>
              <w:bottom w:val="single" w:sz="2" w:space="0" w:color="8E939F"/>
            </w:tcBorders>
            <w:shd w:fill="F3F3F9" w:val="clear"/>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26.0 </w:t>
            </w:r>
          </w:p>
        </w:tc>
        <w:tc>
          <w:tcPr>
            <w:tcW w:w="427" w:type="dxa"/>
            <w:tcBorders>
              <w:top w:val="single" w:sz="2" w:space="0" w:color="8E939F"/>
              <w:bottom w:val="single" w:sz="2" w:space="0" w:color="8E939F"/>
            </w:tcBorders>
            <w:shd w:fill="F3F3F9" w:val="clear"/>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w:t>
            </w:r>
          </w:p>
        </w:tc>
        <w:tc>
          <w:tcPr>
            <w:tcW w:w="513" w:type="dxa"/>
            <w:gridSpan w:val="3"/>
            <w:tcBorders>
              <w:top w:val="single" w:sz="2" w:space="0" w:color="8E939F"/>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31.1 </w:t>
            </w:r>
          </w:p>
        </w:tc>
        <w:tc>
          <w:tcPr>
            <w:tcW w:w="427" w:type="dxa"/>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w:t>
            </w:r>
          </w:p>
        </w:tc>
        <w:tc>
          <w:tcPr>
            <w:tcW w:w="339" w:type="dxa"/>
            <w:gridSpan w:val="3"/>
            <w:tcBorders>
              <w:top w:val="single" w:sz="2" w:space="0" w:color="8E939F"/>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-510 bps</w:t>
            </w:r>
          </w:p>
        </w:tc>
        <w:tc>
          <w:tcPr>
            <w:tcW w:w="327" w:type="dxa"/>
            <w:gridSpan w:val="3"/>
            <w:tcBorders>
              <w:top w:val="single" w:sz="2" w:space="0" w:color="8E939F"/>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2" w:space="0" w:color="8E939F"/>
              <w:bottom w:val="single" w:sz="2" w:space="0" w:color="8E939F"/>
            </w:tcBorders>
            <w:shd w:fill="F3F3F9" w:val="clear"/>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26.0 </w:t>
            </w:r>
          </w:p>
        </w:tc>
        <w:tc>
          <w:tcPr>
            <w:tcW w:w="426" w:type="dxa"/>
            <w:tcBorders>
              <w:top w:val="single" w:sz="2" w:space="0" w:color="8E939F"/>
              <w:bottom w:val="single" w:sz="2" w:space="0" w:color="8E939F"/>
            </w:tcBorders>
            <w:shd w:fill="F3F3F9" w:val="clear"/>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w:t>
            </w:r>
          </w:p>
        </w:tc>
        <w:tc>
          <w:tcPr>
            <w:tcW w:w="513" w:type="dxa"/>
            <w:gridSpan w:val="3"/>
            <w:tcBorders>
              <w:top w:val="single" w:sz="2" w:space="0" w:color="8E939F"/>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31.1 </w:t>
            </w:r>
          </w:p>
        </w:tc>
        <w:tc>
          <w:tcPr>
            <w:tcW w:w="426" w:type="dxa"/>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w:t>
            </w:r>
          </w:p>
        </w:tc>
        <w:tc>
          <w:tcPr>
            <w:tcW w:w="441" w:type="dxa"/>
            <w:gridSpan w:val="3"/>
            <w:tcBorders>
              <w:top w:val="single" w:sz="2" w:space="0" w:color="8E939F"/>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-510 bps</w:t>
            </w:r>
          </w:p>
        </w:tc>
      </w:tr>
    </w:tbl>
    <w:p>
      <w:pPr>
        <w:pStyle w:val="TextBody"/>
        <w:bidi w:val="0"/>
        <w:spacing w:lineRule="auto" w:line="288" w:before="0" w:after="240"/>
        <w:jc w:val="left"/>
        <w:rPr/>
      </w:pPr>
      <w:r>
        <w:rPr>
          <w:rFonts w:ascii="Helvetica Light;sans-serif" w:hAnsi="Helvetica Light;sans-serif"/>
          <w:b w:val="false"/>
          <w:color w:val="000000"/>
          <w:sz w:val="10"/>
        </w:rPr>
        <w:t>(1)</w:t>
      </w:r>
      <w:r>
        <w:rPr>
          <w:color w:val="000000"/>
        </w:rPr>
        <w:t xml:space="preserve"> </w:t>
      </w:r>
      <w:r>
        <w:rPr>
          <w:rFonts w:ascii="Helvetica Light;sans-serif" w:hAnsi="Helvetica Light;sans-serif"/>
          <w:b w:val="false"/>
          <w:color w:val="000000"/>
          <w:sz w:val="16"/>
        </w:rPr>
        <w:t>This metric combines Stellantis-owned brands and Leapmotor vehicles distributed by Leapmotor International, a jointly established, Stellantis-controlled company created in 2024 and owned 51 percent by Stellantis and 49 percent by Leapmotor, to distribute Leapmotor-branded vehicles outside of China. Stellantis does not design, or manufacture Leapmotor-branded vehicles and does not own the Leapmotor brand or intellectual property</w:t>
      </w:r>
    </w:p>
    <w:p>
      <w:pPr>
        <w:pStyle w:val="TextBody"/>
        <w:bidi w:val="0"/>
        <w:spacing w:lineRule="auto" w:line="288" w:before="0" w:after="240"/>
        <w:jc w:val="left"/>
        <w:rPr>
          <w:rFonts w:ascii="Helvetica;sans-serif" w:hAnsi="Helvetica;sans-serif"/>
          <w:b w:val="false"/>
          <w:color w:val="143A84"/>
          <w:sz w:val="20"/>
        </w:rPr>
      </w:pPr>
      <w:r>
        <w:rPr>
          <w:rFonts w:ascii="Helvetica;sans-serif" w:hAnsi="Helvetica;sans-serif"/>
          <w:b w:val="false"/>
          <w:color w:val="143A84"/>
          <w:sz w:val="20"/>
        </w:rPr>
        <w:t>Shipments</w:t>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Shipments in South America decreased in the three months ended June 30, 2026 compared to the corresponding period in 2025, driven primarily by lower volumes in Argentina and Chile, partially offset by higher volumes in Brazil.</w:t>
      </w:r>
    </w:p>
    <w:p>
      <w:pPr>
        <w:pStyle w:val="TextBody"/>
        <w:bidi w:val="0"/>
        <w:spacing w:lineRule="auto" w:line="288" w:before="0" w:after="240"/>
        <w:jc w:val="left"/>
        <w:rPr>
          <w:rFonts w:ascii="Helvetica;sans-serif" w:hAnsi="Helvetica;sans-serif"/>
          <w:b w:val="false"/>
          <w:color w:val="143A84"/>
          <w:sz w:val="20"/>
        </w:rPr>
      </w:pPr>
      <w:r>
        <w:rPr>
          <w:rFonts w:ascii="Helvetica;sans-serif" w:hAnsi="Helvetica;sans-serif"/>
          <w:b w:val="false"/>
          <w:color w:val="143A84"/>
          <w:sz w:val="20"/>
        </w:rPr>
        <w:t>Net revenues</w:t>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South America Net revenues increased in the three months ended June 30, 2026 compared to the corresponding period in 2025 mainly reflecting positive foreign exchange translation effects, favorable mix and positive net pricing, partially offset by lower volumes.</w:t>
      </w:r>
    </w:p>
    <w:p>
      <w:pPr>
        <w:pStyle w:val="TextBody"/>
        <w:bidi w:val="0"/>
        <w:spacing w:lineRule="auto" w:line="288" w:before="0" w:after="240"/>
        <w:jc w:val="left"/>
        <w:rPr/>
      </w:pPr>
      <w:r>
        <w:rPr>
          <w:rFonts w:ascii="Helvetica;sans-serif" w:hAnsi="Helvetica;sans-serif"/>
          <w:b w:val="false"/>
          <w:color w:val="143A84"/>
          <w:sz w:val="20"/>
        </w:rPr>
        <w:t>Adjusted operating income/(loss)</w:t>
      </w:r>
      <w:r>
        <w:rPr>
          <w:color w:val="000000"/>
        </w:rPr>
        <w:t xml:space="preserve"> </w:t>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The following chart reflects the change in South America Adjusted operating income/(loss) by operational driver for the three months ended June 30, 2026 compared to the same period in 2025.</w:t>
      </w:r>
    </w:p>
    <w:p>
      <w:pPr>
        <w:pStyle w:val="TextBody"/>
        <w:bidi w:val="0"/>
        <w:spacing w:lineRule="auto" w:line="288" w:before="0" w:after="120"/>
        <w:jc w:val="left"/>
        <w:rPr>
          <w:rFonts w:ascii="Helvetica;sans-serif" w:hAnsi="Helvetica;sans-serif"/>
          <w:b/>
          <w:color w:val="143A84"/>
          <w:sz w:val="18"/>
        </w:rPr>
      </w:pPr>
      <w:r>
        <w:rPr>
          <w:rFonts w:ascii="Helvetica;sans-serif" w:hAnsi="Helvetica;sans-serif"/>
          <w:b/>
          <w:color w:val="143A84"/>
          <w:sz w:val="18"/>
        </w:rPr>
        <w:t>Adjusted operating income/(loss) by operational driver - Three months ended June 30, 2026 compared to the three months ended June 30, 2025 (€ million)</w:t>
      </w:r>
    </w:p>
    <w:p>
      <w:pPr>
        <w:pStyle w:val="TextBody"/>
        <w:bidi w:val="0"/>
        <w:spacing w:before="0" w:after="240"/>
        <w:jc w:val="center"/>
        <w:rPr/>
      </w:pPr>
      <w:r>
        <w:rPr/>
        <w:drawing>
          <wp:inline distT="0" distB="0" distL="0" distR="0">
            <wp:extent cx="6515100" cy="2533650"/>
            <wp:effectExtent l="0" t="0" r="0" b="0"/>
            <wp:docPr id="49"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12" descr=""/>
                    <pic:cNvPicPr>
                      <a:picLocks noChangeAspect="1" noChangeArrowheads="1"/>
                    </pic:cNvPicPr>
                  </pic:nvPicPr>
                  <pic:blipFill>
                    <a:blip r:embed="rId13"/>
                    <a:stretch>
                      <a:fillRect/>
                    </a:stretch>
                  </pic:blipFill>
                  <pic:spPr bwMode="auto">
                    <a:xfrm>
                      <a:off x="0" y="0"/>
                      <a:ext cx="6515100" cy="2533650"/>
                    </a:xfrm>
                    <a:prstGeom prst="rect">
                      <a:avLst/>
                    </a:prstGeom>
                  </pic:spPr>
                </pic:pic>
              </a:graphicData>
            </a:graphic>
          </wp:inline>
        </w:drawing>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The decrease in South America Adjusted operating income/(loss) in the three months ended June 30, 2026 compared to the same period in 2025 mainly reflects the non-repeat of a Brazilian indirect tax credit of €0.3 billion recognized in three months ended June 30, 2025, and lower volumes in Argentina, partially offset by favorable net pricing and improved industrial costs.</w:t>
      </w:r>
    </w:p>
    <w:p>
      <w:pPr>
        <w:pStyle w:val="TextBody"/>
        <w:bidi w:val="0"/>
        <w:spacing w:before="0" w:after="24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503555"/>
                <wp:effectExtent l="0" t="0" r="0" b="0"/>
                <wp:wrapNone/>
                <wp:docPr id="50" name="Frame38"/>
                <a:graphic xmlns:a="http://schemas.openxmlformats.org/drawingml/2006/main">
                  <a:graphicData uri="http://schemas.microsoft.com/office/word/2010/wordprocessingShape">
                    <wps:wsp>
                      <wps:cNvSpPr txBox="1"/>
                      <wps:spPr>
                        <a:xfrm>
                          <a:off x="0" y="0"/>
                          <a:ext cx="6480175" cy="5035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34</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34</w:t>
                      </w:r>
                    </w:p>
                    <w:p>
                      <w:pPr>
                        <w:pStyle w:val="TextBody"/>
                        <w:bidi w:val="0"/>
                        <w:spacing w:before="0" w:after="24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88" w:before="0" w:after="240"/>
        <w:jc w:val="left"/>
        <w:rPr>
          <w:rFonts w:ascii="Helvetica;sans-serif" w:hAnsi="Helvetica;sans-serif"/>
          <w:b w:val="false"/>
          <w:color w:val="143A84"/>
          <w:sz w:val="20"/>
        </w:rPr>
      </w:pPr>
      <w:r>
        <w:rPr>
          <w:rFonts w:ascii="Helvetica;sans-serif" w:hAnsi="Helvetica;sans-serif"/>
          <w:b w:val="false"/>
          <w:color w:val="143A84"/>
          <w:sz w:val="20"/>
        </w:rPr>
        <w:t>Six Months Ended June 30, 2026</w:t>
      </w:r>
    </w:p>
    <w:p>
      <w:pPr>
        <w:pStyle w:val="TextBody"/>
        <w:bidi w:val="0"/>
        <w:spacing w:lineRule="auto" w:line="343" w:before="0" w:after="240"/>
        <w:jc w:val="left"/>
        <w:rPr/>
      </w:pPr>
      <w:r>
        <w:rPr>
          <w:rFonts w:ascii="Helvetica Light;sans-serif" w:hAnsi="Helvetica Light;sans-serif"/>
          <w:b w:val="false"/>
          <w:color w:val="000000"/>
          <w:sz w:val="20"/>
        </w:rPr>
        <w:t>The following table presents Stellantis market share</w:t>
      </w:r>
      <w:r>
        <w:rPr>
          <w:rFonts w:ascii="Helvetica Light;sans-serif" w:hAnsi="Helvetica Light;sans-serif"/>
          <w:b w:val="false"/>
          <w:color w:val="000000"/>
          <w:sz w:val="13"/>
        </w:rPr>
        <w:t>(8)</w:t>
      </w:r>
      <w:r>
        <w:rPr>
          <w:color w:val="000000"/>
        </w:rPr>
        <w:t xml:space="preserve"> </w:t>
      </w:r>
      <w:r>
        <w:rPr>
          <w:rFonts w:ascii="Helvetica Light;sans-serif" w:hAnsi="Helvetica Light;sans-serif"/>
          <w:b w:val="false"/>
          <w:color w:val="000000"/>
          <w:sz w:val="20"/>
        </w:rPr>
        <w:t xml:space="preserve">and Stellantis and LPM market share for the six months ended June 30, 2026 and 2025. </w:t>
      </w:r>
    </w:p>
    <w:tbl>
      <w:tblPr>
        <w:tblW w:w="10205" w:type="dxa"/>
        <w:jc w:val="left"/>
        <w:tblInd w:w="0" w:type="dxa"/>
        <w:tblLayout w:type="fixed"/>
        <w:tblCellMar>
          <w:top w:w="28" w:type="dxa"/>
          <w:left w:w="28" w:type="dxa"/>
          <w:bottom w:w="28" w:type="dxa"/>
          <w:right w:w="28" w:type="dxa"/>
        </w:tblCellMar>
      </w:tblPr>
      <w:tblGrid>
        <w:gridCol w:w="456"/>
        <w:gridCol w:w="369"/>
        <w:gridCol w:w="373"/>
        <w:gridCol w:w="109"/>
        <w:gridCol w:w="109"/>
        <w:gridCol w:w="109"/>
        <w:gridCol w:w="292"/>
        <w:gridCol w:w="219"/>
        <w:gridCol w:w="409"/>
        <w:gridCol w:w="163"/>
        <w:gridCol w:w="163"/>
        <w:gridCol w:w="163"/>
        <w:gridCol w:w="292"/>
        <w:gridCol w:w="219"/>
        <w:gridCol w:w="409"/>
        <w:gridCol w:w="113"/>
        <w:gridCol w:w="113"/>
        <w:gridCol w:w="113"/>
        <w:gridCol w:w="473"/>
        <w:gridCol w:w="473"/>
        <w:gridCol w:w="475"/>
        <w:gridCol w:w="109"/>
        <w:gridCol w:w="109"/>
        <w:gridCol w:w="109"/>
        <w:gridCol w:w="292"/>
        <w:gridCol w:w="219"/>
        <w:gridCol w:w="408"/>
        <w:gridCol w:w="164"/>
        <w:gridCol w:w="164"/>
        <w:gridCol w:w="164"/>
        <w:gridCol w:w="292"/>
        <w:gridCol w:w="219"/>
        <w:gridCol w:w="408"/>
        <w:gridCol w:w="150"/>
        <w:gridCol w:w="150"/>
        <w:gridCol w:w="150"/>
        <w:gridCol w:w="429"/>
        <w:gridCol w:w="429"/>
        <w:gridCol w:w="626"/>
      </w:tblGrid>
      <w:tr>
        <w:trPr/>
        <w:tc>
          <w:tcPr>
            <w:tcW w:w="456"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r>
      <w:tr>
        <w:trPr/>
        <w:tc>
          <w:tcPr>
            <w:tcW w:w="1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9"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Stellantis market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4" w:type="dxa"/>
            <w:gridSpan w:val="15"/>
            <w:tcBorders/>
            <w:tcMar>
              <w:top w:w="0" w:type="dxa"/>
              <w:left w:w="0" w:type="dxa"/>
              <w:bottom w:w="0" w:type="dxa"/>
              <w:right w:w="0" w:type="dxa"/>
            </w:tcMar>
            <w:vAlign w:val="center"/>
          </w:tcPr>
          <w:p>
            <w:pPr>
              <w:pStyle w:val="TableContents"/>
              <w:bidi w:val="0"/>
              <w:spacing w:lineRule="auto" w:line="288" w:before="0" w:after="0"/>
              <w:jc w:val="center"/>
              <w:rPr/>
            </w:pPr>
            <w:r>
              <w:rPr>
                <w:rFonts w:ascii="Helvetica;sans-serif" w:hAnsi="Helvetica;sans-serif"/>
                <w:b/>
                <w:color w:val="243782"/>
                <w:sz w:val="18"/>
              </w:rPr>
              <w:t>Stellantis and LPM</w:t>
            </w:r>
            <w:r>
              <w:rPr>
                <w:rFonts w:ascii="Helvetica;sans-serif" w:hAnsi="Helvetica;sans-serif"/>
                <w:b/>
                <w:color w:val="243782"/>
                <w:sz w:val="12"/>
              </w:rPr>
              <w:t>(1)</w:t>
            </w:r>
            <w:r>
              <w:rPr>
                <w:color w:val="243782"/>
              </w:rPr>
              <w:t xml:space="preserve"> </w:t>
            </w:r>
            <w:r>
              <w:rPr>
                <w:rFonts w:ascii="Helvetica;sans-serif" w:hAnsi="Helvetica;sans-serif"/>
                <w:b/>
                <w:color w:val="243782"/>
                <w:sz w:val="18"/>
              </w:rPr>
              <w:t>market share</w:t>
            </w:r>
          </w:p>
        </w:tc>
      </w:tr>
      <w:tr>
        <w:trPr/>
        <w:tc>
          <w:tcPr>
            <w:tcW w:w="1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9" w:type="dxa"/>
            <w:gridSpan w:val="9"/>
            <w:tcBorders>
              <w:top w:val="single" w:sz="2" w:space="0" w:color="143A84"/>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7"/>
              </w:rPr>
            </w:pPr>
            <w:r>
              <w:rPr>
                <w:rFonts w:ascii="Helvetica;sans-serif" w:hAnsi="Helvetica;sans-serif"/>
                <w:b/>
                <w:color w:val="243782"/>
                <w:sz w:val="17"/>
              </w:rPr>
              <w:t>Six months ended June 30,</w:t>
            </w:r>
          </w:p>
        </w:tc>
        <w:tc>
          <w:tcPr>
            <w:tcW w:w="339"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op w:val="single" w:sz="2" w:space="0" w:color="143A84"/>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7"/>
              </w:rPr>
            </w:pPr>
            <w:r>
              <w:rPr>
                <w:rFonts w:ascii="Helvetica;sans-serif" w:hAnsi="Helvetica;sans-serif"/>
                <w:b/>
                <w:color w:val="243782"/>
                <w:sz w:val="17"/>
              </w:rPr>
              <w:t>Increase/(Decrease)</w:t>
            </w:r>
          </w:p>
        </w:tc>
        <w:tc>
          <w:tcPr>
            <w:tcW w:w="327"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0" w:type="dxa"/>
            <w:gridSpan w:val="9"/>
            <w:tcBorders>
              <w:top w:val="single" w:sz="2" w:space="0" w:color="143A84"/>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7"/>
              </w:rPr>
            </w:pPr>
            <w:r>
              <w:rPr>
                <w:rFonts w:ascii="Helvetica;sans-serif" w:hAnsi="Helvetica;sans-serif"/>
                <w:b/>
                <w:color w:val="243782"/>
                <w:sz w:val="17"/>
              </w:rPr>
              <w:t>Six months ended June 30,</w:t>
            </w:r>
          </w:p>
        </w:tc>
        <w:tc>
          <w:tcPr>
            <w:tcW w:w="450"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2" w:space="0" w:color="143A84"/>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7"/>
              </w:rPr>
            </w:pPr>
            <w:r>
              <w:rPr>
                <w:rFonts w:ascii="Helvetica;sans-serif" w:hAnsi="Helvetica;sans-serif"/>
                <w:b/>
                <w:color w:val="243782"/>
                <w:sz w:val="17"/>
              </w:rPr>
              <w:t>Increase/(Decrease)</w:t>
            </w:r>
          </w:p>
        </w:tc>
      </w:tr>
      <w:tr>
        <w:trPr/>
        <w:tc>
          <w:tcPr>
            <w:tcW w:w="1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2026</w:t>
            </w:r>
          </w:p>
        </w:tc>
        <w:tc>
          <w:tcPr>
            <w:tcW w:w="489"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2025</w:t>
            </w:r>
          </w:p>
        </w:tc>
        <w:tc>
          <w:tcPr>
            <w:tcW w:w="339"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2026 vs. 2025</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2026</w:t>
            </w:r>
          </w:p>
        </w:tc>
        <w:tc>
          <w:tcPr>
            <w:tcW w:w="492"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2025</w:t>
            </w:r>
          </w:p>
        </w:tc>
        <w:tc>
          <w:tcPr>
            <w:tcW w:w="450"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2026 vs. 2025</w:t>
            </w:r>
          </w:p>
        </w:tc>
      </w:tr>
      <w:tr>
        <w:trPr/>
        <w:tc>
          <w:tcPr>
            <w:tcW w:w="1198" w:type="dxa"/>
            <w:gridSpan w:val="3"/>
            <w:tcBorders>
              <w:top w:val="single" w:sz="2" w:space="0" w:color="143A84"/>
            </w:tcBorders>
            <w:tcMar>
              <w:top w:w="52" w:type="dxa"/>
              <w:left w:w="0" w:type="dxa"/>
              <w:bottom w:w="0" w:type="dxa"/>
              <w:right w:w="0" w:type="dxa"/>
            </w:tcMar>
            <w:vAlign w:val="center"/>
          </w:tcPr>
          <w:p>
            <w:pPr>
              <w:pStyle w:val="TableContents"/>
              <w:bidi w:val="0"/>
              <w:spacing w:lineRule="auto" w:line="288" w:before="0" w:after="0"/>
              <w:jc w:val="left"/>
              <w:rPr>
                <w:rFonts w:ascii="Helvetica;sans-serif" w:hAnsi="Helvetica;sans-serif"/>
                <w:b w:val="false"/>
                <w:color w:val="000000"/>
                <w:sz w:val="18"/>
              </w:rPr>
            </w:pPr>
            <w:r>
              <w:rPr>
                <w:rFonts w:ascii="Helvetica;sans-serif" w:hAnsi="Helvetica;sans-serif"/>
                <w:b w:val="false"/>
                <w:color w:val="000000"/>
                <w:sz w:val="18"/>
              </w:rPr>
              <w:t>South America</w:t>
            </w:r>
          </w:p>
        </w:tc>
        <w:tc>
          <w:tcPr>
            <w:tcW w:w="327"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2" w:space="0" w:color="143A84"/>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20.0 </w:t>
            </w:r>
          </w:p>
        </w:tc>
        <w:tc>
          <w:tcPr>
            <w:tcW w:w="409" w:type="dxa"/>
            <w:tcBorders>
              <w:top w:val="single" w:sz="2" w:space="0" w:color="143A84"/>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w:t>
            </w:r>
          </w:p>
        </w:tc>
        <w:tc>
          <w:tcPr>
            <w:tcW w:w="489"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2" w:space="0" w:color="143A84"/>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23.5 </w:t>
            </w:r>
          </w:p>
        </w:tc>
        <w:tc>
          <w:tcPr>
            <w:tcW w:w="409" w:type="dxa"/>
            <w:tcBorders>
              <w:top w:val="single" w:sz="2" w:space="0" w:color="143A84"/>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w:t>
            </w:r>
          </w:p>
        </w:tc>
        <w:tc>
          <w:tcPr>
            <w:tcW w:w="339"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op w:val="single" w:sz="2" w:space="0" w:color="143A84"/>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-350 bps</w:t>
            </w:r>
          </w:p>
        </w:tc>
        <w:tc>
          <w:tcPr>
            <w:tcW w:w="327"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2" w:space="0" w:color="143A84"/>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20.2 </w:t>
            </w:r>
          </w:p>
        </w:tc>
        <w:tc>
          <w:tcPr>
            <w:tcW w:w="408" w:type="dxa"/>
            <w:tcBorders>
              <w:top w:val="single" w:sz="2" w:space="0" w:color="143A84"/>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w:t>
            </w:r>
          </w:p>
        </w:tc>
        <w:tc>
          <w:tcPr>
            <w:tcW w:w="492"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2" w:space="0" w:color="143A84"/>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23.5 </w:t>
            </w:r>
          </w:p>
        </w:tc>
        <w:tc>
          <w:tcPr>
            <w:tcW w:w="408" w:type="dxa"/>
            <w:tcBorders>
              <w:top w:val="single" w:sz="2" w:space="0" w:color="143A84"/>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w:t>
            </w:r>
          </w:p>
        </w:tc>
        <w:tc>
          <w:tcPr>
            <w:tcW w:w="450"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2" w:space="0" w:color="143A84"/>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-330 bps</w:t>
            </w:r>
          </w:p>
        </w:tc>
      </w:tr>
      <w:tr>
        <w:trPr/>
        <w:tc>
          <w:tcPr>
            <w:tcW w:w="1198"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Brazil</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27.0 </w:t>
            </w:r>
          </w:p>
        </w:tc>
        <w:tc>
          <w:tcPr>
            <w:tcW w:w="409" w:type="dxa"/>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w:t>
            </w:r>
          </w:p>
        </w:tc>
        <w:tc>
          <w:tcPr>
            <w:tcW w:w="489"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30.1 </w:t>
            </w:r>
          </w:p>
        </w:tc>
        <w:tc>
          <w:tcPr>
            <w:tcW w:w="409" w:type="dxa"/>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w:t>
            </w:r>
          </w:p>
        </w:tc>
        <w:tc>
          <w:tcPr>
            <w:tcW w:w="339"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-310 bps</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27.3 </w:t>
            </w:r>
          </w:p>
        </w:tc>
        <w:tc>
          <w:tcPr>
            <w:tcW w:w="408" w:type="dxa"/>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w:t>
            </w:r>
          </w:p>
        </w:tc>
        <w:tc>
          <w:tcPr>
            <w:tcW w:w="492"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30.1 </w:t>
            </w:r>
          </w:p>
        </w:tc>
        <w:tc>
          <w:tcPr>
            <w:tcW w:w="408" w:type="dxa"/>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w:t>
            </w:r>
          </w:p>
        </w:tc>
        <w:tc>
          <w:tcPr>
            <w:tcW w:w="450"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-280 bps</w:t>
            </w:r>
          </w:p>
        </w:tc>
      </w:tr>
      <w:tr>
        <w:trPr/>
        <w:tc>
          <w:tcPr>
            <w:tcW w:w="1198" w:type="dxa"/>
            <w:gridSpan w:val="3"/>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Argentina</w:t>
            </w:r>
          </w:p>
        </w:tc>
        <w:tc>
          <w:tcPr>
            <w:tcW w:w="327" w:type="dxa"/>
            <w:gridSpan w:val="3"/>
            <w:tcBorders>
              <w:top w:val="single" w:sz="2" w:space="0" w:color="8E939F"/>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2" w:space="0" w:color="8E939F"/>
              <w:bottom w:val="single" w:sz="2" w:space="0" w:color="8E939F"/>
            </w:tcBorders>
            <w:shd w:fill="F3F3F9" w:val="clear"/>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27.5 </w:t>
            </w:r>
          </w:p>
        </w:tc>
        <w:tc>
          <w:tcPr>
            <w:tcW w:w="409" w:type="dxa"/>
            <w:tcBorders>
              <w:top w:val="single" w:sz="2" w:space="0" w:color="8E939F"/>
              <w:bottom w:val="single" w:sz="2" w:space="0" w:color="8E939F"/>
            </w:tcBorders>
            <w:shd w:fill="F3F3F9" w:val="clear"/>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w:t>
            </w:r>
          </w:p>
        </w:tc>
        <w:tc>
          <w:tcPr>
            <w:tcW w:w="489" w:type="dxa"/>
            <w:gridSpan w:val="3"/>
            <w:tcBorders>
              <w:top w:val="single" w:sz="2" w:space="0" w:color="8E939F"/>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32.7 </w:t>
            </w:r>
          </w:p>
        </w:tc>
        <w:tc>
          <w:tcPr>
            <w:tcW w:w="409" w:type="dxa"/>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w:t>
            </w:r>
          </w:p>
        </w:tc>
        <w:tc>
          <w:tcPr>
            <w:tcW w:w="339" w:type="dxa"/>
            <w:gridSpan w:val="3"/>
            <w:tcBorders>
              <w:top w:val="single" w:sz="2" w:space="0" w:color="8E939F"/>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-520 bps</w:t>
            </w:r>
          </w:p>
        </w:tc>
        <w:tc>
          <w:tcPr>
            <w:tcW w:w="327" w:type="dxa"/>
            <w:gridSpan w:val="3"/>
            <w:tcBorders>
              <w:top w:val="single" w:sz="2" w:space="0" w:color="8E939F"/>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2" w:space="0" w:color="8E939F"/>
              <w:bottom w:val="single" w:sz="2" w:space="0" w:color="8E939F"/>
            </w:tcBorders>
            <w:shd w:fill="F3F3F9" w:val="clear"/>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27.5 </w:t>
            </w:r>
          </w:p>
        </w:tc>
        <w:tc>
          <w:tcPr>
            <w:tcW w:w="408" w:type="dxa"/>
            <w:tcBorders>
              <w:top w:val="single" w:sz="2" w:space="0" w:color="8E939F"/>
              <w:bottom w:val="single" w:sz="2" w:space="0" w:color="8E939F"/>
            </w:tcBorders>
            <w:shd w:fill="F3F3F9" w:val="clear"/>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w:t>
            </w:r>
          </w:p>
        </w:tc>
        <w:tc>
          <w:tcPr>
            <w:tcW w:w="492" w:type="dxa"/>
            <w:gridSpan w:val="3"/>
            <w:tcBorders>
              <w:top w:val="single" w:sz="2" w:space="0" w:color="8E939F"/>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32.7 </w:t>
            </w:r>
          </w:p>
        </w:tc>
        <w:tc>
          <w:tcPr>
            <w:tcW w:w="408" w:type="dxa"/>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w:t>
            </w:r>
          </w:p>
        </w:tc>
        <w:tc>
          <w:tcPr>
            <w:tcW w:w="450" w:type="dxa"/>
            <w:gridSpan w:val="3"/>
            <w:tcBorders>
              <w:top w:val="single" w:sz="2" w:space="0" w:color="8E939F"/>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-520 bps</w:t>
            </w:r>
          </w:p>
        </w:tc>
      </w:tr>
    </w:tbl>
    <w:p>
      <w:pPr>
        <w:pStyle w:val="TextBody"/>
        <w:bidi w:val="0"/>
        <w:spacing w:lineRule="auto" w:line="288" w:before="0" w:after="240"/>
        <w:jc w:val="left"/>
        <w:rPr/>
      </w:pPr>
      <w:r>
        <w:rPr>
          <w:rFonts w:ascii="Helvetica Light;sans-serif" w:hAnsi="Helvetica Light;sans-serif"/>
          <w:b w:val="false"/>
          <w:color w:val="000000"/>
          <w:sz w:val="10"/>
        </w:rPr>
        <w:t>(1)</w:t>
      </w:r>
      <w:r>
        <w:rPr>
          <w:color w:val="000000"/>
        </w:rPr>
        <w:t xml:space="preserve"> </w:t>
      </w:r>
      <w:r>
        <w:rPr>
          <w:rFonts w:ascii="Helvetica Light;sans-serif" w:hAnsi="Helvetica Light;sans-serif"/>
          <w:b w:val="false"/>
          <w:color w:val="000000"/>
          <w:sz w:val="16"/>
        </w:rPr>
        <w:t>This metric combines Stellantis-owned brands and Leapmotor vehicles distributed by Leapmotor International, a jointly established, Stellantis-controlled company created in 2024 and owned 51 percent by Stellantis and 49 percent by Leapmotor, to distribute Leapmotor-branded vehicles outside of China. Stellantis does not design, or manufacture Leapmotor-branded vehicles and does not own the Leapmotor brand or intellectual property</w:t>
      </w:r>
    </w:p>
    <w:p>
      <w:pPr>
        <w:pStyle w:val="TextBody"/>
        <w:bidi w:val="0"/>
        <w:spacing w:lineRule="auto" w:line="288" w:before="0" w:after="240"/>
        <w:jc w:val="left"/>
        <w:rPr>
          <w:rFonts w:ascii="Helvetica;sans-serif" w:hAnsi="Helvetica;sans-serif"/>
          <w:b w:val="false"/>
          <w:color w:val="143A84"/>
          <w:sz w:val="20"/>
        </w:rPr>
      </w:pPr>
      <w:r>
        <w:rPr>
          <w:rFonts w:ascii="Helvetica;sans-serif" w:hAnsi="Helvetica;sans-serif"/>
          <w:b w:val="false"/>
          <w:color w:val="143A84"/>
          <w:sz w:val="20"/>
        </w:rPr>
        <w:t>Shipments</w:t>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Shipments in South America were broadly in line in the six months ended June 30, 2026 compared to the corresponding period in 2025 with increases in Brazil relating to FIAT, Leapmotor, Ram and Jeep that were offset by decreases in Argentina relating to FIAT, Peugeot and Jeep and Chile relating to Citroën and Opel.</w:t>
      </w:r>
    </w:p>
    <w:p>
      <w:pPr>
        <w:pStyle w:val="TextBody"/>
        <w:bidi w:val="0"/>
        <w:spacing w:lineRule="auto" w:line="288" w:before="0" w:after="240"/>
        <w:jc w:val="left"/>
        <w:rPr>
          <w:rFonts w:ascii="Helvetica;sans-serif" w:hAnsi="Helvetica;sans-serif"/>
          <w:b w:val="false"/>
          <w:color w:val="143A84"/>
          <w:sz w:val="20"/>
        </w:rPr>
      </w:pPr>
      <w:r>
        <w:rPr>
          <w:rFonts w:ascii="Helvetica;sans-serif" w:hAnsi="Helvetica;sans-serif"/>
          <w:b w:val="false"/>
          <w:color w:val="143A84"/>
          <w:sz w:val="20"/>
        </w:rPr>
        <w:t>Net revenues</w:t>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South America Net revenues increased slightly in the six months ended June 30, 2026 compared to the corresponding period in 2025, primarily due to foreign currency translation impacts.</w:t>
      </w:r>
    </w:p>
    <w:p>
      <w:pPr>
        <w:pStyle w:val="TextBody"/>
        <w:bidi w:val="0"/>
        <w:spacing w:lineRule="auto" w:line="288" w:before="0" w:after="240"/>
        <w:jc w:val="left"/>
        <w:rPr/>
      </w:pPr>
      <w:r>
        <w:rPr>
          <w:rFonts w:ascii="Helvetica;sans-serif" w:hAnsi="Helvetica;sans-serif"/>
          <w:b w:val="false"/>
          <w:color w:val="143A84"/>
          <w:sz w:val="20"/>
        </w:rPr>
        <w:t>Adjusted operating income/(loss)</w:t>
      </w:r>
      <w:r>
        <w:rPr>
          <w:color w:val="000000"/>
        </w:rPr>
        <w:t xml:space="preserve"> </w:t>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The following chart reflects the change in South America Adjusted operating income/(loss) by operational driver for the six months ended June 30, 2026 compared to the same period in 2025.</w:t>
      </w:r>
    </w:p>
    <w:p>
      <w:pPr>
        <w:pStyle w:val="TextBody"/>
        <w:bidi w:val="0"/>
        <w:spacing w:lineRule="auto" w:line="288" w:before="120" w:after="283"/>
        <w:jc w:val="left"/>
        <w:rPr/>
      </w:pPr>
      <w:r>
        <w:rPr>
          <w:rFonts w:ascii="Helvetica Light;sans-serif" w:hAnsi="Helvetica Light;sans-serif"/>
          <w:b w:val="false"/>
          <w:color w:val="000000"/>
          <w:sz w:val="10"/>
        </w:rPr>
        <w:t>8</w:t>
      </w:r>
      <w:r>
        <w:rPr>
          <w:color w:val="000000"/>
        </w:rPr>
        <w:t xml:space="preserve"> </w:t>
      </w:r>
      <w:r>
        <w:rPr>
          <w:rFonts w:ascii="Helvetica Light;sans-serif" w:hAnsi="Helvetica Light;sans-serif"/>
          <w:b w:val="false"/>
          <w:color w:val="000000"/>
          <w:sz w:val="16"/>
        </w:rPr>
        <w:t>Industry and market share information is derived from third-party industry sources (e.g. Agence Nationale des Titres Sécurisés (“ANTS”), Associação Nacional dos Fabricantes de Veículos Automotores (“ANFAVEA”), Ministry of Infrastructure and Sustainable Mobility (“MIMS”), Ward’s Automotive) and internal information</w:t>
      </w:r>
    </w:p>
    <w:p>
      <w:pPr>
        <w:pStyle w:val="TextBody"/>
        <w:bidi w:val="0"/>
        <w:spacing w:before="0" w:after="24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503555"/>
                <wp:effectExtent l="0" t="0" r="0" b="0"/>
                <wp:wrapNone/>
                <wp:docPr id="51" name="Frame39"/>
                <a:graphic xmlns:a="http://schemas.openxmlformats.org/drawingml/2006/main">
                  <a:graphicData uri="http://schemas.microsoft.com/office/word/2010/wordprocessingShape">
                    <wps:wsp>
                      <wps:cNvSpPr txBox="1"/>
                      <wps:spPr>
                        <a:xfrm>
                          <a:off x="0" y="0"/>
                          <a:ext cx="6480175" cy="5035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35</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35</w:t>
                      </w:r>
                    </w:p>
                    <w:p>
                      <w:pPr>
                        <w:pStyle w:val="TextBody"/>
                        <w:bidi w:val="0"/>
                        <w:spacing w:before="0" w:after="24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88" w:before="0" w:after="120"/>
        <w:jc w:val="left"/>
        <w:rPr>
          <w:rFonts w:ascii="Helvetica;sans-serif" w:hAnsi="Helvetica;sans-serif"/>
          <w:b/>
          <w:color w:val="143A84"/>
          <w:sz w:val="18"/>
        </w:rPr>
      </w:pPr>
      <w:r>
        <w:rPr>
          <w:rFonts w:ascii="Helvetica;sans-serif" w:hAnsi="Helvetica;sans-serif"/>
          <w:b/>
          <w:color w:val="143A84"/>
          <w:sz w:val="18"/>
        </w:rPr>
        <w:t>Adjusted operating income/(loss) by operational driver - Six months ended June 30, 2026 compared to the six months ended June 30, 2025 (€ million)</w:t>
      </w:r>
    </w:p>
    <w:p>
      <w:pPr>
        <w:pStyle w:val="TextBody"/>
        <w:bidi w:val="0"/>
        <w:spacing w:before="0" w:after="240"/>
        <w:jc w:val="center"/>
        <w:rPr/>
      </w:pPr>
      <w:r>
        <w:rPr/>
        <w:drawing>
          <wp:inline distT="0" distB="0" distL="0" distR="0">
            <wp:extent cx="6515100" cy="2533650"/>
            <wp:effectExtent l="0" t="0" r="0" b="0"/>
            <wp:docPr id="52"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13" descr=""/>
                    <pic:cNvPicPr>
                      <a:picLocks noChangeAspect="1" noChangeArrowheads="1"/>
                    </pic:cNvPicPr>
                  </pic:nvPicPr>
                  <pic:blipFill>
                    <a:blip r:embed="rId14"/>
                    <a:stretch>
                      <a:fillRect/>
                    </a:stretch>
                  </pic:blipFill>
                  <pic:spPr bwMode="auto">
                    <a:xfrm>
                      <a:off x="0" y="0"/>
                      <a:ext cx="6515100" cy="2533650"/>
                    </a:xfrm>
                    <a:prstGeom prst="rect">
                      <a:avLst/>
                    </a:prstGeom>
                  </pic:spPr>
                </pic:pic>
              </a:graphicData>
            </a:graphic>
          </wp:inline>
        </w:drawing>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 xml:space="preserve">The decrease in South America Adjusted operating income/(loss) in the six months ended June 30, 2026 compared to the same period in 2025 mainly reflects the non-recurrence of Brazilian indirect tax credits of €0.3 million recognized in 2025 and less favorable mix.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Helvetica;sans-serif" w:hAnsi="Helvetica;sans-serif"/>
          <w:b/>
          <w:color w:val="143A84"/>
          <w:sz w:val="18"/>
        </w:rPr>
      </w:pPr>
      <w:r>
        <w:rPr>
          <w:rFonts w:ascii="Helvetica;sans-serif" w:hAnsi="Helvetica;sans-serif"/>
          <w:b/>
          <w:color w:val="143A84"/>
          <w:sz w:val="18"/>
        </w:rPr>
        <w:t>Asia Pacific</w:t>
      </w:r>
    </w:p>
    <w:tbl>
      <w:tblPr>
        <w:tblW w:w="10205" w:type="dxa"/>
        <w:jc w:val="left"/>
        <w:tblInd w:w="0" w:type="dxa"/>
        <w:tblLayout w:type="fixed"/>
        <w:tblCellMar>
          <w:top w:w="28" w:type="dxa"/>
          <w:left w:w="28" w:type="dxa"/>
          <w:bottom w:w="28" w:type="dxa"/>
          <w:right w:w="28" w:type="dxa"/>
        </w:tblCellMar>
      </w:tblPr>
      <w:tblGrid>
        <w:gridCol w:w="248"/>
        <w:gridCol w:w="163"/>
        <w:gridCol w:w="377"/>
        <w:gridCol w:w="151"/>
        <w:gridCol w:w="151"/>
        <w:gridCol w:w="151"/>
        <w:gridCol w:w="218"/>
        <w:gridCol w:w="172"/>
        <w:gridCol w:w="377"/>
        <w:gridCol w:w="109"/>
        <w:gridCol w:w="109"/>
        <w:gridCol w:w="109"/>
        <w:gridCol w:w="298"/>
        <w:gridCol w:w="298"/>
        <w:gridCol w:w="743"/>
        <w:gridCol w:w="109"/>
        <w:gridCol w:w="109"/>
        <w:gridCol w:w="109"/>
        <w:gridCol w:w="730"/>
        <w:gridCol w:w="730"/>
        <w:gridCol w:w="732"/>
        <w:gridCol w:w="109"/>
        <w:gridCol w:w="109"/>
        <w:gridCol w:w="109"/>
        <w:gridCol w:w="249"/>
        <w:gridCol w:w="194"/>
        <w:gridCol w:w="359"/>
        <w:gridCol w:w="144"/>
        <w:gridCol w:w="144"/>
        <w:gridCol w:w="144"/>
        <w:gridCol w:w="200"/>
        <w:gridCol w:w="167"/>
        <w:gridCol w:w="359"/>
        <w:gridCol w:w="109"/>
        <w:gridCol w:w="109"/>
        <w:gridCol w:w="109"/>
        <w:gridCol w:w="282"/>
        <w:gridCol w:w="282"/>
        <w:gridCol w:w="834"/>
      </w:tblGrid>
      <w:tr>
        <w:trPr/>
        <w:tc>
          <w:tcPr>
            <w:tcW w:w="24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r>
      <w:tr>
        <w:trPr/>
        <w:tc>
          <w:tcPr>
            <w:tcW w:w="200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E6E7F4"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Increase/(Decrease)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shd w:fill="E6E7F4"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Increase/(Decrease)</w:t>
            </w:r>
          </w:p>
        </w:tc>
      </w:tr>
      <w:tr>
        <w:trPr/>
        <w:tc>
          <w:tcPr>
            <w:tcW w:w="788"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2026</w:t>
            </w:r>
          </w:p>
        </w:tc>
        <w:tc>
          <w:tcPr>
            <w:tcW w:w="453"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2025</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2026 vs.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2026</w:t>
            </w:r>
          </w:p>
        </w:tc>
        <w:tc>
          <w:tcPr>
            <w:tcW w:w="432"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2025</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2026 vs. 2025</w:t>
            </w:r>
          </w:p>
        </w:tc>
      </w:tr>
      <w:tr>
        <w:trPr/>
        <w:tc>
          <w:tcPr>
            <w:tcW w:w="788"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r>
      <w:tr>
        <w:trPr/>
        <w:tc>
          <w:tcPr>
            <w:tcW w:w="788" w:type="dxa"/>
            <w:gridSpan w:val="3"/>
            <w:tcBorders>
              <w:top w:val="single" w:sz="2" w:space="0" w:color="143A84"/>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16</w:t>
            </w:r>
          </w:p>
        </w:tc>
        <w:tc>
          <w:tcPr>
            <w:tcW w:w="453"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2" w:space="0" w:color="143A84"/>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16</w:t>
            </w:r>
          </w:p>
        </w:tc>
        <w:tc>
          <w:tcPr>
            <w:tcW w:w="327"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top w:val="single" w:sz="2" w:space="0" w:color="143A84"/>
            </w:tcBorders>
            <w:shd w:fill="E6E7F4"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743" w:type="dxa"/>
            <w:tcBorders>
              <w:top w:val="single" w:sz="2" w:space="0" w:color="143A84"/>
            </w:tcBorders>
            <w:shd w:fill="E6E7F4"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327"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3"/>
            <w:tcBorders>
              <w:top w:val="single" w:sz="2" w:space="0" w:color="143A84"/>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Consolidated shipments (thousands of units)</w:t>
            </w:r>
          </w:p>
        </w:tc>
        <w:tc>
          <w:tcPr>
            <w:tcW w:w="327"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2" w:space="0" w:color="143A84"/>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31</w:t>
            </w:r>
          </w:p>
        </w:tc>
        <w:tc>
          <w:tcPr>
            <w:tcW w:w="432"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2" w:space="0" w:color="143A84"/>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29</w:t>
            </w:r>
          </w:p>
        </w:tc>
        <w:tc>
          <w:tcPr>
            <w:tcW w:w="327"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top w:val="single" w:sz="2" w:space="0" w:color="143A84"/>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6.9</w:t>
            </w:r>
          </w:p>
        </w:tc>
        <w:tc>
          <w:tcPr>
            <w:tcW w:w="834" w:type="dxa"/>
            <w:tcBorders>
              <w:top w:val="single" w:sz="2" w:space="0" w:color="143A84"/>
            </w:tcBorders>
            <w:shd w:fill="E6E7F4"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w:t>
            </w:r>
          </w:p>
        </w:tc>
      </w:tr>
      <w:tr>
        <w:trPr/>
        <w:tc>
          <w:tcPr>
            <w:tcW w:w="788"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499</w:t>
            </w:r>
          </w:p>
        </w:tc>
        <w:tc>
          <w:tcPr>
            <w:tcW w:w="453"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524</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(4.8</w:t>
            </w:r>
          </w:p>
        </w:tc>
        <w:tc>
          <w:tcPr>
            <w:tcW w:w="743" w:type="dxa"/>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 xml:space="preserve">Net revenues (€ million) </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934</w:t>
            </w:r>
          </w:p>
        </w:tc>
        <w:tc>
          <w:tcPr>
            <w:tcW w:w="432"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1,010</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(7.5</w:t>
            </w:r>
          </w:p>
        </w:tc>
        <w:tc>
          <w:tcPr>
            <w:tcW w:w="834" w:type="dxa"/>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w:t>
            </w:r>
          </w:p>
        </w:tc>
      </w:tr>
      <w:tr>
        <w:trPr/>
        <w:tc>
          <w:tcPr>
            <w:tcW w:w="788"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27</w:t>
            </w:r>
          </w:p>
        </w:tc>
        <w:tc>
          <w:tcPr>
            <w:tcW w:w="453"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20</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35 </w:t>
            </w:r>
          </w:p>
        </w:tc>
        <w:tc>
          <w:tcPr>
            <w:tcW w:w="743" w:type="dxa"/>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Adjusted operating income/(loss) (€ million)</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(3)</w:t>
            </w:r>
          </w:p>
        </w:tc>
        <w:tc>
          <w:tcPr>
            <w:tcW w:w="432"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0</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n.m.</w:t>
            </w:r>
          </w:p>
        </w:tc>
      </w:tr>
      <w:tr>
        <w:trPr/>
        <w:tc>
          <w:tcPr>
            <w:tcW w:w="411" w:type="dxa"/>
            <w:gridSpan w:val="2"/>
            <w:tcBorders>
              <w:top w:val="single" w:sz="2" w:space="0" w:color="8E939F"/>
              <w:bottom w:val="single" w:sz="2" w:space="0" w:color="8E939F"/>
            </w:tcBorders>
            <w:shd w:fill="F3F3F9" w:val="clear"/>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5.4</w:t>
            </w:r>
          </w:p>
        </w:tc>
        <w:tc>
          <w:tcPr>
            <w:tcW w:w="377" w:type="dxa"/>
            <w:tcBorders>
              <w:top w:val="single" w:sz="2" w:space="0" w:color="8E939F"/>
              <w:bottom w:val="single" w:sz="2" w:space="0" w:color="8E939F"/>
            </w:tcBorders>
            <w:shd w:fill="F3F3F9" w:val="clear"/>
            <w:tcMar>
              <w:top w:w="52"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453" w:type="dxa"/>
            <w:gridSpan w:val="3"/>
            <w:tcBorders>
              <w:top w:val="single" w:sz="2" w:space="0" w:color="8E939F"/>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390" w:type="dxa"/>
            <w:gridSpan w:val="2"/>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3.8</w:t>
            </w:r>
          </w:p>
        </w:tc>
        <w:tc>
          <w:tcPr>
            <w:tcW w:w="377" w:type="dxa"/>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327" w:type="dxa"/>
            <w:gridSpan w:val="3"/>
            <w:tcBorders>
              <w:top w:val="single" w:sz="2" w:space="0" w:color="8E939F"/>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160 bps</w:t>
            </w:r>
          </w:p>
        </w:tc>
        <w:tc>
          <w:tcPr>
            <w:tcW w:w="327" w:type="dxa"/>
            <w:gridSpan w:val="3"/>
            <w:tcBorders>
              <w:top w:val="single" w:sz="2" w:space="0" w:color="8E939F"/>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3"/>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Adjusted operating income/(loss) margin (%)</w:t>
            </w:r>
          </w:p>
        </w:tc>
        <w:tc>
          <w:tcPr>
            <w:tcW w:w="327" w:type="dxa"/>
            <w:gridSpan w:val="3"/>
            <w:tcBorders>
              <w:top w:val="single" w:sz="2" w:space="0" w:color="8E939F"/>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443" w:type="dxa"/>
            <w:gridSpan w:val="2"/>
            <w:tcBorders>
              <w:top w:val="single" w:sz="2" w:space="0" w:color="8E939F"/>
              <w:bottom w:val="single" w:sz="2" w:space="0" w:color="8E939F"/>
            </w:tcBorders>
            <w:shd w:fill="F3F3F9" w:val="clear"/>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(0.3)</w:t>
            </w:r>
          </w:p>
        </w:tc>
        <w:tc>
          <w:tcPr>
            <w:tcW w:w="359" w:type="dxa"/>
            <w:tcBorders>
              <w:top w:val="single" w:sz="2" w:space="0" w:color="8E939F"/>
              <w:bottom w:val="single" w:sz="2" w:space="0" w:color="8E939F"/>
            </w:tcBorders>
            <w:shd w:fill="F3F3F9" w:val="clear"/>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w:t>
            </w:r>
          </w:p>
        </w:tc>
        <w:tc>
          <w:tcPr>
            <w:tcW w:w="432" w:type="dxa"/>
            <w:gridSpan w:val="3"/>
            <w:tcBorders>
              <w:top w:val="single" w:sz="2" w:space="0" w:color="8E939F"/>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367" w:type="dxa"/>
            <w:gridSpan w:val="2"/>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w:t>
            </w:r>
          </w:p>
        </w:tc>
        <w:tc>
          <w:tcPr>
            <w:tcW w:w="359" w:type="dxa"/>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327" w:type="dxa"/>
            <w:gridSpan w:val="3"/>
            <w:tcBorders>
              <w:top w:val="single" w:sz="2" w:space="0" w:color="8E939F"/>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n.m.</w:t>
            </w:r>
          </w:p>
        </w:tc>
      </w:tr>
    </w:tbl>
    <w:p>
      <w:pPr>
        <w:pStyle w:val="TextBody"/>
        <w:bidi w:val="0"/>
        <w:spacing w:lineRule="auto" w:line="288" w:before="0" w:after="240"/>
        <w:jc w:val="left"/>
        <w:rPr>
          <w:rFonts w:ascii="Helvetica Light;sans-serif" w:hAnsi="Helvetica Light;sans-serif"/>
          <w:b w:val="false"/>
          <w:color w:val="000000"/>
          <w:sz w:val="16"/>
        </w:rPr>
      </w:pPr>
      <w:r>
        <w:rPr>
          <w:rFonts w:ascii="Helvetica Light;sans-serif" w:hAnsi="Helvetica Light;sans-serif"/>
          <w:b w:val="false"/>
          <w:color w:val="000000"/>
          <w:sz w:val="16"/>
        </w:rPr>
        <w:t>n.m. = not meaningful</w:t>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 xml:space="preserve">In China, we distribute imported vehicles primarily for the Jeep brand through an asset-light approach. </w:t>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 xml:space="preserve">We produce the Jeep Compass and Jeep Meridian in India through our joint operation Fiat India Automobiles Private Limited and we recognize our related interest in the joint operation on a line-by-line basis. </w:t>
      </w:r>
    </w:p>
    <w:p>
      <w:pPr>
        <w:pStyle w:val="TextBody"/>
        <w:bidi w:val="0"/>
        <w:spacing w:lineRule="auto" w:line="288" w:before="0" w:after="240"/>
        <w:jc w:val="left"/>
        <w:rPr>
          <w:rFonts w:ascii="Helvetica;sans-serif" w:hAnsi="Helvetica;sans-serif"/>
          <w:b w:val="false"/>
          <w:color w:val="143A84"/>
          <w:sz w:val="20"/>
        </w:rPr>
      </w:pPr>
      <w:r>
        <w:rPr>
          <w:rFonts w:ascii="Helvetica;sans-serif" w:hAnsi="Helvetica;sans-serif"/>
          <w:b w:val="false"/>
          <w:color w:val="143A84"/>
          <w:sz w:val="20"/>
        </w:rPr>
        <w:t>Three months ended June 30, 2026</w:t>
      </w:r>
    </w:p>
    <w:p>
      <w:pPr>
        <w:pStyle w:val="TextBody"/>
        <w:bidi w:val="0"/>
        <w:spacing w:lineRule="auto" w:line="343" w:before="0" w:after="240"/>
        <w:jc w:val="left"/>
        <w:rPr/>
      </w:pPr>
      <w:r>
        <w:rPr>
          <w:rFonts w:ascii="Helvetica Light;sans-serif" w:hAnsi="Helvetica Light;sans-serif"/>
          <w:b w:val="false"/>
          <w:color w:val="000000"/>
          <w:sz w:val="20"/>
        </w:rPr>
        <w:t>The following table presents Stellantis market share</w:t>
      </w:r>
      <w:r>
        <w:rPr>
          <w:rFonts w:ascii="Helvetica Light;sans-serif" w:hAnsi="Helvetica Light;sans-serif"/>
          <w:b w:val="false"/>
          <w:color w:val="000000"/>
          <w:sz w:val="13"/>
        </w:rPr>
        <w:t>(9)</w:t>
      </w:r>
      <w:r>
        <w:rPr>
          <w:color w:val="000000"/>
        </w:rPr>
        <w:t xml:space="preserve"> </w:t>
      </w:r>
      <w:r>
        <w:rPr>
          <w:rFonts w:ascii="Helvetica Light;sans-serif" w:hAnsi="Helvetica Light;sans-serif"/>
          <w:b w:val="false"/>
          <w:color w:val="000000"/>
          <w:sz w:val="20"/>
        </w:rPr>
        <w:t xml:space="preserve">and Stellantis and LPM market share for the three months ended June 30, 2026 and 2025. </w:t>
      </w:r>
    </w:p>
    <w:p>
      <w:pPr>
        <w:pStyle w:val="TextBody"/>
        <w:bidi w:val="0"/>
        <w:spacing w:lineRule="auto" w:line="288" w:before="120" w:after="283"/>
        <w:jc w:val="left"/>
        <w:rPr/>
      </w:pPr>
      <w:r>
        <w:rPr>
          <w:rFonts w:ascii="Helvetica Light;sans-serif" w:hAnsi="Helvetica Light;sans-serif"/>
          <w:b w:val="false"/>
          <w:color w:val="000000"/>
          <w:sz w:val="10"/>
        </w:rPr>
        <w:t>9</w:t>
      </w:r>
      <w:r>
        <w:rPr>
          <w:color w:val="000000"/>
        </w:rPr>
        <w:t xml:space="preserve"> </w:t>
      </w:r>
      <w:r>
        <w:rPr>
          <w:rFonts w:ascii="Helvetica Light;sans-serif" w:hAnsi="Helvetica Light;sans-serif"/>
          <w:b w:val="false"/>
          <w:color w:val="000000"/>
          <w:sz w:val="16"/>
        </w:rPr>
        <w:t>Industry and market share information is derived from third-party industry sources (e.g. Agence Nationale des Titres Sécurisés (“ANTS”), Associação Nacional dos Fabricantes de Veículos Automotores (“ANFAVEA”), Ministry of Infrastructure and Sustainable Mobility (“MIMS”), Ward’s Automotive) and internal information</w:t>
      </w:r>
    </w:p>
    <w:p>
      <w:pPr>
        <w:pStyle w:val="TextBody"/>
        <w:bidi w:val="0"/>
        <w:spacing w:before="0" w:after="24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503555"/>
                <wp:effectExtent l="0" t="0" r="0" b="0"/>
                <wp:wrapNone/>
                <wp:docPr id="53" name="Frame40"/>
                <a:graphic xmlns:a="http://schemas.openxmlformats.org/drawingml/2006/main">
                  <a:graphicData uri="http://schemas.microsoft.com/office/word/2010/wordprocessingShape">
                    <wps:wsp>
                      <wps:cNvSpPr txBox="1"/>
                      <wps:spPr>
                        <a:xfrm>
                          <a:off x="0" y="0"/>
                          <a:ext cx="6480175" cy="5035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36</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36</w:t>
                      </w:r>
                    </w:p>
                    <w:p>
                      <w:pPr>
                        <w:pStyle w:val="TextBody"/>
                        <w:bidi w:val="0"/>
                        <w:spacing w:before="0" w:after="24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tbl>
      <w:tblPr>
        <w:tblW w:w="10205" w:type="dxa"/>
        <w:jc w:val="left"/>
        <w:tblInd w:w="0" w:type="dxa"/>
        <w:tblLayout w:type="fixed"/>
        <w:tblCellMar>
          <w:top w:w="28" w:type="dxa"/>
          <w:left w:w="28" w:type="dxa"/>
          <w:bottom w:w="28" w:type="dxa"/>
          <w:right w:w="28" w:type="dxa"/>
        </w:tblCellMar>
      </w:tblPr>
      <w:tblGrid>
        <w:gridCol w:w="360"/>
        <w:gridCol w:w="316"/>
        <w:gridCol w:w="319"/>
        <w:gridCol w:w="109"/>
        <w:gridCol w:w="109"/>
        <w:gridCol w:w="109"/>
        <w:gridCol w:w="205"/>
        <w:gridCol w:w="204"/>
        <w:gridCol w:w="471"/>
        <w:gridCol w:w="188"/>
        <w:gridCol w:w="188"/>
        <w:gridCol w:w="188"/>
        <w:gridCol w:w="205"/>
        <w:gridCol w:w="204"/>
        <w:gridCol w:w="471"/>
        <w:gridCol w:w="114"/>
        <w:gridCol w:w="114"/>
        <w:gridCol w:w="114"/>
        <w:gridCol w:w="506"/>
        <w:gridCol w:w="506"/>
        <w:gridCol w:w="507"/>
        <w:gridCol w:w="109"/>
        <w:gridCol w:w="109"/>
        <w:gridCol w:w="109"/>
        <w:gridCol w:w="205"/>
        <w:gridCol w:w="204"/>
        <w:gridCol w:w="469"/>
        <w:gridCol w:w="188"/>
        <w:gridCol w:w="188"/>
        <w:gridCol w:w="188"/>
        <w:gridCol w:w="205"/>
        <w:gridCol w:w="204"/>
        <w:gridCol w:w="469"/>
        <w:gridCol w:w="158"/>
        <w:gridCol w:w="158"/>
        <w:gridCol w:w="158"/>
        <w:gridCol w:w="457"/>
        <w:gridCol w:w="457"/>
        <w:gridCol w:w="663"/>
      </w:tblGrid>
      <w:tr>
        <w:trPr/>
        <w:tc>
          <w:tcPr>
            <w:tcW w:w="36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r>
      <w:tr>
        <w:trPr/>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5"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Stellantis market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1" w:type="dxa"/>
            <w:gridSpan w:val="15"/>
            <w:tcBorders/>
            <w:tcMar>
              <w:top w:w="0" w:type="dxa"/>
              <w:left w:w="0" w:type="dxa"/>
              <w:bottom w:w="0" w:type="dxa"/>
              <w:right w:w="0" w:type="dxa"/>
            </w:tcMar>
            <w:vAlign w:val="center"/>
          </w:tcPr>
          <w:p>
            <w:pPr>
              <w:pStyle w:val="TableContents"/>
              <w:bidi w:val="0"/>
              <w:spacing w:lineRule="auto" w:line="288" w:before="0" w:after="0"/>
              <w:jc w:val="center"/>
              <w:rPr/>
            </w:pPr>
            <w:r>
              <w:rPr>
                <w:rFonts w:ascii="Helvetica;sans-serif" w:hAnsi="Helvetica;sans-serif"/>
                <w:b/>
                <w:color w:val="243782"/>
                <w:sz w:val="18"/>
              </w:rPr>
              <w:t>Stellantis and LPM</w:t>
            </w:r>
            <w:r>
              <w:rPr>
                <w:rFonts w:ascii="Helvetica;sans-serif" w:hAnsi="Helvetica;sans-serif"/>
                <w:b/>
                <w:color w:val="243782"/>
                <w:sz w:val="12"/>
              </w:rPr>
              <w:t>(1)</w:t>
            </w:r>
            <w:r>
              <w:rPr>
                <w:color w:val="243782"/>
              </w:rPr>
              <w:t xml:space="preserve"> </w:t>
            </w:r>
            <w:r>
              <w:rPr>
                <w:rFonts w:ascii="Helvetica;sans-serif" w:hAnsi="Helvetica;sans-serif"/>
                <w:b/>
                <w:color w:val="243782"/>
                <w:sz w:val="18"/>
              </w:rPr>
              <w:t>market share</w:t>
            </w:r>
          </w:p>
        </w:tc>
      </w:tr>
      <w:tr>
        <w:trPr/>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9"/>
            <w:tcBorders>
              <w:top w:val="single" w:sz="2" w:space="0" w:color="143A84"/>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7"/>
              </w:rPr>
            </w:pPr>
            <w:r>
              <w:rPr>
                <w:rFonts w:ascii="Helvetica;sans-serif" w:hAnsi="Helvetica;sans-serif"/>
                <w:b/>
                <w:color w:val="243782"/>
                <w:sz w:val="17"/>
              </w:rPr>
              <w:t>Three months ended June 30,</w:t>
            </w:r>
          </w:p>
        </w:tc>
        <w:tc>
          <w:tcPr>
            <w:tcW w:w="342"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top w:val="single" w:sz="2" w:space="0" w:color="143A84"/>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7"/>
              </w:rPr>
            </w:pPr>
            <w:r>
              <w:rPr>
                <w:rFonts w:ascii="Helvetica;sans-serif" w:hAnsi="Helvetica;sans-serif"/>
                <w:b/>
                <w:color w:val="243782"/>
                <w:sz w:val="17"/>
              </w:rPr>
              <w:t>Increase/(Decrease)</w:t>
            </w:r>
          </w:p>
        </w:tc>
        <w:tc>
          <w:tcPr>
            <w:tcW w:w="327"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9"/>
            <w:tcBorders>
              <w:top w:val="single" w:sz="2" w:space="0" w:color="143A84"/>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7"/>
              </w:rPr>
            </w:pPr>
            <w:r>
              <w:rPr>
                <w:rFonts w:ascii="Helvetica;sans-serif" w:hAnsi="Helvetica;sans-serif"/>
                <w:b/>
                <w:color w:val="243782"/>
                <w:sz w:val="17"/>
              </w:rPr>
              <w:t>Three months ended June 30,</w:t>
            </w:r>
          </w:p>
        </w:tc>
        <w:tc>
          <w:tcPr>
            <w:tcW w:w="474"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op w:val="single" w:sz="2" w:space="0" w:color="143A84"/>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7"/>
              </w:rPr>
            </w:pPr>
            <w:r>
              <w:rPr>
                <w:rFonts w:ascii="Helvetica;sans-serif" w:hAnsi="Helvetica;sans-serif"/>
                <w:b/>
                <w:color w:val="243782"/>
                <w:sz w:val="17"/>
              </w:rPr>
              <w:t>Increase/(Decrease)</w:t>
            </w:r>
          </w:p>
        </w:tc>
      </w:tr>
      <w:tr>
        <w:trPr/>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2026</w:t>
            </w:r>
          </w:p>
        </w:tc>
        <w:tc>
          <w:tcPr>
            <w:tcW w:w="564"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2025</w:t>
            </w:r>
          </w:p>
        </w:tc>
        <w:tc>
          <w:tcPr>
            <w:tcW w:w="342"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2026 vs. 2025</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2026</w:t>
            </w:r>
          </w:p>
        </w:tc>
        <w:tc>
          <w:tcPr>
            <w:tcW w:w="564"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2025</w:t>
            </w:r>
          </w:p>
        </w:tc>
        <w:tc>
          <w:tcPr>
            <w:tcW w:w="474"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2026 vs. 2025</w:t>
            </w:r>
          </w:p>
        </w:tc>
      </w:tr>
      <w:tr>
        <w:trPr/>
        <w:tc>
          <w:tcPr>
            <w:tcW w:w="995" w:type="dxa"/>
            <w:gridSpan w:val="3"/>
            <w:tcBorders>
              <w:top w:val="single" w:sz="2" w:space="0" w:color="143A84"/>
              <w:bottom w:val="single" w:sz="2" w:space="0" w:color="8E939F"/>
            </w:tcBorders>
            <w:tcMar>
              <w:top w:w="52" w:type="dxa"/>
              <w:left w:w="0" w:type="dxa"/>
              <w:bottom w:w="30" w:type="dxa"/>
              <w:right w:w="0" w:type="dxa"/>
            </w:tcMar>
            <w:vAlign w:val="center"/>
          </w:tcPr>
          <w:p>
            <w:pPr>
              <w:pStyle w:val="TableContents"/>
              <w:bidi w:val="0"/>
              <w:spacing w:lineRule="auto" w:line="288" w:before="0" w:after="0"/>
              <w:jc w:val="left"/>
              <w:rPr>
                <w:rFonts w:ascii="Helvetica;sans-serif" w:hAnsi="Helvetica;sans-serif"/>
                <w:b w:val="false"/>
                <w:color w:val="000000"/>
                <w:sz w:val="18"/>
              </w:rPr>
            </w:pPr>
            <w:r>
              <w:rPr>
                <w:rFonts w:ascii="Helvetica;sans-serif" w:hAnsi="Helvetica;sans-serif"/>
                <w:b w:val="false"/>
                <w:color w:val="000000"/>
                <w:sz w:val="18"/>
              </w:rPr>
              <w:t>Asia Pacific</w:t>
            </w:r>
          </w:p>
        </w:tc>
        <w:tc>
          <w:tcPr>
            <w:tcW w:w="327" w:type="dxa"/>
            <w:gridSpan w:val="3"/>
            <w:tcBorders>
              <w:top w:val="single" w:sz="2" w:space="0" w:color="143A84"/>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409" w:type="dxa"/>
            <w:gridSpan w:val="2"/>
            <w:tcBorders>
              <w:top w:val="single" w:sz="2" w:space="0" w:color="143A84"/>
              <w:bottom w:val="single" w:sz="2" w:space="0" w:color="8E939F"/>
            </w:tcBorders>
            <w:shd w:fill="F3F3F9" w:val="clear"/>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0.2 </w:t>
            </w:r>
          </w:p>
        </w:tc>
        <w:tc>
          <w:tcPr>
            <w:tcW w:w="471" w:type="dxa"/>
            <w:tcBorders>
              <w:top w:val="single" w:sz="2" w:space="0" w:color="143A84"/>
              <w:bottom w:val="single" w:sz="2" w:space="0" w:color="8E939F"/>
            </w:tcBorders>
            <w:shd w:fill="F3F3F9" w:val="clear"/>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w:t>
            </w:r>
          </w:p>
        </w:tc>
        <w:tc>
          <w:tcPr>
            <w:tcW w:w="564" w:type="dxa"/>
            <w:gridSpan w:val="3"/>
            <w:tcBorders>
              <w:top w:val="single" w:sz="2" w:space="0" w:color="143A84"/>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409" w:type="dxa"/>
            <w:gridSpan w:val="2"/>
            <w:tcBorders>
              <w:top w:val="single" w:sz="2" w:space="0" w:color="143A84"/>
              <w:bottom w:val="single" w:sz="2" w:space="0" w:color="8E939F"/>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0.3 </w:t>
            </w:r>
          </w:p>
        </w:tc>
        <w:tc>
          <w:tcPr>
            <w:tcW w:w="471" w:type="dxa"/>
            <w:tcBorders>
              <w:top w:val="single" w:sz="2" w:space="0" w:color="143A84"/>
              <w:bottom w:val="single" w:sz="2" w:space="0" w:color="8E939F"/>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w:t>
            </w:r>
          </w:p>
        </w:tc>
        <w:tc>
          <w:tcPr>
            <w:tcW w:w="342" w:type="dxa"/>
            <w:gridSpan w:val="3"/>
            <w:tcBorders>
              <w:top w:val="single" w:sz="2" w:space="0" w:color="143A84"/>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top w:val="single" w:sz="2" w:space="0" w:color="143A84"/>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-10 bps</w:t>
            </w:r>
          </w:p>
        </w:tc>
        <w:tc>
          <w:tcPr>
            <w:tcW w:w="327" w:type="dxa"/>
            <w:gridSpan w:val="3"/>
            <w:tcBorders>
              <w:top w:val="single" w:sz="2" w:space="0" w:color="143A84"/>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409" w:type="dxa"/>
            <w:gridSpan w:val="2"/>
            <w:tcBorders>
              <w:top w:val="single" w:sz="2" w:space="0" w:color="143A84"/>
              <w:bottom w:val="single" w:sz="2" w:space="0" w:color="8E939F"/>
            </w:tcBorders>
            <w:shd w:fill="F3F3F9" w:val="clear"/>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0.3 </w:t>
            </w:r>
          </w:p>
        </w:tc>
        <w:tc>
          <w:tcPr>
            <w:tcW w:w="469" w:type="dxa"/>
            <w:tcBorders>
              <w:top w:val="single" w:sz="2" w:space="0" w:color="143A84"/>
              <w:bottom w:val="single" w:sz="2" w:space="0" w:color="8E939F"/>
            </w:tcBorders>
            <w:shd w:fill="F3F3F9" w:val="clear"/>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w:t>
            </w:r>
          </w:p>
        </w:tc>
        <w:tc>
          <w:tcPr>
            <w:tcW w:w="564" w:type="dxa"/>
            <w:gridSpan w:val="3"/>
            <w:tcBorders>
              <w:top w:val="single" w:sz="2" w:space="0" w:color="143A84"/>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409" w:type="dxa"/>
            <w:gridSpan w:val="2"/>
            <w:tcBorders>
              <w:top w:val="single" w:sz="2" w:space="0" w:color="143A84"/>
              <w:bottom w:val="single" w:sz="2" w:space="0" w:color="8E939F"/>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0.3 </w:t>
            </w:r>
          </w:p>
        </w:tc>
        <w:tc>
          <w:tcPr>
            <w:tcW w:w="469" w:type="dxa"/>
            <w:tcBorders>
              <w:top w:val="single" w:sz="2" w:space="0" w:color="143A84"/>
              <w:bottom w:val="single" w:sz="2" w:space="0" w:color="8E939F"/>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w:t>
            </w:r>
          </w:p>
        </w:tc>
        <w:tc>
          <w:tcPr>
            <w:tcW w:w="474" w:type="dxa"/>
            <w:gridSpan w:val="3"/>
            <w:tcBorders>
              <w:top w:val="single" w:sz="2" w:space="0" w:color="143A84"/>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op w:val="single" w:sz="2" w:space="0" w:color="143A84"/>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n.m.</w:t>
            </w:r>
          </w:p>
        </w:tc>
      </w:tr>
    </w:tbl>
    <w:p>
      <w:pPr>
        <w:pStyle w:val="TextBody"/>
        <w:bidi w:val="0"/>
        <w:spacing w:lineRule="auto" w:line="288" w:before="120" w:after="283"/>
        <w:jc w:val="left"/>
        <w:rPr>
          <w:rFonts w:ascii="Helvetica Light;sans-serif" w:hAnsi="Helvetica Light;sans-serif"/>
          <w:b w:val="false"/>
          <w:color w:val="000000"/>
          <w:sz w:val="16"/>
        </w:rPr>
      </w:pPr>
      <w:r>
        <w:rPr>
          <w:rFonts w:ascii="Helvetica Light;sans-serif" w:hAnsi="Helvetica Light;sans-serif"/>
          <w:b w:val="false"/>
          <w:color w:val="000000"/>
          <w:sz w:val="16"/>
        </w:rPr>
        <w:t>n.m. = not meaningful</w:t>
      </w:r>
    </w:p>
    <w:p>
      <w:pPr>
        <w:pStyle w:val="TextBody"/>
        <w:bidi w:val="0"/>
        <w:spacing w:lineRule="auto" w:line="288" w:before="0" w:after="0"/>
        <w:jc w:val="left"/>
        <w:rPr/>
      </w:pPr>
      <w:r>
        <w:rPr>
          <w:rFonts w:ascii="Helvetica Light;sans-serif" w:hAnsi="Helvetica Light;sans-serif"/>
          <w:b w:val="false"/>
          <w:color w:val="000000"/>
          <w:sz w:val="10"/>
        </w:rPr>
        <w:t>(1)</w:t>
      </w:r>
      <w:r>
        <w:rPr>
          <w:color w:val="000000"/>
        </w:rPr>
        <w:t xml:space="preserve"> </w:t>
      </w:r>
      <w:r>
        <w:rPr>
          <w:rFonts w:ascii="Helvetica Light;sans-serif" w:hAnsi="Helvetica Light;sans-serif"/>
          <w:b w:val="false"/>
          <w:color w:val="000000"/>
          <w:sz w:val="16"/>
        </w:rPr>
        <w:t>This metric combines Stellantis-owned brands and Leapmotor vehicles distributed by Leapmotor International, a jointly established, Stellantis-controlled company created in 2024 and owned 51 percent by Stellantis and 49 percent by Leapmotor, to distribute Leapmotor-branded vehicles outside of China. Stellantis does not design, or manufacture Leapmotor-branded vehicles and does not own the Leapmotor brand or intellectual property</w:t>
      </w:r>
    </w:p>
    <w:p>
      <w:pPr>
        <w:pStyle w:val="TextBody"/>
        <w:bidi w:val="0"/>
        <w:spacing w:before="0" w:after="0"/>
        <w:jc w:val="left"/>
        <w:rPr/>
      </w:pPr>
      <w:r>
        <w:rPr/>
      </w:r>
    </w:p>
    <w:p>
      <w:pPr>
        <w:pStyle w:val="TextBody"/>
        <w:bidi w:val="0"/>
        <w:spacing w:lineRule="auto" w:line="288" w:before="0" w:after="240"/>
        <w:jc w:val="left"/>
        <w:rPr>
          <w:rFonts w:ascii="Helvetica;sans-serif" w:hAnsi="Helvetica;sans-serif"/>
          <w:b w:val="false"/>
          <w:color w:val="143A84"/>
          <w:sz w:val="20"/>
        </w:rPr>
      </w:pPr>
      <w:r>
        <w:rPr>
          <w:rFonts w:ascii="Helvetica;sans-serif" w:hAnsi="Helvetica;sans-serif"/>
          <w:b w:val="false"/>
          <w:color w:val="143A84"/>
          <w:sz w:val="20"/>
        </w:rPr>
        <w:t>Shipments</w:t>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Asia Pacific consolidated shipments in the three months ended June 30, 2026 compared to the corresponding period in 2025 were relatively flat, reflecting higher volumes in South East Asia and India, partially offset by lower volumes in South Korea and Japan.</w:t>
      </w:r>
    </w:p>
    <w:p>
      <w:pPr>
        <w:pStyle w:val="TextBody"/>
        <w:bidi w:val="0"/>
        <w:spacing w:lineRule="auto" w:line="288" w:before="0" w:after="240"/>
        <w:jc w:val="left"/>
        <w:rPr>
          <w:rFonts w:ascii="Helvetica;sans-serif" w:hAnsi="Helvetica;sans-serif"/>
          <w:b w:val="false"/>
          <w:color w:val="143A84"/>
          <w:sz w:val="20"/>
        </w:rPr>
      </w:pPr>
      <w:r>
        <w:rPr>
          <w:rFonts w:ascii="Helvetica;sans-serif" w:hAnsi="Helvetica;sans-serif"/>
          <w:b w:val="false"/>
          <w:color w:val="143A84"/>
          <w:sz w:val="20"/>
        </w:rPr>
        <w:t xml:space="preserve">Net revenues </w:t>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The decrease in Asia Pacific Net revenues in the three months ended June 30, 2026 compared to the corresponding period in 2025 was primarily driven by unfavorable mix and negative foreign exchange translation effects more than offsetting higher volumes and positive net pricing.</w:t>
      </w:r>
    </w:p>
    <w:p>
      <w:pPr>
        <w:pStyle w:val="TextBody"/>
        <w:bidi w:val="0"/>
        <w:spacing w:lineRule="auto" w:line="288" w:before="0" w:after="240"/>
        <w:jc w:val="left"/>
        <w:rPr>
          <w:rFonts w:ascii="Helvetica;sans-serif" w:hAnsi="Helvetica;sans-serif"/>
          <w:b w:val="false"/>
          <w:color w:val="143A84"/>
          <w:sz w:val="20"/>
        </w:rPr>
      </w:pPr>
      <w:r>
        <w:rPr>
          <w:rFonts w:ascii="Helvetica;sans-serif" w:hAnsi="Helvetica;sans-serif"/>
          <w:b w:val="false"/>
          <w:color w:val="143A84"/>
          <w:sz w:val="20"/>
        </w:rPr>
        <w:t>Adjusted operating income/(loss)</w:t>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The following chart reflects the change in Asia Pacific Adjusted operating income by operational driver for the three months ended June 30, 2026 compared to the same period in 2025.</w:t>
      </w:r>
    </w:p>
    <w:p>
      <w:pPr>
        <w:pStyle w:val="TextBody"/>
        <w:bidi w:val="0"/>
        <w:spacing w:lineRule="auto" w:line="288" w:before="0" w:after="120"/>
        <w:jc w:val="left"/>
        <w:rPr/>
      </w:pPr>
      <w:r>
        <w:rPr>
          <w:rFonts w:ascii="Helvetica;sans-serif" w:hAnsi="Helvetica;sans-serif"/>
          <w:b/>
          <w:color w:val="143A84"/>
          <w:sz w:val="18"/>
        </w:rPr>
        <w:t>Adjusted operating income/(loss) by operational driver - Three months ended June 30, 2026 compared to the three months ended June 30, 2025 (€ million)</w:t>
      </w:r>
      <w:r>
        <w:rPr>
          <w:color w:val="000000"/>
        </w:rPr>
        <w:t xml:space="preserve"> </w:t>
      </w:r>
    </w:p>
    <w:p>
      <w:pPr>
        <w:pStyle w:val="TextBody"/>
        <w:bidi w:val="0"/>
        <w:spacing w:before="0" w:after="240"/>
        <w:jc w:val="center"/>
        <w:rPr/>
      </w:pPr>
      <w:r>
        <w:rPr/>
        <w:drawing>
          <wp:inline distT="0" distB="0" distL="0" distR="0">
            <wp:extent cx="6515100" cy="2533650"/>
            <wp:effectExtent l="0" t="0" r="0" b="0"/>
            <wp:docPr id="5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14" descr=""/>
                    <pic:cNvPicPr>
                      <a:picLocks noChangeAspect="1" noChangeArrowheads="1"/>
                    </pic:cNvPicPr>
                  </pic:nvPicPr>
                  <pic:blipFill>
                    <a:blip r:embed="rId15"/>
                    <a:stretch>
                      <a:fillRect/>
                    </a:stretch>
                  </pic:blipFill>
                  <pic:spPr bwMode="auto">
                    <a:xfrm>
                      <a:off x="0" y="0"/>
                      <a:ext cx="6515100" cy="2533650"/>
                    </a:xfrm>
                    <a:prstGeom prst="rect">
                      <a:avLst/>
                    </a:prstGeom>
                  </pic:spPr>
                </pic:pic>
              </a:graphicData>
            </a:graphic>
          </wp:inline>
        </w:drawing>
      </w:r>
    </w:p>
    <w:p>
      <w:pPr>
        <w:pStyle w:val="TextBody"/>
        <w:bidi w:val="0"/>
        <w:spacing w:lineRule="auto" w:line="343" w:before="0" w:after="240"/>
        <w:jc w:val="left"/>
        <w:rPr/>
      </w:pPr>
      <w:r>
        <w:rPr>
          <w:rFonts w:ascii="Helvetica Light;sans-serif" w:hAnsi="Helvetica Light;sans-serif"/>
          <w:b w:val="false"/>
          <w:color w:val="000000"/>
          <w:sz w:val="20"/>
        </w:rPr>
        <w:t>The increase in Asia Pacific Adjusted operating income/(loss) in the three months ended June 30, 2026 compared to the same period in 2025 was primarily due to</w:t>
      </w:r>
      <w:r>
        <w:rPr>
          <w:color w:val="000000"/>
        </w:rPr>
        <w:t xml:space="preserve"> </w:t>
      </w:r>
      <w:r>
        <w:rPr>
          <w:rFonts w:ascii="Helvetica Light;sans-serif" w:hAnsi="Helvetica Light;sans-serif"/>
          <w:b w:val="false"/>
          <w:color w:val="000000"/>
          <w:sz w:val="20"/>
        </w:rPr>
        <w:t>improved industrial costs, positive net pricing and favorable mix, partially offset by unfavorable foreign exchange effects mainly from the Japanese Yen and the Indian Rupee.</w:t>
      </w:r>
    </w:p>
    <w:p>
      <w:pPr>
        <w:pStyle w:val="TextBody"/>
        <w:bidi w:val="0"/>
        <w:spacing w:before="0" w:after="24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503555"/>
                <wp:effectExtent l="0" t="0" r="0" b="0"/>
                <wp:wrapNone/>
                <wp:docPr id="55" name="Frame41"/>
                <a:graphic xmlns:a="http://schemas.openxmlformats.org/drawingml/2006/main">
                  <a:graphicData uri="http://schemas.microsoft.com/office/word/2010/wordprocessingShape">
                    <wps:wsp>
                      <wps:cNvSpPr txBox="1"/>
                      <wps:spPr>
                        <a:xfrm>
                          <a:off x="0" y="0"/>
                          <a:ext cx="6480175" cy="5035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37</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37</w:t>
                      </w:r>
                    </w:p>
                    <w:p>
                      <w:pPr>
                        <w:pStyle w:val="TextBody"/>
                        <w:bidi w:val="0"/>
                        <w:spacing w:before="0" w:after="24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88" w:before="0" w:after="240"/>
        <w:jc w:val="left"/>
        <w:rPr>
          <w:rFonts w:ascii="Helvetica;sans-serif" w:hAnsi="Helvetica;sans-serif"/>
          <w:b w:val="false"/>
          <w:color w:val="143A84"/>
          <w:sz w:val="20"/>
        </w:rPr>
      </w:pPr>
      <w:r>
        <w:rPr>
          <w:rFonts w:ascii="Helvetica;sans-serif" w:hAnsi="Helvetica;sans-serif"/>
          <w:b w:val="false"/>
          <w:color w:val="143A84"/>
          <w:sz w:val="20"/>
        </w:rPr>
        <w:t>Six Months Ended June 30, 2026</w:t>
      </w:r>
    </w:p>
    <w:p>
      <w:pPr>
        <w:pStyle w:val="TextBody"/>
        <w:bidi w:val="0"/>
        <w:spacing w:lineRule="auto" w:line="343" w:before="0" w:after="240"/>
        <w:jc w:val="left"/>
        <w:rPr/>
      </w:pPr>
      <w:r>
        <w:rPr>
          <w:rFonts w:ascii="Helvetica Light;sans-serif" w:hAnsi="Helvetica Light;sans-serif"/>
          <w:b w:val="false"/>
          <w:color w:val="000000"/>
          <w:sz w:val="20"/>
        </w:rPr>
        <w:t>The following table presents Stellantis market share</w:t>
      </w:r>
      <w:r>
        <w:rPr>
          <w:rFonts w:ascii="Helvetica Light;sans-serif" w:hAnsi="Helvetica Light;sans-serif"/>
          <w:b w:val="false"/>
          <w:color w:val="000000"/>
          <w:sz w:val="13"/>
        </w:rPr>
        <w:t>(10)</w:t>
      </w:r>
      <w:r>
        <w:rPr>
          <w:color w:val="000000"/>
        </w:rPr>
        <w:t xml:space="preserve"> </w:t>
      </w:r>
      <w:r>
        <w:rPr>
          <w:rFonts w:ascii="Helvetica Light;sans-serif" w:hAnsi="Helvetica Light;sans-serif"/>
          <w:b w:val="false"/>
          <w:color w:val="000000"/>
          <w:sz w:val="20"/>
        </w:rPr>
        <w:t xml:space="preserve">and Stellantis and LPM market share for the six months ended June 30, 2026 and 2025. </w:t>
      </w:r>
    </w:p>
    <w:tbl>
      <w:tblPr>
        <w:tblW w:w="10205" w:type="dxa"/>
        <w:jc w:val="left"/>
        <w:tblInd w:w="0" w:type="dxa"/>
        <w:tblLayout w:type="fixed"/>
        <w:tblCellMar>
          <w:top w:w="28" w:type="dxa"/>
          <w:left w:w="28" w:type="dxa"/>
          <w:bottom w:w="28" w:type="dxa"/>
          <w:right w:w="28" w:type="dxa"/>
        </w:tblCellMar>
      </w:tblPr>
      <w:tblGrid>
        <w:gridCol w:w="368"/>
        <w:gridCol w:w="323"/>
        <w:gridCol w:w="326"/>
        <w:gridCol w:w="109"/>
        <w:gridCol w:w="109"/>
        <w:gridCol w:w="109"/>
        <w:gridCol w:w="232"/>
        <w:gridCol w:w="185"/>
        <w:gridCol w:w="446"/>
        <w:gridCol w:w="178"/>
        <w:gridCol w:w="178"/>
        <w:gridCol w:w="178"/>
        <w:gridCol w:w="232"/>
        <w:gridCol w:w="185"/>
        <w:gridCol w:w="446"/>
        <w:gridCol w:w="115"/>
        <w:gridCol w:w="115"/>
        <w:gridCol w:w="115"/>
        <w:gridCol w:w="520"/>
        <w:gridCol w:w="520"/>
        <w:gridCol w:w="522"/>
        <w:gridCol w:w="109"/>
        <w:gridCol w:w="109"/>
        <w:gridCol w:w="109"/>
        <w:gridCol w:w="232"/>
        <w:gridCol w:w="186"/>
        <w:gridCol w:w="444"/>
        <w:gridCol w:w="179"/>
        <w:gridCol w:w="179"/>
        <w:gridCol w:w="179"/>
        <w:gridCol w:w="232"/>
        <w:gridCol w:w="186"/>
        <w:gridCol w:w="444"/>
        <w:gridCol w:w="161"/>
        <w:gridCol w:w="161"/>
        <w:gridCol w:w="161"/>
        <w:gridCol w:w="470"/>
        <w:gridCol w:w="470"/>
        <w:gridCol w:w="683"/>
      </w:tblGrid>
      <w:tr>
        <w:trPr/>
        <w:tc>
          <w:tcPr>
            <w:tcW w:w="368"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r>
      <w:tr>
        <w:trPr/>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Stellantis market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7" w:type="dxa"/>
            <w:gridSpan w:val="15"/>
            <w:tcBorders/>
            <w:tcMar>
              <w:top w:w="0" w:type="dxa"/>
              <w:left w:w="0" w:type="dxa"/>
              <w:bottom w:w="0" w:type="dxa"/>
              <w:right w:w="0" w:type="dxa"/>
            </w:tcMar>
            <w:vAlign w:val="center"/>
          </w:tcPr>
          <w:p>
            <w:pPr>
              <w:pStyle w:val="TableContents"/>
              <w:bidi w:val="0"/>
              <w:spacing w:lineRule="auto" w:line="288" w:before="0" w:after="0"/>
              <w:jc w:val="center"/>
              <w:rPr/>
            </w:pPr>
            <w:r>
              <w:rPr>
                <w:rFonts w:ascii="Helvetica;sans-serif" w:hAnsi="Helvetica;sans-serif"/>
                <w:b/>
                <w:color w:val="243782"/>
                <w:sz w:val="18"/>
              </w:rPr>
              <w:t>Stellantis and LPM</w:t>
            </w:r>
            <w:r>
              <w:rPr>
                <w:rFonts w:ascii="Helvetica;sans-serif" w:hAnsi="Helvetica;sans-serif"/>
                <w:b/>
                <w:color w:val="243782"/>
                <w:sz w:val="12"/>
              </w:rPr>
              <w:t>(1)</w:t>
            </w:r>
            <w:r>
              <w:rPr>
                <w:color w:val="243782"/>
              </w:rPr>
              <w:t xml:space="preserve"> </w:t>
            </w:r>
            <w:r>
              <w:rPr>
                <w:rFonts w:ascii="Helvetica;sans-serif" w:hAnsi="Helvetica;sans-serif"/>
                <w:b/>
                <w:color w:val="243782"/>
                <w:sz w:val="18"/>
              </w:rPr>
              <w:t>market share</w:t>
            </w:r>
          </w:p>
        </w:tc>
      </w:tr>
      <w:tr>
        <w:trPr/>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0" w:type="dxa"/>
            <w:gridSpan w:val="9"/>
            <w:tcBorders>
              <w:top w:val="single" w:sz="2" w:space="0" w:color="143A84"/>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7"/>
              </w:rPr>
            </w:pPr>
            <w:r>
              <w:rPr>
                <w:rFonts w:ascii="Helvetica;sans-serif" w:hAnsi="Helvetica;sans-serif"/>
                <w:b/>
                <w:color w:val="243782"/>
                <w:sz w:val="17"/>
              </w:rPr>
              <w:t>Six Months Ended June 30,</w:t>
            </w:r>
          </w:p>
        </w:tc>
        <w:tc>
          <w:tcPr>
            <w:tcW w:w="345"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top w:val="single" w:sz="2" w:space="0" w:color="143A84"/>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7"/>
              </w:rPr>
            </w:pPr>
            <w:r>
              <w:rPr>
                <w:rFonts w:ascii="Helvetica;sans-serif" w:hAnsi="Helvetica;sans-serif"/>
                <w:b/>
                <w:color w:val="243782"/>
                <w:sz w:val="17"/>
              </w:rPr>
              <w:t>Increase/(Decrease)</w:t>
            </w:r>
          </w:p>
        </w:tc>
        <w:tc>
          <w:tcPr>
            <w:tcW w:w="327"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1" w:type="dxa"/>
            <w:gridSpan w:val="9"/>
            <w:tcBorders>
              <w:top w:val="single" w:sz="2" w:space="0" w:color="143A84"/>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7"/>
              </w:rPr>
            </w:pPr>
            <w:r>
              <w:rPr>
                <w:rFonts w:ascii="Helvetica;sans-serif" w:hAnsi="Helvetica;sans-serif"/>
                <w:b/>
                <w:color w:val="243782"/>
                <w:sz w:val="17"/>
              </w:rPr>
              <w:t>Six Months Ended June 30,</w:t>
            </w:r>
          </w:p>
        </w:tc>
        <w:tc>
          <w:tcPr>
            <w:tcW w:w="483"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top w:val="single" w:sz="2" w:space="0" w:color="143A84"/>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7"/>
              </w:rPr>
            </w:pPr>
            <w:r>
              <w:rPr>
                <w:rFonts w:ascii="Helvetica;sans-serif" w:hAnsi="Helvetica;sans-serif"/>
                <w:b/>
                <w:color w:val="243782"/>
                <w:sz w:val="17"/>
              </w:rPr>
              <w:t>Increase/(Decrease)</w:t>
            </w:r>
          </w:p>
        </w:tc>
      </w:tr>
      <w:tr>
        <w:trPr/>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2026</w:t>
            </w:r>
          </w:p>
        </w:tc>
        <w:tc>
          <w:tcPr>
            <w:tcW w:w="534"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2025</w:t>
            </w:r>
          </w:p>
        </w:tc>
        <w:tc>
          <w:tcPr>
            <w:tcW w:w="345"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2026 vs. 2025</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2026</w:t>
            </w:r>
          </w:p>
        </w:tc>
        <w:tc>
          <w:tcPr>
            <w:tcW w:w="53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2025</w:t>
            </w:r>
          </w:p>
        </w:tc>
        <w:tc>
          <w:tcPr>
            <w:tcW w:w="483"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2026 vs. 2025</w:t>
            </w:r>
          </w:p>
        </w:tc>
      </w:tr>
      <w:tr>
        <w:trPr/>
        <w:tc>
          <w:tcPr>
            <w:tcW w:w="1017" w:type="dxa"/>
            <w:gridSpan w:val="3"/>
            <w:tcBorders>
              <w:top w:val="single" w:sz="2" w:space="0" w:color="143A84"/>
              <w:bottom w:val="single" w:sz="2" w:space="0" w:color="8E939F"/>
            </w:tcBorders>
            <w:tcMar>
              <w:top w:w="52" w:type="dxa"/>
              <w:left w:w="0" w:type="dxa"/>
              <w:bottom w:w="30" w:type="dxa"/>
              <w:right w:w="0" w:type="dxa"/>
            </w:tcMar>
            <w:vAlign w:val="center"/>
          </w:tcPr>
          <w:p>
            <w:pPr>
              <w:pStyle w:val="TableContents"/>
              <w:bidi w:val="0"/>
              <w:spacing w:lineRule="auto" w:line="288" w:before="0" w:after="0"/>
              <w:jc w:val="left"/>
              <w:rPr>
                <w:rFonts w:ascii="Helvetica;sans-serif" w:hAnsi="Helvetica;sans-serif"/>
                <w:b w:val="false"/>
                <w:color w:val="000000"/>
                <w:sz w:val="18"/>
              </w:rPr>
            </w:pPr>
            <w:r>
              <w:rPr>
                <w:rFonts w:ascii="Helvetica;sans-serif" w:hAnsi="Helvetica;sans-serif"/>
                <w:b w:val="false"/>
                <w:color w:val="000000"/>
                <w:sz w:val="18"/>
              </w:rPr>
              <w:t>Asia Pacific</w:t>
            </w:r>
          </w:p>
        </w:tc>
        <w:tc>
          <w:tcPr>
            <w:tcW w:w="327" w:type="dxa"/>
            <w:gridSpan w:val="3"/>
            <w:tcBorders>
              <w:top w:val="single" w:sz="2" w:space="0" w:color="143A84"/>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417" w:type="dxa"/>
            <w:gridSpan w:val="2"/>
            <w:tcBorders>
              <w:top w:val="single" w:sz="2" w:space="0" w:color="143A84"/>
              <w:bottom w:val="single" w:sz="2" w:space="0" w:color="8E939F"/>
            </w:tcBorders>
            <w:shd w:fill="F3F3F9" w:val="clear"/>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0.3 </w:t>
            </w:r>
          </w:p>
        </w:tc>
        <w:tc>
          <w:tcPr>
            <w:tcW w:w="446" w:type="dxa"/>
            <w:tcBorders>
              <w:top w:val="single" w:sz="2" w:space="0" w:color="143A84"/>
              <w:bottom w:val="single" w:sz="2" w:space="0" w:color="8E939F"/>
            </w:tcBorders>
            <w:shd w:fill="F3F3F9" w:val="clear"/>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w:t>
            </w:r>
          </w:p>
        </w:tc>
        <w:tc>
          <w:tcPr>
            <w:tcW w:w="534" w:type="dxa"/>
            <w:gridSpan w:val="3"/>
            <w:tcBorders>
              <w:top w:val="single" w:sz="2" w:space="0" w:color="143A84"/>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417" w:type="dxa"/>
            <w:gridSpan w:val="2"/>
            <w:tcBorders>
              <w:top w:val="single" w:sz="2" w:space="0" w:color="143A84"/>
              <w:bottom w:val="single" w:sz="2" w:space="0" w:color="8E939F"/>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0.3 </w:t>
            </w:r>
          </w:p>
        </w:tc>
        <w:tc>
          <w:tcPr>
            <w:tcW w:w="446" w:type="dxa"/>
            <w:tcBorders>
              <w:top w:val="single" w:sz="2" w:space="0" w:color="143A84"/>
              <w:bottom w:val="single" w:sz="2" w:space="0" w:color="8E939F"/>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w:t>
            </w:r>
          </w:p>
        </w:tc>
        <w:tc>
          <w:tcPr>
            <w:tcW w:w="345" w:type="dxa"/>
            <w:gridSpan w:val="3"/>
            <w:tcBorders>
              <w:top w:val="single" w:sz="2" w:space="0" w:color="143A84"/>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top w:val="single" w:sz="2" w:space="0" w:color="143A84"/>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n.m.</w:t>
            </w:r>
          </w:p>
        </w:tc>
        <w:tc>
          <w:tcPr>
            <w:tcW w:w="327" w:type="dxa"/>
            <w:gridSpan w:val="3"/>
            <w:tcBorders>
              <w:top w:val="single" w:sz="2" w:space="0" w:color="143A84"/>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418" w:type="dxa"/>
            <w:gridSpan w:val="2"/>
            <w:tcBorders>
              <w:top w:val="single" w:sz="2" w:space="0" w:color="143A84"/>
              <w:bottom w:val="single" w:sz="2" w:space="0" w:color="8E939F"/>
            </w:tcBorders>
            <w:shd w:fill="F3F3F9" w:val="clear"/>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0.3 </w:t>
            </w:r>
          </w:p>
        </w:tc>
        <w:tc>
          <w:tcPr>
            <w:tcW w:w="444" w:type="dxa"/>
            <w:tcBorders>
              <w:top w:val="single" w:sz="2" w:space="0" w:color="143A84"/>
              <w:bottom w:val="single" w:sz="2" w:space="0" w:color="8E939F"/>
            </w:tcBorders>
            <w:shd w:fill="F3F3F9" w:val="clear"/>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w:t>
            </w:r>
          </w:p>
        </w:tc>
        <w:tc>
          <w:tcPr>
            <w:tcW w:w="537" w:type="dxa"/>
            <w:gridSpan w:val="3"/>
            <w:tcBorders>
              <w:top w:val="single" w:sz="2" w:space="0" w:color="143A84"/>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418" w:type="dxa"/>
            <w:gridSpan w:val="2"/>
            <w:tcBorders>
              <w:top w:val="single" w:sz="2" w:space="0" w:color="143A84"/>
              <w:bottom w:val="single" w:sz="2" w:space="0" w:color="8E939F"/>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0.3 </w:t>
            </w:r>
          </w:p>
        </w:tc>
        <w:tc>
          <w:tcPr>
            <w:tcW w:w="444" w:type="dxa"/>
            <w:tcBorders>
              <w:top w:val="single" w:sz="2" w:space="0" w:color="143A84"/>
              <w:bottom w:val="single" w:sz="2" w:space="0" w:color="8E939F"/>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w:t>
            </w:r>
          </w:p>
        </w:tc>
        <w:tc>
          <w:tcPr>
            <w:tcW w:w="483" w:type="dxa"/>
            <w:gridSpan w:val="3"/>
            <w:tcBorders>
              <w:top w:val="single" w:sz="2" w:space="0" w:color="143A84"/>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top w:val="single" w:sz="2" w:space="0" w:color="143A84"/>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n.m.</w:t>
            </w:r>
          </w:p>
        </w:tc>
      </w:tr>
    </w:tbl>
    <w:p>
      <w:pPr>
        <w:pStyle w:val="TextBody"/>
        <w:bidi w:val="0"/>
        <w:spacing w:lineRule="auto" w:line="288" w:before="120" w:after="283"/>
        <w:jc w:val="left"/>
        <w:rPr>
          <w:rFonts w:ascii="Helvetica Light;sans-serif" w:hAnsi="Helvetica Light;sans-serif"/>
          <w:b w:val="false"/>
          <w:color w:val="000000"/>
          <w:sz w:val="16"/>
        </w:rPr>
      </w:pPr>
      <w:r>
        <w:rPr>
          <w:rFonts w:ascii="Helvetica Light;sans-serif" w:hAnsi="Helvetica Light;sans-serif"/>
          <w:b w:val="false"/>
          <w:color w:val="000000"/>
          <w:sz w:val="16"/>
        </w:rPr>
        <w:t>n.m. = not meaningful</w:t>
      </w:r>
    </w:p>
    <w:p>
      <w:pPr>
        <w:pStyle w:val="TextBody"/>
        <w:bidi w:val="0"/>
        <w:spacing w:lineRule="auto" w:line="288" w:before="0" w:after="240"/>
        <w:jc w:val="left"/>
        <w:rPr/>
      </w:pPr>
      <w:r>
        <w:rPr>
          <w:rFonts w:ascii="Helvetica Light;sans-serif" w:hAnsi="Helvetica Light;sans-serif"/>
          <w:b w:val="false"/>
          <w:color w:val="000000"/>
          <w:sz w:val="10"/>
        </w:rPr>
        <w:t>(1)</w:t>
      </w:r>
      <w:r>
        <w:rPr>
          <w:color w:val="000000"/>
        </w:rPr>
        <w:t xml:space="preserve"> </w:t>
      </w:r>
      <w:r>
        <w:rPr>
          <w:rFonts w:ascii="Helvetica Light;sans-serif" w:hAnsi="Helvetica Light;sans-serif"/>
          <w:b w:val="false"/>
          <w:color w:val="000000"/>
          <w:sz w:val="16"/>
        </w:rPr>
        <w:t>This metric combines Stellantis-owned brands and Leapmotor vehicles distributed by Leapmotor International, a jointly established, Stellantis-controlled company created in 2024 and owned 51 percent by Stellantis and 49 percent by Leapmotor, to distribute Leapmotor-branded vehicles outside of China. Stellantis does not design, or manufacture Leapmotor-branded vehicles and does not own the Leapmotor brand or intellectual property</w:t>
      </w:r>
    </w:p>
    <w:p>
      <w:pPr>
        <w:pStyle w:val="TextBody"/>
        <w:bidi w:val="0"/>
        <w:spacing w:lineRule="auto" w:line="288" w:before="0" w:after="240"/>
        <w:jc w:val="left"/>
        <w:rPr>
          <w:rFonts w:ascii="Helvetica;sans-serif" w:hAnsi="Helvetica;sans-serif"/>
          <w:b w:val="false"/>
          <w:color w:val="143A84"/>
          <w:sz w:val="20"/>
        </w:rPr>
      </w:pPr>
      <w:r>
        <w:rPr>
          <w:rFonts w:ascii="Helvetica;sans-serif" w:hAnsi="Helvetica;sans-serif"/>
          <w:b w:val="false"/>
          <w:color w:val="143A84"/>
          <w:sz w:val="20"/>
        </w:rPr>
        <w:t>Shipments</w:t>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The increase in Asia Pacific consolidated shipments in the six months ended June 30, 2026 compared to the corresponding period in 2025 was mainly driven by increased volumes in Citroën and Leapmotor offset by decreases in Peugeot and Jeep branded vehicles.</w:t>
      </w:r>
    </w:p>
    <w:p>
      <w:pPr>
        <w:pStyle w:val="TextBody"/>
        <w:bidi w:val="0"/>
        <w:spacing w:lineRule="auto" w:line="288" w:before="0" w:after="240"/>
        <w:jc w:val="left"/>
        <w:rPr>
          <w:rFonts w:ascii="Helvetica;sans-serif" w:hAnsi="Helvetica;sans-serif"/>
          <w:b w:val="false"/>
          <w:color w:val="143A84"/>
          <w:sz w:val="20"/>
        </w:rPr>
      </w:pPr>
      <w:r>
        <w:rPr>
          <w:rFonts w:ascii="Helvetica;sans-serif" w:hAnsi="Helvetica;sans-serif"/>
          <w:b w:val="false"/>
          <w:color w:val="143A84"/>
          <w:sz w:val="20"/>
        </w:rPr>
        <w:t xml:space="preserve">Net revenues </w:t>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The decrease in Asia Pacific Net revenues in the six months ended June 30, 2026 compared to the corresponding period in 2025 was primarily due to negative impact of mix and foreign exchange translation impacts more than offsetting higher volumes.</w:t>
      </w:r>
    </w:p>
    <w:p>
      <w:pPr>
        <w:pStyle w:val="TextBody"/>
        <w:bidi w:val="0"/>
        <w:spacing w:lineRule="auto" w:line="288" w:before="0" w:after="240"/>
        <w:jc w:val="left"/>
        <w:rPr>
          <w:rFonts w:ascii="Helvetica;sans-serif" w:hAnsi="Helvetica;sans-serif"/>
          <w:b w:val="false"/>
          <w:color w:val="143A84"/>
          <w:sz w:val="20"/>
        </w:rPr>
      </w:pPr>
      <w:r>
        <w:rPr>
          <w:rFonts w:ascii="Helvetica;sans-serif" w:hAnsi="Helvetica;sans-serif"/>
          <w:b w:val="false"/>
          <w:color w:val="143A84"/>
          <w:sz w:val="20"/>
        </w:rPr>
        <w:t>Adjusted operating income/(loss)</w:t>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The following chart reflects the change in Asia Pacific Adjusted operating income/(loss) by operational driver for the six months ended June 30, 2026 compared to the same period in 2025.</w:t>
      </w:r>
    </w:p>
    <w:p>
      <w:pPr>
        <w:pStyle w:val="TextBody"/>
        <w:bidi w:val="0"/>
        <w:spacing w:lineRule="auto" w:line="288" w:before="120" w:after="283"/>
        <w:jc w:val="left"/>
        <w:rPr/>
      </w:pPr>
      <w:r>
        <w:rPr>
          <w:rFonts w:ascii="Helvetica Light;sans-serif" w:hAnsi="Helvetica Light;sans-serif"/>
          <w:b w:val="false"/>
          <w:color w:val="000000"/>
          <w:sz w:val="10"/>
        </w:rPr>
        <w:t>10</w:t>
      </w:r>
      <w:r>
        <w:rPr>
          <w:color w:val="000000"/>
        </w:rPr>
        <w:t xml:space="preserve"> </w:t>
      </w:r>
      <w:r>
        <w:rPr>
          <w:rFonts w:ascii="Helvetica Light;sans-serif" w:hAnsi="Helvetica Light;sans-serif"/>
          <w:b w:val="false"/>
          <w:color w:val="000000"/>
          <w:sz w:val="16"/>
        </w:rPr>
        <w:t>Industry and market share information is derived from third-party industry sources (e.g. Agence Nationale des Titres Sécurisés (“ANTS”), Associação Nacional dos Fabricantes de Veículos Automotores (“ANFAVEA”), Ministry of Infrastructure and Sustainable Mobility (“MIMS”), Ward’s Automotive) and internal information</w:t>
      </w:r>
    </w:p>
    <w:p>
      <w:pPr>
        <w:pStyle w:val="TextBody"/>
        <w:bidi w:val="0"/>
        <w:spacing w:before="0" w:after="24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503555"/>
                <wp:effectExtent l="0" t="0" r="0" b="0"/>
                <wp:wrapNone/>
                <wp:docPr id="56" name="Frame42"/>
                <a:graphic xmlns:a="http://schemas.openxmlformats.org/drawingml/2006/main">
                  <a:graphicData uri="http://schemas.microsoft.com/office/word/2010/wordprocessingShape">
                    <wps:wsp>
                      <wps:cNvSpPr txBox="1"/>
                      <wps:spPr>
                        <a:xfrm>
                          <a:off x="0" y="0"/>
                          <a:ext cx="6480175" cy="5035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38</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38</w:t>
                      </w:r>
                    </w:p>
                    <w:p>
                      <w:pPr>
                        <w:pStyle w:val="TextBody"/>
                        <w:bidi w:val="0"/>
                        <w:spacing w:before="0" w:after="24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88" w:before="0" w:after="120"/>
        <w:jc w:val="left"/>
        <w:rPr/>
      </w:pPr>
      <w:r>
        <w:rPr>
          <w:rFonts w:ascii="Helvetica;sans-serif" w:hAnsi="Helvetica;sans-serif"/>
          <w:b/>
          <w:color w:val="143A84"/>
          <w:sz w:val="18"/>
        </w:rPr>
        <w:t>Adjusted operating income/(loss) by operational driver - Six months ended June 30, 2026 compared to the six months ended June 30, 2025 (€ million)</w:t>
      </w:r>
      <w:r>
        <w:rPr>
          <w:color w:val="000000"/>
        </w:rPr>
        <w:t xml:space="preserve"> </w:t>
      </w:r>
    </w:p>
    <w:p>
      <w:pPr>
        <w:pStyle w:val="TextBody"/>
        <w:bidi w:val="0"/>
        <w:spacing w:before="0" w:after="240"/>
        <w:jc w:val="center"/>
        <w:rPr/>
      </w:pPr>
      <w:r>
        <w:rPr/>
        <w:drawing>
          <wp:inline distT="0" distB="0" distL="0" distR="0">
            <wp:extent cx="6515100" cy="2533650"/>
            <wp:effectExtent l="0" t="0" r="0" b="0"/>
            <wp:docPr id="57"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15" descr=""/>
                    <pic:cNvPicPr>
                      <a:picLocks noChangeAspect="1" noChangeArrowheads="1"/>
                    </pic:cNvPicPr>
                  </pic:nvPicPr>
                  <pic:blipFill>
                    <a:blip r:embed="rId16"/>
                    <a:stretch>
                      <a:fillRect/>
                    </a:stretch>
                  </pic:blipFill>
                  <pic:spPr bwMode="auto">
                    <a:xfrm>
                      <a:off x="0" y="0"/>
                      <a:ext cx="6515100" cy="2533650"/>
                    </a:xfrm>
                    <a:prstGeom prst="rect">
                      <a:avLst/>
                    </a:prstGeom>
                  </pic:spPr>
                </pic:pic>
              </a:graphicData>
            </a:graphic>
          </wp:inline>
        </w:drawing>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Asia Pacific maintained break-even Adjusted operating income/(loss) for the six months ended June 30, 2026, in line with the prior-year period, reflecting benefits from higher volumes and industrial and SG&amp;A efficiencies, which were offset by adverse foreign exchange impacts, mainly related to the Japanese Yen.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503555"/>
                <wp:effectExtent l="0" t="0" r="0" b="0"/>
                <wp:wrapNone/>
                <wp:docPr id="58" name="Frame43"/>
                <a:graphic xmlns:a="http://schemas.openxmlformats.org/drawingml/2006/main">
                  <a:graphicData uri="http://schemas.microsoft.com/office/word/2010/wordprocessingShape">
                    <wps:wsp>
                      <wps:cNvSpPr txBox="1"/>
                      <wps:spPr>
                        <a:xfrm>
                          <a:off x="0" y="0"/>
                          <a:ext cx="6480175" cy="5035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39</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39</w:t>
                      </w:r>
                    </w:p>
                    <w:p>
                      <w:pPr>
                        <w:pStyle w:val="TextBody"/>
                        <w:bidi w:val="0"/>
                        <w:spacing w:before="0" w:after="24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88" w:before="0" w:after="240"/>
        <w:jc w:val="left"/>
        <w:rPr/>
      </w:pPr>
      <w:r>
        <w:rPr>
          <w:rFonts w:ascii="Helvetica;sans-serif" w:hAnsi="Helvetica;sans-serif"/>
          <w:b/>
          <w:color w:val="143A84"/>
          <w:sz w:val="20"/>
        </w:rPr>
        <w:t>Liquidity and capital resources</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Helvetica;sans-serif" w:hAnsi="Helvetica;sans-serif"/>
          <w:b/>
          <w:color w:val="143A84"/>
          <w:sz w:val="20"/>
        </w:rPr>
      </w:pPr>
      <w:r>
        <w:rPr>
          <w:rFonts w:ascii="Helvetica;sans-serif" w:hAnsi="Helvetica;sans-serif"/>
          <w:b/>
          <w:color w:val="143A84"/>
          <w:sz w:val="20"/>
        </w:rPr>
        <w:t xml:space="preserve">Available liquidity </w:t>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The following table summarizes our total Available liquidity:</w:t>
      </w:r>
    </w:p>
    <w:tbl>
      <w:tblPr>
        <w:tblW w:w="10205" w:type="dxa"/>
        <w:jc w:val="left"/>
        <w:tblInd w:w="0" w:type="dxa"/>
        <w:tblLayout w:type="fixed"/>
        <w:tblCellMar>
          <w:top w:w="28" w:type="dxa"/>
          <w:left w:w="28" w:type="dxa"/>
          <w:bottom w:w="28" w:type="dxa"/>
          <w:right w:w="28" w:type="dxa"/>
        </w:tblCellMar>
      </w:tblPr>
      <w:tblGrid>
        <w:gridCol w:w="2233"/>
        <w:gridCol w:w="1961"/>
        <w:gridCol w:w="1973"/>
        <w:gridCol w:w="109"/>
        <w:gridCol w:w="109"/>
        <w:gridCol w:w="109"/>
        <w:gridCol w:w="509"/>
        <w:gridCol w:w="471"/>
        <w:gridCol w:w="466"/>
        <w:gridCol w:w="109"/>
        <w:gridCol w:w="109"/>
        <w:gridCol w:w="109"/>
        <w:gridCol w:w="577"/>
        <w:gridCol w:w="560"/>
        <w:gridCol w:w="801"/>
      </w:tblGrid>
      <w:tr>
        <w:trPr/>
        <w:tc>
          <w:tcPr>
            <w:tcW w:w="2233" w:type="dxa"/>
            <w:tcBorders/>
            <w:vAlign w:val="center"/>
          </w:tcPr>
          <w:p>
            <w:pPr>
              <w:pStyle w:val="TableContents"/>
              <w:bidi w:val="0"/>
              <w:spacing w:before="0" w:after="283"/>
              <w:jc w:val="left"/>
              <w:rPr>
                <w:sz w:val="4"/>
                <w:szCs w:val="4"/>
              </w:rPr>
            </w:pPr>
            <w:r>
              <w:rPr>
                <w:sz w:val="4"/>
                <w:szCs w:val="4"/>
              </w:rPr>
            </w:r>
          </w:p>
        </w:tc>
        <w:tc>
          <w:tcPr>
            <w:tcW w:w="1961" w:type="dxa"/>
            <w:tcBorders/>
            <w:vAlign w:val="center"/>
          </w:tcPr>
          <w:p>
            <w:pPr>
              <w:pStyle w:val="TableContents"/>
              <w:bidi w:val="0"/>
              <w:spacing w:before="0" w:after="283"/>
              <w:jc w:val="left"/>
              <w:rPr>
                <w:sz w:val="4"/>
                <w:szCs w:val="4"/>
              </w:rPr>
            </w:pPr>
            <w:r>
              <w:rPr>
                <w:sz w:val="4"/>
                <w:szCs w:val="4"/>
              </w:rPr>
            </w:r>
          </w:p>
        </w:tc>
        <w:tc>
          <w:tcPr>
            <w:tcW w:w="19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r>
      <w:tr>
        <w:trPr/>
        <w:tc>
          <w:tcPr>
            <w:tcW w:w="6167" w:type="dxa"/>
            <w:gridSpan w:val="3"/>
            <w:tcBorders>
              <w:bottom w:val="single" w:sz="2" w:space="0" w:color="143A84"/>
            </w:tcBorders>
            <w:tcMar>
              <w:top w:w="0" w:type="dxa"/>
              <w:left w:w="0" w:type="dxa"/>
              <w:bottom w:w="30" w:type="dxa"/>
              <w:right w:w="0" w:type="dxa"/>
            </w:tcMar>
            <w:vAlign w:val="center"/>
          </w:tcPr>
          <w:p>
            <w:pPr>
              <w:pStyle w:val="TableContents"/>
              <w:bidi w:val="0"/>
              <w:spacing w:lineRule="auto" w:line="288" w:before="0" w:after="240"/>
              <w:jc w:val="left"/>
              <w:rPr>
                <w:rFonts w:ascii="Helvetica;sans-serif" w:hAnsi="Helvetica;sans-serif"/>
                <w:b w:val="false"/>
                <w:i/>
                <w:color w:val="000000"/>
                <w:sz w:val="16"/>
              </w:rPr>
            </w:pPr>
            <w:r>
              <w:rPr>
                <w:rFonts w:ascii="Helvetica;sans-serif" w:hAnsi="Helvetica;sans-serif"/>
                <w:b w:val="false"/>
                <w:i/>
                <w:color w:val="000000"/>
                <w:sz w:val="16"/>
              </w:rPr>
              <w:t>(€ million)</w:t>
            </w:r>
          </w:p>
        </w:tc>
        <w:tc>
          <w:tcPr>
            <w:tcW w:w="327" w:type="dxa"/>
            <w:gridSpan w:val="3"/>
            <w:tcBorders>
              <w:bottom w:val="single" w:sz="2" w:space="0" w:color="143A8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bottom w:val="single" w:sz="2" w:space="0" w:color="143A84"/>
            </w:tcBorders>
            <w:shd w:fill="F3F3F9" w:val="clear"/>
            <w:tcMar>
              <w:top w:w="0" w:type="dxa"/>
              <w:left w:w="0" w:type="dxa"/>
              <w:bottom w:w="3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At June 30, 2026</w:t>
            </w:r>
          </w:p>
        </w:tc>
        <w:tc>
          <w:tcPr>
            <w:tcW w:w="327" w:type="dxa"/>
            <w:gridSpan w:val="3"/>
            <w:tcBorders>
              <w:bottom w:val="single" w:sz="2" w:space="0" w:color="143A8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38" w:type="dxa"/>
            <w:gridSpan w:val="3"/>
            <w:tcBorders>
              <w:bottom w:val="single" w:sz="2" w:space="0" w:color="143A84"/>
            </w:tcBorders>
            <w:tcMar>
              <w:top w:w="0" w:type="dxa"/>
              <w:left w:w="0" w:type="dxa"/>
              <w:bottom w:w="3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At December 31, 2025</w:t>
            </w:r>
          </w:p>
        </w:tc>
      </w:tr>
      <w:tr>
        <w:trPr/>
        <w:tc>
          <w:tcPr>
            <w:tcW w:w="6167" w:type="dxa"/>
            <w:gridSpan w:val="3"/>
            <w:tcBorders>
              <w:top w:val="single" w:sz="2" w:space="0" w:color="143A84"/>
            </w:tcBorders>
            <w:tcMar>
              <w:top w:w="52" w:type="dxa"/>
              <w:left w:w="0" w:type="dxa"/>
              <w:bottom w:w="0" w:type="dxa"/>
              <w:right w:w="0" w:type="dxa"/>
            </w:tcMar>
            <w:vAlign w:val="center"/>
          </w:tcPr>
          <w:p>
            <w:pPr>
              <w:pStyle w:val="TableContents"/>
              <w:bidi w:val="0"/>
              <w:spacing w:lineRule="auto" w:line="288" w:before="0" w:after="0"/>
              <w:jc w:val="left"/>
              <w:rPr/>
            </w:pPr>
            <w:r>
              <w:rPr>
                <w:rFonts w:ascii="Helvetica;sans-serif" w:hAnsi="Helvetica;sans-serif"/>
                <w:b w:val="false"/>
                <w:color w:val="000000"/>
                <w:sz w:val="18"/>
              </w:rPr>
              <w:t>Cash, cash equivalents and financial securities</w:t>
            </w:r>
            <w:r>
              <w:rPr>
                <w:rFonts w:ascii="Helvetica;sans-serif" w:hAnsi="Helvetica;sans-serif"/>
                <w:b w:val="false"/>
                <w:color w:val="000000"/>
                <w:sz w:val="12"/>
              </w:rPr>
              <w:t>(1)</w:t>
            </w:r>
          </w:p>
        </w:tc>
        <w:tc>
          <w:tcPr>
            <w:tcW w:w="327"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2" w:space="0" w:color="143A84"/>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34,577 </w:t>
            </w:r>
          </w:p>
        </w:tc>
        <w:tc>
          <w:tcPr>
            <w:tcW w:w="466" w:type="dxa"/>
            <w:tcBorders>
              <w:top w:val="single" w:sz="2" w:space="0" w:color="143A84"/>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top w:val="single" w:sz="2" w:space="0" w:color="143A84"/>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31,508 </w:t>
            </w:r>
          </w:p>
        </w:tc>
        <w:tc>
          <w:tcPr>
            <w:tcW w:w="801" w:type="dxa"/>
            <w:tcBorders>
              <w:top w:val="single" w:sz="2" w:space="0" w:color="143A84"/>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7"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Undrawn committed credit lines</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13,839 </w:t>
            </w:r>
          </w:p>
        </w:tc>
        <w:tc>
          <w:tcPr>
            <w:tcW w:w="466"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18,287 </w:t>
            </w:r>
          </w:p>
        </w:tc>
        <w:tc>
          <w:tcPr>
            <w:tcW w:w="801"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7"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Cash, cash equivalents and financial securities - included within Assets held for sale</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4 </w:t>
            </w:r>
          </w:p>
        </w:tc>
        <w:tc>
          <w:tcPr>
            <w:tcW w:w="466"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801"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7" w:type="dxa"/>
            <w:gridSpan w:val="3"/>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0"/>
              <w:jc w:val="left"/>
              <w:rPr/>
            </w:pPr>
            <w:r>
              <w:rPr>
                <w:rFonts w:ascii="Helvetica;sans-serif" w:hAnsi="Helvetica;sans-serif"/>
                <w:b/>
                <w:color w:val="243782"/>
                <w:sz w:val="18"/>
              </w:rPr>
              <w:t>Total Available liquidity</w:t>
            </w:r>
            <w:r>
              <w:rPr>
                <w:rFonts w:ascii="Helvetica;sans-serif" w:hAnsi="Helvetica;sans-serif"/>
                <w:b/>
                <w:color w:val="243782"/>
                <w:sz w:val="12"/>
              </w:rPr>
              <w:t>(2)</w:t>
            </w:r>
          </w:p>
        </w:tc>
        <w:tc>
          <w:tcPr>
            <w:tcW w:w="327" w:type="dxa"/>
            <w:gridSpan w:val="3"/>
            <w:tcBorders>
              <w:top w:val="single" w:sz="2" w:space="0" w:color="8E939F"/>
            </w:tcBorders>
            <w:shd w:fill="E6E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8"/>
              </w:rPr>
              <w:t>48,420</w:t>
            </w:r>
            <w:r>
              <w:rPr>
                <w:color w:val="243782"/>
              </w:rPr>
              <w:t> </w:t>
            </w:r>
          </w:p>
        </w:tc>
        <w:tc>
          <w:tcPr>
            <w:tcW w:w="466"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E6E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8"/>
              </w:rPr>
              <w:t>49,795</w:t>
            </w:r>
            <w:r>
              <w:rPr>
                <w:color w:val="243782"/>
              </w:rPr>
              <w:t> </w:t>
            </w:r>
          </w:p>
        </w:tc>
        <w:tc>
          <w:tcPr>
            <w:tcW w:w="801"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7" w:type="dxa"/>
            <w:gridSpan w:val="3"/>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color w:val="243782"/>
                <w:sz w:val="18"/>
              </w:rPr>
            </w:pPr>
            <w:r>
              <w:rPr>
                <w:rFonts w:ascii="Helvetica;sans-serif" w:hAnsi="Helvetica;sans-serif"/>
                <w:b/>
                <w:color w:val="243782"/>
                <w:sz w:val="18"/>
              </w:rPr>
              <w:t>of which: Available liquidity of the Industrial Activities</w:t>
            </w:r>
          </w:p>
        </w:tc>
        <w:tc>
          <w:tcPr>
            <w:tcW w:w="327" w:type="dxa"/>
            <w:gridSpan w:val="3"/>
            <w:tcBorders>
              <w:top w:val="single" w:sz="2" w:space="0" w:color="8E939F"/>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2" w:space="0" w:color="8E939F"/>
              <w:bottom w:val="single" w:sz="2" w:space="0" w:color="8E939F"/>
            </w:tcBorders>
            <w:shd w:fill="F3F3F9" w:val="clear"/>
            <w:tcMar>
              <w:top w:w="52" w:type="dxa"/>
              <w:left w:w="0" w:type="dxa"/>
              <w:bottom w:w="3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8"/>
              </w:rPr>
              <w:t>44,145</w:t>
            </w:r>
            <w:r>
              <w:rPr>
                <w:color w:val="243782"/>
              </w:rPr>
              <w:t> </w:t>
            </w:r>
          </w:p>
        </w:tc>
        <w:tc>
          <w:tcPr>
            <w:tcW w:w="466" w:type="dxa"/>
            <w:tcBorders>
              <w:top w:val="single" w:sz="2" w:space="0" w:color="8E939F"/>
              <w:bottom w:val="single" w:sz="2" w:space="0" w:color="8E939F"/>
            </w:tcBorders>
            <w:shd w:fill="F3F3F9"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8"/>
              </w:rPr>
              <w:t>45,711</w:t>
            </w:r>
            <w:r>
              <w:rPr>
                <w:color w:val="243782"/>
              </w:rPr>
              <w:t> </w:t>
            </w:r>
          </w:p>
        </w:tc>
        <w:tc>
          <w:tcPr>
            <w:tcW w:w="801" w:type="dxa"/>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Helvetica Light;sans-serif" w:hAnsi="Helvetica Light;sans-serif"/>
          <w:b w:val="false"/>
          <w:color w:val="000000"/>
          <w:sz w:val="16"/>
        </w:rPr>
      </w:pPr>
      <w:r>
        <w:rPr>
          <w:rFonts w:ascii="Helvetica Light;sans-serif" w:hAnsi="Helvetica Light;sans-serif"/>
          <w:b w:val="false"/>
          <w:color w:val="000000"/>
          <w:sz w:val="16"/>
        </w:rPr>
        <w:t>(1) Financial securities (€880 million at June 30, 2026 and €1,362 million at December 31, 2025) are comprised of short term or marketable securities which represent temporary investments but do not satisfy all the requirements to be classified as cash equivalents as they may be subject to risk of change in value (even if they are short-term in nature or marketable)</w:t>
      </w:r>
    </w:p>
    <w:p>
      <w:pPr>
        <w:pStyle w:val="TextBody"/>
        <w:bidi w:val="0"/>
        <w:spacing w:lineRule="auto" w:line="268" w:before="0" w:after="240"/>
        <w:jc w:val="left"/>
        <w:rPr>
          <w:rFonts w:ascii="Helvetica Light;sans-serif" w:hAnsi="Helvetica Light;sans-serif"/>
          <w:b w:val="false"/>
          <w:color w:val="000000"/>
          <w:sz w:val="16"/>
        </w:rPr>
      </w:pPr>
      <w:r>
        <w:rPr>
          <w:rFonts w:ascii="Helvetica Light;sans-serif" w:hAnsi="Helvetica Light;sans-serif"/>
          <w:b w:val="false"/>
          <w:color w:val="000000"/>
          <w:sz w:val="16"/>
        </w:rPr>
        <w:t>(2) The majority of our liquidity is available to our treasury operations in Europe and U.S.; however, liquidity is also available to certain subsidiaries which operate in other countries. Cash held in such countries may be subject to restrictions on transfer depending on the foreign jurisdictions in which these subsidiaries operate and mainly affects our industrial activities. Based on our review of such transfer restrictions in the countries in which we operate and maintain material cash balances, (and in particular in Argentina, in which we have €268 million cash and securities at June 30, 2026 (€354 million at December 31, 2025), and in Algeria, in which we have cash and cash equivalents at June 30, 2026 of €273 million (€276 million at December 31, 2025)), we do not believe such transfer restrictions had an adverse impact on the Company’s ability to meet its liquidity requirements at the dates presented above. Cash and cash equivalents also include €953 million at June 30, 2026 (€663 million at December 31, 2025) held in bank deposits which are restricted to the operations related to securitization programs and warehouses credit facilities of Stellantis Financial Services U.S. (“SFS U.S.”)</w:t>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Available liquidity of the industrial activities at June 30, 2026 decreased by €1.6 billion from December 31, 2025, primarily due to €0.9 billion negative Free Cash Flow, €4.1 billion reduction in available credit lines and €2.5 billion bond repayment, partially offset by €4.9 billion proceeds from the issuance of Hybrid perpetual notes, €1.3 billion proceeds for the issuance of bonds and €0.4 billion foreign exchange translation.</w:t>
      </w:r>
    </w:p>
    <w:p>
      <w:pPr>
        <w:pStyle w:val="TextBody"/>
        <w:bidi w:val="0"/>
        <w:spacing w:lineRule="auto" w:line="343" w:before="0" w:after="240"/>
        <w:jc w:val="left"/>
        <w:rPr/>
      </w:pPr>
      <w:r>
        <w:rPr>
          <w:rFonts w:ascii="Helvetica Light;sans-serif" w:hAnsi="Helvetica Light;sans-serif"/>
          <w:b w:val="false"/>
          <w:color w:val="000000"/>
          <w:sz w:val="20"/>
        </w:rPr>
        <w:t xml:space="preserve">Our Available liquidity is subject to intra-month and seasonal fluctuations resulting from business and collection-payment cycles as well as to changes in foreign exchange conversion rates. Moreover, we tend to operate with negative working capital as we generally receive payment for vehicles within a few days of shipment, whereas there is a lag between the time when parts and materials are received from suppliers and when we pay for such parts and materials; therefore, in periods in which our vehicle shipments decline materially we will suffer a significant negative impact on cash flow and liquidity as we continue to pay suppliers for components purchased in a high volume environment during a period in which we receive lower proceeds from vehicle shipments. Plant shutdowns, whether associated with model year changeovers, or other factors such as temporary supplier interruptions or government-imposed restrictions, can have a significant negative impact on our revenues and working capital as we continue to pay suppliers while we do not receive proceeds from vehicle sales. Refer to the section — </w:t>
      </w:r>
      <w:r>
        <w:rPr>
          <w:rFonts w:ascii="Helvetica Light;sans-serif" w:hAnsi="Helvetica Light;sans-serif"/>
          <w:b w:val="false"/>
          <w:i/>
          <w:color w:val="000000"/>
          <w:sz w:val="20"/>
        </w:rPr>
        <w:t>Cash flows</w:t>
      </w:r>
      <w:r>
        <w:rPr>
          <w:color w:val="000000"/>
        </w:rPr>
        <w:t xml:space="preserve"> </w:t>
      </w:r>
      <w:r>
        <w:rPr>
          <w:rFonts w:ascii="Helvetica Light;sans-serif" w:hAnsi="Helvetica Light;sans-serif"/>
          <w:b w:val="false"/>
          <w:color w:val="000000"/>
          <w:sz w:val="20"/>
        </w:rPr>
        <w:t>below for additional information regarding the change in cash and cash equivalents.     </w:t>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Our liquidity is principally denominated in Euro and U.S. Dollar, with the remainder being distributed in various countries and denominated in the relevant local currencies. Out of the total cash, cash equivalents and financial securities available at June 30, 2026, €19.2 billion, or 55 percent (€16.7 billion, or 53 percent at December 31, 2025), were denominated in Euro and €9.0 billion, or 26.0 percent (€8.1 billion, or 26 percent at December 31, 2025), were denominated in U.S. Dollar.</w:t>
      </w:r>
    </w:p>
    <w:p>
      <w:pPr>
        <w:pStyle w:val="TextBody"/>
        <w:bidi w:val="0"/>
        <w:spacing w:before="0" w:after="24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503555"/>
                <wp:effectExtent l="0" t="0" r="0" b="0"/>
                <wp:wrapNone/>
                <wp:docPr id="59" name="Frame44"/>
                <a:graphic xmlns:a="http://schemas.openxmlformats.org/drawingml/2006/main">
                  <a:graphicData uri="http://schemas.microsoft.com/office/word/2010/wordprocessingShape">
                    <wps:wsp>
                      <wps:cNvSpPr txBox="1"/>
                      <wps:spPr>
                        <a:xfrm>
                          <a:off x="0" y="0"/>
                          <a:ext cx="6480175" cy="5035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40</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40</w:t>
                      </w:r>
                    </w:p>
                    <w:p>
                      <w:pPr>
                        <w:pStyle w:val="TextBody"/>
                        <w:bidi w:val="0"/>
                        <w:spacing w:before="0" w:after="24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340" w:before="0" w:after="240"/>
        <w:jc w:val="left"/>
        <w:rPr/>
      </w:pPr>
      <w:r>
        <w:rPr>
          <w:rFonts w:ascii="Helvetica Light;sans-serif" w:hAnsi="Helvetica Light;sans-serif"/>
          <w:b w:val="false"/>
          <w:color w:val="000000"/>
          <w:sz w:val="20"/>
        </w:rPr>
        <w:t xml:space="preserve">At June 30, 2026, undrawn committed credit lines of €13.8 billion </w:t>
      </w:r>
      <w:r>
        <w:rPr>
          <w:rFonts w:ascii="Helvetica Light;sans-serif" w:hAnsi="Helvetica Light;sans-serif"/>
          <w:b w:val="false"/>
          <w:color w:val="000000"/>
          <w:sz w:val="24"/>
        </w:rPr>
        <w:t>i</w:t>
      </w:r>
      <w:r>
        <w:rPr>
          <w:rFonts w:ascii="Helvetica Light;sans-serif" w:hAnsi="Helvetica Light;sans-serif"/>
          <w:b w:val="false"/>
          <w:color w:val="000000"/>
          <w:sz w:val="20"/>
        </w:rPr>
        <w:t>nclude the syndicated revolving credit facility (“RCF”) of €12.0 billion, originally signed in July 2021, amended and extended in July 2024, with a group of 29 relationship banks. The RCF is available for general corporate purposes and is structured in two tranches: €6.0 billion, with a 3-year tenor, and €6.0 billion, with a 5-year tenor, with each tranche benefiting from two further extension options, each of one year exercisable on the first and second anniversary of the amendment signing date. In June 2026, the second-year extension option was exercised extending the maturities to July 2029 and July 2031, respectively, for the two tranches. The amount utilized under these credit lines was nil on June 30, 2026.</w:t>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The committed credit line signed in January 2025, with a pool of relationship banks, of originally €4.0 billion, has been reduced to €1.5 billion effective from March 16, 2026 and further reduced to € 0.3 billion effective from June 12, 2026. The line originally had a one-year tenor with two extension options, at the Company’s discretion, of six months each. The first extension option was activated in December 2025, extending the maturity to July 2026. The second extension option was not exercised, so the facility will expire on July 15, 2026, with the drawdown period ending one month prior to expiration. The amount utilized under this credit line was nil on June 30, 2026.</w:t>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 xml:space="preserve">In December 2025, SFS U.S. established a privately placed Commercial Paper (“CP”) program available up to a maximum of €1.9 billion ($2.2 billion). No CP was issued under the program in December 2025. Issuances under the CP program commenced in March 2026. At June 30, 2026, €0.4 billion ($0.5 billion) notes were outstanding under the CP program. </w:t>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In connection with the establishment of the CP program, the €0.9 billion ($1 billion) committed USD credit facility originally signed by SFS U.S. in March 2024 was amended and refinanced (the "amended SFS RCF"). The amended SFS RCF is structured in two tranches: €1.1 billion ($1.3 billion), with a 364-days tenor, and €0.9 billion ($1 billion), with a three-year tenor, with each tranche benefiting from two further extension options, each of one year exercisable on the first and second anniversary of the amendment signing date. At June 30, 2026, the amount available under the amended SFS RCF, net of €0.4 billion of CP outstanding, was €1.5 billion ($1.7 billion).</w:t>
      </w:r>
    </w:p>
    <w:p>
      <w:pPr>
        <w:pStyle w:val="TextBody"/>
        <w:bidi w:val="0"/>
        <w:spacing w:lineRule="auto" w:line="288" w:before="0" w:after="240"/>
        <w:jc w:val="left"/>
        <w:rPr>
          <w:rFonts w:ascii="Helvetica;sans-serif" w:hAnsi="Helvetica;sans-serif"/>
          <w:b w:val="false"/>
          <w:i/>
          <w:color w:val="143A84"/>
          <w:sz w:val="20"/>
        </w:rPr>
      </w:pPr>
      <w:r>
        <w:rPr>
          <w:rFonts w:ascii="Helvetica;sans-serif" w:hAnsi="Helvetica;sans-serif"/>
          <w:b w:val="false"/>
          <w:i/>
          <w:color w:val="143A84"/>
          <w:sz w:val="20"/>
        </w:rPr>
        <w:t>Perpetual fixed rate resettable capital securities (“Hybrid perpetual notes”)</w:t>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In March 2026, the Company issued a series of Hybrid perpetual notes:</w:t>
      </w:r>
    </w:p>
    <w:p>
      <w:pPr>
        <w:pStyle w:val="TextBody"/>
        <w:bidi w:val="0"/>
        <w:spacing w:lineRule="auto" w:line="343" w:before="0" w:after="120"/>
        <w:ind w:left="0" w:right="0" w:hanging="173"/>
        <w:jc w:val="left"/>
        <w:rPr/>
      </w:pPr>
      <w:r>
        <w:rPr>
          <w:color w:val="143A84"/>
        </w:rPr>
        <w:t>•</w:t>
      </w:r>
      <w:r>
        <w:rPr>
          <w:color w:val="000000"/>
        </w:rPr>
        <w:t>€</w:t>
      </w:r>
      <w:r>
        <w:rPr>
          <w:rFonts w:ascii="Helvetica Light;sans-serif" w:hAnsi="Helvetica Light;sans-serif"/>
          <w:b w:val="false"/>
          <w:color w:val="000000"/>
          <w:sz w:val="20"/>
        </w:rPr>
        <w:t>2.2 billion Perpetual Fixed Rate Resettable Capital Securities, having a non-call period of 5.25 years, perpetual maturity and an annual coupon of 6.250 percent until the first reset date of June 16, 2031;</w:t>
      </w:r>
    </w:p>
    <w:p>
      <w:pPr>
        <w:pStyle w:val="TextBody"/>
        <w:bidi w:val="0"/>
        <w:spacing w:lineRule="auto" w:line="343" w:before="0" w:after="120"/>
        <w:ind w:left="0" w:right="0" w:hanging="173"/>
        <w:jc w:val="left"/>
        <w:rPr/>
      </w:pPr>
      <w:r>
        <w:rPr>
          <w:color w:val="143A84"/>
        </w:rPr>
        <w:t>•</w:t>
      </w:r>
      <w:r>
        <w:rPr>
          <w:color w:val="000000"/>
        </w:rPr>
        <w:t>€</w:t>
      </w:r>
      <w:r>
        <w:rPr>
          <w:rFonts w:ascii="Helvetica Light;sans-serif" w:hAnsi="Helvetica Light;sans-serif"/>
          <w:b w:val="false"/>
          <w:color w:val="000000"/>
          <w:sz w:val="20"/>
        </w:rPr>
        <w:t>1.8 billion Perpetual Fixed Rate Resettable Capital Securities, having a non-call period of 8 years, perpetual maturity and an annual coupon of 6.875 percent until the first reset date of March 16, 2034; and</w:t>
      </w:r>
    </w:p>
    <w:p>
      <w:pPr>
        <w:pStyle w:val="TextBody"/>
        <w:bidi w:val="0"/>
        <w:spacing w:lineRule="auto" w:line="343" w:before="0" w:after="120"/>
        <w:ind w:left="0" w:right="0" w:hanging="173"/>
        <w:jc w:val="left"/>
        <w:rPr/>
      </w:pPr>
      <w:r>
        <w:rPr>
          <w:color w:val="143A84"/>
        </w:rPr>
        <w:t>•</w:t>
      </w:r>
      <w:r>
        <w:rPr>
          <w:rFonts w:ascii="Helvetica Light;sans-serif" w:hAnsi="Helvetica Light;sans-serif"/>
          <w:b w:val="false"/>
          <w:color w:val="000000"/>
          <w:sz w:val="20"/>
        </w:rPr>
        <w:t>£865 million (€997 million) Perpetual Fixed Rate Resettable Capital Securities, having a non-call period of 6.5 years, perpetual maturity and an annual coupon of 8.250 percent until the first reset date of September 16, 2032.</w:t>
      </w:r>
    </w:p>
    <w:p>
      <w:pPr>
        <w:pStyle w:val="TextBody"/>
        <w:bidi w:val="0"/>
        <w:spacing w:lineRule="auto" w:line="343" w:before="0" w:after="240"/>
        <w:jc w:val="left"/>
        <w:rPr/>
      </w:pPr>
      <w:r>
        <w:rPr>
          <w:rFonts w:ascii="Helvetica Light;sans-serif" w:hAnsi="Helvetica Light;sans-serif"/>
          <w:b w:val="false"/>
          <w:color w:val="000000"/>
          <w:sz w:val="20"/>
        </w:rPr>
        <w:t xml:space="preserve">Refer to Note 18, </w:t>
      </w:r>
      <w:r>
        <w:rPr>
          <w:rFonts w:ascii="Helvetica Light;sans-serif" w:hAnsi="Helvetica Light;sans-serif"/>
          <w:b w:val="false"/>
          <w:i/>
          <w:color w:val="000000"/>
          <w:sz w:val="20"/>
        </w:rPr>
        <w:t>Equity</w:t>
      </w:r>
      <w:r>
        <w:rPr>
          <w:color w:val="000000"/>
        </w:rPr>
        <w:t xml:space="preserve"> </w:t>
      </w:r>
      <w:r>
        <w:rPr>
          <w:rFonts w:ascii="Helvetica Light;sans-serif" w:hAnsi="Helvetica Light;sans-serif"/>
          <w:b w:val="false"/>
          <w:color w:val="000000"/>
          <w:sz w:val="20"/>
        </w:rPr>
        <w:t xml:space="preserve">in the Interim Condensed Consolidated Financial Statements included in this Interim Report for additional information. </w:t>
      </w:r>
    </w:p>
    <w:p>
      <w:pPr>
        <w:pStyle w:val="TextBody"/>
        <w:bidi w:val="0"/>
        <w:spacing w:lineRule="auto" w:line="288" w:before="0" w:after="240"/>
        <w:jc w:val="left"/>
        <w:rPr>
          <w:rFonts w:ascii="Helvetica;sans-serif" w:hAnsi="Helvetica;sans-serif"/>
          <w:b w:val="false"/>
          <w:i/>
          <w:color w:val="143A84"/>
          <w:sz w:val="20"/>
        </w:rPr>
      </w:pPr>
      <w:r>
        <w:rPr>
          <w:rFonts w:ascii="Helvetica;sans-serif" w:hAnsi="Helvetica;sans-serif"/>
          <w:b w:val="false"/>
          <w:i/>
          <w:color w:val="143A84"/>
          <w:sz w:val="20"/>
        </w:rPr>
        <w:t>Euro Medium Term Note Programme (“EMTN”) and other Notes</w:t>
      </w:r>
    </w:p>
    <w:p>
      <w:pPr>
        <w:pStyle w:val="TextBody"/>
        <w:bidi w:val="0"/>
        <w:spacing w:lineRule="auto" w:line="340"/>
        <w:jc w:val="left"/>
        <w:rPr>
          <w:rFonts w:ascii="Helvetica Light;sans-serif" w:hAnsi="Helvetica Light;sans-serif"/>
          <w:b w:val="false"/>
          <w:color w:val="000000"/>
          <w:sz w:val="20"/>
        </w:rPr>
      </w:pPr>
      <w:r>
        <w:rPr>
          <w:rFonts w:ascii="Helvetica Light;sans-serif" w:hAnsi="Helvetica Light;sans-serif"/>
          <w:b w:val="false"/>
          <w:color w:val="000000"/>
          <w:sz w:val="20"/>
        </w:rPr>
        <w:t>In January and May 2026, respectively, the Company repaid at maturity, a €1,250 million note issued by FCA N.V. and a €1,000 million note issued by Peugeot S.A. each originally issued in 2020.</w:t>
      </w:r>
    </w:p>
    <w:p>
      <w:pPr>
        <w:pStyle w:val="TextBody"/>
        <w:bidi w:val="0"/>
        <w:spacing w:before="0" w:after="24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503555"/>
                <wp:effectExtent l="0" t="0" r="0" b="0"/>
                <wp:wrapNone/>
                <wp:docPr id="60" name="Frame45"/>
                <a:graphic xmlns:a="http://schemas.openxmlformats.org/drawingml/2006/main">
                  <a:graphicData uri="http://schemas.microsoft.com/office/word/2010/wordprocessingShape">
                    <wps:wsp>
                      <wps:cNvSpPr txBox="1"/>
                      <wps:spPr>
                        <a:xfrm>
                          <a:off x="0" y="0"/>
                          <a:ext cx="6480175" cy="5035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41</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41</w:t>
                      </w:r>
                    </w:p>
                    <w:p>
                      <w:pPr>
                        <w:pStyle w:val="TextBody"/>
                        <w:bidi w:val="0"/>
                        <w:spacing w:before="0" w:after="24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0"/>
        <w:jc w:val="left"/>
        <w:rPr/>
      </w:pPr>
      <w:r>
        <w:rPr/>
      </w:r>
    </w:p>
    <w:p>
      <w:pPr>
        <w:pStyle w:val="TextBody"/>
        <w:bidi w:val="0"/>
        <w:spacing w:lineRule="auto" w:line="340" w:before="0" w:after="0"/>
        <w:jc w:val="left"/>
        <w:rPr>
          <w:rFonts w:ascii="Helvetica Light;sans-serif" w:hAnsi="Helvetica Light;sans-serif"/>
          <w:b w:val="false"/>
          <w:color w:val="000000"/>
          <w:sz w:val="20"/>
        </w:rPr>
      </w:pPr>
      <w:r>
        <w:rPr>
          <w:rFonts w:ascii="Helvetica Light;sans-serif" w:hAnsi="Helvetica Light;sans-serif"/>
          <w:b w:val="false"/>
          <w:color w:val="000000"/>
          <w:sz w:val="20"/>
        </w:rPr>
        <w:t>In June 2026, SFS U.S. issued two bonds:</w:t>
      </w:r>
    </w:p>
    <w:p>
      <w:pPr>
        <w:pStyle w:val="TextBody"/>
        <w:bidi w:val="0"/>
        <w:spacing w:before="0" w:after="0"/>
        <w:jc w:val="left"/>
        <w:rPr/>
      </w:pPr>
      <w:r>
        <w:rPr/>
      </w:r>
    </w:p>
    <w:p>
      <w:pPr>
        <w:pStyle w:val="TextBody"/>
        <w:bidi w:val="0"/>
        <w:spacing w:lineRule="auto" w:line="343" w:before="0" w:after="120"/>
        <w:ind w:left="0" w:right="0" w:hanging="173"/>
        <w:jc w:val="left"/>
        <w:rPr/>
      </w:pPr>
      <w:r>
        <w:rPr>
          <w:color w:val="000000"/>
        </w:rPr>
        <w:t>•</w:t>
      </w:r>
      <w:r>
        <w:rPr>
          <w:rFonts w:ascii="Helvetica Light;sans-serif" w:hAnsi="Helvetica Light;sans-serif"/>
          <w:b w:val="false"/>
          <w:color w:val="000000"/>
          <w:sz w:val="20"/>
        </w:rPr>
        <w:t>a USD bond with principal amount of $1,500 million with an interest rate of 5.4 percent and which matures in June 2029; and</w:t>
      </w:r>
    </w:p>
    <w:p>
      <w:pPr>
        <w:pStyle w:val="TextBody"/>
        <w:bidi w:val="0"/>
        <w:spacing w:lineRule="auto" w:line="343" w:before="0" w:after="120"/>
        <w:ind w:left="0" w:right="0" w:hanging="173"/>
        <w:jc w:val="left"/>
        <w:rPr/>
      </w:pPr>
      <w:r>
        <w:rPr>
          <w:color w:val="000000"/>
        </w:rPr>
        <w:t>•</w:t>
      </w:r>
      <w:r>
        <w:rPr>
          <w:rFonts w:ascii="Helvetica Light;sans-serif" w:hAnsi="Helvetica Light;sans-serif"/>
          <w:b w:val="false"/>
          <w:color w:val="000000"/>
          <w:sz w:val="20"/>
        </w:rPr>
        <w:t>a USD bond with principal amount of $1,000 million with an interest rate of 5.8 percent and which matures in June 2031.</w:t>
      </w:r>
    </w:p>
    <w:p>
      <w:pPr>
        <w:pStyle w:val="TextBody"/>
        <w:bidi w:val="0"/>
        <w:spacing w:lineRule="auto" w:line="343" w:before="0" w:after="120"/>
        <w:jc w:val="left"/>
        <w:rPr>
          <w:rFonts w:ascii="Helvetica Light;sans-serif" w:hAnsi="Helvetica Light;sans-serif"/>
          <w:b w:val="false"/>
          <w:color w:val="000000"/>
          <w:sz w:val="20"/>
        </w:rPr>
      </w:pPr>
      <w:r>
        <w:rPr>
          <w:rFonts w:ascii="Helvetica Light;sans-serif" w:hAnsi="Helvetica Light;sans-serif"/>
          <w:b w:val="false"/>
          <w:color w:val="000000"/>
          <w:sz w:val="20"/>
        </w:rPr>
        <w:t xml:space="preserve">In June 2026, the Company issued two bonds under its EMTN: </w:t>
      </w:r>
    </w:p>
    <w:p>
      <w:pPr>
        <w:pStyle w:val="TextBody"/>
        <w:bidi w:val="0"/>
        <w:spacing w:lineRule="auto" w:line="343" w:before="0" w:after="120"/>
        <w:ind w:left="0" w:right="0" w:hanging="173"/>
        <w:jc w:val="left"/>
        <w:rPr/>
      </w:pPr>
      <w:r>
        <w:rPr>
          <w:color w:val="000000"/>
        </w:rPr>
        <w:t>•</w:t>
      </w:r>
      <w:r>
        <w:rPr>
          <w:rFonts w:ascii="Helvetica Light;sans-serif" w:hAnsi="Helvetica Light;sans-serif"/>
          <w:b w:val="false"/>
          <w:color w:val="000000"/>
          <w:sz w:val="20"/>
        </w:rPr>
        <w:t>a EUR bond with principal amount of €750 million with an interest rate of 4.5 percent and which matures in January 2033; and</w:t>
      </w:r>
    </w:p>
    <w:p>
      <w:pPr>
        <w:pStyle w:val="TextBody"/>
        <w:bidi w:val="0"/>
        <w:spacing w:lineRule="auto" w:line="343" w:before="0" w:after="120"/>
        <w:ind w:left="0" w:right="0" w:hanging="173"/>
        <w:jc w:val="left"/>
        <w:rPr/>
      </w:pPr>
      <w:r>
        <w:rPr>
          <w:color w:val="000000"/>
        </w:rPr>
        <w:t>•</w:t>
      </w:r>
      <w:r>
        <w:rPr>
          <w:rFonts w:ascii="Helvetica Light;sans-serif" w:hAnsi="Helvetica Light;sans-serif"/>
          <w:b w:val="false"/>
          <w:color w:val="000000"/>
          <w:sz w:val="20"/>
        </w:rPr>
        <w:t>a EUR bond with principal amount of €500 million with an interest rate of 5.1 percent and which matures in January 2037.</w:t>
      </w:r>
    </w:p>
    <w:p>
      <w:pPr>
        <w:pStyle w:val="TextBody"/>
        <w:bidi w:val="0"/>
        <w:spacing w:lineRule="auto" w:line="288" w:before="0" w:after="240"/>
        <w:jc w:val="left"/>
        <w:rPr>
          <w:rFonts w:ascii="Helvetica;sans-serif" w:hAnsi="Helvetica;sans-serif"/>
          <w:b w:val="false"/>
          <w:color w:val="143A84"/>
          <w:sz w:val="20"/>
        </w:rPr>
      </w:pPr>
      <w:r>
        <w:rPr>
          <w:rFonts w:ascii="Helvetica;sans-serif" w:hAnsi="Helvetica;sans-serif"/>
          <w:b w:val="false"/>
          <w:color w:val="143A84"/>
          <w:sz w:val="20"/>
        </w:rPr>
        <w:t>Warehouse credit facilities</w:t>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 xml:space="preserve">In January 2026, the revolving credit floorplan facility (Stellantis Financial Floorplan Master Auto Owner Trust 2024-1) capacity was increased from €1.1 billion ($1.3 billion) to €1.8 billion ($2.0 billion) with the addition of 3 new lenders. Draw downs from the facility will bear an interest rate based on the lender’s asset-backed commercial paper cost of funds or Secured Overnight Financing Rate (“SOFR”), plus a spread. Borrowings are used to support the Company’s commercial floorplan lending business with floor plan receivables providing collateral. As of June 30, 2026, €1.3 billion ($1.5 billion) was outstanding under this facility. </w:t>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SFS U.S. uses interest rate derivatives in order to reduce the interest rate risk of certain warehouse credit facilities where the underlying receivables carry fixed rates of interest and borrowings are based on the floating rate SOFR and CP indices.</w:t>
      </w:r>
    </w:p>
    <w:p>
      <w:pPr>
        <w:pStyle w:val="TextBody"/>
        <w:bidi w:val="0"/>
        <w:spacing w:lineRule="auto" w:line="288" w:before="0" w:after="240"/>
        <w:jc w:val="left"/>
        <w:rPr>
          <w:rFonts w:ascii="Helvetica;sans-serif" w:hAnsi="Helvetica;sans-serif"/>
          <w:b w:val="false"/>
          <w:color w:val="143A84"/>
          <w:sz w:val="20"/>
        </w:rPr>
      </w:pPr>
      <w:r>
        <w:rPr>
          <w:rFonts w:ascii="Helvetica;sans-serif" w:hAnsi="Helvetica;sans-serif"/>
          <w:b w:val="false"/>
          <w:color w:val="143A84"/>
          <w:sz w:val="20"/>
        </w:rPr>
        <w:t xml:space="preserve">Asset-backed securities (“ABS”) term notes </w:t>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In January 2026, SFS U.S., through SFS Auto Receivables Securitization Trust 2026-1, issued six classes of ABS Term Notes totaling €1.3 billion ($1.5 billion) in aggregate. One class of notes bears interest at fixed and floating rates, with the remainder bearing interest rates at fixed rates. The ABS Term Notes are secured by a pool of prime retail loans.</w:t>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In April 2026, SFS U.S., through First Investors Auto Owner Trust 2026-1, issued six classes of ABS Term Notes totaling €439 million ($500 million) in aggregate. The notes issued in each class bear a fixed rate. The ABS Term Notes are secured by a pool of near prime retail loans.</w:t>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 xml:space="preserve">In May 2026, SFS U.S., through Stellantis Financial Underwritten Enhanced Lease Trust 2026-A, issued six classes of ABS Term Notes totaling €1.6 billion ($1.8 billion) in aggregate. One class of notes bears interest at fixed and floating rates, with the remainder bearing interest at fixed rates. The ABS Term Notes are secured by a pool of leases. </w:t>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In June 2026, SFS U.S., through SFS Auto Receivables Securitization Trust 2026-2, issued six classes of ABS Term Notes totaling €1.1 billion ($1.3 billion) in aggregate. One class of notes bears interest at fixed and floating rates, with the remainder bearing interest at fixed rates. The ABS Term Notes are secured by a pool of prime retail loans.</w:t>
      </w:r>
    </w:p>
    <w:p>
      <w:pPr>
        <w:pStyle w:val="TextBody"/>
        <w:bidi w:val="0"/>
        <w:spacing w:before="0" w:after="24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503555"/>
                <wp:effectExtent l="0" t="0" r="0" b="0"/>
                <wp:wrapNone/>
                <wp:docPr id="61" name="Frame46"/>
                <a:graphic xmlns:a="http://schemas.openxmlformats.org/drawingml/2006/main">
                  <a:graphicData uri="http://schemas.microsoft.com/office/word/2010/wordprocessingShape">
                    <wps:wsp>
                      <wps:cNvSpPr txBox="1"/>
                      <wps:spPr>
                        <a:xfrm>
                          <a:off x="0" y="0"/>
                          <a:ext cx="6480175" cy="5035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42</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42</w:t>
                      </w:r>
                    </w:p>
                    <w:p>
                      <w:pPr>
                        <w:pStyle w:val="TextBody"/>
                        <w:bidi w:val="0"/>
                        <w:spacing w:before="0" w:after="24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343" w:before="0" w:after="240"/>
        <w:jc w:val="left"/>
        <w:rPr/>
      </w:pPr>
      <w:r>
        <w:rPr>
          <w:rFonts w:ascii="Helvetica Light;sans-serif" w:hAnsi="Helvetica Light;sans-serif"/>
          <w:b w:val="false"/>
          <w:color w:val="000000"/>
          <w:sz w:val="20"/>
        </w:rPr>
        <w:t xml:space="preserve">Refer to Note 13, </w:t>
      </w:r>
      <w:r>
        <w:rPr>
          <w:rFonts w:ascii="Helvetica Light;sans-serif" w:hAnsi="Helvetica Light;sans-serif"/>
          <w:b w:val="false"/>
          <w:i/>
          <w:color w:val="000000"/>
          <w:sz w:val="20"/>
        </w:rPr>
        <w:t>Debt</w:t>
      </w:r>
      <w:r>
        <w:rPr>
          <w:color w:val="000000"/>
        </w:rPr>
        <w:t xml:space="preserve"> </w:t>
      </w:r>
      <w:r>
        <w:rPr>
          <w:rFonts w:ascii="Helvetica Light;sans-serif" w:hAnsi="Helvetica Light;sans-serif"/>
          <w:b w:val="false"/>
          <w:color w:val="000000"/>
          <w:sz w:val="20"/>
        </w:rPr>
        <w:t>in the Interim Condensed Consolidated Financial Statements included in this Interim Report for additional information.</w:t>
      </w:r>
    </w:p>
    <w:p>
      <w:pPr>
        <w:pStyle w:val="TextBody"/>
        <w:bidi w:val="0"/>
        <w:spacing w:lineRule="auto" w:line="288" w:before="0" w:after="240"/>
        <w:jc w:val="left"/>
        <w:rPr>
          <w:rFonts w:ascii="Helvetica;sans-serif" w:hAnsi="Helvetica;sans-serif"/>
          <w:b w:val="false"/>
          <w:color w:val="143A84"/>
          <w:sz w:val="20"/>
        </w:rPr>
      </w:pPr>
      <w:r>
        <w:rPr>
          <w:rFonts w:ascii="Helvetica;sans-serif" w:hAnsi="Helvetica;sans-serif"/>
          <w:b w:val="false"/>
          <w:color w:val="143A84"/>
          <w:sz w:val="20"/>
        </w:rPr>
        <w:t xml:space="preserve">Ratings </w:t>
      </w:r>
    </w:p>
    <w:p>
      <w:pPr>
        <w:pStyle w:val="TextBody"/>
        <w:bidi w:val="0"/>
        <w:spacing w:lineRule="auto" w:line="340"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In February 2026, S&amp;P revised Stellantis’ issuer credit rating and senior unsecured debt rating from “BBB” to “BBB-” with negative outlook.</w:t>
      </w:r>
    </w:p>
    <w:p>
      <w:pPr>
        <w:pStyle w:val="TextBody"/>
        <w:bidi w:val="0"/>
        <w:spacing w:lineRule="auto" w:line="340"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In February 2026, Moody’s revised Stellantis’ long-term issuer rating and senior unsecured debt rating from “Baa2” to “Baa3” and changed the outlook from negative to stable.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Helvetica;sans-serif" w:hAnsi="Helvetica;sans-serif"/>
          <w:b w:val="false"/>
          <w:color w:val="143A84"/>
          <w:sz w:val="20"/>
        </w:rPr>
      </w:pPr>
      <w:r>
        <w:rPr>
          <w:rFonts w:ascii="Helvetica;sans-serif" w:hAnsi="Helvetica;sans-serif"/>
          <w:b w:val="false"/>
          <w:color w:val="143A84"/>
          <w:sz w:val="20"/>
        </w:rPr>
        <w:t>Cash flows</w:t>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The following table summarizes the cash flows from operating, investing and financing activities for the six months ended June 30, 2026 and 2025. Refer to the Interim Condensed Consolidated Statement of Cash Flows for the six months ended June 30, 2026 and 2025 in this Interim Report for additional information.</w:t>
      </w:r>
    </w:p>
    <w:tbl>
      <w:tblPr>
        <w:tblW w:w="9846" w:type="dxa"/>
        <w:jc w:val="left"/>
        <w:tblInd w:w="0" w:type="dxa"/>
        <w:tblLayout w:type="fixed"/>
        <w:tblCellMar>
          <w:top w:w="28" w:type="dxa"/>
          <w:left w:w="28" w:type="dxa"/>
          <w:bottom w:w="28" w:type="dxa"/>
          <w:right w:w="28" w:type="dxa"/>
        </w:tblCellMar>
      </w:tblPr>
      <w:tblGrid>
        <w:gridCol w:w="2406"/>
        <w:gridCol w:w="2107"/>
        <w:gridCol w:w="2131"/>
        <w:gridCol w:w="109"/>
        <w:gridCol w:w="109"/>
        <w:gridCol w:w="109"/>
        <w:gridCol w:w="455"/>
        <w:gridCol w:w="281"/>
        <w:gridCol w:w="259"/>
        <w:gridCol w:w="259"/>
        <w:gridCol w:w="259"/>
        <w:gridCol w:w="259"/>
        <w:gridCol w:w="455"/>
        <w:gridCol w:w="281"/>
        <w:gridCol w:w="367"/>
      </w:tblGrid>
      <w:tr>
        <w:trPr/>
        <w:tc>
          <w:tcPr>
            <w:tcW w:w="2406" w:type="dxa"/>
            <w:tcBorders/>
            <w:vAlign w:val="center"/>
          </w:tcPr>
          <w:p>
            <w:pPr>
              <w:pStyle w:val="TableContents"/>
              <w:bidi w:val="0"/>
              <w:spacing w:before="0" w:after="283"/>
              <w:jc w:val="left"/>
              <w:rPr>
                <w:sz w:val="4"/>
                <w:szCs w:val="4"/>
              </w:rPr>
            </w:pPr>
            <w:r>
              <w:rPr>
                <w:sz w:val="4"/>
                <w:szCs w:val="4"/>
              </w:rPr>
            </w:r>
          </w:p>
        </w:tc>
        <w:tc>
          <w:tcPr>
            <w:tcW w:w="2107"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5" w:type="dxa"/>
            <w:gridSpan w:val="9"/>
            <w:tcBorders>
              <w:bottom w:val="single" w:sz="2" w:space="0" w:color="8E939F"/>
            </w:tcBorders>
            <w:tcMar>
              <w:top w:w="0" w:type="dxa"/>
              <w:left w:w="0" w:type="dxa"/>
              <w:bottom w:w="3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Six months ended June 30,</w:t>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Helvetica;sans-serif" w:hAnsi="Helvetica;sans-serif"/>
                <w:b w:val="false"/>
                <w:i/>
                <w:color w:val="000000"/>
                <w:sz w:val="16"/>
              </w:rPr>
            </w:pPr>
            <w:r>
              <w:rPr>
                <w:rFonts w:ascii="Helvetica;sans-serif" w:hAnsi="Helvetica;sans-serif"/>
                <w:b w:val="false"/>
                <w:i/>
                <w:color w:val="000000"/>
                <w:sz w:val="16"/>
              </w:rPr>
              <w:t>(€ million)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2026</w:t>
            </w:r>
          </w:p>
        </w:tc>
        <w:tc>
          <w:tcPr>
            <w:tcW w:w="77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2025</w:t>
            </w:r>
          </w:p>
        </w:tc>
      </w:tr>
      <w:tr>
        <w:trPr/>
        <w:tc>
          <w:tcPr>
            <w:tcW w:w="6644" w:type="dxa"/>
            <w:gridSpan w:val="3"/>
            <w:tcBorders>
              <w:top w:val="single" w:sz="2" w:space="0" w:color="143A84"/>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Net cash from/(used in) operating activities</w:t>
            </w:r>
          </w:p>
        </w:tc>
        <w:tc>
          <w:tcPr>
            <w:tcW w:w="327"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143A84"/>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(2,887)</w:t>
            </w:r>
          </w:p>
        </w:tc>
        <w:tc>
          <w:tcPr>
            <w:tcW w:w="259" w:type="dxa"/>
            <w:tcBorders>
              <w:top w:val="single" w:sz="2" w:space="0" w:color="143A84"/>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143A84"/>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(2,287)</w:t>
            </w:r>
          </w:p>
        </w:tc>
        <w:tc>
          <w:tcPr>
            <w:tcW w:w="367" w:type="dxa"/>
            <w:tcBorders>
              <w:top w:val="single" w:sz="2" w:space="0" w:color="143A84"/>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Net cash from/(used in) investing activities</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(3,020)</w:t>
            </w:r>
          </w:p>
        </w:tc>
        <w:tc>
          <w:tcPr>
            <w:tcW w:w="259"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(2,146)</w:t>
            </w:r>
          </w:p>
        </w:tc>
        <w:tc>
          <w:tcPr>
            <w:tcW w:w="367"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Net cash from/(used in) financing activities</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9,049 </w:t>
            </w:r>
          </w:p>
        </w:tc>
        <w:tc>
          <w:tcPr>
            <w:tcW w:w="259"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1,937 </w:t>
            </w:r>
          </w:p>
        </w:tc>
        <w:tc>
          <w:tcPr>
            <w:tcW w:w="367"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6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100" w:after="100"/>
              <w:jc w:val="left"/>
              <w:rPr>
                <w:rFonts w:ascii="Helvetica;sans-serif" w:hAnsi="Helvetica;sans-serif"/>
                <w:b w:val="false"/>
                <w:color w:val="000000"/>
                <w:sz w:val="18"/>
              </w:rPr>
            </w:pPr>
            <w:r>
              <w:rPr>
                <w:rFonts w:ascii="Helvetica;sans-serif" w:hAnsi="Helvetica;sans-serif"/>
                <w:b w:val="false"/>
                <w:color w:val="000000"/>
                <w:sz w:val="18"/>
              </w:rPr>
              <w:t>Effects of changes in exchange rates</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413 </w:t>
            </w:r>
          </w:p>
        </w:tc>
        <w:tc>
          <w:tcPr>
            <w:tcW w:w="259"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(1,236)</w:t>
            </w:r>
          </w:p>
        </w:tc>
        <w:tc>
          <w:tcPr>
            <w:tcW w:w="367"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(Increase)/decrease in cash and cash equivalents included in asset held for sale</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(4)</w:t>
            </w:r>
          </w:p>
        </w:tc>
        <w:tc>
          <w:tcPr>
            <w:tcW w:w="259"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292 </w:t>
            </w:r>
          </w:p>
        </w:tc>
        <w:tc>
          <w:tcPr>
            <w:tcW w:w="367"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6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Increase/(decrease) in cash and cash equivalents</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3,551 </w:t>
            </w:r>
          </w:p>
        </w:tc>
        <w:tc>
          <w:tcPr>
            <w:tcW w:w="259"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(3,440)</w:t>
            </w:r>
          </w:p>
        </w:tc>
        <w:tc>
          <w:tcPr>
            <w:tcW w:w="367"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Net cash and cash equivalents at beginning of period</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30,146 </w:t>
            </w:r>
          </w:p>
        </w:tc>
        <w:tc>
          <w:tcPr>
            <w:tcW w:w="259"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34,100 </w:t>
            </w:r>
          </w:p>
        </w:tc>
        <w:tc>
          <w:tcPr>
            <w:tcW w:w="367"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color w:val="243782"/>
                <w:sz w:val="18"/>
              </w:rPr>
            </w:pPr>
            <w:r>
              <w:rPr>
                <w:rFonts w:ascii="Helvetica;sans-serif" w:hAnsi="Helvetica;sans-serif"/>
                <w:b/>
                <w:color w:val="243782"/>
                <w:sz w:val="18"/>
              </w:rPr>
              <w:t>NET CASH AND CASH EQUIVALENTS AT END OF PERIOD</w:t>
            </w:r>
          </w:p>
        </w:tc>
        <w:tc>
          <w:tcPr>
            <w:tcW w:w="327" w:type="dxa"/>
            <w:gridSpan w:val="3"/>
            <w:tcBorders>
              <w:top w:val="single" w:sz="2" w:space="0" w:color="8E939F"/>
              <w:bottom w:val="single" w:sz="2" w:space="0" w:color="8E939F"/>
            </w:tcBorders>
            <w:shd w:fill="E6E7F4" w:val="clear"/>
            <w:tcMar>
              <w:left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8"/>
              </w:rPr>
              <w:t>33,697</w:t>
            </w:r>
            <w:r>
              <w:rPr>
                <w:color w:val="243782"/>
              </w:rPr>
              <w:t> </w:t>
            </w:r>
          </w:p>
        </w:tc>
        <w:tc>
          <w:tcPr>
            <w:tcW w:w="259" w:type="dxa"/>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op w:val="single" w:sz="2" w:space="0" w:color="8E939F"/>
              <w:bottom w:val="single" w:sz="2" w:space="0" w:color="8E939F"/>
            </w:tcBorders>
            <w:shd w:fill="E6E7F4" w:val="clear"/>
            <w:tcMar>
              <w:left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8"/>
              </w:rPr>
              <w:t>30,660</w:t>
            </w:r>
            <w:r>
              <w:rPr>
                <w:color w:val="243782"/>
              </w:rPr>
              <w:t> </w:t>
            </w:r>
          </w:p>
        </w:tc>
        <w:tc>
          <w:tcPr>
            <w:tcW w:w="367" w:type="dxa"/>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Helvetica;sans-serif" w:hAnsi="Helvetica;sans-serif"/>
          <w:b w:val="false"/>
          <w:i/>
          <w:color w:val="143A84"/>
          <w:sz w:val="20"/>
        </w:rPr>
      </w:pPr>
      <w:r>
        <w:rPr>
          <w:rFonts w:ascii="Helvetica;sans-serif" w:hAnsi="Helvetica;sans-serif"/>
          <w:b w:val="false"/>
          <w:i/>
          <w:color w:val="143A84"/>
          <w:sz w:val="20"/>
        </w:rPr>
        <w:t>Operating activities</w:t>
      </w:r>
    </w:p>
    <w:p>
      <w:pPr>
        <w:pStyle w:val="TextBody"/>
        <w:bidi w:val="0"/>
        <w:spacing w:lineRule="auto" w:line="343" w:before="0" w:after="240"/>
        <w:jc w:val="left"/>
        <w:rPr/>
      </w:pPr>
      <w:r>
        <w:rPr>
          <w:rFonts w:ascii="Helvetica Light;sans-serif" w:hAnsi="Helvetica Light;sans-serif"/>
          <w:b w:val="false"/>
          <w:color w:val="000000"/>
          <w:sz w:val="20"/>
          <w:shd w:fill="FFFFFF" w:val="clear"/>
        </w:rPr>
        <w:t xml:space="preserve">For the </w:t>
      </w:r>
      <w:r>
        <w:rPr>
          <w:rFonts w:ascii="Helvetica Light;sans-serif" w:hAnsi="Helvetica Light;sans-serif"/>
          <w:b w:val="false"/>
          <w:color w:val="000000"/>
          <w:sz w:val="20"/>
        </w:rPr>
        <w:t>six months ended June 30, 2026</w:t>
      </w:r>
      <w:r>
        <w:rPr>
          <w:rFonts w:ascii="Helvetica Light;sans-serif" w:hAnsi="Helvetica Light;sans-serif"/>
          <w:b w:val="false"/>
          <w:color w:val="000000"/>
          <w:sz w:val="20"/>
          <w:shd w:fill="FFFFFF" w:val="clear"/>
        </w:rPr>
        <w:t>, cash flows</w:t>
      </w:r>
      <w:r>
        <w:rPr>
          <w:color w:val="000000"/>
        </w:rPr>
        <w:t xml:space="preserve"> </w:t>
      </w:r>
      <w:r>
        <w:rPr>
          <w:rFonts w:ascii="Helvetica Light;sans-serif" w:hAnsi="Helvetica Light;sans-serif"/>
          <w:b w:val="false"/>
          <w:color w:val="000000"/>
          <w:sz w:val="20"/>
        </w:rPr>
        <w:t xml:space="preserve">used in </w:t>
      </w:r>
      <w:r>
        <w:rPr>
          <w:rFonts w:ascii="Helvetica Light;sans-serif" w:hAnsi="Helvetica Light;sans-serif"/>
          <w:b w:val="false"/>
          <w:color w:val="000000"/>
          <w:sz w:val="20"/>
          <w:shd w:fill="FFFFFF" w:val="clear"/>
        </w:rPr>
        <w:t>operating activities was the result o</w:t>
      </w:r>
      <w:r>
        <w:rPr>
          <w:rFonts w:ascii="Helvetica Light;sans-serif" w:hAnsi="Helvetica Light;sans-serif"/>
          <w:b w:val="false"/>
          <w:color w:val="000000"/>
          <w:sz w:val="20"/>
        </w:rPr>
        <w:t>f Profit before taxes of €1,038 million adjusted primarily for the following items:</w:t>
      </w:r>
    </w:p>
    <w:p>
      <w:pPr>
        <w:pStyle w:val="TextBody"/>
        <w:bidi w:val="0"/>
        <w:spacing w:lineRule="auto" w:line="343" w:before="0" w:after="120"/>
        <w:ind w:left="0" w:right="0" w:hanging="173"/>
        <w:jc w:val="left"/>
        <w:rPr/>
      </w:pPr>
      <w:r>
        <w:rPr>
          <w:color w:val="143A84"/>
        </w:rPr>
        <w:t>•</w:t>
      </w:r>
      <w:r>
        <w:rPr>
          <w:rFonts w:ascii="Helvetica Light;sans-serif" w:hAnsi="Helvetica Light;sans-serif"/>
          <w:b w:val="false"/>
          <w:color w:val="000000"/>
          <w:sz w:val="20"/>
        </w:rPr>
        <w:t>Non-cash items of:</w:t>
      </w:r>
    </w:p>
    <w:p>
      <w:pPr>
        <w:pStyle w:val="TextBody"/>
        <w:bidi w:val="0"/>
        <w:spacing w:lineRule="auto" w:line="343" w:before="0" w:after="120"/>
        <w:ind w:left="0" w:right="0" w:hanging="173"/>
        <w:jc w:val="left"/>
        <w:rPr/>
      </w:pPr>
      <w:r>
        <w:rPr>
          <w:color w:val="143A84"/>
        </w:rPr>
        <w:t>•</w:t>
      </w:r>
      <w:r>
        <w:rPr>
          <w:color w:val="000000"/>
        </w:rPr>
        <w:t>€</w:t>
      </w:r>
      <w:r>
        <w:rPr>
          <w:rFonts w:ascii="Helvetica Light;sans-serif" w:hAnsi="Helvetica Light;sans-serif"/>
          <w:b w:val="false"/>
          <w:color w:val="000000"/>
          <w:sz w:val="20"/>
        </w:rPr>
        <w:t>3,164 million for depreciation and amortization expense;</w:t>
      </w:r>
    </w:p>
    <w:p>
      <w:pPr>
        <w:pStyle w:val="TextBody"/>
        <w:bidi w:val="0"/>
        <w:spacing w:lineRule="auto" w:line="343" w:before="0" w:after="120"/>
        <w:ind w:left="0" w:right="0" w:hanging="173"/>
        <w:jc w:val="left"/>
        <w:rPr/>
      </w:pPr>
      <w:r>
        <w:rPr>
          <w:color w:val="143A84"/>
        </w:rPr>
        <w:t>•</w:t>
      </w:r>
      <w:r>
        <w:rPr>
          <w:color w:val="000000"/>
        </w:rPr>
        <w:t>€</w:t>
      </w:r>
      <w:r>
        <w:rPr>
          <w:rFonts w:ascii="Helvetica Light;sans-serif" w:hAnsi="Helvetica Light;sans-serif"/>
          <w:b w:val="false"/>
          <w:color w:val="000000"/>
          <w:sz w:val="20"/>
        </w:rPr>
        <w:t xml:space="preserve">794 million for other non-cash items, including €507 million related to impairments of tangible and intangible assets of which €284 million of U.S. GHG-related Other intangible assets (refer to </w:t>
      </w:r>
      <w:r>
        <w:rPr>
          <w:rFonts w:ascii="Helvetica Light;sans-serif" w:hAnsi="Helvetica Light;sans-serif"/>
          <w:b w:val="false"/>
          <w:i/>
          <w:color w:val="000000"/>
          <w:sz w:val="20"/>
        </w:rPr>
        <w:t>Company results</w:t>
      </w:r>
      <w:r>
        <w:rPr>
          <w:color w:val="000000"/>
        </w:rPr>
        <w:t xml:space="preserve"> </w:t>
      </w:r>
      <w:r>
        <w:rPr>
          <w:rFonts w:ascii="Helvetica Light;sans-serif" w:hAnsi="Helvetica Light;sans-serif"/>
          <w:b w:val="false"/>
          <w:color w:val="000000"/>
          <w:sz w:val="20"/>
        </w:rPr>
        <w:t>for additional information) and the rest primarily related to program cancellations in North America;</w:t>
      </w:r>
    </w:p>
    <w:p>
      <w:pPr>
        <w:pStyle w:val="TextBody"/>
        <w:bidi w:val="0"/>
        <w:spacing w:lineRule="auto" w:line="343" w:before="0" w:after="120"/>
        <w:ind w:left="0" w:right="0" w:hanging="173"/>
        <w:jc w:val="left"/>
        <w:rPr/>
      </w:pPr>
      <w:r>
        <w:rPr>
          <w:color w:val="143A84"/>
        </w:rPr>
        <w:t>•</w:t>
      </w:r>
      <w:r>
        <w:rPr>
          <w:color w:val="000000"/>
        </w:rPr>
        <w:t xml:space="preserve"> €</w:t>
      </w:r>
      <w:r>
        <w:rPr>
          <w:rFonts w:ascii="Helvetica Light;sans-serif" w:hAnsi="Helvetica Light;sans-serif"/>
          <w:b w:val="false"/>
          <w:color w:val="000000"/>
          <w:sz w:val="20"/>
        </w:rPr>
        <w:t>1,985 million net decrease in prov</w:t>
      </w:r>
      <w:r>
        <w:rPr>
          <w:rFonts w:ascii="Helvetica Light;sans-serif" w:hAnsi="Helvetica Light;sans-serif"/>
          <w:b w:val="false"/>
          <w:color w:val="000000"/>
          <w:sz w:val="20"/>
          <w:shd w:fill="FFFFFF" w:val="clear"/>
        </w:rPr>
        <w:t xml:space="preserve">isions and employee benefits liabilities, primarily </w:t>
      </w:r>
      <w:r>
        <w:rPr>
          <w:rFonts w:ascii="Helvetica Light;sans-serif" w:hAnsi="Helvetica Light;sans-serif"/>
          <w:b w:val="false"/>
          <w:color w:val="000000"/>
          <w:sz w:val="20"/>
        </w:rPr>
        <w:t xml:space="preserve">due to commercial risk provisions and warranty provisions, which is partially offset by an increase in sales incentives. The net decrease in provisions included €0.9 billion of cash payments related to charges recorded in the second half of 2025, as well as the release of U.S. GHG provisions (refer to Note 12, </w:t>
      </w:r>
      <w:r>
        <w:rPr>
          <w:rFonts w:ascii="Helvetica Light;sans-serif" w:hAnsi="Helvetica Light;sans-serif"/>
          <w:b w:val="false"/>
          <w:i/>
          <w:color w:val="000000"/>
          <w:sz w:val="20"/>
        </w:rPr>
        <w:t>Provisions</w:t>
      </w:r>
      <w:r>
        <w:rPr>
          <w:color w:val="000000"/>
        </w:rPr>
        <w:t xml:space="preserve"> </w:t>
      </w:r>
      <w:r>
        <w:rPr>
          <w:rFonts w:ascii="Helvetica Light;sans-serif" w:hAnsi="Helvetica Light;sans-serif"/>
          <w:b w:val="false"/>
          <w:color w:val="000000"/>
          <w:sz w:val="20"/>
        </w:rPr>
        <w:t>in the Interim Condensed Consolidated Financial Statements included in this Interim Report for additional information);</w:t>
      </w:r>
    </w:p>
    <w:p>
      <w:pPr>
        <w:pStyle w:val="TextBody"/>
        <w:bidi w:val="0"/>
        <w:spacing w:lineRule="auto" w:line="343" w:before="0" w:after="120"/>
        <w:ind w:left="0" w:right="0" w:hanging="173"/>
        <w:jc w:val="left"/>
        <w:rPr/>
      </w:pPr>
      <w:r>
        <w:rPr>
          <w:color w:val="143A84"/>
        </w:rPr>
        <w:t>•</w:t>
      </w:r>
      <w:r>
        <w:rPr>
          <w:rFonts w:ascii="Helvetica Light;sans-serif" w:hAnsi="Helvetica Light;sans-serif"/>
          <w:b w:val="false"/>
          <w:color w:val="000000"/>
          <w:sz w:val="20"/>
        </w:rPr>
        <w:t xml:space="preserve">the cash absorption of €2,076 million as a result of the increase in the carrying amount of leased vehicles related primarily to the financial services activity in North America; </w:t>
      </w:r>
    </w:p>
    <w:p>
      <w:pPr>
        <w:pStyle w:val="TextBody"/>
        <w:bidi w:val="0"/>
        <w:spacing w:lineRule="auto" w:line="343" w:before="0" w:after="120"/>
        <w:ind w:left="0" w:right="0" w:hanging="173"/>
        <w:jc w:val="left"/>
        <w:rPr/>
      </w:pPr>
      <w:r>
        <w:rPr>
          <w:color w:val="143A84"/>
        </w:rPr>
        <w:t>•</w:t>
      </w:r>
      <w:r>
        <w:rPr>
          <w:rFonts w:ascii="Helvetica Light;sans-serif" w:hAnsi="Helvetica Light;sans-serif"/>
          <w:b w:val="false"/>
          <w:color w:val="000000"/>
          <w:sz w:val="20"/>
        </w:rPr>
        <w:t>an increase in receivables from financing activities of €3,048 million, which was mainly attributable to growth in financial services activity;</w:t>
      </w:r>
    </w:p>
    <w:p>
      <w:pPr>
        <w:pStyle w:val="TextBody"/>
        <w:bidi w:val="0"/>
        <w:spacing w:before="0" w:after="24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503555"/>
                <wp:effectExtent l="0" t="0" r="0" b="0"/>
                <wp:wrapNone/>
                <wp:docPr id="62" name="Frame47"/>
                <a:graphic xmlns:a="http://schemas.openxmlformats.org/drawingml/2006/main">
                  <a:graphicData uri="http://schemas.microsoft.com/office/word/2010/wordprocessingShape">
                    <wps:wsp>
                      <wps:cNvSpPr txBox="1"/>
                      <wps:spPr>
                        <a:xfrm>
                          <a:off x="0" y="0"/>
                          <a:ext cx="6480175" cy="5035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43</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43</w:t>
                      </w:r>
                    </w:p>
                    <w:p>
                      <w:pPr>
                        <w:pStyle w:val="TextBody"/>
                        <w:bidi w:val="0"/>
                        <w:spacing w:before="0" w:after="24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343" w:before="0" w:after="120"/>
        <w:ind w:left="0" w:right="0" w:hanging="173"/>
        <w:jc w:val="left"/>
        <w:rPr/>
      </w:pPr>
      <w:r>
        <w:rPr>
          <w:color w:val="143A84"/>
        </w:rPr>
        <w:t>•</w:t>
      </w:r>
      <w:r>
        <w:rPr>
          <w:rFonts w:ascii="Helvetica Light;sans-serif" w:hAnsi="Helvetica Light;sans-serif"/>
          <w:b w:val="false"/>
          <w:color w:val="000000"/>
          <w:sz w:val="20"/>
        </w:rPr>
        <w:t>A net cash absorption of €930 million in working capital, which includes:</w:t>
      </w:r>
    </w:p>
    <w:p>
      <w:pPr>
        <w:pStyle w:val="TextBody"/>
        <w:bidi w:val="0"/>
        <w:spacing w:lineRule="auto" w:line="343" w:before="0" w:after="120"/>
        <w:ind w:left="0" w:right="0" w:hanging="173"/>
        <w:jc w:val="left"/>
        <w:rPr/>
      </w:pPr>
      <w:r>
        <w:rPr>
          <w:color w:val="143A84"/>
        </w:rPr>
        <w:t>•</w:t>
      </w:r>
      <w:r>
        <w:rPr>
          <w:rFonts w:ascii="Helvetica Light;sans-serif" w:hAnsi="Helvetica Light;sans-serif"/>
          <w:b w:val="false"/>
          <w:color w:val="000000"/>
          <w:sz w:val="20"/>
        </w:rPr>
        <w:t xml:space="preserve">an increase of €1,301 million in inventories driven </w:t>
      </w:r>
      <w:r>
        <w:rPr>
          <w:rFonts w:ascii="Helvetica Light;sans-serif" w:hAnsi="Helvetica Light;sans-serif"/>
          <w:b w:val="false"/>
          <w:color w:val="000000"/>
          <w:sz w:val="20"/>
          <w:shd w:fill="FFFFFF" w:val="clear"/>
        </w:rPr>
        <w:t xml:space="preserve">by new vehicle stock build-up in Enlarged Europe and South America ahead of the planned summer production shutdown, to support </w:t>
      </w:r>
      <w:r>
        <w:rPr>
          <w:rFonts w:ascii="Helvetica Light;sans-serif" w:hAnsi="Helvetica Light;sans-serif"/>
          <w:b w:val="false"/>
          <w:color w:val="000000"/>
          <w:sz w:val="20"/>
        </w:rPr>
        <w:t>new product launches and anticipated demand in the second half of the year;</w:t>
      </w:r>
    </w:p>
    <w:p>
      <w:pPr>
        <w:pStyle w:val="TextBody"/>
        <w:bidi w:val="0"/>
        <w:spacing w:lineRule="auto" w:line="343" w:before="0" w:after="120"/>
        <w:ind w:left="0" w:right="0" w:hanging="173"/>
        <w:jc w:val="left"/>
        <w:rPr/>
      </w:pPr>
      <w:r>
        <w:rPr>
          <w:color w:val="143A84"/>
        </w:rPr>
        <w:t>•</w:t>
      </w:r>
      <w:r>
        <w:rPr>
          <w:rFonts w:ascii="Helvetica Light;sans-serif" w:hAnsi="Helvetica Light;sans-serif"/>
          <w:b w:val="false"/>
          <w:color w:val="000000"/>
          <w:sz w:val="20"/>
        </w:rPr>
        <w:t>an increase of €1,592 million in trade receivables mainly reflecting increased volumes and a higher proportion of sales with extended credit terms in June as compared to December in both Enlarged Europe and South America;</w:t>
      </w:r>
    </w:p>
    <w:p>
      <w:pPr>
        <w:pStyle w:val="TextBody"/>
        <w:bidi w:val="0"/>
        <w:spacing w:lineRule="auto" w:line="343" w:before="0" w:after="120"/>
        <w:ind w:left="0" w:right="0" w:hanging="173"/>
        <w:jc w:val="left"/>
        <w:rPr/>
      </w:pPr>
      <w:r>
        <w:rPr>
          <w:color w:val="143A84"/>
        </w:rPr>
        <w:t>•</w:t>
      </w:r>
      <w:r>
        <w:rPr>
          <w:rFonts w:ascii="Helvetica Light;sans-serif" w:hAnsi="Helvetica Light;sans-serif"/>
          <w:b w:val="false"/>
          <w:color w:val="000000"/>
          <w:sz w:val="20"/>
        </w:rPr>
        <w:t>a negative impact of €1,370 million in other changes which is mainly related to the net tariff impact in North America and other receivables in South America; and</w:t>
      </w:r>
    </w:p>
    <w:p>
      <w:pPr>
        <w:pStyle w:val="TextBody"/>
        <w:bidi w:val="0"/>
        <w:spacing w:lineRule="auto" w:line="343" w:before="0" w:after="240"/>
        <w:ind w:left="0" w:right="0" w:hanging="173"/>
        <w:jc w:val="left"/>
        <w:rPr/>
      </w:pPr>
      <w:r>
        <w:rPr>
          <w:color w:val="143A84"/>
        </w:rPr>
        <w:t>•</w:t>
      </w:r>
      <w:r>
        <w:rPr>
          <w:rFonts w:ascii="Helvetica Light;sans-serif" w:hAnsi="Helvetica Light;sans-serif"/>
          <w:b w:val="false"/>
          <w:color w:val="000000"/>
          <w:sz w:val="20"/>
        </w:rPr>
        <w:t xml:space="preserve">an increase of €3,333 million in trade payables primarily reflecting increased production in May-June compared to November-December 2025 across the main regions. </w:t>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For the six months ended June 30, 2025, cash flows used in operating activities was the result of Loss before taxes of €2,870 million primarily adjusted by the following items:</w:t>
      </w:r>
    </w:p>
    <w:p>
      <w:pPr>
        <w:pStyle w:val="TextBody"/>
        <w:bidi w:val="0"/>
        <w:spacing w:lineRule="auto" w:line="343" w:before="120" w:after="120"/>
        <w:ind w:left="0" w:right="0" w:hanging="173"/>
        <w:jc w:val="left"/>
        <w:rPr/>
      </w:pPr>
      <w:r>
        <w:rPr>
          <w:color w:val="143A84"/>
        </w:rPr>
        <w:t>•</w:t>
      </w:r>
      <w:r>
        <w:rPr>
          <w:rFonts w:ascii="Helvetica Light;sans-serif" w:hAnsi="Helvetica Light;sans-serif"/>
          <w:b w:val="false"/>
          <w:color w:val="000000"/>
          <w:sz w:val="20"/>
        </w:rPr>
        <w:t>Non-cash items of:</w:t>
      </w:r>
    </w:p>
    <w:p>
      <w:pPr>
        <w:pStyle w:val="TextBody"/>
        <w:bidi w:val="0"/>
        <w:spacing w:lineRule="auto" w:line="343" w:before="120" w:after="120"/>
        <w:ind w:left="0" w:right="0" w:hanging="173"/>
        <w:jc w:val="left"/>
        <w:rPr/>
      </w:pPr>
      <w:r>
        <w:rPr>
          <w:color w:val="143A84"/>
        </w:rPr>
        <w:t>•</w:t>
      </w:r>
      <w:r>
        <w:rPr>
          <w:color w:val="000000"/>
        </w:rPr>
        <w:t>€</w:t>
      </w:r>
      <w:r>
        <w:rPr>
          <w:rFonts w:ascii="Helvetica Light;sans-serif" w:hAnsi="Helvetica Light;sans-serif"/>
          <w:b w:val="false"/>
          <w:color w:val="000000"/>
          <w:sz w:val="20"/>
        </w:rPr>
        <w:t>3,582 million for depreciation and amortization expense; and</w:t>
      </w:r>
    </w:p>
    <w:p>
      <w:pPr>
        <w:pStyle w:val="TextBody"/>
        <w:bidi w:val="0"/>
        <w:spacing w:lineRule="auto" w:line="343" w:before="120" w:after="120"/>
        <w:ind w:left="0" w:right="0" w:hanging="173"/>
        <w:jc w:val="left"/>
        <w:rPr/>
      </w:pPr>
      <w:r>
        <w:rPr>
          <w:color w:val="143A84"/>
        </w:rPr>
        <w:t>•</w:t>
      </w:r>
      <w:r>
        <w:rPr>
          <w:color w:val="000000"/>
        </w:rPr>
        <w:t>€</w:t>
      </w:r>
      <w:r>
        <w:rPr>
          <w:rFonts w:ascii="Helvetica Light;sans-serif" w:hAnsi="Helvetica Light;sans-serif"/>
          <w:b w:val="false"/>
          <w:color w:val="000000"/>
          <w:sz w:val="20"/>
        </w:rPr>
        <w:t xml:space="preserve">2,155 million for other non-cash items, which was mainly attributable to impairments of Other intangible assets and Property, plant and equipment recognized in North America, Maserati and Enlarged Europe; </w:t>
      </w:r>
    </w:p>
    <w:p>
      <w:pPr>
        <w:pStyle w:val="TextBody"/>
        <w:bidi w:val="0"/>
        <w:spacing w:lineRule="auto" w:line="343" w:before="120" w:after="120"/>
        <w:ind w:left="0" w:right="0" w:hanging="173"/>
        <w:jc w:val="left"/>
        <w:rPr/>
      </w:pPr>
      <w:r>
        <w:rPr>
          <w:color w:val="143A84"/>
        </w:rPr>
        <w:t>•</w:t>
      </w:r>
      <w:r>
        <w:rPr>
          <w:rFonts w:ascii="Helvetica Light;sans-serif" w:hAnsi="Helvetica Light;sans-serif"/>
          <w:b w:val="false"/>
          <w:color w:val="000000"/>
          <w:sz w:val="20"/>
        </w:rPr>
        <w:t xml:space="preserve">an increase in receivables from financing activities of €1,738 million, which was mainly attributable to financial services activity in North America; </w:t>
      </w:r>
    </w:p>
    <w:p>
      <w:pPr>
        <w:pStyle w:val="TextBody"/>
        <w:bidi w:val="0"/>
        <w:spacing w:lineRule="auto" w:line="343" w:before="120" w:after="120"/>
        <w:ind w:left="0" w:right="0" w:hanging="173"/>
        <w:jc w:val="left"/>
        <w:rPr/>
      </w:pPr>
      <w:r>
        <w:rPr>
          <w:color w:val="143A84"/>
        </w:rPr>
        <w:t>•</w:t>
      </w:r>
      <w:r>
        <w:rPr>
          <w:rFonts w:ascii="Helvetica Light;sans-serif" w:hAnsi="Helvetica Light;sans-serif"/>
          <w:b w:val="false"/>
          <w:color w:val="000000"/>
          <w:sz w:val="20"/>
        </w:rPr>
        <w:t xml:space="preserve">the absorption of €2,824 million for the increase in carrying amount of leased vehicles related to financial services activity in North America; </w:t>
      </w:r>
    </w:p>
    <w:p>
      <w:pPr>
        <w:pStyle w:val="TextBody"/>
        <w:bidi w:val="0"/>
        <w:spacing w:lineRule="auto" w:line="343" w:before="120" w:after="120"/>
        <w:ind w:left="0" w:right="0" w:hanging="173"/>
        <w:jc w:val="left"/>
        <w:rPr/>
      </w:pPr>
      <w:r>
        <w:rPr>
          <w:color w:val="143A84"/>
        </w:rPr>
        <w:t>•</w:t>
      </w:r>
      <w:r>
        <w:rPr>
          <w:rFonts w:ascii="Helvetica Light;sans-serif" w:hAnsi="Helvetica Light;sans-serif"/>
          <w:b w:val="false"/>
          <w:color w:val="000000"/>
          <w:sz w:val="20"/>
        </w:rPr>
        <w:t xml:space="preserve">an €833 million net decrease in provisions, primarily due to a decrease in sales incentives, and; </w:t>
      </w:r>
    </w:p>
    <w:p>
      <w:pPr>
        <w:pStyle w:val="TextBody"/>
        <w:bidi w:val="0"/>
        <w:spacing w:lineRule="auto" w:line="343" w:before="120" w:after="120"/>
        <w:ind w:left="0" w:right="0" w:hanging="173"/>
        <w:jc w:val="left"/>
        <w:rPr/>
      </w:pPr>
      <w:r>
        <w:rPr>
          <w:color w:val="143A84"/>
        </w:rPr>
        <w:t>•</w:t>
      </w:r>
      <w:r>
        <w:rPr>
          <w:rFonts w:ascii="Helvetica Light;sans-serif" w:hAnsi="Helvetica Light;sans-serif"/>
          <w:b w:val="false"/>
          <w:color w:val="000000"/>
          <w:sz w:val="20"/>
        </w:rPr>
        <w:t xml:space="preserve">for the negative effect of the increase in working capital of €653 million, which includes: </w:t>
      </w:r>
    </w:p>
    <w:p>
      <w:pPr>
        <w:pStyle w:val="TextBody"/>
        <w:bidi w:val="0"/>
        <w:spacing w:lineRule="auto" w:line="343" w:before="120" w:after="120"/>
        <w:ind w:left="0" w:right="0" w:hanging="173"/>
        <w:jc w:val="left"/>
        <w:rPr/>
      </w:pPr>
      <w:r>
        <w:rPr>
          <w:color w:val="143A84"/>
        </w:rPr>
        <w:t>•</w:t>
      </w:r>
      <w:r>
        <w:rPr>
          <w:rFonts w:ascii="Helvetica Light;sans-serif" w:hAnsi="Helvetica Light;sans-serif"/>
          <w:b w:val="false"/>
          <w:color w:val="000000"/>
          <w:sz w:val="20"/>
        </w:rPr>
        <w:t xml:space="preserve">an increase of €2,145 million in inventories driven by higher new vehicles stock and manufacturing inventories; </w:t>
      </w:r>
    </w:p>
    <w:p>
      <w:pPr>
        <w:pStyle w:val="TextBody"/>
        <w:bidi w:val="0"/>
        <w:spacing w:lineRule="auto" w:line="343" w:before="120" w:after="120"/>
        <w:ind w:left="0" w:right="0" w:hanging="173"/>
        <w:jc w:val="left"/>
        <w:rPr/>
      </w:pPr>
      <w:r>
        <w:rPr>
          <w:color w:val="143A84"/>
        </w:rPr>
        <w:t>•</w:t>
      </w:r>
      <w:r>
        <w:rPr>
          <w:rFonts w:ascii="Helvetica Light;sans-serif" w:hAnsi="Helvetica Light;sans-serif"/>
          <w:b w:val="false"/>
          <w:color w:val="000000"/>
          <w:sz w:val="20"/>
        </w:rPr>
        <w:t xml:space="preserve">an increase of €1,094 million in trade receivables mainly reflecting the increased activity in June 2025 compared to December 2024; and </w:t>
      </w:r>
    </w:p>
    <w:p>
      <w:pPr>
        <w:pStyle w:val="TextBody"/>
        <w:bidi w:val="0"/>
        <w:spacing w:lineRule="auto" w:line="343" w:before="0" w:after="240"/>
        <w:ind w:left="0" w:right="0" w:hanging="173"/>
        <w:jc w:val="left"/>
        <w:rPr/>
      </w:pPr>
      <w:r>
        <w:rPr>
          <w:color w:val="143A84"/>
        </w:rPr>
        <w:t>•</w:t>
      </w:r>
      <w:r>
        <w:rPr>
          <w:rFonts w:ascii="Helvetica Light;sans-serif" w:hAnsi="Helvetica Light;sans-serif"/>
          <w:b w:val="false"/>
          <w:color w:val="000000"/>
          <w:sz w:val="20"/>
        </w:rPr>
        <w:t>a negative impact of €165 million in other changes.</w:t>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This is partially offset by:</w:t>
      </w:r>
    </w:p>
    <w:p>
      <w:pPr>
        <w:pStyle w:val="TextBody"/>
        <w:bidi w:val="0"/>
        <w:spacing w:lineRule="auto" w:line="343" w:before="0" w:after="240"/>
        <w:ind w:left="0" w:right="0" w:hanging="173"/>
        <w:jc w:val="left"/>
        <w:rPr/>
      </w:pPr>
      <w:r>
        <w:rPr>
          <w:color w:val="143A84"/>
        </w:rPr>
        <w:t>•</w:t>
      </w:r>
      <w:r>
        <w:rPr>
          <w:rFonts w:ascii="Helvetica Light;sans-serif" w:hAnsi="Helvetica Light;sans-serif"/>
          <w:b w:val="false"/>
          <w:color w:val="000000"/>
          <w:sz w:val="20"/>
        </w:rPr>
        <w:t>an increase of €2,751 million in trade payables primarily reflecting higher production levels in June 2025 as compared to December 2024.</w:t>
      </w:r>
      <w:r>
        <w:rPr>
          <w:color w:val="000000"/>
        </w:rPr>
        <w:t xml:space="preserve"> </w:t>
      </w:r>
    </w:p>
    <w:p>
      <w:pPr>
        <w:pStyle w:val="TextBody"/>
        <w:bidi w:val="0"/>
        <w:spacing w:lineRule="auto" w:line="288" w:before="0" w:after="240"/>
        <w:jc w:val="left"/>
        <w:rPr>
          <w:rFonts w:ascii="Helvetica;sans-serif" w:hAnsi="Helvetica;sans-serif"/>
          <w:b w:val="false"/>
          <w:i/>
          <w:color w:val="143A84"/>
          <w:sz w:val="20"/>
          <w:shd w:fill="FFFFFF" w:val="clear"/>
        </w:rPr>
      </w:pPr>
      <w:r>
        <w:rPr>
          <w:rFonts w:ascii="Helvetica;sans-serif" w:hAnsi="Helvetica;sans-serif"/>
          <w:b w:val="false"/>
          <w:i/>
          <w:color w:val="143A84"/>
          <w:sz w:val="20"/>
          <w:shd w:fill="FFFFFF" w:val="clear"/>
        </w:rPr>
        <w:t xml:space="preserve">Investing activities </w:t>
      </w:r>
    </w:p>
    <w:p>
      <w:pPr>
        <w:pStyle w:val="TextBody"/>
        <w:bidi w:val="0"/>
        <w:spacing w:lineRule="auto" w:line="343" w:before="0" w:after="240"/>
        <w:jc w:val="left"/>
        <w:rPr/>
      </w:pPr>
      <w:r>
        <w:rPr>
          <w:rFonts w:ascii="Helvetica Light;sans-serif" w:hAnsi="Helvetica Light;sans-serif"/>
          <w:b w:val="false"/>
          <w:color w:val="000000"/>
          <w:sz w:val="20"/>
          <w:shd w:fill="FFFFFF" w:val="clear"/>
        </w:rPr>
        <w:t xml:space="preserve">For the </w:t>
      </w:r>
      <w:r>
        <w:rPr>
          <w:rFonts w:ascii="Helvetica Light;sans-serif" w:hAnsi="Helvetica Light;sans-serif"/>
          <w:b w:val="false"/>
          <w:color w:val="000000"/>
          <w:sz w:val="20"/>
        </w:rPr>
        <w:t>six months ended June 30, 2026</w:t>
      </w:r>
      <w:r>
        <w:rPr>
          <w:rFonts w:ascii="Helvetica Light;sans-serif" w:hAnsi="Helvetica Light;sans-serif"/>
          <w:b w:val="false"/>
          <w:color w:val="000000"/>
          <w:sz w:val="20"/>
          <w:shd w:fill="FFFFFF" w:val="clear"/>
        </w:rPr>
        <w:t xml:space="preserve">, </w:t>
      </w:r>
      <w:r>
        <w:rPr>
          <w:rFonts w:ascii="Helvetica Light;sans-serif" w:hAnsi="Helvetica Light;sans-serif"/>
          <w:b w:val="false"/>
          <w:color w:val="000000"/>
          <w:sz w:val="20"/>
        </w:rPr>
        <w:t>cash used in investing activities was primarily the result of:</w:t>
      </w:r>
    </w:p>
    <w:p>
      <w:pPr>
        <w:pStyle w:val="TextBody"/>
        <w:bidi w:val="0"/>
        <w:spacing w:lineRule="auto" w:line="343" w:before="0" w:after="240"/>
        <w:ind w:left="0" w:right="0" w:hanging="173"/>
        <w:jc w:val="left"/>
        <w:rPr/>
      </w:pPr>
      <w:r>
        <w:rPr>
          <w:color w:val="143A84"/>
        </w:rPr>
        <w:t>•</w:t>
      </w:r>
      <w:r>
        <w:rPr>
          <w:color w:val="000000"/>
        </w:rPr>
        <w:t>€</w:t>
      </w:r>
      <w:r>
        <w:rPr>
          <w:rFonts w:ascii="Helvetica Light;sans-serif" w:hAnsi="Helvetica Light;sans-serif"/>
          <w:b w:val="false"/>
          <w:color w:val="000000"/>
          <w:sz w:val="20"/>
        </w:rPr>
        <w:t xml:space="preserve">2,744 million of investment in property, plant and equipment </w:t>
      </w:r>
      <w:r>
        <w:rPr>
          <w:rFonts w:ascii="Helvetica Light;sans-serif" w:hAnsi="Helvetica Light;sans-serif"/>
          <w:b w:val="false"/>
          <w:color w:val="000000"/>
          <w:sz w:val="20"/>
          <w:shd w:fill="FFFFFF" w:val="clear"/>
        </w:rPr>
        <w:t>and intangible assets, includi</w:t>
      </w:r>
      <w:r>
        <w:rPr>
          <w:rFonts w:ascii="Helvetica Light;sans-serif" w:hAnsi="Helvetica Light;sans-serif"/>
          <w:b w:val="false"/>
          <w:color w:val="000000"/>
          <w:sz w:val="20"/>
        </w:rPr>
        <w:t xml:space="preserve">ng €1,273 million of </w:t>
      </w:r>
      <w:r>
        <w:rPr>
          <w:rFonts w:ascii="Helvetica Light;sans-serif" w:hAnsi="Helvetica Light;sans-serif"/>
          <w:b w:val="false"/>
          <w:color w:val="000000"/>
          <w:sz w:val="20"/>
          <w:shd w:fill="FFFFFF" w:val="clear"/>
        </w:rPr>
        <w:t>capitalized development e</w:t>
      </w:r>
      <w:r>
        <w:rPr>
          <w:rFonts w:ascii="Helvetica Light;sans-serif" w:hAnsi="Helvetica Light;sans-serif"/>
          <w:b w:val="false"/>
          <w:color w:val="000000"/>
          <w:sz w:val="20"/>
        </w:rPr>
        <w:t>xpenditures:</w:t>
      </w:r>
    </w:p>
    <w:p>
      <w:pPr>
        <w:pStyle w:val="TextBody"/>
        <w:bidi w:val="0"/>
        <w:spacing w:before="0" w:after="24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503555"/>
                <wp:effectExtent l="0" t="0" r="0" b="0"/>
                <wp:wrapNone/>
                <wp:docPr id="63" name="Frame48"/>
                <a:graphic xmlns:a="http://schemas.openxmlformats.org/drawingml/2006/main">
                  <a:graphicData uri="http://schemas.microsoft.com/office/word/2010/wordprocessingShape">
                    <wps:wsp>
                      <wps:cNvSpPr txBox="1"/>
                      <wps:spPr>
                        <a:xfrm>
                          <a:off x="0" y="0"/>
                          <a:ext cx="6480175" cy="5035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44</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44</w:t>
                      </w:r>
                    </w:p>
                    <w:p>
                      <w:pPr>
                        <w:pStyle w:val="TextBody"/>
                        <w:bidi w:val="0"/>
                        <w:spacing w:before="0" w:after="24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343" w:before="0" w:after="240"/>
        <w:ind w:left="0" w:right="0" w:hanging="173"/>
        <w:jc w:val="left"/>
        <w:rPr/>
      </w:pPr>
      <w:r>
        <w:rPr>
          <w:color w:val="143A84"/>
        </w:rPr>
        <w:t>•</w:t>
      </w:r>
      <w:r>
        <w:rPr>
          <w:color w:val="000000"/>
        </w:rPr>
        <w:t xml:space="preserve"> €</w:t>
      </w:r>
      <w:r>
        <w:rPr>
          <w:rFonts w:ascii="Helvetica Light;sans-serif" w:hAnsi="Helvetica Light;sans-serif"/>
          <w:b w:val="false"/>
          <w:color w:val="000000"/>
          <w:sz w:val="20"/>
        </w:rPr>
        <w:t>346 million decrease in payabl</w:t>
      </w:r>
      <w:r>
        <w:rPr>
          <w:rFonts w:ascii="Helvetica Light;sans-serif" w:hAnsi="Helvetica Light;sans-serif"/>
          <w:b w:val="false"/>
          <w:color w:val="000000"/>
          <w:sz w:val="20"/>
          <w:shd w:fill="FFFFFF" w:val="clear"/>
        </w:rPr>
        <w:t>es related to</w:t>
      </w:r>
      <w:r>
        <w:rPr>
          <w:color w:val="000000"/>
        </w:rPr>
        <w:t xml:space="preserve"> </w:t>
      </w:r>
      <w:r>
        <w:rPr>
          <w:rFonts w:ascii="Helvetica Light;sans-serif" w:hAnsi="Helvetica Light;sans-serif"/>
          <w:b w:val="false"/>
          <w:color w:val="000000"/>
          <w:sz w:val="20"/>
        </w:rPr>
        <w:t>investments in property, plant and equipment and intangible assets; and</w:t>
      </w:r>
    </w:p>
    <w:p>
      <w:pPr>
        <w:pStyle w:val="TextBody"/>
        <w:bidi w:val="0"/>
        <w:spacing w:lineRule="auto" w:line="343" w:before="0" w:after="240"/>
        <w:ind w:left="0" w:right="0" w:hanging="173"/>
        <w:jc w:val="left"/>
        <w:rPr/>
      </w:pPr>
      <w:r>
        <w:rPr>
          <w:color w:val="143A84"/>
        </w:rPr>
        <w:t>•</w:t>
      </w:r>
      <w:r>
        <w:rPr>
          <w:color w:val="000000"/>
        </w:rPr>
        <w:t xml:space="preserve"> €</w:t>
      </w:r>
      <w:r>
        <w:rPr>
          <w:rFonts w:ascii="Helvetica Light;sans-serif" w:hAnsi="Helvetica Light;sans-serif"/>
          <w:b w:val="false"/>
          <w:color w:val="000000"/>
          <w:sz w:val="20"/>
        </w:rPr>
        <w:t>258 million of acquisition of investments, mainly due to capital increases in joint ventures.</w:t>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This is partially offset by:</w:t>
      </w:r>
    </w:p>
    <w:p>
      <w:pPr>
        <w:pStyle w:val="TextBody"/>
        <w:bidi w:val="0"/>
        <w:spacing w:lineRule="auto" w:line="343" w:before="0" w:after="240"/>
        <w:ind w:left="0" w:right="0" w:hanging="173"/>
        <w:jc w:val="left"/>
        <w:rPr/>
      </w:pPr>
      <w:r>
        <w:rPr>
          <w:color w:val="143A84"/>
        </w:rPr>
        <w:t>•</w:t>
      </w:r>
      <w:r>
        <w:rPr>
          <w:color w:val="000000"/>
        </w:rPr>
        <w:t xml:space="preserve"> </w:t>
      </w:r>
      <w:r>
        <w:rPr>
          <w:rFonts w:ascii="Helvetica Light;sans-serif" w:hAnsi="Helvetica Light;sans-serif"/>
          <w:b w:val="false"/>
          <w:color w:val="000000"/>
          <w:sz w:val="20"/>
        </w:rPr>
        <w:t>a decrease in securities of €462 million mainly due to the maturity of debt securities.</w:t>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For the six months ended June 30, 2025, cash used in investing activities was primarily the result of:</w:t>
      </w:r>
    </w:p>
    <w:p>
      <w:pPr>
        <w:pStyle w:val="TextBody"/>
        <w:bidi w:val="0"/>
        <w:spacing w:lineRule="auto" w:line="343" w:before="0" w:after="240"/>
        <w:ind w:left="0" w:right="0" w:hanging="173"/>
        <w:jc w:val="left"/>
        <w:rPr/>
      </w:pPr>
      <w:r>
        <w:rPr>
          <w:color w:val="143A84"/>
        </w:rPr>
        <w:t>•</w:t>
      </w:r>
      <w:r>
        <w:rPr>
          <w:color w:val="000000"/>
        </w:rPr>
        <w:t>€</w:t>
      </w:r>
      <w:r>
        <w:rPr>
          <w:rFonts w:ascii="Helvetica Light;sans-serif" w:hAnsi="Helvetica Light;sans-serif"/>
          <w:b w:val="false"/>
          <w:color w:val="000000"/>
          <w:sz w:val="20"/>
        </w:rPr>
        <w:t>4,447 million of investment in property, plant and equipment and intangible assets, including €1,705 million of capitalized development expenditures;</w:t>
      </w:r>
    </w:p>
    <w:p>
      <w:pPr>
        <w:pStyle w:val="TextBody"/>
        <w:bidi w:val="0"/>
        <w:spacing w:lineRule="auto" w:line="343" w:before="0" w:after="240"/>
        <w:ind w:left="0" w:right="0" w:hanging="173"/>
        <w:jc w:val="left"/>
        <w:rPr/>
      </w:pPr>
      <w:r>
        <w:rPr>
          <w:color w:val="143A84"/>
        </w:rPr>
        <w:t>•</w:t>
      </w:r>
      <w:r>
        <w:rPr>
          <w:color w:val="000000"/>
        </w:rPr>
        <w:t xml:space="preserve"> €</w:t>
      </w:r>
      <w:r>
        <w:rPr>
          <w:rFonts w:ascii="Helvetica Light;sans-serif" w:hAnsi="Helvetica Light;sans-serif"/>
          <w:b w:val="false"/>
          <w:color w:val="000000"/>
          <w:sz w:val="20"/>
        </w:rPr>
        <w:t>711 million decrease in payables related to investments in property, plant and equipment and intangible assets; and</w:t>
      </w:r>
    </w:p>
    <w:p>
      <w:pPr>
        <w:pStyle w:val="TextBody"/>
        <w:bidi w:val="0"/>
        <w:spacing w:lineRule="auto" w:line="343" w:before="0" w:after="240"/>
        <w:ind w:left="0" w:right="0" w:hanging="173"/>
        <w:jc w:val="left"/>
        <w:rPr/>
      </w:pPr>
      <w:r>
        <w:rPr>
          <w:color w:val="143A84"/>
        </w:rPr>
        <w:t>•</w:t>
      </w:r>
      <w:r>
        <w:rPr>
          <w:color w:val="000000"/>
        </w:rPr>
        <w:t>€</w:t>
      </w:r>
      <w:r>
        <w:rPr>
          <w:rFonts w:ascii="Helvetica Light;sans-serif" w:hAnsi="Helvetica Light;sans-serif"/>
          <w:b w:val="false"/>
          <w:color w:val="000000"/>
          <w:sz w:val="20"/>
        </w:rPr>
        <w:t>247 million investment for acquisitions of consolidated subsidiaries and equity method and other investments which was primarily due to €89 million of capital injections to joint ventures and associates, and €158 million in acquisitions of consolidated subsidiaries and equity method investments associates.</w:t>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This is partially offset by:</w:t>
      </w:r>
    </w:p>
    <w:p>
      <w:pPr>
        <w:pStyle w:val="TextBody"/>
        <w:bidi w:val="0"/>
        <w:spacing w:lineRule="auto" w:line="343" w:before="0" w:after="240"/>
        <w:ind w:left="0" w:right="0" w:hanging="173"/>
        <w:jc w:val="left"/>
        <w:rPr/>
      </w:pPr>
      <w:r>
        <w:rPr>
          <w:color w:val="143A84"/>
        </w:rPr>
        <w:t>•</w:t>
      </w:r>
      <w:r>
        <w:rPr>
          <w:rFonts w:ascii="Helvetica Light;sans-serif" w:hAnsi="Helvetica Light;sans-serif"/>
          <w:b w:val="false"/>
          <w:color w:val="000000"/>
          <w:sz w:val="20"/>
        </w:rPr>
        <w:t xml:space="preserve">the decrease in securities of €2,444 million mainly due to decrease in investments held by treasury companies; and </w:t>
      </w:r>
    </w:p>
    <w:p>
      <w:pPr>
        <w:pStyle w:val="TextBody"/>
        <w:bidi w:val="0"/>
        <w:spacing w:lineRule="auto" w:line="343" w:before="0" w:after="240"/>
        <w:ind w:left="0" w:right="0" w:hanging="173"/>
        <w:jc w:val="left"/>
        <w:rPr/>
      </w:pPr>
      <w:r>
        <w:rPr>
          <w:color w:val="143A84"/>
        </w:rPr>
        <w:t>•</w:t>
      </w:r>
      <w:r>
        <w:rPr>
          <w:color w:val="000000"/>
        </w:rPr>
        <w:t>€</w:t>
      </w:r>
      <w:r>
        <w:rPr>
          <w:rFonts w:ascii="Helvetica Light;sans-serif" w:hAnsi="Helvetica Light;sans-serif"/>
          <w:b w:val="false"/>
          <w:color w:val="000000"/>
          <w:sz w:val="20"/>
        </w:rPr>
        <w:t>389 million net proceeds from disposals of shares in consolidated companies and of investments in non-consolidated companies.</w:t>
      </w:r>
    </w:p>
    <w:p>
      <w:pPr>
        <w:pStyle w:val="TextBody"/>
        <w:bidi w:val="0"/>
        <w:spacing w:lineRule="auto" w:line="288" w:before="0" w:after="240"/>
        <w:jc w:val="left"/>
        <w:rPr>
          <w:rFonts w:ascii="Helvetica;sans-serif" w:hAnsi="Helvetica;sans-serif"/>
          <w:b w:val="false"/>
          <w:i/>
          <w:color w:val="143A84"/>
          <w:sz w:val="20"/>
        </w:rPr>
      </w:pPr>
      <w:r>
        <w:rPr>
          <w:rFonts w:ascii="Helvetica;sans-serif" w:hAnsi="Helvetica;sans-serif"/>
          <w:b w:val="false"/>
          <w:i/>
          <w:color w:val="143A84"/>
          <w:sz w:val="20"/>
        </w:rPr>
        <w:t>Financing activities</w:t>
      </w:r>
    </w:p>
    <w:p>
      <w:pPr>
        <w:pStyle w:val="TextBody"/>
        <w:bidi w:val="0"/>
        <w:spacing w:lineRule="auto" w:line="343" w:before="0" w:after="240"/>
        <w:jc w:val="left"/>
        <w:rPr/>
      </w:pPr>
      <w:r>
        <w:rPr>
          <w:rFonts w:ascii="Helvetica Light;sans-serif" w:hAnsi="Helvetica Light;sans-serif"/>
          <w:b w:val="false"/>
          <w:color w:val="000000"/>
          <w:sz w:val="20"/>
          <w:shd w:fill="FFFFFF" w:val="clear"/>
        </w:rPr>
        <w:t xml:space="preserve">For the </w:t>
      </w:r>
      <w:r>
        <w:rPr>
          <w:rFonts w:ascii="Helvetica Light;sans-serif" w:hAnsi="Helvetica Light;sans-serif"/>
          <w:b w:val="false"/>
          <w:color w:val="000000"/>
          <w:sz w:val="20"/>
        </w:rPr>
        <w:t>six months ended June 30, 2026, net cash from financing activities totaled €9,049 million, primarily driven by:</w:t>
      </w:r>
    </w:p>
    <w:p>
      <w:pPr>
        <w:pStyle w:val="TextBody"/>
        <w:bidi w:val="0"/>
        <w:spacing w:lineRule="auto" w:line="343" w:before="0" w:after="240"/>
        <w:ind w:left="0" w:right="0" w:hanging="173"/>
        <w:jc w:val="left"/>
        <w:rPr/>
      </w:pPr>
      <w:r>
        <w:rPr>
          <w:color w:val="143A84"/>
        </w:rPr>
        <w:t>•</w:t>
      </w:r>
      <w:r>
        <w:rPr>
          <w:rFonts w:ascii="Helvetica Light;sans-serif" w:hAnsi="Helvetica Light;sans-serif"/>
          <w:b w:val="false"/>
          <w:color w:val="000000"/>
          <w:sz w:val="20"/>
        </w:rPr>
        <w:t xml:space="preserve">the issuance of Hybrid perpetual notes of €4,927 million, net (refer to Note 18, </w:t>
      </w:r>
      <w:r>
        <w:rPr>
          <w:rFonts w:ascii="Helvetica Light;sans-serif" w:hAnsi="Helvetica Light;sans-serif"/>
          <w:b w:val="false"/>
          <w:i/>
          <w:color w:val="000000"/>
          <w:sz w:val="20"/>
        </w:rPr>
        <w:t>Equity</w:t>
      </w:r>
      <w:r>
        <w:rPr>
          <w:color w:val="000000"/>
        </w:rPr>
        <w:t xml:space="preserve"> </w:t>
      </w:r>
      <w:r>
        <w:rPr>
          <w:rFonts w:ascii="Helvetica Light;sans-serif" w:hAnsi="Helvetica Light;sans-serif"/>
          <w:b w:val="false"/>
          <w:color w:val="000000"/>
          <w:sz w:val="20"/>
        </w:rPr>
        <w:t xml:space="preserve">in the Interim Condensed Consolidated Financial Statements included in this Interim Report for additional information); </w:t>
      </w:r>
    </w:p>
    <w:p>
      <w:pPr>
        <w:pStyle w:val="TextBody"/>
        <w:bidi w:val="0"/>
        <w:spacing w:lineRule="auto" w:line="343" w:before="0" w:after="240"/>
        <w:ind w:left="0" w:right="0" w:hanging="173"/>
        <w:jc w:val="left"/>
        <w:rPr/>
      </w:pPr>
      <w:r>
        <w:rPr>
          <w:color w:val="143A84"/>
        </w:rPr>
        <w:t>•</w:t>
      </w:r>
      <w:r>
        <w:rPr>
          <w:rFonts w:ascii="Helvetica Light;sans-serif" w:hAnsi="Helvetica Light;sans-serif"/>
          <w:b w:val="false"/>
          <w:color w:val="000000"/>
          <w:sz w:val="20"/>
        </w:rPr>
        <w:t xml:space="preserve">new long-term debt for €5,578 million, </w:t>
      </w:r>
      <w:r>
        <w:rPr>
          <w:rFonts w:ascii="Helvetica Light;sans-serif" w:hAnsi="Helvetica Light;sans-serif"/>
          <w:b w:val="false"/>
          <w:color w:val="000000"/>
          <w:sz w:val="20"/>
          <w:shd w:fill="FFFFFF" w:val="clear"/>
        </w:rPr>
        <w:t>mainly to fund financial services in the U.S</w:t>
      </w:r>
      <w:r>
        <w:rPr>
          <w:rFonts w:ascii="Helvetica Light;sans-serif" w:hAnsi="Helvetica Light;sans-serif"/>
          <w:b w:val="false"/>
          <w:color w:val="000000"/>
          <w:sz w:val="20"/>
        </w:rPr>
        <w:t>. and Brazil;</w:t>
      </w:r>
    </w:p>
    <w:p>
      <w:pPr>
        <w:pStyle w:val="TextBody"/>
        <w:bidi w:val="0"/>
        <w:spacing w:lineRule="auto" w:line="343" w:before="0" w:after="240"/>
        <w:ind w:left="0" w:right="0" w:hanging="173"/>
        <w:jc w:val="left"/>
        <w:rPr/>
      </w:pPr>
      <w:r>
        <w:rPr>
          <w:color w:val="143A84"/>
        </w:rPr>
        <w:t>•</w:t>
      </w:r>
      <w:r>
        <w:rPr>
          <w:rFonts w:ascii="Helvetica Light;sans-serif" w:hAnsi="Helvetica Light;sans-serif"/>
          <w:b w:val="false"/>
          <w:color w:val="000000"/>
          <w:sz w:val="20"/>
        </w:rPr>
        <w:t xml:space="preserve">issuance of bonds of €3,396 million, of which €2,157 million by SFS U.S.; and </w:t>
      </w:r>
    </w:p>
    <w:p>
      <w:pPr>
        <w:pStyle w:val="TextBody"/>
        <w:bidi w:val="0"/>
        <w:spacing w:lineRule="auto" w:line="343" w:before="0" w:after="240"/>
        <w:ind w:left="0" w:right="0" w:hanging="173"/>
        <w:jc w:val="left"/>
        <w:rPr/>
      </w:pPr>
      <w:r>
        <w:rPr>
          <w:color w:val="143A84"/>
        </w:rPr>
        <w:t>•</w:t>
      </w:r>
      <w:r>
        <w:rPr>
          <w:rFonts w:ascii="Helvetica Light;sans-serif" w:hAnsi="Helvetica Light;sans-serif"/>
          <w:b w:val="false"/>
          <w:color w:val="000000"/>
          <w:sz w:val="20"/>
        </w:rPr>
        <w:t>a net increase of €334 million in short-term debt and other financial assets and liabilities</w:t>
      </w:r>
      <w:r>
        <w:rPr>
          <w:rFonts w:ascii="Helvetica Light;sans-serif" w:hAnsi="Helvetica Light;sans-serif"/>
          <w:b w:val="false"/>
          <w:color w:val="000000"/>
          <w:sz w:val="20"/>
          <w:shd w:fill="FFFFFF" w:val="clear"/>
        </w:rPr>
        <w:t>.</w:t>
      </w:r>
      <w:r>
        <w:rPr>
          <w:color w:val="000000"/>
        </w:rPr>
        <w:t xml:space="preserve"> </w:t>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 xml:space="preserve">These inflows were partially offset by repayments of long-term debt, including: </w:t>
      </w:r>
    </w:p>
    <w:p>
      <w:pPr>
        <w:pStyle w:val="TextBody"/>
        <w:bidi w:val="0"/>
        <w:spacing w:lineRule="auto" w:line="343" w:before="0" w:after="240"/>
        <w:ind w:left="0" w:right="0" w:hanging="173"/>
        <w:jc w:val="left"/>
        <w:rPr/>
      </w:pPr>
      <w:r>
        <w:rPr>
          <w:color w:val="143A84"/>
        </w:rPr>
        <w:t>•</w:t>
      </w:r>
      <w:r>
        <w:rPr>
          <w:color w:val="000000"/>
        </w:rPr>
        <w:t>€</w:t>
      </w:r>
      <w:r>
        <w:rPr>
          <w:rFonts w:ascii="Helvetica Light;sans-serif" w:hAnsi="Helvetica Light;sans-serif"/>
          <w:b w:val="false"/>
          <w:color w:val="000000"/>
          <w:sz w:val="20"/>
        </w:rPr>
        <w:t>2,514 million of bonds repaid at maturity; and</w:t>
      </w:r>
    </w:p>
    <w:p>
      <w:pPr>
        <w:pStyle w:val="TextBody"/>
        <w:bidi w:val="0"/>
        <w:spacing w:lineRule="auto" w:line="343" w:before="0" w:after="240"/>
        <w:ind w:left="0" w:right="0" w:hanging="173"/>
        <w:jc w:val="left"/>
        <w:rPr/>
      </w:pPr>
      <w:r>
        <w:rPr>
          <w:color w:val="143A84"/>
        </w:rPr>
        <w:t>•</w:t>
      </w:r>
      <w:r>
        <w:rPr>
          <w:color w:val="000000"/>
        </w:rPr>
        <w:t>€</w:t>
      </w:r>
      <w:r>
        <w:rPr>
          <w:rFonts w:ascii="Helvetica Light;sans-serif" w:hAnsi="Helvetica Light;sans-serif"/>
          <w:b w:val="false"/>
          <w:color w:val="000000"/>
          <w:sz w:val="20"/>
        </w:rPr>
        <w:t>2,610 million of other long-term debt repayments.</w:t>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 xml:space="preserve">For the six months ended June 30, 2025, cash used in financing activities resulted primarily from: </w:t>
      </w:r>
    </w:p>
    <w:p>
      <w:pPr>
        <w:pStyle w:val="TextBody"/>
        <w:bidi w:val="0"/>
        <w:spacing w:before="0" w:after="24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503555"/>
                <wp:effectExtent l="0" t="0" r="0" b="0"/>
                <wp:wrapNone/>
                <wp:docPr id="64" name="Frame49"/>
                <a:graphic xmlns:a="http://schemas.openxmlformats.org/drawingml/2006/main">
                  <a:graphicData uri="http://schemas.microsoft.com/office/word/2010/wordprocessingShape">
                    <wps:wsp>
                      <wps:cNvSpPr txBox="1"/>
                      <wps:spPr>
                        <a:xfrm>
                          <a:off x="0" y="0"/>
                          <a:ext cx="6480175" cy="5035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45</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45</w:t>
                      </w:r>
                    </w:p>
                    <w:p>
                      <w:pPr>
                        <w:pStyle w:val="TextBody"/>
                        <w:bidi w:val="0"/>
                        <w:spacing w:before="0" w:after="24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343" w:before="0" w:after="240"/>
        <w:ind w:left="0" w:right="0" w:hanging="173"/>
        <w:jc w:val="left"/>
        <w:rPr/>
      </w:pPr>
      <w:r>
        <w:rPr>
          <w:color w:val="143A84"/>
        </w:rPr>
        <w:t>•</w:t>
      </w:r>
      <w:r>
        <w:rPr>
          <w:rFonts w:ascii="Helvetica Light;sans-serif" w:hAnsi="Helvetica Light;sans-serif"/>
          <w:b w:val="false"/>
          <w:color w:val="000000"/>
          <w:sz w:val="20"/>
        </w:rPr>
        <w:t xml:space="preserve">the net increase in long-term debt of €6,301 million, including: </w:t>
      </w:r>
    </w:p>
    <w:p>
      <w:pPr>
        <w:pStyle w:val="TextBody"/>
        <w:bidi w:val="0"/>
        <w:spacing w:lineRule="auto" w:line="343" w:before="0" w:after="240"/>
        <w:ind w:left="0" w:right="0" w:hanging="173"/>
        <w:jc w:val="left"/>
        <w:rPr/>
      </w:pPr>
      <w:r>
        <w:rPr>
          <w:color w:val="143A84"/>
        </w:rPr>
        <w:t>•</w:t>
      </w:r>
      <w:r>
        <w:rPr>
          <w:rFonts w:ascii="Helvetica Light;sans-serif" w:hAnsi="Helvetica Light;sans-serif"/>
          <w:b w:val="false"/>
          <w:color w:val="000000"/>
          <w:sz w:val="20"/>
        </w:rPr>
        <w:t>the issuance of bonds for €3,566 million;</w:t>
      </w:r>
    </w:p>
    <w:p>
      <w:pPr>
        <w:pStyle w:val="TextBody"/>
        <w:bidi w:val="0"/>
        <w:spacing w:lineRule="auto" w:line="343" w:before="0" w:after="240"/>
        <w:ind w:left="0" w:right="0" w:hanging="173"/>
        <w:jc w:val="left"/>
        <w:rPr/>
      </w:pPr>
      <w:r>
        <w:rPr>
          <w:color w:val="143A84"/>
        </w:rPr>
        <w:t>•</w:t>
      </w:r>
      <w:r>
        <w:rPr>
          <w:rFonts w:ascii="Helvetica Light;sans-serif" w:hAnsi="Helvetica Light;sans-serif"/>
          <w:b w:val="false"/>
          <w:color w:val="000000"/>
          <w:sz w:val="20"/>
        </w:rPr>
        <w:t>the proceeds from the issuance of ABS Term Notes for €3,825 million;</w:t>
      </w:r>
    </w:p>
    <w:p>
      <w:pPr>
        <w:pStyle w:val="TextBody"/>
        <w:bidi w:val="0"/>
        <w:spacing w:lineRule="auto" w:line="343" w:before="0" w:after="240"/>
        <w:ind w:left="0" w:right="0" w:hanging="173"/>
        <w:jc w:val="left"/>
        <w:rPr/>
      </w:pPr>
      <w:r>
        <w:rPr>
          <w:color w:val="143A84"/>
        </w:rPr>
        <w:t>•</w:t>
      </w:r>
      <w:r>
        <w:rPr>
          <w:rFonts w:ascii="Helvetica Light;sans-serif" w:hAnsi="Helvetica Light;sans-serif"/>
          <w:b w:val="false"/>
          <w:color w:val="000000"/>
          <w:sz w:val="20"/>
        </w:rPr>
        <w:t xml:space="preserve">new other long-term debt of €1,427 million; </w:t>
      </w:r>
    </w:p>
    <w:p>
      <w:pPr>
        <w:pStyle w:val="TextBody"/>
        <w:bidi w:val="0"/>
        <w:spacing w:lineRule="auto" w:line="343" w:before="0" w:after="240"/>
        <w:ind w:left="0" w:right="0" w:hanging="173"/>
        <w:jc w:val="left"/>
        <w:rPr/>
      </w:pPr>
      <w:r>
        <w:rPr>
          <w:color w:val="143A84"/>
        </w:rPr>
        <w:t>•</w:t>
      </w:r>
      <w:r>
        <w:rPr>
          <w:rFonts w:ascii="Helvetica Light;sans-serif" w:hAnsi="Helvetica Light;sans-serif"/>
          <w:b w:val="false"/>
          <w:color w:val="000000"/>
          <w:sz w:val="20"/>
        </w:rPr>
        <w:t>the repayment of bonds for €650 million;</w:t>
      </w:r>
    </w:p>
    <w:p>
      <w:pPr>
        <w:pStyle w:val="TextBody"/>
        <w:bidi w:val="0"/>
        <w:spacing w:lineRule="auto" w:line="343" w:before="0" w:after="240"/>
        <w:ind w:left="0" w:right="0" w:hanging="173"/>
        <w:jc w:val="left"/>
        <w:rPr/>
      </w:pPr>
      <w:r>
        <w:rPr>
          <w:color w:val="143A84"/>
        </w:rPr>
        <w:t>•</w:t>
      </w:r>
      <w:r>
        <w:rPr>
          <w:rFonts w:ascii="Helvetica Light;sans-serif" w:hAnsi="Helvetica Light;sans-serif"/>
          <w:b w:val="false"/>
          <w:color w:val="000000"/>
          <w:sz w:val="20"/>
        </w:rPr>
        <w:t>the repayment of ABS Term Notes for € 1,226 million; and</w:t>
      </w:r>
    </w:p>
    <w:p>
      <w:pPr>
        <w:pStyle w:val="TextBody"/>
        <w:bidi w:val="0"/>
        <w:spacing w:lineRule="auto" w:line="343" w:before="0" w:after="240"/>
        <w:ind w:left="0" w:right="0" w:hanging="173"/>
        <w:jc w:val="left"/>
        <w:rPr/>
      </w:pPr>
      <w:r>
        <w:rPr>
          <w:color w:val="143A84"/>
        </w:rPr>
        <w:t>•</w:t>
      </w:r>
      <w:r>
        <w:rPr>
          <w:rFonts w:ascii="Helvetica Light;sans-serif" w:hAnsi="Helvetica Light;sans-serif"/>
          <w:b w:val="false"/>
          <w:color w:val="000000"/>
          <w:sz w:val="20"/>
        </w:rPr>
        <w:t>the repayment of other long-term debt of €641 million;</w:t>
      </w:r>
    </w:p>
    <w:p>
      <w:pPr>
        <w:pStyle w:val="TextBody"/>
        <w:bidi w:val="0"/>
        <w:spacing w:lineRule="auto" w:line="343" w:before="0" w:after="240"/>
        <w:ind w:left="0" w:right="0" w:hanging="173"/>
        <w:jc w:val="left"/>
        <w:rPr/>
      </w:pPr>
      <w:r>
        <w:rPr>
          <w:color w:val="143A84"/>
        </w:rPr>
        <w:t>•</w:t>
      </w:r>
      <w:r>
        <w:rPr>
          <w:rFonts w:ascii="Helvetica Light;sans-serif" w:hAnsi="Helvetica Light;sans-serif"/>
          <w:b w:val="false"/>
          <w:color w:val="000000"/>
          <w:sz w:val="20"/>
        </w:rPr>
        <w:t xml:space="preserve">the net decrease of €2,402 million in short-term debt and other financial liabilities; and </w:t>
      </w:r>
    </w:p>
    <w:p>
      <w:pPr>
        <w:pStyle w:val="TextBody"/>
        <w:bidi w:val="0"/>
        <w:spacing w:lineRule="auto" w:line="343" w:before="0" w:after="240"/>
        <w:ind w:left="0" w:right="0" w:hanging="173"/>
        <w:jc w:val="left"/>
        <w:rPr/>
      </w:pPr>
      <w:r>
        <w:rPr>
          <w:color w:val="143A84"/>
        </w:rPr>
        <w:t>•</w:t>
      </w:r>
      <w:r>
        <w:rPr>
          <w:rFonts w:ascii="Helvetica Light;sans-serif" w:hAnsi="Helvetica Light;sans-serif"/>
          <w:b w:val="false"/>
          <w:color w:val="000000"/>
          <w:sz w:val="20"/>
        </w:rPr>
        <w:t xml:space="preserve">the payment of dividends of €1,962 million.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Helvetica;sans-serif" w:hAnsi="Helvetica;sans-serif"/>
          <w:b w:val="false"/>
          <w:color w:val="143A84"/>
          <w:sz w:val="20"/>
        </w:rPr>
      </w:pPr>
      <w:r>
        <w:rPr>
          <w:rFonts w:ascii="Helvetica;sans-serif" w:hAnsi="Helvetica;sans-serif"/>
          <w:b w:val="false"/>
          <w:color w:val="143A84"/>
          <w:sz w:val="20"/>
        </w:rPr>
        <w:t xml:space="preserve">Industrial free cash flows </w:t>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The following table provides a reconciliation of Cash flows from operating activities, the most directly comparable measure included in our Interim Condensed Consolidated Statement of Cash Flows, to Industrial free cash flows for the six months ended June 30, 2026 and 2025:</w:t>
      </w:r>
    </w:p>
    <w:tbl>
      <w:tblPr>
        <w:tblW w:w="10205" w:type="dxa"/>
        <w:jc w:val="left"/>
        <w:tblInd w:w="0" w:type="dxa"/>
        <w:tblLayout w:type="fixed"/>
        <w:tblCellMar>
          <w:top w:w="28" w:type="dxa"/>
          <w:left w:w="28" w:type="dxa"/>
          <w:bottom w:w="28" w:type="dxa"/>
          <w:right w:w="28" w:type="dxa"/>
        </w:tblCellMar>
      </w:tblPr>
      <w:tblGrid>
        <w:gridCol w:w="2882"/>
        <w:gridCol w:w="2358"/>
        <w:gridCol w:w="2381"/>
        <w:gridCol w:w="109"/>
        <w:gridCol w:w="109"/>
        <w:gridCol w:w="109"/>
        <w:gridCol w:w="401"/>
        <w:gridCol w:w="255"/>
        <w:gridCol w:w="174"/>
        <w:gridCol w:w="174"/>
        <w:gridCol w:w="174"/>
        <w:gridCol w:w="174"/>
        <w:gridCol w:w="401"/>
        <w:gridCol w:w="255"/>
        <w:gridCol w:w="249"/>
      </w:tblGrid>
      <w:tr>
        <w:trPr/>
        <w:tc>
          <w:tcPr>
            <w:tcW w:w="2882" w:type="dxa"/>
            <w:tcBorders/>
            <w:vAlign w:val="center"/>
          </w:tcPr>
          <w:p>
            <w:pPr>
              <w:pStyle w:val="TableContents"/>
              <w:bidi w:val="0"/>
              <w:spacing w:before="0" w:after="283"/>
              <w:jc w:val="left"/>
              <w:rPr>
                <w:sz w:val="4"/>
                <w:szCs w:val="4"/>
              </w:rPr>
            </w:pPr>
            <w:r>
              <w:rPr>
                <w:sz w:val="4"/>
                <w:szCs w:val="4"/>
              </w:rPr>
            </w:r>
          </w:p>
        </w:tc>
        <w:tc>
          <w:tcPr>
            <w:tcW w:w="2358" w:type="dxa"/>
            <w:tcBorders/>
            <w:vAlign w:val="center"/>
          </w:tcPr>
          <w:p>
            <w:pPr>
              <w:pStyle w:val="TableContents"/>
              <w:bidi w:val="0"/>
              <w:spacing w:before="0" w:after="283"/>
              <w:jc w:val="left"/>
              <w:rPr>
                <w:sz w:val="4"/>
                <w:szCs w:val="4"/>
              </w:rPr>
            </w:pPr>
            <w:r>
              <w:rPr>
                <w:sz w:val="4"/>
                <w:szCs w:val="4"/>
              </w:rPr>
            </w:r>
          </w:p>
        </w:tc>
        <w:tc>
          <w:tcPr>
            <w:tcW w:w="2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7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Six months ended June 30,</w:t>
            </w:r>
          </w:p>
        </w:tc>
      </w:tr>
      <w:tr>
        <w:trPr/>
        <w:tc>
          <w:tcPr>
            <w:tcW w:w="7621"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Helvetica;sans-serif" w:hAnsi="Helvetica;sans-serif"/>
                <w:b w:val="false"/>
                <w:i/>
                <w:color w:val="000000"/>
                <w:sz w:val="16"/>
              </w:rPr>
            </w:pPr>
            <w:r>
              <w:rPr>
                <w:rFonts w:ascii="Helvetica;sans-serif" w:hAnsi="Helvetica;sans-serif"/>
                <w:b w:val="false"/>
                <w:i/>
                <w:color w:val="000000"/>
                <w:sz w:val="16"/>
              </w:rPr>
              <w:t>(€ million)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2026</w:t>
            </w:r>
          </w:p>
        </w:tc>
        <w:tc>
          <w:tcPr>
            <w:tcW w:w="522"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2025</w:t>
            </w:r>
          </w:p>
        </w:tc>
      </w:tr>
      <w:tr>
        <w:trPr/>
        <w:tc>
          <w:tcPr>
            <w:tcW w:w="76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522"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r>
      <w:tr>
        <w:trPr/>
        <w:tc>
          <w:tcPr>
            <w:tcW w:w="76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522"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r>
      <w:tr>
        <w:trPr/>
        <w:tc>
          <w:tcPr>
            <w:tcW w:w="7621" w:type="dxa"/>
            <w:gridSpan w:val="3"/>
            <w:tcBorders>
              <w:top w:val="single" w:sz="2" w:space="0" w:color="143A84"/>
            </w:tcBorders>
            <w:shd w:fill="E6E7F4"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243782"/>
                <w:sz w:val="18"/>
              </w:rPr>
            </w:pPr>
            <w:r>
              <w:rPr>
                <w:rFonts w:ascii="Helvetica;sans-serif" w:hAnsi="Helvetica;sans-serif"/>
                <w:b/>
                <w:color w:val="243782"/>
                <w:sz w:val="18"/>
              </w:rPr>
              <w:t>Cash flows from/(used in) operating activities</w:t>
            </w:r>
          </w:p>
        </w:tc>
        <w:tc>
          <w:tcPr>
            <w:tcW w:w="327" w:type="dxa"/>
            <w:gridSpan w:val="3"/>
            <w:tcBorders>
              <w:top w:val="single" w:sz="2" w:space="0" w:color="143A84"/>
            </w:tcBorders>
            <w:shd w:fill="E6E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top w:val="single" w:sz="2" w:space="0" w:color="143A84"/>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(2,887)</w:t>
            </w:r>
          </w:p>
        </w:tc>
        <w:tc>
          <w:tcPr>
            <w:tcW w:w="174" w:type="dxa"/>
            <w:tcBorders>
              <w:top w:val="single" w:sz="2" w:space="0" w:color="143A84"/>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op w:val="single" w:sz="2" w:space="0" w:color="143A84"/>
            </w:tcBorders>
            <w:shd w:fill="E6E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top w:val="single" w:sz="2" w:space="0" w:color="143A84"/>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(2,287)</w:t>
            </w:r>
          </w:p>
        </w:tc>
        <w:tc>
          <w:tcPr>
            <w:tcW w:w="249" w:type="dxa"/>
            <w:tcBorders>
              <w:top w:val="single" w:sz="2" w:space="0" w:color="143A84"/>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1"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Less: Financial services, net of inter-segment eliminations</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(5,444)</w:t>
            </w:r>
          </w:p>
        </w:tc>
        <w:tc>
          <w:tcPr>
            <w:tcW w:w="174"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(4,397)</w:t>
            </w:r>
          </w:p>
        </w:tc>
        <w:tc>
          <w:tcPr>
            <w:tcW w:w="249"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1"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Less: Capital Expenditures and capitalized research and development expenditures and change in amounts payable on property, plant and equipment and intangible assets for industrial activities</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3,066 </w:t>
            </w:r>
          </w:p>
        </w:tc>
        <w:tc>
          <w:tcPr>
            <w:tcW w:w="174"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5,136 </w:t>
            </w:r>
          </w:p>
        </w:tc>
        <w:tc>
          <w:tcPr>
            <w:tcW w:w="249"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1"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Add: Proceeds from disposal of assets and other changes in investing activities</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(7)</w:t>
            </w:r>
          </w:p>
        </w:tc>
        <w:tc>
          <w:tcPr>
            <w:tcW w:w="174"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473 </w:t>
            </w:r>
          </w:p>
        </w:tc>
        <w:tc>
          <w:tcPr>
            <w:tcW w:w="249"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522"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r>
      <w:tr>
        <w:trPr/>
        <w:tc>
          <w:tcPr>
            <w:tcW w:w="7621"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Less: Contributions of equity to joint ventures and minor acquisitions of consolidated subsidiaries and equity method and other investments</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424 </w:t>
            </w:r>
          </w:p>
        </w:tc>
        <w:tc>
          <w:tcPr>
            <w:tcW w:w="174"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480 </w:t>
            </w:r>
          </w:p>
        </w:tc>
        <w:tc>
          <w:tcPr>
            <w:tcW w:w="249"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522"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r>
      <w:tr>
        <w:trPr/>
        <w:tc>
          <w:tcPr>
            <w:tcW w:w="7621"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Add: Defined benefit pension contributions, net of tax</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19 </w:t>
            </w:r>
          </w:p>
        </w:tc>
        <w:tc>
          <w:tcPr>
            <w:tcW w:w="174"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28 </w:t>
            </w:r>
          </w:p>
        </w:tc>
        <w:tc>
          <w:tcPr>
            <w:tcW w:w="249"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1" w:type="dxa"/>
            <w:gridSpan w:val="3"/>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color w:val="243782"/>
                <w:sz w:val="18"/>
              </w:rPr>
            </w:pPr>
            <w:r>
              <w:rPr>
                <w:rFonts w:ascii="Helvetica;sans-serif" w:hAnsi="Helvetica;sans-serif"/>
                <w:b/>
                <w:color w:val="243782"/>
                <w:sz w:val="18"/>
              </w:rPr>
              <w:t>Industrial free cash flows</w:t>
            </w:r>
          </w:p>
        </w:tc>
        <w:tc>
          <w:tcPr>
            <w:tcW w:w="327" w:type="dxa"/>
            <w:gridSpan w:val="3"/>
            <w:tcBorders>
              <w:top w:val="single" w:sz="2" w:space="0" w:color="8E939F"/>
              <w:bottom w:val="single" w:sz="2" w:space="0" w:color="8E939F"/>
            </w:tcBorders>
            <w:shd w:fill="E6E7F4" w:val="clear"/>
            <w:tcMar>
              <w:left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(921)</w:t>
            </w:r>
          </w:p>
        </w:tc>
        <w:tc>
          <w:tcPr>
            <w:tcW w:w="174" w:type="dxa"/>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op w:val="single" w:sz="2" w:space="0" w:color="8E939F"/>
              <w:bottom w:val="single" w:sz="2" w:space="0" w:color="8E939F"/>
            </w:tcBorders>
            <w:shd w:fill="E6E7F4" w:val="clear"/>
            <w:tcMar>
              <w:left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(3,005)</w:t>
            </w:r>
          </w:p>
        </w:tc>
        <w:tc>
          <w:tcPr>
            <w:tcW w:w="249" w:type="dxa"/>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6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522"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r>
      <w:tr>
        <w:trPr/>
        <w:tc>
          <w:tcPr>
            <w:tcW w:w="76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522"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43" w:before="0" w:after="240"/>
        <w:jc w:val="left"/>
        <w:rPr/>
      </w:pPr>
      <w:r>
        <w:rPr>
          <w:rFonts w:ascii="Helvetica Light;sans-serif" w:hAnsi="Helvetica Light;sans-serif"/>
          <w:b w:val="false"/>
          <w:color w:val="000000"/>
          <w:sz w:val="20"/>
        </w:rPr>
        <w:t xml:space="preserve">Industrial free cash flows amounted to a net cash absorption of €921 million for the six months ended June 30, 2026, </w:t>
      </w:r>
      <w:r>
        <w:rPr>
          <w:rFonts w:ascii="Helvetica Light;sans-serif" w:hAnsi="Helvetica Light;sans-serif"/>
          <w:b w:val="false"/>
          <w:color w:val="000000"/>
          <w:sz w:val="20"/>
          <w:shd w:fill="FFFFFF" w:val="clear"/>
        </w:rPr>
        <w:t>an improvement of €2,084 million</w:t>
      </w:r>
      <w:r>
        <w:rPr>
          <w:rFonts w:ascii="Helvetica Light;sans-serif" w:hAnsi="Helvetica Light;sans-serif"/>
          <w:b w:val="false"/>
          <w:color w:val="000000"/>
          <w:sz w:val="20"/>
        </w:rPr>
        <w:t xml:space="preserve">, compared to the Industrial free cash flows net absorption of </w:t>
      </w:r>
      <w:r>
        <w:rPr>
          <w:color w:val="000000"/>
          <w:shd w:fill="FFFFFF" w:val="clear"/>
        </w:rPr>
        <w:t>€</w:t>
      </w:r>
      <w:r>
        <w:rPr>
          <w:rFonts w:ascii="Helvetica Light;sans-serif" w:hAnsi="Helvetica Light;sans-serif"/>
          <w:b w:val="false"/>
          <w:color w:val="000000"/>
          <w:sz w:val="20"/>
          <w:shd w:fill="FFFFFF" w:val="clear"/>
        </w:rPr>
        <w:t>3,005 million</w:t>
      </w:r>
      <w:r>
        <w:rPr>
          <w:color w:val="000000"/>
        </w:rPr>
        <w:t xml:space="preserve"> </w:t>
      </w:r>
      <w:r>
        <w:rPr>
          <w:rFonts w:ascii="Helvetica Light;sans-serif" w:hAnsi="Helvetica Light;sans-serif"/>
          <w:b w:val="false"/>
          <w:color w:val="000000"/>
          <w:sz w:val="20"/>
        </w:rPr>
        <w:t>for the six months ended June 30, 2025. The main contributors to the improvement were:</w:t>
      </w:r>
    </w:p>
    <w:p>
      <w:pPr>
        <w:pStyle w:val="TextBody"/>
        <w:bidi w:val="0"/>
        <w:spacing w:lineRule="auto" w:line="343" w:before="0" w:after="240"/>
        <w:ind w:left="0" w:right="0" w:hanging="173"/>
        <w:jc w:val="left"/>
        <w:rPr/>
      </w:pPr>
      <w:r>
        <w:rPr>
          <w:color w:val="143A84"/>
        </w:rPr>
        <w:t>•</w:t>
      </w:r>
      <w:r>
        <w:rPr>
          <w:rFonts w:ascii="Helvetica Light;sans-serif" w:hAnsi="Helvetica Light;sans-serif"/>
          <w:b w:val="false"/>
          <w:color w:val="000000"/>
          <w:sz w:val="20"/>
        </w:rPr>
        <w:t>an</w:t>
      </w:r>
      <w:r>
        <w:rPr>
          <w:color w:val="000000"/>
          <w:shd w:fill="FFFFFF" w:val="clear"/>
        </w:rPr>
        <w:t xml:space="preserve"> </w:t>
      </w:r>
      <w:r>
        <w:rPr>
          <w:rFonts w:ascii="Helvetica Light;sans-serif" w:hAnsi="Helvetica Light;sans-serif"/>
          <w:b w:val="false"/>
          <w:color w:val="000000"/>
          <w:sz w:val="20"/>
          <w:shd w:fill="FFFFFF" w:val="clear"/>
        </w:rPr>
        <w:t>increase of €447 million</w:t>
      </w:r>
      <w:r>
        <w:rPr>
          <w:color w:val="000000"/>
        </w:rPr>
        <w:t xml:space="preserve"> </w:t>
      </w:r>
      <w:r>
        <w:rPr>
          <w:rFonts w:ascii="Helvetica Light;sans-serif" w:hAnsi="Helvetica Light;sans-serif"/>
          <w:b w:val="false"/>
          <w:color w:val="000000"/>
          <w:sz w:val="20"/>
        </w:rPr>
        <w:t xml:space="preserve">in cash flows from industrial operating activities, primarily as a result of: </w:t>
      </w:r>
    </w:p>
    <w:p>
      <w:pPr>
        <w:pStyle w:val="TextBody"/>
        <w:bidi w:val="0"/>
        <w:spacing w:lineRule="auto" w:line="343" w:before="0" w:after="240"/>
        <w:ind w:left="0" w:right="0" w:hanging="173"/>
        <w:jc w:val="left"/>
        <w:rPr/>
      </w:pPr>
      <w:r>
        <w:rPr>
          <w:color w:val="143A84"/>
        </w:rPr>
        <w:t>•</w:t>
      </w:r>
      <w:r>
        <w:rPr>
          <w:rFonts w:ascii="Helvetica Light;sans-serif" w:hAnsi="Helvetica Light;sans-serif"/>
          <w:b w:val="false"/>
          <w:color w:val="000000"/>
          <w:sz w:val="20"/>
        </w:rPr>
        <w:t xml:space="preserve">a </w:t>
      </w:r>
      <w:r>
        <w:rPr>
          <w:color w:val="000000"/>
          <w:shd w:fill="FFFFFF" w:val="clear"/>
        </w:rPr>
        <w:t>€</w:t>
      </w:r>
      <w:r>
        <w:rPr>
          <w:rFonts w:ascii="Helvetica Light;sans-serif" w:hAnsi="Helvetica Light;sans-serif"/>
          <w:b w:val="false"/>
          <w:color w:val="000000"/>
          <w:sz w:val="20"/>
          <w:shd w:fill="FFFFFF" w:val="clear"/>
        </w:rPr>
        <w:t>1,327 million</w:t>
      </w:r>
      <w:r>
        <w:rPr>
          <w:color w:val="000000"/>
        </w:rPr>
        <w:t xml:space="preserve"> </w:t>
      </w:r>
      <w:r>
        <w:rPr>
          <w:rFonts w:ascii="Helvetica Light;sans-serif" w:hAnsi="Helvetica Light;sans-serif"/>
          <w:b w:val="false"/>
          <w:color w:val="000000"/>
          <w:sz w:val="20"/>
          <w:shd w:fill="FFFFFF" w:val="clear"/>
        </w:rPr>
        <w:t>increase</w:t>
      </w:r>
      <w:r>
        <w:rPr>
          <w:color w:val="000000"/>
        </w:rPr>
        <w:t xml:space="preserve"> </w:t>
      </w:r>
      <w:r>
        <w:rPr>
          <w:rFonts w:ascii="Helvetica Light;sans-serif" w:hAnsi="Helvetica Light;sans-serif"/>
          <w:b w:val="false"/>
          <w:color w:val="000000"/>
          <w:sz w:val="20"/>
        </w:rPr>
        <w:t>in Profit before taxes from industrial activities net of non-cash items;</w:t>
      </w:r>
    </w:p>
    <w:p>
      <w:pPr>
        <w:pStyle w:val="TextBody"/>
        <w:bidi w:val="0"/>
        <w:spacing w:lineRule="auto" w:line="343" w:before="0" w:after="240"/>
        <w:ind w:left="0" w:right="0" w:hanging="173"/>
        <w:jc w:val="left"/>
        <w:rPr/>
      </w:pPr>
      <w:r>
        <w:rPr>
          <w:color w:val="143A84"/>
        </w:rPr>
        <w:t>•</w:t>
      </w:r>
      <w:r>
        <w:rPr>
          <w:rFonts w:ascii="Helvetica Light;sans-serif" w:hAnsi="Helvetica Light;sans-serif"/>
          <w:b w:val="false"/>
          <w:color w:val="000000"/>
          <w:sz w:val="20"/>
        </w:rPr>
        <w:t xml:space="preserve">a €372 million benefit from payments/refunds of income tax; partially offset by </w:t>
      </w:r>
    </w:p>
    <w:p>
      <w:pPr>
        <w:pStyle w:val="TextBody"/>
        <w:bidi w:val="0"/>
        <w:spacing w:lineRule="auto" w:line="343" w:before="0" w:after="240"/>
        <w:ind w:left="0" w:right="0" w:hanging="173"/>
        <w:jc w:val="left"/>
        <w:rPr/>
      </w:pPr>
      <w:r>
        <w:rPr>
          <w:color w:val="143A84"/>
        </w:rPr>
        <w:t>•</w:t>
      </w:r>
      <w:r>
        <w:rPr>
          <w:rFonts w:ascii="Helvetica Light;sans-serif" w:hAnsi="Helvetica Light;sans-serif"/>
          <w:b w:val="false"/>
          <w:color w:val="000000"/>
          <w:sz w:val="20"/>
          <w:shd w:fill="FFFFFF" w:val="clear"/>
        </w:rPr>
        <w:t>a €1,155 million increased absorption</w:t>
      </w:r>
      <w:r>
        <w:rPr>
          <w:color w:val="000000"/>
        </w:rPr>
        <w:t xml:space="preserve"> </w:t>
      </w:r>
      <w:r>
        <w:rPr>
          <w:rFonts w:ascii="Helvetica Light;sans-serif" w:hAnsi="Helvetica Light;sans-serif"/>
          <w:b w:val="false"/>
          <w:color w:val="000000"/>
          <w:sz w:val="20"/>
        </w:rPr>
        <w:t xml:space="preserve">of cash due to change in provisions. </w:t>
      </w:r>
    </w:p>
    <w:p>
      <w:pPr>
        <w:pStyle w:val="TextBody"/>
        <w:bidi w:val="0"/>
        <w:spacing w:before="0" w:after="24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503555"/>
                <wp:effectExtent l="0" t="0" r="0" b="0"/>
                <wp:wrapNone/>
                <wp:docPr id="65" name="Frame50"/>
                <a:graphic xmlns:a="http://schemas.openxmlformats.org/drawingml/2006/main">
                  <a:graphicData uri="http://schemas.microsoft.com/office/word/2010/wordprocessingShape">
                    <wps:wsp>
                      <wps:cNvSpPr txBox="1"/>
                      <wps:spPr>
                        <a:xfrm>
                          <a:off x="0" y="0"/>
                          <a:ext cx="6480175" cy="5035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46</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46</w:t>
                      </w:r>
                    </w:p>
                    <w:p>
                      <w:pPr>
                        <w:pStyle w:val="TextBody"/>
                        <w:bidi w:val="0"/>
                        <w:spacing w:before="0" w:after="24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343" w:before="0" w:after="240"/>
        <w:ind w:left="0" w:right="0" w:hanging="173"/>
        <w:jc w:val="left"/>
        <w:rPr/>
      </w:pPr>
      <w:r>
        <w:rPr>
          <w:color w:val="143A84"/>
        </w:rPr>
        <w:t>•</w:t>
      </w:r>
      <w:r>
        <w:rPr>
          <w:rFonts w:ascii="Helvetica Light;sans-serif" w:hAnsi="Helvetica Light;sans-serif"/>
          <w:b w:val="false"/>
          <w:color w:val="000000"/>
          <w:sz w:val="20"/>
          <w:shd w:fill="FFFFFF" w:val="clear"/>
        </w:rPr>
        <w:t xml:space="preserve">a decrease </w:t>
      </w:r>
      <w:r>
        <w:rPr>
          <w:rFonts w:ascii="Helvetica Light;sans-serif" w:hAnsi="Helvetica Light;sans-serif"/>
          <w:b w:val="false"/>
          <w:color w:val="000000"/>
          <w:sz w:val="20"/>
        </w:rPr>
        <w:t xml:space="preserve">in capital expenditures and capitalized research and development expenditures and change in amounts payable on property, plant and equipment and intangible assets for industrial activities of </w:t>
      </w:r>
      <w:r>
        <w:rPr>
          <w:color w:val="000000"/>
          <w:shd w:fill="FFFFFF" w:val="clear"/>
        </w:rPr>
        <w:t>€</w:t>
      </w:r>
      <w:r>
        <w:rPr>
          <w:rFonts w:ascii="Helvetica Light;sans-serif" w:hAnsi="Helvetica Light;sans-serif"/>
          <w:b w:val="false"/>
          <w:color w:val="000000"/>
          <w:sz w:val="20"/>
          <w:shd w:fill="FFFFFF" w:val="clear"/>
        </w:rPr>
        <w:t>2,070 million; partially offset by</w:t>
      </w:r>
    </w:p>
    <w:p>
      <w:pPr>
        <w:pStyle w:val="TextBody"/>
        <w:bidi w:val="0"/>
        <w:spacing w:lineRule="auto" w:line="343" w:before="0" w:after="240"/>
        <w:ind w:left="0" w:right="0" w:hanging="173"/>
        <w:jc w:val="left"/>
        <w:rPr/>
      </w:pPr>
      <w:r>
        <w:rPr>
          <w:color w:val="143A84"/>
        </w:rPr>
        <w:t>•</w:t>
      </w:r>
      <w:r>
        <w:rPr>
          <w:rFonts w:ascii="Helvetica Light;sans-serif" w:hAnsi="Helvetica Light;sans-serif"/>
          <w:b w:val="false"/>
          <w:color w:val="000000"/>
          <w:sz w:val="20"/>
          <w:shd w:fill="FFFFFF" w:val="clear"/>
        </w:rPr>
        <w:t xml:space="preserve">a €480 million decrease in proceeds from disposal of assets.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180"/>
        <w:jc w:val="left"/>
        <w:rPr>
          <w:rFonts w:ascii="Helvetica;sans-serif" w:hAnsi="Helvetica;sans-serif"/>
          <w:b/>
          <w:color w:val="143A84"/>
          <w:sz w:val="20"/>
        </w:rPr>
      </w:pPr>
      <w:r>
        <w:rPr>
          <w:rFonts w:ascii="Helvetica;sans-serif" w:hAnsi="Helvetica;sans-serif"/>
          <w:b/>
          <w:color w:val="143A84"/>
          <w:sz w:val="20"/>
        </w:rPr>
        <w:t>Industrial net financial position</w:t>
      </w:r>
    </w:p>
    <w:tbl>
      <w:tblPr>
        <w:tblW w:w="10205" w:type="dxa"/>
        <w:jc w:val="left"/>
        <w:tblInd w:w="0" w:type="dxa"/>
        <w:tblLayout w:type="fixed"/>
        <w:tblCellMar>
          <w:top w:w="28" w:type="dxa"/>
          <w:left w:w="28" w:type="dxa"/>
          <w:bottom w:w="28" w:type="dxa"/>
          <w:right w:w="28" w:type="dxa"/>
        </w:tblCellMar>
      </w:tblPr>
      <w:tblGrid>
        <w:gridCol w:w="1033"/>
        <w:gridCol w:w="344"/>
        <w:gridCol w:w="338"/>
        <w:gridCol w:w="109"/>
        <w:gridCol w:w="109"/>
        <w:gridCol w:w="109"/>
        <w:gridCol w:w="368"/>
        <w:gridCol w:w="368"/>
        <w:gridCol w:w="301"/>
        <w:gridCol w:w="109"/>
        <w:gridCol w:w="109"/>
        <w:gridCol w:w="109"/>
        <w:gridCol w:w="438"/>
        <w:gridCol w:w="305"/>
        <w:gridCol w:w="306"/>
        <w:gridCol w:w="109"/>
        <w:gridCol w:w="109"/>
        <w:gridCol w:w="109"/>
        <w:gridCol w:w="448"/>
        <w:gridCol w:w="295"/>
        <w:gridCol w:w="296"/>
        <w:gridCol w:w="109"/>
        <w:gridCol w:w="109"/>
        <w:gridCol w:w="109"/>
        <w:gridCol w:w="368"/>
        <w:gridCol w:w="368"/>
        <w:gridCol w:w="301"/>
        <w:gridCol w:w="109"/>
        <w:gridCol w:w="109"/>
        <w:gridCol w:w="109"/>
        <w:gridCol w:w="438"/>
        <w:gridCol w:w="305"/>
        <w:gridCol w:w="306"/>
        <w:gridCol w:w="109"/>
        <w:gridCol w:w="109"/>
        <w:gridCol w:w="109"/>
        <w:gridCol w:w="448"/>
        <w:gridCol w:w="295"/>
        <w:gridCol w:w="296"/>
        <w:gridCol w:w="109"/>
        <w:gridCol w:w="169"/>
      </w:tblGrid>
      <w:tr>
        <w:trPr/>
        <w:tc>
          <w:tcPr>
            <w:tcW w:w="1033"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1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9" w:type="dxa"/>
            <w:gridSpan w:val="15"/>
            <w:tcBorders/>
            <w:shd w:fill="F3F3F9"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At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9"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At 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1715"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Helvetica;sans-serif" w:hAnsi="Helvetica;sans-serif"/>
                <w:b w:val="false"/>
                <w:i/>
                <w:color w:val="000000"/>
                <w:sz w:val="18"/>
              </w:rPr>
            </w:pPr>
            <w:r>
              <w:rPr>
                <w:rFonts w:ascii="Helvetica;sans-serif" w:hAnsi="Helvetica;sans-serif"/>
                <w:b w:val="false"/>
                <w:i/>
                <w:color w:val="000000"/>
                <w:sz w:val="18"/>
              </w:rPr>
              <w:t>(€ million)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Stellantis</w:t>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Industrial activities</w:t>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Financial services</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Stellantis</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Industrial activities</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Financial services</w:t>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1715" w:type="dxa"/>
            <w:gridSpan w:val="3"/>
            <w:tcBorders>
              <w:top w:val="single" w:sz="2" w:space="0" w:color="143A84"/>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Third parties debt (Principal)</w:t>
            </w:r>
          </w:p>
        </w:tc>
        <w:tc>
          <w:tcPr>
            <w:tcW w:w="327"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143A84"/>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(51,593)</w:t>
            </w:r>
          </w:p>
        </w:tc>
        <w:tc>
          <w:tcPr>
            <w:tcW w:w="301" w:type="dxa"/>
            <w:tcBorders>
              <w:top w:val="single" w:sz="2" w:space="0" w:color="143A84"/>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143A84"/>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top w:val="single" w:sz="2" w:space="0" w:color="143A84"/>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(23,331)</w:t>
            </w:r>
          </w:p>
        </w:tc>
        <w:tc>
          <w:tcPr>
            <w:tcW w:w="306" w:type="dxa"/>
            <w:tcBorders>
              <w:top w:val="single" w:sz="2" w:space="0" w:color="143A84"/>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143A84"/>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top w:val="single" w:sz="2" w:space="0" w:color="143A84"/>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(28,262)</w:t>
            </w:r>
          </w:p>
        </w:tc>
        <w:tc>
          <w:tcPr>
            <w:tcW w:w="296" w:type="dxa"/>
            <w:tcBorders>
              <w:top w:val="single" w:sz="2" w:space="0" w:color="143A84"/>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143A84"/>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(45,318)</w:t>
            </w:r>
          </w:p>
        </w:tc>
        <w:tc>
          <w:tcPr>
            <w:tcW w:w="301" w:type="dxa"/>
            <w:tcBorders>
              <w:top w:val="single" w:sz="2" w:space="0" w:color="143A84"/>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top w:val="single" w:sz="2" w:space="0" w:color="143A84"/>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(24,616)</w:t>
            </w:r>
          </w:p>
        </w:tc>
        <w:tc>
          <w:tcPr>
            <w:tcW w:w="306" w:type="dxa"/>
            <w:tcBorders>
              <w:top w:val="single" w:sz="2" w:space="0" w:color="143A84"/>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top w:val="single" w:sz="2" w:space="0" w:color="143A84"/>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(20,702)</w:t>
            </w:r>
          </w:p>
        </w:tc>
        <w:tc>
          <w:tcPr>
            <w:tcW w:w="296" w:type="dxa"/>
            <w:tcBorders>
              <w:top w:val="single" w:sz="2" w:space="0" w:color="143A84"/>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1715"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0"/>
              <w:jc w:val="left"/>
              <w:rPr/>
            </w:pPr>
            <w:r>
              <w:rPr>
                <w:rFonts w:ascii="Helvetica;sans-serif" w:hAnsi="Helvetica;sans-serif"/>
                <w:b w:val="false"/>
                <w:i/>
                <w:color w:val="000000"/>
                <w:sz w:val="18"/>
              </w:rPr>
              <w:t>Capital market</w:t>
            </w:r>
            <w:r>
              <w:rPr>
                <w:rFonts w:ascii="Helvetica;sans-serif" w:hAnsi="Helvetica;sans-serif"/>
                <w:b w:val="false"/>
                <w:i/>
                <w:color w:val="000000"/>
                <w:sz w:val="12"/>
              </w:rPr>
              <w:t>(1)</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(27,295)</w:t>
            </w:r>
          </w:p>
        </w:tc>
        <w:tc>
          <w:tcPr>
            <w:tcW w:w="301"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(19,827)</w:t>
            </w:r>
          </w:p>
        </w:tc>
        <w:tc>
          <w:tcPr>
            <w:tcW w:w="306"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(7,468)</w:t>
            </w:r>
          </w:p>
        </w:tc>
        <w:tc>
          <w:tcPr>
            <w:tcW w:w="296"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(25,060)</w:t>
            </w:r>
          </w:p>
        </w:tc>
        <w:tc>
          <w:tcPr>
            <w:tcW w:w="301"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(20,945)</w:t>
            </w:r>
          </w:p>
        </w:tc>
        <w:tc>
          <w:tcPr>
            <w:tcW w:w="30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(4,115)</w:t>
            </w:r>
          </w:p>
        </w:tc>
        <w:tc>
          <w:tcPr>
            <w:tcW w:w="29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1715"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0"/>
              <w:jc w:val="left"/>
              <w:rPr>
                <w:rFonts w:ascii="Helvetica;sans-serif" w:hAnsi="Helvetica;sans-serif"/>
                <w:b w:val="false"/>
                <w:i/>
                <w:color w:val="000000"/>
                <w:sz w:val="18"/>
              </w:rPr>
            </w:pPr>
            <w:r>
              <w:rPr>
                <w:rFonts w:ascii="Helvetica;sans-serif" w:hAnsi="Helvetica;sans-serif"/>
                <w:b w:val="false"/>
                <w:i/>
                <w:color w:val="000000"/>
                <w:sz w:val="18"/>
              </w:rPr>
              <w:t>Bank debt</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(2,281)</w:t>
            </w:r>
          </w:p>
        </w:tc>
        <w:tc>
          <w:tcPr>
            <w:tcW w:w="301"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(623)</w:t>
            </w:r>
          </w:p>
        </w:tc>
        <w:tc>
          <w:tcPr>
            <w:tcW w:w="306"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(1,658)</w:t>
            </w:r>
          </w:p>
        </w:tc>
        <w:tc>
          <w:tcPr>
            <w:tcW w:w="296"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(1,931)</w:t>
            </w:r>
          </w:p>
        </w:tc>
        <w:tc>
          <w:tcPr>
            <w:tcW w:w="301"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(867)</w:t>
            </w:r>
          </w:p>
        </w:tc>
        <w:tc>
          <w:tcPr>
            <w:tcW w:w="30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(1,064)</w:t>
            </w:r>
          </w:p>
        </w:tc>
        <w:tc>
          <w:tcPr>
            <w:tcW w:w="29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1715"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0"/>
              <w:jc w:val="left"/>
              <w:rPr/>
            </w:pPr>
            <w:r>
              <w:rPr>
                <w:rFonts w:ascii="Helvetica;sans-serif" w:hAnsi="Helvetica;sans-serif"/>
                <w:b w:val="false"/>
                <w:i/>
                <w:color w:val="000000"/>
                <w:sz w:val="18"/>
              </w:rPr>
              <w:t>Other debt</w:t>
            </w:r>
            <w:r>
              <w:rPr>
                <w:rFonts w:ascii="Helvetica;sans-serif" w:hAnsi="Helvetica;sans-serif"/>
                <w:b w:val="false"/>
                <w:i/>
                <w:color w:val="000000"/>
                <w:sz w:val="12"/>
              </w:rPr>
              <w:t>(2)</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(19,424)</w:t>
            </w:r>
          </w:p>
        </w:tc>
        <w:tc>
          <w:tcPr>
            <w:tcW w:w="301"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(314)</w:t>
            </w:r>
          </w:p>
        </w:tc>
        <w:tc>
          <w:tcPr>
            <w:tcW w:w="306"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(19,110)</w:t>
            </w:r>
          </w:p>
        </w:tc>
        <w:tc>
          <w:tcPr>
            <w:tcW w:w="296"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(15,873)</w:t>
            </w:r>
          </w:p>
        </w:tc>
        <w:tc>
          <w:tcPr>
            <w:tcW w:w="301"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(362)</w:t>
            </w:r>
          </w:p>
        </w:tc>
        <w:tc>
          <w:tcPr>
            <w:tcW w:w="30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(15,511)</w:t>
            </w:r>
          </w:p>
        </w:tc>
        <w:tc>
          <w:tcPr>
            <w:tcW w:w="29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1715"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0"/>
              <w:jc w:val="left"/>
              <w:rPr>
                <w:rFonts w:ascii="Helvetica;sans-serif" w:hAnsi="Helvetica;sans-serif"/>
                <w:b w:val="false"/>
                <w:i/>
                <w:color w:val="000000"/>
                <w:sz w:val="18"/>
              </w:rPr>
            </w:pPr>
            <w:r>
              <w:rPr>
                <w:rFonts w:ascii="Helvetica;sans-serif" w:hAnsi="Helvetica;sans-serif"/>
                <w:b w:val="false"/>
                <w:i/>
                <w:color w:val="000000"/>
                <w:sz w:val="18"/>
              </w:rPr>
              <w:t>Lease liabilities</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(2,593)</w:t>
            </w:r>
          </w:p>
        </w:tc>
        <w:tc>
          <w:tcPr>
            <w:tcW w:w="301"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(2,567)</w:t>
            </w:r>
          </w:p>
        </w:tc>
        <w:tc>
          <w:tcPr>
            <w:tcW w:w="306"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(26)</w:t>
            </w:r>
          </w:p>
        </w:tc>
        <w:tc>
          <w:tcPr>
            <w:tcW w:w="296"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(2,454)</w:t>
            </w:r>
          </w:p>
        </w:tc>
        <w:tc>
          <w:tcPr>
            <w:tcW w:w="301"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(2,442)</w:t>
            </w:r>
          </w:p>
        </w:tc>
        <w:tc>
          <w:tcPr>
            <w:tcW w:w="30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(12)</w:t>
            </w:r>
          </w:p>
        </w:tc>
        <w:tc>
          <w:tcPr>
            <w:tcW w:w="29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1715"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0"/>
              <w:jc w:val="left"/>
              <w:rPr/>
            </w:pPr>
            <w:r>
              <w:rPr>
                <w:rFonts w:ascii="Helvetica;sans-serif" w:hAnsi="Helvetica;sans-serif"/>
                <w:b w:val="false"/>
                <w:color w:val="000000"/>
                <w:sz w:val="18"/>
              </w:rPr>
              <w:t>Accrued interest and other adjustments</w:t>
            </w:r>
            <w:r>
              <w:rPr>
                <w:rFonts w:ascii="Helvetica;sans-serif" w:hAnsi="Helvetica;sans-serif"/>
                <w:b w:val="false"/>
                <w:color w:val="000000"/>
                <w:sz w:val="12"/>
              </w:rPr>
              <w:t>(3)</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(469)</w:t>
            </w:r>
          </w:p>
        </w:tc>
        <w:tc>
          <w:tcPr>
            <w:tcW w:w="301"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(325)</w:t>
            </w:r>
          </w:p>
        </w:tc>
        <w:tc>
          <w:tcPr>
            <w:tcW w:w="306"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(144)</w:t>
            </w:r>
          </w:p>
        </w:tc>
        <w:tc>
          <w:tcPr>
            <w:tcW w:w="296"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(629)</w:t>
            </w:r>
          </w:p>
        </w:tc>
        <w:tc>
          <w:tcPr>
            <w:tcW w:w="301"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(533)</w:t>
            </w:r>
          </w:p>
        </w:tc>
        <w:tc>
          <w:tcPr>
            <w:tcW w:w="30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(96)</w:t>
            </w:r>
          </w:p>
        </w:tc>
        <w:tc>
          <w:tcPr>
            <w:tcW w:w="29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1715" w:type="dxa"/>
            <w:gridSpan w:val="3"/>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243782"/>
                <w:sz w:val="18"/>
              </w:rPr>
            </w:pPr>
            <w:r>
              <w:rPr>
                <w:rFonts w:ascii="Helvetica;sans-serif" w:hAnsi="Helvetica;sans-serif"/>
                <w:b/>
                <w:color w:val="243782"/>
                <w:sz w:val="18"/>
              </w:rPr>
              <w:t>Debt with third parties (excluding held for sale)</w:t>
            </w:r>
          </w:p>
        </w:tc>
        <w:tc>
          <w:tcPr>
            <w:tcW w:w="327" w:type="dxa"/>
            <w:gridSpan w:val="3"/>
            <w:tcBorders>
              <w:top w:val="single" w:sz="2" w:space="0" w:color="8E939F"/>
            </w:tcBorders>
            <w:shd w:fill="E6E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(52,062)</w:t>
            </w:r>
          </w:p>
        </w:tc>
        <w:tc>
          <w:tcPr>
            <w:tcW w:w="301"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E6E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(23,656)</w:t>
            </w:r>
          </w:p>
        </w:tc>
        <w:tc>
          <w:tcPr>
            <w:tcW w:w="306"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E6E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(28,406)</w:t>
            </w:r>
          </w:p>
        </w:tc>
        <w:tc>
          <w:tcPr>
            <w:tcW w:w="296"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E6E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(45,947)</w:t>
            </w:r>
          </w:p>
        </w:tc>
        <w:tc>
          <w:tcPr>
            <w:tcW w:w="301"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E6E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(25,149)</w:t>
            </w:r>
          </w:p>
        </w:tc>
        <w:tc>
          <w:tcPr>
            <w:tcW w:w="306"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E6E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(20,798)</w:t>
            </w:r>
          </w:p>
        </w:tc>
        <w:tc>
          <w:tcPr>
            <w:tcW w:w="296"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1715"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Debt classified as held for sale</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1"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6"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6"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1"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1715" w:type="dxa"/>
            <w:gridSpan w:val="3"/>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243782"/>
                <w:sz w:val="18"/>
              </w:rPr>
            </w:pPr>
            <w:r>
              <w:rPr>
                <w:rFonts w:ascii="Helvetica;sans-serif" w:hAnsi="Helvetica;sans-serif"/>
                <w:b/>
                <w:color w:val="243782"/>
                <w:sz w:val="18"/>
              </w:rPr>
              <w:t>Debt with third parties including held for sale</w:t>
            </w:r>
          </w:p>
        </w:tc>
        <w:tc>
          <w:tcPr>
            <w:tcW w:w="327" w:type="dxa"/>
            <w:gridSpan w:val="3"/>
            <w:tcBorders>
              <w:top w:val="single" w:sz="2" w:space="0" w:color="8E939F"/>
            </w:tcBorders>
            <w:shd w:fill="E6E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(52,062)</w:t>
            </w:r>
          </w:p>
        </w:tc>
        <w:tc>
          <w:tcPr>
            <w:tcW w:w="301"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E6E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(23,656)</w:t>
            </w:r>
          </w:p>
        </w:tc>
        <w:tc>
          <w:tcPr>
            <w:tcW w:w="306"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E6E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(28,406)</w:t>
            </w:r>
          </w:p>
        </w:tc>
        <w:tc>
          <w:tcPr>
            <w:tcW w:w="296"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E6E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(45,947)</w:t>
            </w:r>
          </w:p>
        </w:tc>
        <w:tc>
          <w:tcPr>
            <w:tcW w:w="301"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E6E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(25,149)</w:t>
            </w:r>
          </w:p>
        </w:tc>
        <w:tc>
          <w:tcPr>
            <w:tcW w:w="306"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E6E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(20,798)</w:t>
            </w:r>
          </w:p>
        </w:tc>
        <w:tc>
          <w:tcPr>
            <w:tcW w:w="296"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1715"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0"/>
              <w:jc w:val="left"/>
              <w:rPr/>
            </w:pPr>
            <w:r>
              <w:rPr>
                <w:rFonts w:ascii="Helvetica;sans-serif" w:hAnsi="Helvetica;sans-serif"/>
                <w:b w:val="false"/>
                <w:color w:val="000000"/>
                <w:sz w:val="18"/>
              </w:rPr>
              <w:t>Intercompany, net</w:t>
            </w:r>
            <w:r>
              <w:rPr>
                <w:rFonts w:ascii="Helvetica;sans-serif" w:hAnsi="Helvetica;sans-serif"/>
                <w:b w:val="false"/>
                <w:color w:val="000000"/>
                <w:sz w:val="12"/>
              </w:rPr>
              <w:t>(4)</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1"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796 </w:t>
            </w:r>
          </w:p>
        </w:tc>
        <w:tc>
          <w:tcPr>
            <w:tcW w:w="306"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(796)</w:t>
            </w:r>
          </w:p>
        </w:tc>
        <w:tc>
          <w:tcPr>
            <w:tcW w:w="296"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1"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1,756 </w:t>
            </w:r>
          </w:p>
        </w:tc>
        <w:tc>
          <w:tcPr>
            <w:tcW w:w="30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(1,756)</w:t>
            </w:r>
          </w:p>
        </w:tc>
        <w:tc>
          <w:tcPr>
            <w:tcW w:w="29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1715"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0"/>
              <w:jc w:val="left"/>
              <w:rPr/>
            </w:pPr>
            <w:r>
              <w:rPr>
                <w:rFonts w:ascii="Helvetica;sans-serif" w:hAnsi="Helvetica;sans-serif"/>
                <w:b w:val="false"/>
                <w:color w:val="000000"/>
                <w:sz w:val="18"/>
              </w:rPr>
              <w:t>Current financial receivables from jointly-controlled financial services companies</w:t>
            </w:r>
            <w:r>
              <w:rPr>
                <w:rFonts w:ascii="Helvetica;sans-serif" w:hAnsi="Helvetica;sans-serif"/>
                <w:b w:val="false"/>
                <w:color w:val="000000"/>
                <w:sz w:val="12"/>
              </w:rPr>
              <w:t>(5)</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993 </w:t>
            </w:r>
          </w:p>
        </w:tc>
        <w:tc>
          <w:tcPr>
            <w:tcW w:w="301"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993 </w:t>
            </w:r>
          </w:p>
        </w:tc>
        <w:tc>
          <w:tcPr>
            <w:tcW w:w="306"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6"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603 </w:t>
            </w:r>
          </w:p>
        </w:tc>
        <w:tc>
          <w:tcPr>
            <w:tcW w:w="301"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603 </w:t>
            </w:r>
          </w:p>
        </w:tc>
        <w:tc>
          <w:tcPr>
            <w:tcW w:w="30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1715" w:type="dxa"/>
            <w:gridSpan w:val="3"/>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100" w:after="100"/>
              <w:jc w:val="left"/>
              <w:rPr>
                <w:rFonts w:ascii="Helvetica;sans-serif" w:hAnsi="Helvetica;sans-serif"/>
                <w:b/>
                <w:color w:val="243782"/>
                <w:sz w:val="18"/>
              </w:rPr>
            </w:pPr>
            <w:r>
              <w:rPr>
                <w:rFonts w:ascii="Helvetica;sans-serif" w:hAnsi="Helvetica;sans-serif"/>
                <w:b/>
                <w:color w:val="243782"/>
                <w:sz w:val="18"/>
              </w:rPr>
              <w:t>Debt, net of intercompany, and current financial receivables from jointly-controlled financial service companies</w:t>
            </w:r>
          </w:p>
        </w:tc>
        <w:tc>
          <w:tcPr>
            <w:tcW w:w="327" w:type="dxa"/>
            <w:gridSpan w:val="3"/>
            <w:tcBorders>
              <w:top w:val="single" w:sz="2" w:space="0" w:color="8E939F"/>
            </w:tcBorders>
            <w:shd w:fill="E6E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(51,069)</w:t>
            </w:r>
          </w:p>
        </w:tc>
        <w:tc>
          <w:tcPr>
            <w:tcW w:w="301"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E6E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(21,867)</w:t>
            </w:r>
          </w:p>
        </w:tc>
        <w:tc>
          <w:tcPr>
            <w:tcW w:w="306"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E6E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(29,202)</w:t>
            </w:r>
          </w:p>
        </w:tc>
        <w:tc>
          <w:tcPr>
            <w:tcW w:w="296"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E6E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(45,344)</w:t>
            </w:r>
          </w:p>
        </w:tc>
        <w:tc>
          <w:tcPr>
            <w:tcW w:w="301"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E6E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(22,790)</w:t>
            </w:r>
          </w:p>
        </w:tc>
        <w:tc>
          <w:tcPr>
            <w:tcW w:w="306"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E6E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(22,554)</w:t>
            </w:r>
          </w:p>
        </w:tc>
        <w:tc>
          <w:tcPr>
            <w:tcW w:w="296"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1715"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0"/>
              <w:jc w:val="left"/>
              <w:rPr/>
            </w:pPr>
            <w:r>
              <w:rPr>
                <w:rFonts w:ascii="Helvetica;sans-serif" w:hAnsi="Helvetica;sans-serif"/>
                <w:b w:val="false"/>
                <w:color w:val="000000"/>
                <w:sz w:val="18"/>
              </w:rPr>
              <w:t>Derivative financial assets/(liabilities), net of collateral deposits</w:t>
            </w:r>
            <w:r>
              <w:rPr>
                <w:rFonts w:ascii="Helvetica;sans-serif" w:hAnsi="Helvetica;sans-serif"/>
                <w:b w:val="false"/>
                <w:color w:val="000000"/>
                <w:sz w:val="12"/>
              </w:rPr>
              <w:t>(6)</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106 </w:t>
            </w:r>
          </w:p>
        </w:tc>
        <w:tc>
          <w:tcPr>
            <w:tcW w:w="301"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77 </w:t>
            </w:r>
          </w:p>
        </w:tc>
        <w:tc>
          <w:tcPr>
            <w:tcW w:w="306"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29 </w:t>
            </w:r>
          </w:p>
        </w:tc>
        <w:tc>
          <w:tcPr>
            <w:tcW w:w="296"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181 </w:t>
            </w:r>
          </w:p>
        </w:tc>
        <w:tc>
          <w:tcPr>
            <w:tcW w:w="301"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188 </w:t>
            </w:r>
          </w:p>
        </w:tc>
        <w:tc>
          <w:tcPr>
            <w:tcW w:w="30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(7)</w:t>
            </w:r>
          </w:p>
        </w:tc>
        <w:tc>
          <w:tcPr>
            <w:tcW w:w="29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1715"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0"/>
              <w:jc w:val="left"/>
              <w:rPr/>
            </w:pPr>
            <w:r>
              <w:rPr>
                <w:rFonts w:ascii="Helvetica;sans-serif" w:hAnsi="Helvetica;sans-serif"/>
                <w:b w:val="false"/>
                <w:color w:val="000000"/>
                <w:sz w:val="18"/>
              </w:rPr>
              <w:t>Financial securities</w:t>
            </w:r>
            <w:r>
              <w:rPr>
                <w:rFonts w:ascii="Helvetica;sans-serif" w:hAnsi="Helvetica;sans-serif"/>
                <w:b w:val="false"/>
                <w:color w:val="000000"/>
                <w:sz w:val="12"/>
              </w:rPr>
              <w:t>(7)</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880 </w:t>
            </w:r>
          </w:p>
        </w:tc>
        <w:tc>
          <w:tcPr>
            <w:tcW w:w="301"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604 </w:t>
            </w:r>
          </w:p>
        </w:tc>
        <w:tc>
          <w:tcPr>
            <w:tcW w:w="306"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276 </w:t>
            </w:r>
          </w:p>
        </w:tc>
        <w:tc>
          <w:tcPr>
            <w:tcW w:w="296"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1,362 </w:t>
            </w:r>
          </w:p>
        </w:tc>
        <w:tc>
          <w:tcPr>
            <w:tcW w:w="301"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1,098 </w:t>
            </w:r>
          </w:p>
        </w:tc>
        <w:tc>
          <w:tcPr>
            <w:tcW w:w="30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264 </w:t>
            </w:r>
          </w:p>
        </w:tc>
        <w:tc>
          <w:tcPr>
            <w:tcW w:w="29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1715"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Cash and cash equivalents</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33,697 </w:t>
            </w:r>
          </w:p>
        </w:tc>
        <w:tc>
          <w:tcPr>
            <w:tcW w:w="301"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31,217 </w:t>
            </w:r>
          </w:p>
        </w:tc>
        <w:tc>
          <w:tcPr>
            <w:tcW w:w="306"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2,480 </w:t>
            </w:r>
          </w:p>
        </w:tc>
        <w:tc>
          <w:tcPr>
            <w:tcW w:w="296"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30,146 </w:t>
            </w:r>
          </w:p>
        </w:tc>
        <w:tc>
          <w:tcPr>
            <w:tcW w:w="301"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28,198 </w:t>
            </w:r>
          </w:p>
        </w:tc>
        <w:tc>
          <w:tcPr>
            <w:tcW w:w="30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1,948 </w:t>
            </w:r>
          </w:p>
        </w:tc>
        <w:tc>
          <w:tcPr>
            <w:tcW w:w="29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1715"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Cash and cash equivalents classified as held for sale</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4 </w:t>
            </w:r>
          </w:p>
        </w:tc>
        <w:tc>
          <w:tcPr>
            <w:tcW w:w="301"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4 </w:t>
            </w:r>
          </w:p>
        </w:tc>
        <w:tc>
          <w:tcPr>
            <w:tcW w:w="306"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6"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1"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1715" w:type="dxa"/>
            <w:gridSpan w:val="3"/>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0"/>
              <w:jc w:val="left"/>
              <w:rPr>
                <w:rFonts w:ascii="Helvetica;sans-serif" w:hAnsi="Helvetica;sans-serif"/>
                <w:b/>
                <w:color w:val="243782"/>
                <w:sz w:val="18"/>
              </w:rPr>
            </w:pPr>
            <w:r>
              <w:rPr>
                <w:rFonts w:ascii="Helvetica;sans-serif" w:hAnsi="Helvetica;sans-serif"/>
                <w:b/>
                <w:color w:val="243782"/>
                <w:sz w:val="18"/>
              </w:rPr>
              <w:t>Net financial position</w:t>
            </w:r>
          </w:p>
        </w:tc>
        <w:tc>
          <w:tcPr>
            <w:tcW w:w="327" w:type="dxa"/>
            <w:gridSpan w:val="3"/>
            <w:tcBorders>
              <w:top w:val="single" w:sz="2" w:space="0" w:color="8E939F"/>
              <w:bottom w:val="single" w:sz="2" w:space="0" w:color="8E939F"/>
            </w:tcBorders>
            <w:shd w:fill="E6E7F4" w:val="clear"/>
            <w:tcMar>
              <w:left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(16,382)</w:t>
            </w:r>
          </w:p>
        </w:tc>
        <w:tc>
          <w:tcPr>
            <w:tcW w:w="301" w:type="dxa"/>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bottom w:val="single" w:sz="2" w:space="0" w:color="8E939F"/>
            </w:tcBorders>
            <w:shd w:fill="E6E7F4" w:val="clear"/>
            <w:tcMar>
              <w:left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8"/>
              </w:rPr>
              <w:t>10,035</w:t>
            </w:r>
            <w:r>
              <w:rPr>
                <w:color w:val="243782"/>
              </w:rPr>
              <w:t> </w:t>
            </w:r>
          </w:p>
        </w:tc>
        <w:tc>
          <w:tcPr>
            <w:tcW w:w="306" w:type="dxa"/>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bottom w:val="single" w:sz="2" w:space="0" w:color="8E939F"/>
            </w:tcBorders>
            <w:shd w:fill="E6E7F4" w:val="clear"/>
            <w:tcMar>
              <w:left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(26,417)</w:t>
            </w:r>
          </w:p>
        </w:tc>
        <w:tc>
          <w:tcPr>
            <w:tcW w:w="296" w:type="dxa"/>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bottom w:val="single" w:sz="2" w:space="0" w:color="8E939F"/>
            </w:tcBorders>
            <w:shd w:fill="E6E7F4" w:val="clear"/>
            <w:tcMar>
              <w:left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(13,655)</w:t>
            </w:r>
          </w:p>
        </w:tc>
        <w:tc>
          <w:tcPr>
            <w:tcW w:w="301" w:type="dxa"/>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bottom w:val="single" w:sz="2" w:space="0" w:color="8E939F"/>
            </w:tcBorders>
            <w:shd w:fill="E6E7F4" w:val="clear"/>
            <w:tcMar>
              <w:left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8"/>
              </w:rPr>
              <w:t>6,694</w:t>
            </w:r>
            <w:r>
              <w:rPr>
                <w:color w:val="243782"/>
              </w:rPr>
              <w:t> </w:t>
            </w:r>
          </w:p>
        </w:tc>
        <w:tc>
          <w:tcPr>
            <w:tcW w:w="306" w:type="dxa"/>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bottom w:val="single" w:sz="2" w:space="0" w:color="8E939F"/>
            </w:tcBorders>
            <w:shd w:fill="E6E7F4" w:val="clear"/>
            <w:tcMar>
              <w:left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(20,349)</w:t>
            </w:r>
          </w:p>
        </w:tc>
        <w:tc>
          <w:tcPr>
            <w:tcW w:w="296" w:type="dxa"/>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Helvetica Light;sans-serif" w:hAnsi="Helvetica Light;sans-serif"/>
          <w:b w:val="false"/>
          <w:color w:val="000000"/>
          <w:sz w:val="16"/>
        </w:rPr>
      </w:pPr>
      <w:r>
        <w:rPr>
          <w:rFonts w:ascii="Helvetica Light;sans-serif" w:hAnsi="Helvetica Light;sans-serif"/>
          <w:b w:val="false"/>
          <w:color w:val="000000"/>
          <w:sz w:val="16"/>
        </w:rPr>
        <w:t>(1) Includes notes issued under the Medium Term Programme, or Medium Term Note (“MTN”) Programme, and other notes for €23,727 million at June 30, 2026 (€22,333 million at December 31, 2025), Schuldschein for €50 million (€314 million at December 31, 2025) and other financial instruments issued in financial markets, from financial services companies for €3,518 million (€2,413 million at December 31, 2025)</w:t>
      </w:r>
    </w:p>
    <w:p>
      <w:pPr>
        <w:pStyle w:val="TextBody"/>
        <w:bidi w:val="0"/>
        <w:spacing w:lineRule="auto" w:line="288" w:before="0" w:after="0"/>
        <w:jc w:val="left"/>
        <w:rPr>
          <w:rFonts w:ascii="Helvetica Light;sans-serif" w:hAnsi="Helvetica Light;sans-serif"/>
          <w:b w:val="false"/>
          <w:color w:val="000000"/>
          <w:sz w:val="16"/>
        </w:rPr>
      </w:pPr>
      <w:r>
        <w:rPr>
          <w:rFonts w:ascii="Helvetica Light;sans-serif" w:hAnsi="Helvetica Light;sans-serif"/>
          <w:b w:val="false"/>
          <w:color w:val="000000"/>
          <w:sz w:val="16"/>
        </w:rPr>
        <w:t>(2)Includes debt for securitizations programs, for €19,084 million at June 30, 2026 (€15,471 million at December 31, 2025), and other</w:t>
      </w:r>
    </w:p>
    <w:p>
      <w:pPr>
        <w:pStyle w:val="TextBody"/>
        <w:bidi w:val="0"/>
        <w:spacing w:lineRule="auto" w:line="288" w:before="0" w:after="0"/>
        <w:jc w:val="left"/>
        <w:rPr>
          <w:rFonts w:ascii="Helvetica Light;sans-serif" w:hAnsi="Helvetica Light;sans-serif"/>
          <w:b w:val="false"/>
          <w:color w:val="000000"/>
          <w:sz w:val="16"/>
        </w:rPr>
      </w:pPr>
      <w:r>
        <w:rPr>
          <w:rFonts w:ascii="Helvetica Light;sans-serif" w:hAnsi="Helvetica Light;sans-serif"/>
          <w:b w:val="false"/>
          <w:color w:val="000000"/>
          <w:sz w:val="16"/>
        </w:rPr>
        <w:t>asset-backed financing, i.e., sales of receivables for which de-recognition is not allowed under IFRS, for €36 million at June 30, 2026</w:t>
      </w:r>
    </w:p>
    <w:p>
      <w:pPr>
        <w:pStyle w:val="TextBody"/>
        <w:bidi w:val="0"/>
        <w:spacing w:lineRule="auto" w:line="288" w:before="0" w:after="0"/>
        <w:jc w:val="left"/>
        <w:rPr>
          <w:rFonts w:ascii="Helvetica Light;sans-serif" w:hAnsi="Helvetica Light;sans-serif"/>
          <w:b w:val="false"/>
          <w:color w:val="000000"/>
          <w:sz w:val="16"/>
        </w:rPr>
      </w:pPr>
      <w:r>
        <w:rPr>
          <w:rFonts w:ascii="Helvetica Light;sans-serif" w:hAnsi="Helvetica Light;sans-serif"/>
          <w:b w:val="false"/>
          <w:color w:val="000000"/>
          <w:sz w:val="16"/>
        </w:rPr>
        <w:t>(€8 million at December 31, 2025)</w:t>
      </w:r>
    </w:p>
    <w:p>
      <w:pPr>
        <w:pStyle w:val="TextBody"/>
        <w:bidi w:val="0"/>
        <w:spacing w:lineRule="auto" w:line="288" w:before="0" w:after="0"/>
        <w:jc w:val="left"/>
        <w:rPr>
          <w:rFonts w:ascii="Helvetica Light;sans-serif" w:hAnsi="Helvetica Light;sans-serif"/>
          <w:b w:val="false"/>
          <w:color w:val="000000"/>
          <w:sz w:val="16"/>
        </w:rPr>
      </w:pPr>
      <w:r>
        <w:rPr>
          <w:rFonts w:ascii="Helvetica Light;sans-serif" w:hAnsi="Helvetica Light;sans-serif"/>
          <w:b w:val="false"/>
          <w:color w:val="000000"/>
          <w:sz w:val="16"/>
        </w:rPr>
        <w:t>(3) Includes adjustments for purchase accounting and net (accrued)/deferred interest and other amortizing cost adjustments</w:t>
      </w:r>
    </w:p>
    <w:p>
      <w:pPr>
        <w:pStyle w:val="TextBody"/>
        <w:bidi w:val="0"/>
        <w:spacing w:lineRule="auto" w:line="288" w:before="0" w:after="0"/>
        <w:jc w:val="left"/>
        <w:rPr>
          <w:rFonts w:ascii="Helvetica Light;sans-serif" w:hAnsi="Helvetica Light;sans-serif"/>
          <w:b w:val="false"/>
          <w:color w:val="000000"/>
          <w:sz w:val="16"/>
        </w:rPr>
      </w:pPr>
      <w:r>
        <w:rPr>
          <w:rFonts w:ascii="Helvetica Light;sans-serif" w:hAnsi="Helvetica Light;sans-serif"/>
          <w:b w:val="false"/>
          <w:color w:val="000000"/>
          <w:sz w:val="16"/>
        </w:rPr>
        <w:t>(4) Net amount between industrial activities entities' financial receivables due from financial services entities (€1,530 million at June 30, 2026 and €2,237 million at December 31, 2025) and industrial activities entities' financial payables due to financial services entities (€734 million at June 30, 2026 and €481 million at December 31, 2025)</w:t>
      </w:r>
    </w:p>
    <w:p>
      <w:pPr>
        <w:pStyle w:val="TextBody"/>
        <w:bidi w:val="0"/>
        <w:spacing w:lineRule="auto" w:line="288" w:before="0" w:after="0"/>
        <w:jc w:val="left"/>
        <w:rPr>
          <w:rFonts w:ascii="Helvetica Light;sans-serif" w:hAnsi="Helvetica Light;sans-serif"/>
          <w:b w:val="false"/>
          <w:color w:val="000000"/>
          <w:sz w:val="16"/>
        </w:rPr>
      </w:pPr>
      <w:r>
        <w:rPr>
          <w:rFonts w:ascii="Helvetica Light;sans-serif" w:hAnsi="Helvetica Light;sans-serif"/>
          <w:b w:val="false"/>
          <w:color w:val="000000"/>
          <w:sz w:val="16"/>
        </w:rPr>
        <w:t>(5) Financial receivables due from Stellantis Financial Services Europe JVs</w:t>
      </w:r>
    </w:p>
    <w:p>
      <w:pPr>
        <w:pStyle w:val="TextBody"/>
        <w:bidi w:val="0"/>
        <w:spacing w:lineRule="auto" w:line="288" w:before="0" w:after="0"/>
        <w:jc w:val="left"/>
        <w:rPr>
          <w:rFonts w:ascii="Helvetica Light;sans-serif" w:hAnsi="Helvetica Light;sans-serif"/>
          <w:b w:val="false"/>
          <w:color w:val="000000"/>
          <w:sz w:val="16"/>
        </w:rPr>
      </w:pPr>
      <w:r>
        <w:rPr>
          <w:rFonts w:ascii="Helvetica Light;sans-serif" w:hAnsi="Helvetica Light;sans-serif"/>
          <w:b w:val="false"/>
          <w:color w:val="000000"/>
          <w:sz w:val="16"/>
        </w:rPr>
        <w:t>(6) Fair value of derivative financial instruments (net positive €89 million at June 30, 2026 and net positive €161 million at December 31, 2025) and collateral deposits (€17 million at June 30, 2026 and €20 million at December 31, 2025)</w:t>
      </w:r>
    </w:p>
    <w:p>
      <w:pPr>
        <w:pStyle w:val="TextBody"/>
        <w:bidi w:val="0"/>
        <w:spacing w:lineRule="auto" w:line="288" w:before="0" w:after="240"/>
        <w:jc w:val="left"/>
        <w:rPr>
          <w:rFonts w:ascii="Helvetica Light;sans-serif" w:hAnsi="Helvetica Light;sans-serif"/>
          <w:b w:val="false"/>
          <w:color w:val="000000"/>
          <w:sz w:val="16"/>
        </w:rPr>
      </w:pPr>
      <w:r>
        <w:rPr>
          <w:rFonts w:ascii="Helvetica Light;sans-serif" w:hAnsi="Helvetica Light;sans-serif"/>
          <w:b w:val="false"/>
          <w:color w:val="000000"/>
          <w:sz w:val="16"/>
        </w:rPr>
        <w:t>(7) Excludes certain financial securities held pursuant to applicable regulations (€386 million at June 30, 2026 and €376 million at December 31, 2025) and non-liquid equity investments (€874 million at June 30, 2026 and €608 million at December 31, 2025) and other non-liquid securities (€223 million at June 30, 2026 and €203 million at December 31, 2025)</w:t>
      </w:r>
    </w:p>
    <w:p>
      <w:pPr>
        <w:pStyle w:val="TextBody"/>
        <w:bidi w:val="0"/>
        <w:spacing w:lineRule="auto" w:line="343" w:before="0" w:after="240"/>
        <w:jc w:val="left"/>
        <w:rPr/>
      </w:pPr>
      <w:r>
        <w:rPr>
          <w:rFonts w:ascii="Helvetica Light;sans-serif" w:hAnsi="Helvetica Light;sans-serif"/>
          <w:b w:val="false"/>
          <w:color w:val="000000"/>
          <w:sz w:val="20"/>
        </w:rPr>
        <w:t xml:space="preserve">The </w:t>
      </w:r>
      <w:r>
        <w:rPr>
          <w:color w:val="000000"/>
          <w:shd w:fill="FFFFFF" w:val="clear"/>
        </w:rPr>
        <w:t>€</w:t>
      </w:r>
      <w:r>
        <w:rPr>
          <w:rFonts w:ascii="Helvetica Light;sans-serif" w:hAnsi="Helvetica Light;sans-serif"/>
          <w:b w:val="false"/>
          <w:color w:val="000000"/>
          <w:sz w:val="20"/>
          <w:shd w:fill="FFFFFF" w:val="clear"/>
        </w:rPr>
        <w:t>3.3 billion improvement</w:t>
      </w:r>
      <w:r>
        <w:rPr>
          <w:color w:val="000000"/>
        </w:rPr>
        <w:t xml:space="preserve"> </w:t>
      </w:r>
      <w:r>
        <w:rPr>
          <w:rFonts w:ascii="Helvetica Light;sans-serif" w:hAnsi="Helvetica Light;sans-serif"/>
          <w:b w:val="false"/>
          <w:color w:val="000000"/>
          <w:sz w:val="20"/>
        </w:rPr>
        <w:t>in Industrial net financial position at June 30, 2026, as compared to December 31, 2025, primarily reflects the</w:t>
      </w:r>
      <w:r>
        <w:rPr>
          <w:color w:val="000000"/>
          <w:shd w:fill="FFFFFF" w:val="clear"/>
        </w:rPr>
        <w:t xml:space="preserve"> </w:t>
      </w:r>
      <w:r>
        <w:rPr>
          <w:rFonts w:ascii="Helvetica Light;sans-serif" w:hAnsi="Helvetica Light;sans-serif"/>
          <w:b w:val="false"/>
          <w:color w:val="000000"/>
          <w:sz w:val="20"/>
          <w:shd w:fill="FFFFFF" w:val="clear"/>
        </w:rPr>
        <w:t xml:space="preserve">proceeds from the Hybrid perpetual notes partially offset by the negative free cash flow for the six month period ended June 30,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503555"/>
                <wp:effectExtent l="0" t="0" r="0" b="0"/>
                <wp:wrapNone/>
                <wp:docPr id="66" name="Frame51"/>
                <a:graphic xmlns:a="http://schemas.openxmlformats.org/drawingml/2006/main">
                  <a:graphicData uri="http://schemas.microsoft.com/office/word/2010/wordprocessingShape">
                    <wps:wsp>
                      <wps:cNvSpPr txBox="1"/>
                      <wps:spPr>
                        <a:xfrm>
                          <a:off x="0" y="0"/>
                          <a:ext cx="6480175" cy="5035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47</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47</w:t>
                      </w:r>
                    </w:p>
                    <w:p>
                      <w:pPr>
                        <w:pStyle w:val="TextBody"/>
                        <w:bidi w:val="0"/>
                        <w:spacing w:before="0" w:after="24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88" w:before="0" w:after="240"/>
        <w:jc w:val="left"/>
        <w:rPr>
          <w:rFonts w:ascii="Helvetica;sans-serif" w:hAnsi="Helvetica;sans-serif"/>
          <w:b/>
          <w:color w:val="143A84"/>
          <w:sz w:val="20"/>
        </w:rPr>
      </w:pPr>
      <w:r>
        <w:rPr>
          <w:rFonts w:ascii="Helvetica;sans-serif" w:hAnsi="Helvetica;sans-serif"/>
          <w:b/>
          <w:color w:val="143A84"/>
          <w:sz w:val="20"/>
        </w:rPr>
        <w:t xml:space="preserve">Important events during the six months ended June 30, 2026 </w:t>
      </w:r>
    </w:p>
    <w:p>
      <w:pPr>
        <w:pStyle w:val="TextBody"/>
        <w:bidi w:val="0"/>
        <w:spacing w:lineRule="auto" w:line="343" w:before="0" w:after="240"/>
        <w:jc w:val="left"/>
        <w:rPr/>
      </w:pPr>
      <w:r>
        <w:rPr>
          <w:rFonts w:ascii="Helvetica Light;sans-serif" w:hAnsi="Helvetica Light;sans-serif"/>
          <w:b w:val="false"/>
          <w:color w:val="000000"/>
          <w:sz w:val="20"/>
        </w:rPr>
        <w:t xml:space="preserve">In February 2026, Stellantis announced an agreement for LG Energy Solution to acquire Stellantis’ 49 percent interest in NextStar Energy Inc, (“NextStar”) resulting in LG Energy Solution obtaining full ownership of NextStar. The transaction closed in March 2026. Refer to Note 2, </w:t>
      </w:r>
      <w:r>
        <w:rPr>
          <w:rFonts w:ascii="Helvetica Light;sans-serif" w:hAnsi="Helvetica Light;sans-serif"/>
          <w:b w:val="false"/>
          <w:i/>
          <w:color w:val="000000"/>
          <w:sz w:val="20"/>
        </w:rPr>
        <w:t>Scope of consolidation</w:t>
      </w:r>
      <w:r>
        <w:rPr>
          <w:color w:val="000000"/>
        </w:rPr>
        <w:t xml:space="preserve"> </w:t>
      </w:r>
      <w:r>
        <w:rPr>
          <w:rFonts w:ascii="Helvetica Light;sans-serif" w:hAnsi="Helvetica Light;sans-serif"/>
          <w:b w:val="false"/>
          <w:color w:val="000000"/>
          <w:sz w:val="20"/>
        </w:rPr>
        <w:t>in the Interim Condensed Consolidated Financial Statements included in this Interim Report for additional information.</w:t>
      </w:r>
    </w:p>
    <w:p>
      <w:pPr>
        <w:pStyle w:val="TextBody"/>
        <w:bidi w:val="0"/>
        <w:spacing w:lineRule="auto" w:line="343" w:before="0" w:after="240"/>
        <w:jc w:val="left"/>
        <w:rPr/>
      </w:pPr>
      <w:r>
        <w:rPr>
          <w:rFonts w:ascii="Helvetica Light;sans-serif" w:hAnsi="Helvetica Light;sans-serif"/>
          <w:b w:val="false"/>
          <w:color w:val="000000"/>
          <w:sz w:val="20"/>
        </w:rPr>
        <w:t xml:space="preserve">In March 2026, the Company issued Hybrid perpetual notes in three tranches. Refer to Note 18, </w:t>
      </w:r>
      <w:r>
        <w:rPr>
          <w:rFonts w:ascii="Helvetica Light;sans-serif" w:hAnsi="Helvetica Light;sans-serif"/>
          <w:b w:val="false"/>
          <w:i/>
          <w:color w:val="000000"/>
          <w:sz w:val="20"/>
        </w:rPr>
        <w:t>Equity</w:t>
      </w:r>
      <w:r>
        <w:rPr>
          <w:color w:val="000000"/>
        </w:rPr>
        <w:t xml:space="preserve"> </w:t>
      </w:r>
      <w:r>
        <w:rPr>
          <w:rFonts w:ascii="Helvetica Light;sans-serif" w:hAnsi="Helvetica Light;sans-serif"/>
          <w:b w:val="false"/>
          <w:color w:val="000000"/>
          <w:sz w:val="20"/>
        </w:rPr>
        <w:t>in the Interim Condensed Consolidated Financial Statements included in this Interim Report for additional information.</w:t>
      </w:r>
    </w:p>
    <w:p>
      <w:pPr>
        <w:pStyle w:val="TextBody"/>
        <w:bidi w:val="0"/>
        <w:spacing w:lineRule="auto" w:line="343" w:before="0" w:after="240"/>
        <w:jc w:val="left"/>
        <w:rPr/>
      </w:pPr>
      <w:r>
        <w:rPr>
          <w:rFonts w:ascii="Helvetica Light;sans-serif" w:hAnsi="Helvetica Light;sans-serif"/>
          <w:b w:val="false"/>
          <w:color w:val="000000"/>
          <w:sz w:val="20"/>
        </w:rPr>
        <w:t xml:space="preserve">In June 2026, following the loss of its right to representation on Archer’s Board of Directors, the Company reassessed the level of influence it exercises over its investment and, as a result, changed the accounting treatment applied to that investment. Refer to Note 2, </w:t>
      </w:r>
      <w:r>
        <w:rPr>
          <w:rFonts w:ascii="Helvetica Light;sans-serif" w:hAnsi="Helvetica Light;sans-serif"/>
          <w:b w:val="false"/>
          <w:i/>
          <w:color w:val="000000"/>
          <w:sz w:val="20"/>
        </w:rPr>
        <w:t>Scope of Consolidation</w:t>
      </w:r>
      <w:r>
        <w:rPr>
          <w:color w:val="000000"/>
        </w:rPr>
        <w:t xml:space="preserve"> </w:t>
      </w:r>
      <w:r>
        <w:rPr>
          <w:rFonts w:ascii="Helvetica Light;sans-serif" w:hAnsi="Helvetica Light;sans-serif"/>
          <w:b w:val="false"/>
          <w:color w:val="000000"/>
          <w:sz w:val="20"/>
        </w:rPr>
        <w:t xml:space="preserve">in the Interim Condensed Consolidated Financial Statements included in this Interim Report for additional information.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Helvetica;sans-serif" w:hAnsi="Helvetica;sans-serif"/>
          <w:b/>
          <w:color w:val="143A84"/>
          <w:sz w:val="20"/>
        </w:rPr>
      </w:pPr>
      <w:r>
        <w:rPr>
          <w:rFonts w:ascii="Helvetica;sans-serif" w:hAnsi="Helvetica;sans-serif"/>
          <w:b/>
          <w:color w:val="143A84"/>
          <w:sz w:val="20"/>
        </w:rPr>
        <w:t>FaSTLAne 2030 STRATEGIC PLAN</w:t>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In May 2026, the Company publicly presented the main elements of its FaSTLAne 2030 five-year strategic plan, emphasizing customer focus and disciplined capital allocation to regions and brands expected to deliver higher returns.</w:t>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The strategy is structured around six core pillars:</w:t>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1. Active management of brand portfolio</w:t>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2. Investment in global platforms, powertrains and technology</w:t>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3. Use of partnerships to complement core capabilities</w:t>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4. Optimization of manufacturing footprint</w:t>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5. Improvement in execution performance</w:t>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6. Increased empowerment of regional and local teams</w:t>
      </w:r>
    </w:p>
    <w:p>
      <w:pPr>
        <w:pStyle w:val="TextBody"/>
        <w:bidi w:val="0"/>
        <w:spacing w:lineRule="auto" w:line="288" w:before="0" w:after="240"/>
        <w:jc w:val="left"/>
        <w:rPr>
          <w:rFonts w:ascii="Helvetica;sans-serif" w:hAnsi="Helvetica;sans-serif"/>
          <w:b w:val="false"/>
          <w:color w:val="143A84"/>
          <w:sz w:val="20"/>
        </w:rPr>
      </w:pPr>
      <w:r>
        <w:rPr>
          <w:rFonts w:ascii="Helvetica;sans-serif" w:hAnsi="Helvetica;sans-serif"/>
          <w:b w:val="false"/>
          <w:color w:val="143A84"/>
          <w:sz w:val="20"/>
        </w:rPr>
        <w:t>1. Active management of brand portfolio</w:t>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The Company has revised its approach to managing its brand portfolio and product planning in order to improve capital efficiency, avoid duplication of expenditures and support profitability.</w:t>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Under this approach, the Company expects, over the period to 2030, to introduce more than 60 new vehicle models and implement approximately 50 significant model refreshes across its brands and powertrain technologies. These launches are expected to include 29 battery-electric vehicles, 15 plug-in hybrid or range-extended electric vehicles, 24 hybrid electric vehicles and 39 internal combustion engine and mild hybrid electric vehicles.</w:t>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The Company has identified four global brands (Jeep, Ram, Peugeot and FIAT) as having the greatest scale and potential for profitability. These brands, with their multi-regional presence, are natural first launchers for all new global assets. Approximately 70 percent of planned brand and product investments will be allocated to these brands, together with Pro One, the Company’s commercial vehicles business unit.</w:t>
      </w:r>
    </w:p>
    <w:p>
      <w:pPr>
        <w:pStyle w:val="TextBody"/>
        <w:bidi w:val="0"/>
        <w:spacing w:before="0" w:after="24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503555"/>
                <wp:effectExtent l="0" t="0" r="0" b="0"/>
                <wp:wrapNone/>
                <wp:docPr id="67" name="Frame52"/>
                <a:graphic xmlns:a="http://schemas.openxmlformats.org/drawingml/2006/main">
                  <a:graphicData uri="http://schemas.microsoft.com/office/word/2010/wordprocessingShape">
                    <wps:wsp>
                      <wps:cNvSpPr txBox="1"/>
                      <wps:spPr>
                        <a:xfrm>
                          <a:off x="0" y="0"/>
                          <a:ext cx="6480175" cy="5035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48</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48</w:t>
                      </w:r>
                    </w:p>
                    <w:p>
                      <w:pPr>
                        <w:pStyle w:val="TextBody"/>
                        <w:bidi w:val="0"/>
                        <w:spacing w:before="0" w:after="24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The Company’s regional brands—Chrysler, Dodge, Citroën, Opel and Alfa Romeo will to continue to operate in their core markets and will benefit from these same global assets and enhance their respective brand positioning.</w:t>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DS and Lancia, which maintain a strong historical presence in France and Italy, respectively, will be managed within the Citroën and FIAT organizations and developed as specialty brands.</w:t>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The Company also intends to support the long-term development of Maserati as a luxury brand, including the planned introduction of two new E-segment vehicles. Further details are expected to be communicated by December 2026.</w:t>
      </w:r>
    </w:p>
    <w:p>
      <w:pPr>
        <w:pStyle w:val="TextBody"/>
        <w:bidi w:val="0"/>
        <w:spacing w:lineRule="auto" w:line="288" w:before="0" w:after="240"/>
        <w:jc w:val="left"/>
        <w:rPr>
          <w:rFonts w:ascii="Helvetica;sans-serif" w:hAnsi="Helvetica;sans-serif"/>
          <w:b w:val="false"/>
          <w:color w:val="143A84"/>
          <w:sz w:val="20"/>
        </w:rPr>
      </w:pPr>
      <w:r>
        <w:rPr>
          <w:rFonts w:ascii="Helvetica;sans-serif" w:hAnsi="Helvetica;sans-serif"/>
          <w:b w:val="false"/>
          <w:color w:val="143A84"/>
          <w:sz w:val="20"/>
        </w:rPr>
        <w:t>2. Investment in global platforms, powertrains and technologies</w:t>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The Company will leverage its global scale through planned investments exceeding €24 billion over the next five years, representing approximately 40 percent of total research and development and capital expenditure during the period. These investments are intended to support the development of global platforms, powertrains and technologies.</w:t>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The Company’s platform strategy is based on modular architectures designed to improve efficiency and competitiveness. By 2030, approximately 50 percent of global annual volumes will be produced on three global platforms, including the STLA One architecture, which has been designed to maximize commonality.</w:t>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The Company plans to expand its multi-energy powertrain offering, including hybrid, battery electric and internal combustion engine technologies. By 2030, nearly 50 percent of global annual volumes will utilize multi-regional powertrain solutions.</w:t>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The Company’s technology strategy focuses on customer-oriented applications. In this context, the Company is developing scalable technology platforms, including STLA Brain (software and computing architecture), STLA SmartCockpit (in-vehicle user interface) and STLA AutoDrive (autonomous driving system), in collaboration with external partners. These technologies will be launched starting in 2027. By 2030, approximately 35 percent of global annual volumes are planned to incorporate at least one of these technologies, increasing to more than 70 percent by 2035.</w:t>
      </w:r>
    </w:p>
    <w:p>
      <w:pPr>
        <w:pStyle w:val="TextBody"/>
        <w:bidi w:val="0"/>
        <w:spacing w:lineRule="auto" w:line="288" w:before="0" w:after="240"/>
        <w:jc w:val="left"/>
        <w:rPr>
          <w:rFonts w:ascii="Helvetica;sans-serif" w:hAnsi="Helvetica;sans-serif"/>
          <w:b w:val="false"/>
          <w:color w:val="143A84"/>
          <w:sz w:val="20"/>
        </w:rPr>
      </w:pPr>
      <w:r>
        <w:rPr>
          <w:rFonts w:ascii="Helvetica;sans-serif" w:hAnsi="Helvetica;sans-serif"/>
          <w:b w:val="false"/>
          <w:color w:val="143A84"/>
          <w:sz w:val="20"/>
        </w:rPr>
        <w:t>3. Use of partnerships to complement core capabilities</w:t>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The Company is leveraging its global presence to establish and expand strategic partnerships aimed at supporting value creation. These collaborations are intended to facilitate co-development and co-funding of products, improve access to additional markets, enhance technology capabilities, increase manufacturing capacity utilization and strengthen sourcing competitiveness.</w:t>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The Company is entering into new partnerships or expanding existing ones, co-developing and co-funding products to gain access to additional markets, broadening technology optionality, increasing manufacturing capacity utilization, and improving sourcing competitiveness. These include its collaboration with Leapmotor through Leapmotor International (in which the Company holds a 51 percent interest) which will focus on joint purchasing initiatives and potential industrial cooperation, including the planned use of manufacturing capacity in Spain.</w:t>
      </w:r>
    </w:p>
    <w:p>
      <w:pPr>
        <w:pStyle w:val="TextBody"/>
        <w:bidi w:val="0"/>
        <w:spacing w:before="0" w:after="24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503555"/>
                <wp:effectExtent l="0" t="0" r="0" b="0"/>
                <wp:wrapNone/>
                <wp:docPr id="68" name="Frame53"/>
                <a:graphic xmlns:a="http://schemas.openxmlformats.org/drawingml/2006/main">
                  <a:graphicData uri="http://schemas.microsoft.com/office/word/2010/wordprocessingShape">
                    <wps:wsp>
                      <wps:cNvSpPr txBox="1"/>
                      <wps:spPr>
                        <a:xfrm>
                          <a:off x="0" y="0"/>
                          <a:ext cx="6480175" cy="5035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49</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49</w:t>
                      </w:r>
                    </w:p>
                    <w:p>
                      <w:pPr>
                        <w:pStyle w:val="TextBody"/>
                        <w:bidi w:val="0"/>
                        <w:spacing w:before="0" w:after="24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The Company is also enhancing its cooperation with Dongfeng Motor Group, with plans to produce selected Peugeot and Jeep models for sale in China and other regions. In addition, the Company intends to establish a European Stellantis-led joint venture with Dongfeng Motor Group and to collaborate in areas including distribution, engineering, sourcing and manufacturing.</w:t>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Further partnerships include cooperation with Tata to support activities in Asia Pacific, Middle East and Africa and South America, and discussions with Jaguar Land Rover to explore potential collaboration opportunities in product and technology development in the U.S.</w:t>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The Company is also developing strategic relationships with technology partners to complement internal capabilities in areas such as software, computing architecture, advanced driver assistance systems, artificial intelligence and battery technology.</w:t>
      </w:r>
    </w:p>
    <w:p>
      <w:pPr>
        <w:pStyle w:val="TextBody"/>
        <w:bidi w:val="0"/>
        <w:spacing w:lineRule="auto" w:line="288" w:before="0" w:after="240"/>
        <w:jc w:val="left"/>
        <w:rPr>
          <w:rFonts w:ascii="Helvetica;sans-serif" w:hAnsi="Helvetica;sans-serif"/>
          <w:b w:val="false"/>
          <w:color w:val="143A84"/>
          <w:sz w:val="20"/>
        </w:rPr>
      </w:pPr>
      <w:r>
        <w:rPr>
          <w:rFonts w:ascii="Helvetica;sans-serif" w:hAnsi="Helvetica;sans-serif"/>
          <w:b w:val="false"/>
          <w:color w:val="143A84"/>
          <w:sz w:val="20"/>
        </w:rPr>
        <w:t>4. Optimization of manufacturing footprint</w:t>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Under the FaSTLAne 2030 plan, the Company aims to increase capacity utilization across regions through higher production volumes and targeted local actions.</w:t>
      </w:r>
    </w:p>
    <w:p>
      <w:pPr>
        <w:pStyle w:val="TextBody"/>
        <w:bidi w:val="0"/>
        <w:spacing w:lineRule="auto" w:line="343" w:before="0" w:after="240"/>
        <w:ind w:left="0" w:right="0" w:hanging="173"/>
        <w:jc w:val="left"/>
        <w:rPr/>
      </w:pPr>
      <w:r>
        <w:rPr>
          <w:color w:val="143A84"/>
        </w:rPr>
        <w:t>•</w:t>
      </w:r>
      <w:r>
        <w:rPr>
          <w:rFonts w:ascii="Helvetica Light;sans-serif" w:hAnsi="Helvetica Light;sans-serif"/>
          <w:b w:val="false"/>
          <w:color w:val="000000"/>
          <w:sz w:val="20"/>
        </w:rPr>
        <w:t>Enlarged Europe: Installed capacity is planned to be reduced by more than 800,000 units through plant repurposing and partnerships, while seeking to preserve employment. Capacity utilization is targeted to increase from approximately 60 percent to around 80 percent by 2030.</w:t>
      </w:r>
    </w:p>
    <w:p>
      <w:pPr>
        <w:pStyle w:val="TextBody"/>
        <w:bidi w:val="0"/>
        <w:spacing w:lineRule="auto" w:line="343" w:before="0" w:after="240"/>
        <w:ind w:left="0" w:right="0" w:hanging="173"/>
        <w:jc w:val="left"/>
        <w:rPr/>
      </w:pPr>
      <w:r>
        <w:rPr>
          <w:color w:val="143A84"/>
        </w:rPr>
        <w:t>•</w:t>
      </w:r>
      <w:r>
        <w:rPr>
          <w:rFonts w:ascii="Helvetica Light;sans-serif" w:hAnsi="Helvetica Light;sans-serif"/>
          <w:b w:val="false"/>
          <w:color w:val="000000"/>
          <w:sz w:val="20"/>
        </w:rPr>
        <w:t>North America: Higher production volumes are expected to support an increase in capacity utilization to approximately 80 percent by 2030.</w:t>
      </w:r>
    </w:p>
    <w:p>
      <w:pPr>
        <w:pStyle w:val="TextBody"/>
        <w:bidi w:val="0"/>
        <w:spacing w:lineRule="auto" w:line="343" w:before="0" w:after="240"/>
        <w:ind w:left="0" w:right="0" w:hanging="173"/>
        <w:jc w:val="left"/>
        <w:rPr/>
      </w:pPr>
      <w:r>
        <w:rPr>
          <w:color w:val="143A84"/>
        </w:rPr>
        <w:t>•</w:t>
      </w:r>
      <w:r>
        <w:rPr>
          <w:rFonts w:ascii="Helvetica Light;sans-serif" w:hAnsi="Helvetica Light;sans-serif"/>
          <w:b w:val="false"/>
          <w:color w:val="000000"/>
          <w:sz w:val="20"/>
        </w:rPr>
        <w:t>Middle East &amp; Africa: Increased product localization is expected to support full capacity utilization by 2030.</w:t>
      </w:r>
    </w:p>
    <w:p>
      <w:pPr>
        <w:pStyle w:val="TextBody"/>
        <w:bidi w:val="0"/>
        <w:spacing w:lineRule="auto" w:line="288" w:before="0" w:after="240"/>
        <w:jc w:val="left"/>
        <w:rPr>
          <w:rFonts w:ascii="Helvetica;sans-serif" w:hAnsi="Helvetica;sans-serif"/>
          <w:b w:val="false"/>
          <w:color w:val="143A84"/>
          <w:sz w:val="20"/>
        </w:rPr>
      </w:pPr>
      <w:r>
        <w:rPr>
          <w:rFonts w:ascii="Helvetica;sans-serif" w:hAnsi="Helvetica;sans-serif"/>
          <w:b w:val="false"/>
          <w:color w:val="143A84"/>
          <w:sz w:val="20"/>
        </w:rPr>
        <w:t>5. Improvement of execution performance</w:t>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Stellantis’ FaSTLAne 2030 plan prioritizes improvements in execution, including speed, quality and efficiency across regions. Management aims to reduce vehicle development cycles to approximately 24 months (from up to approximately 40 months currently) and to achieve top</w:t>
        <w:noBreakHyphen/>
        <w:t>quartile quality performance over the plan period.</w:t>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The recently launched multi</w:t>
        <w:noBreakHyphen/>
        <w:t>year Value Creation Program is set to deliver approximately €6 billion run-rate of annual cost reductions by 2028 compared with a 2025 baseline, while supporting revenue initiatives.</w:t>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Artificial intelligence is being deployed to enhance operational effectiveness, with more than 120 applications implemented across the Company’s processes.</w:t>
      </w:r>
    </w:p>
    <w:p>
      <w:pPr>
        <w:pStyle w:val="TextBody"/>
        <w:bidi w:val="0"/>
        <w:spacing w:lineRule="auto" w:line="288" w:before="0" w:after="240"/>
        <w:jc w:val="left"/>
        <w:rPr>
          <w:rFonts w:ascii="Helvetica;sans-serif" w:hAnsi="Helvetica;sans-serif"/>
          <w:b w:val="false"/>
          <w:color w:val="143A84"/>
          <w:sz w:val="20"/>
        </w:rPr>
      </w:pPr>
      <w:r>
        <w:rPr>
          <w:rFonts w:ascii="Helvetica;sans-serif" w:hAnsi="Helvetica;sans-serif"/>
          <w:b w:val="false"/>
          <w:color w:val="143A84"/>
          <w:sz w:val="20"/>
        </w:rPr>
        <w:t>6. Increased empowerment of regional and local teams</w:t>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Automotive markets are primarily regional. Over the past year, the Company has decentralized decision</w:t>
        <w:noBreakHyphen/>
        <w:t>making to regional organizations to better align with local market conditions and customer demand. Relationships with key stakeholders (including unions, dealers, suppliers, partners and local communities) have been maintained and further developed.</w:t>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Under the FaSTLAne 2030 strategic plan, regions are responsible for developing and executing market</w:t>
        <w:noBreakHyphen/>
        <w:t>specific plans while leveraging the Company’s global vehicle platforms and scale.</w:t>
      </w:r>
    </w:p>
    <w:p>
      <w:pPr>
        <w:pStyle w:val="TextBody"/>
        <w:bidi w:val="0"/>
        <w:spacing w:before="0" w:after="24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503555"/>
                <wp:effectExtent l="0" t="0" r="0" b="0"/>
                <wp:wrapNone/>
                <wp:docPr id="69" name="Frame54"/>
                <a:graphic xmlns:a="http://schemas.openxmlformats.org/drawingml/2006/main">
                  <a:graphicData uri="http://schemas.microsoft.com/office/word/2010/wordprocessingShape">
                    <wps:wsp>
                      <wps:cNvSpPr txBox="1"/>
                      <wps:spPr>
                        <a:xfrm>
                          <a:off x="0" y="0"/>
                          <a:ext cx="6480175" cy="5035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50</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50</w:t>
                      </w:r>
                    </w:p>
                    <w:p>
                      <w:pPr>
                        <w:pStyle w:val="TextBody"/>
                        <w:bidi w:val="0"/>
                        <w:spacing w:before="0" w:after="24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343" w:before="0" w:after="240"/>
        <w:ind w:left="0" w:right="0" w:hanging="173"/>
        <w:jc w:val="left"/>
        <w:rPr/>
      </w:pPr>
      <w:r>
        <w:rPr>
          <w:color w:val="143A84"/>
        </w:rPr>
        <w:t>•</w:t>
      </w:r>
      <w:r>
        <w:rPr>
          <w:rFonts w:ascii="Helvetica Light;sans-serif" w:hAnsi="Helvetica Light;sans-serif"/>
          <w:b w:val="false"/>
          <w:color w:val="000000"/>
          <w:sz w:val="20"/>
        </w:rPr>
        <w:t>North America: Targeted revenue growth of 25 percent and an AOI margin of 8–10 percent, driven by expanded market coverage (including 11 new models), increased volume, a broader offering in lower price segments, and cost actions under the Value Creation Program. Approximately 60 percent of the Company’s brand and product investment is allocated to this region.</w:t>
      </w:r>
    </w:p>
    <w:p>
      <w:pPr>
        <w:pStyle w:val="TextBody"/>
        <w:bidi w:val="0"/>
        <w:spacing w:lineRule="auto" w:line="343" w:before="0" w:after="240"/>
        <w:ind w:left="0" w:right="0" w:hanging="173"/>
        <w:jc w:val="left"/>
        <w:rPr/>
      </w:pPr>
      <w:r>
        <w:rPr>
          <w:color w:val="143A84"/>
        </w:rPr>
        <w:t>•</w:t>
      </w:r>
      <w:r>
        <w:rPr>
          <w:rFonts w:ascii="Helvetica Light;sans-serif" w:hAnsi="Helvetica Light;sans-serif"/>
          <w:b w:val="false"/>
          <w:color w:val="000000"/>
          <w:sz w:val="20"/>
        </w:rPr>
        <w:t>Enlarged Europe: Targeted revenue growth of 15 percent and an AOI margin of 3–5 percent, supported by portfolio refocusing, bringing greater differentiation to brands and expanding coverage with new C</w:t>
        <w:noBreakHyphen/>
        <w:t>segment launches, competitive BEV offerings with STLA One platform and E-car, and higher capacity utilization.</w:t>
      </w:r>
    </w:p>
    <w:p>
      <w:pPr>
        <w:pStyle w:val="TextBody"/>
        <w:bidi w:val="0"/>
        <w:spacing w:lineRule="auto" w:line="343" w:before="0" w:after="240"/>
        <w:ind w:left="0" w:right="0" w:hanging="173"/>
        <w:jc w:val="left"/>
        <w:rPr/>
      </w:pPr>
      <w:r>
        <w:rPr>
          <w:color w:val="143A84"/>
        </w:rPr>
        <w:t>•</w:t>
      </w:r>
      <w:r>
        <w:rPr>
          <w:rFonts w:ascii="Helvetica Light;sans-serif" w:hAnsi="Helvetica Light;sans-serif"/>
          <w:b w:val="false"/>
          <w:color w:val="000000"/>
          <w:sz w:val="20"/>
        </w:rPr>
        <w:t>South America: Targeted revenue growth of 10 percent and an AOI margin of 8–10 percent, supported by continued leadership in core markets, new pickup launches, and expansion in the region.</w:t>
      </w:r>
    </w:p>
    <w:p>
      <w:pPr>
        <w:pStyle w:val="TextBody"/>
        <w:bidi w:val="0"/>
        <w:spacing w:lineRule="auto" w:line="343" w:before="0" w:after="240"/>
        <w:ind w:left="0" w:right="0" w:hanging="173"/>
        <w:jc w:val="left"/>
        <w:rPr/>
      </w:pPr>
      <w:r>
        <w:rPr>
          <w:color w:val="143A84"/>
        </w:rPr>
        <w:t>•</w:t>
      </w:r>
      <w:r>
        <w:rPr>
          <w:rFonts w:ascii="Helvetica Light;sans-serif" w:hAnsi="Helvetica Light;sans-serif"/>
          <w:b w:val="false"/>
          <w:color w:val="000000"/>
          <w:sz w:val="20"/>
        </w:rPr>
        <w:t>Middle East &amp; Africa: Targeted revenue growth of 40 percent and an AOI margin of 10–12 percent driven by increased localization and increased imports through Asian partnerships.</w:t>
      </w:r>
    </w:p>
    <w:p>
      <w:pPr>
        <w:pStyle w:val="TextBody"/>
        <w:bidi w:val="0"/>
        <w:spacing w:lineRule="auto" w:line="343" w:before="0" w:after="240"/>
        <w:ind w:left="0" w:right="0" w:hanging="173"/>
        <w:jc w:val="left"/>
        <w:rPr/>
      </w:pPr>
      <w:r>
        <w:rPr>
          <w:color w:val="143A84"/>
        </w:rPr>
        <w:t>•</w:t>
      </w:r>
      <w:r>
        <w:rPr>
          <w:rFonts w:ascii="Helvetica Light;sans-serif" w:hAnsi="Helvetica Light;sans-serif"/>
          <w:b w:val="false"/>
          <w:color w:val="000000"/>
          <w:sz w:val="20"/>
        </w:rPr>
        <w:t>Asia Pacific: Targeted revenue growth of 100 percent and an AOI margin of 4–6 percent, leveraging strategic partnerships to enable asset-light growth locally and to export products to support other regions.</w:t>
      </w:r>
    </w:p>
    <w:p>
      <w:pPr>
        <w:pStyle w:val="TextBody"/>
        <w:bidi w:val="0"/>
        <w:spacing w:lineRule="auto" w:line="288" w:before="0" w:after="240"/>
        <w:jc w:val="left"/>
        <w:rPr>
          <w:rFonts w:ascii="Helvetica;sans-serif" w:hAnsi="Helvetica;sans-serif"/>
          <w:b w:val="false"/>
          <w:color w:val="143A84"/>
          <w:sz w:val="20"/>
        </w:rPr>
      </w:pPr>
      <w:r>
        <w:rPr>
          <w:rFonts w:ascii="Helvetica;sans-serif" w:hAnsi="Helvetica;sans-serif"/>
          <w:b w:val="false"/>
          <w:color w:val="143A84"/>
          <w:sz w:val="20"/>
        </w:rPr>
        <w:t>FaSTLAne 2030 Financial Targets</w:t>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The Company has defined financial objectives aimed at supporting long</w:t>
        <w:noBreakHyphen/>
        <w:t>term profitable growth, value creation and financial flexibility. These include:</w:t>
      </w:r>
    </w:p>
    <w:p>
      <w:pPr>
        <w:pStyle w:val="TextBody"/>
        <w:bidi w:val="0"/>
        <w:spacing w:lineRule="auto" w:line="343" w:before="0" w:after="240"/>
        <w:ind w:left="0" w:right="0" w:hanging="173"/>
        <w:jc w:val="left"/>
        <w:rPr/>
      </w:pPr>
      <w:r>
        <w:rPr>
          <w:color w:val="143A84"/>
        </w:rPr>
        <w:t>•</w:t>
      </w:r>
      <w:r>
        <w:rPr>
          <w:rFonts w:ascii="Helvetica Light;sans-serif" w:hAnsi="Helvetica Light;sans-serif"/>
          <w:b w:val="false"/>
          <w:color w:val="000000"/>
          <w:sz w:val="20"/>
        </w:rPr>
        <w:t>Target Net revenue growth, from €154 billion in 2025 to €175 billion by 2028 and €190 billion by 2030;</w:t>
      </w:r>
    </w:p>
    <w:p>
      <w:pPr>
        <w:pStyle w:val="TextBody"/>
        <w:bidi w:val="0"/>
        <w:spacing w:lineRule="auto" w:line="343" w:before="0" w:after="240"/>
        <w:ind w:left="0" w:right="0" w:hanging="173"/>
        <w:jc w:val="left"/>
        <w:rPr/>
      </w:pPr>
      <w:r>
        <w:rPr>
          <w:color w:val="143A84"/>
        </w:rPr>
        <w:t>•</w:t>
      </w:r>
      <w:r>
        <w:rPr>
          <w:rFonts w:ascii="Helvetica Light;sans-serif" w:hAnsi="Helvetica Light;sans-serif"/>
          <w:b w:val="false"/>
          <w:color w:val="000000"/>
          <w:sz w:val="20"/>
        </w:rPr>
        <w:t>AOI margin of 5 percent by 2028 and 7 percent by 2030, with improvements expected in the near term;</w:t>
      </w:r>
    </w:p>
    <w:p>
      <w:pPr>
        <w:pStyle w:val="TextBody"/>
        <w:bidi w:val="0"/>
        <w:spacing w:lineRule="auto" w:line="343" w:before="0" w:after="240"/>
        <w:ind w:left="0" w:right="0" w:hanging="173"/>
        <w:jc w:val="left"/>
        <w:rPr/>
      </w:pPr>
      <w:r>
        <w:rPr>
          <w:color w:val="143A84"/>
        </w:rPr>
        <w:t>•</w:t>
      </w:r>
      <w:r>
        <w:rPr>
          <w:rFonts w:ascii="Helvetica Light;sans-serif" w:hAnsi="Helvetica Light;sans-serif"/>
          <w:b w:val="false"/>
          <w:color w:val="000000"/>
          <w:sz w:val="20"/>
        </w:rPr>
        <w:t>Positive Industrial free cashflows expected by 2027, increasing to €3 billion by 2028 and increasing to €6 billion by 2030; and</w:t>
      </w:r>
    </w:p>
    <w:p>
      <w:pPr>
        <w:pStyle w:val="TextBody"/>
        <w:bidi w:val="0"/>
        <w:spacing w:lineRule="auto" w:line="343" w:before="0" w:after="240"/>
        <w:ind w:left="0" w:right="0" w:hanging="173"/>
        <w:jc w:val="left"/>
        <w:rPr/>
      </w:pPr>
      <w:r>
        <w:rPr>
          <w:color w:val="143A84"/>
        </w:rPr>
        <w:t>•</w:t>
      </w:r>
      <w:r>
        <w:rPr>
          <w:rFonts w:ascii="Helvetica Light;sans-serif" w:hAnsi="Helvetica Light;sans-serif"/>
          <w:b w:val="false"/>
          <w:color w:val="000000"/>
          <w:sz w:val="20"/>
        </w:rPr>
        <w:t>A cost reduction run-rate of €6 billion by 2028 compared with a 2025 baseline, with further improvements through 2030 under the Value Creation Program.</w:t>
      </w:r>
    </w:p>
    <w:p>
      <w:pPr>
        <w:pStyle w:val="TextBody"/>
        <w:bidi w:val="0"/>
        <w:spacing w:before="0" w:after="240"/>
        <w:ind w:left="0" w:right="0" w:firstLine="187"/>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503555"/>
                <wp:effectExtent l="0" t="0" r="0" b="0"/>
                <wp:wrapNone/>
                <wp:docPr id="70" name="Frame55"/>
                <a:graphic xmlns:a="http://schemas.openxmlformats.org/drawingml/2006/main">
                  <a:graphicData uri="http://schemas.microsoft.com/office/word/2010/wordprocessingShape">
                    <wps:wsp>
                      <wps:cNvSpPr txBox="1"/>
                      <wps:spPr>
                        <a:xfrm>
                          <a:off x="0" y="0"/>
                          <a:ext cx="6480175" cy="5035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51</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51</w:t>
                      </w:r>
                    </w:p>
                    <w:p>
                      <w:pPr>
                        <w:pStyle w:val="TextBody"/>
                        <w:bidi w:val="0"/>
                        <w:spacing w:before="0" w:after="24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88" w:before="0" w:after="240"/>
        <w:jc w:val="left"/>
        <w:rPr>
          <w:rFonts w:ascii="Helvetica;sans-serif" w:hAnsi="Helvetica;sans-serif"/>
          <w:b/>
          <w:color w:val="143A84"/>
          <w:sz w:val="20"/>
        </w:rPr>
      </w:pPr>
      <w:r>
        <w:rPr>
          <w:rFonts w:ascii="Helvetica;sans-serif" w:hAnsi="Helvetica;sans-serif"/>
          <w:b/>
          <w:color w:val="143A84"/>
          <w:sz w:val="20"/>
        </w:rPr>
        <w:t xml:space="preserve">Risks and uncertainties </w:t>
      </w:r>
    </w:p>
    <w:p>
      <w:pPr>
        <w:pStyle w:val="TextBody"/>
        <w:bidi w:val="0"/>
        <w:spacing w:lineRule="auto" w:line="343" w:before="0" w:after="240"/>
        <w:jc w:val="left"/>
        <w:rPr/>
      </w:pPr>
      <w:r>
        <w:rPr>
          <w:rFonts w:ascii="Helvetica Light;sans-serif" w:hAnsi="Helvetica Light;sans-serif"/>
          <w:b w:val="false"/>
          <w:color w:val="000000"/>
          <w:sz w:val="20"/>
        </w:rPr>
        <w:t xml:space="preserve">Except as noted below, the Company believes that the risks and uncertainties identified for the six months ended June 30, 2026 are in line with the main risks and uncertainties that were identified and discussed in the section </w:t>
      </w:r>
      <w:r>
        <w:rPr>
          <w:rFonts w:ascii="Helvetica Light;sans-serif" w:hAnsi="Helvetica Light;sans-serif"/>
          <w:b w:val="false"/>
          <w:i/>
          <w:color w:val="000000"/>
          <w:sz w:val="20"/>
        </w:rPr>
        <w:t>Risk Management-Risk Factors</w:t>
      </w:r>
      <w:r>
        <w:rPr>
          <w:color w:val="000000"/>
        </w:rPr>
        <w:t xml:space="preserve"> </w:t>
      </w:r>
      <w:r>
        <w:rPr>
          <w:rFonts w:ascii="Helvetica Light;sans-serif" w:hAnsi="Helvetica Light;sans-serif"/>
          <w:b w:val="false"/>
          <w:color w:val="000000"/>
          <w:sz w:val="20"/>
        </w:rPr>
        <w:t>in the Company's Annual Report and Form 20-F for the year ended December 31, 2025 filed with the SEC and AFM on February 26, 2026. Those risks and uncertainties should be read in conjunction with this Interim Report.</w:t>
      </w:r>
    </w:p>
    <w:p>
      <w:pPr>
        <w:pStyle w:val="TextBody"/>
        <w:bidi w:val="0"/>
        <w:spacing w:lineRule="auto" w:line="343" w:before="0" w:after="240"/>
        <w:jc w:val="left"/>
        <w:rPr/>
      </w:pPr>
      <w:r>
        <w:rPr>
          <w:rFonts w:ascii="Helvetica Light;sans-serif" w:hAnsi="Helvetica Light;sans-serif"/>
          <w:b w:val="false"/>
          <w:color w:val="000000"/>
          <w:sz w:val="20"/>
        </w:rPr>
        <w:t>The fifth paragraph of the subsection “</w:t>
      </w:r>
      <w:r>
        <w:rPr>
          <w:rFonts w:ascii="Helvetica Light;sans-serif" w:hAnsi="Helvetica Light;sans-serif"/>
          <w:b w:val="false"/>
          <w:i/>
          <w:color w:val="000000"/>
          <w:sz w:val="20"/>
        </w:rPr>
        <w:t>Risks Related to Our Business, Strategy and Operations - Our business may be adversely affected by global financial markets, general economic conditions, enforcement of government incentive programs, geopolitical volatility and protectionist trade policies, as well as other macro developments over which we have no control.</w:t>
      </w:r>
      <w:r>
        <w:rPr>
          <w:color w:val="000000"/>
        </w:rPr>
        <w:t xml:space="preserve">” </w:t>
      </w:r>
      <w:r>
        <w:rPr>
          <w:rFonts w:ascii="Helvetica Light;sans-serif" w:hAnsi="Helvetica Light;sans-serif"/>
          <w:b w:val="false"/>
          <w:color w:val="000000"/>
          <w:sz w:val="20"/>
        </w:rPr>
        <w:t xml:space="preserve">is deleted and replaced in its entirety with the following: </w:t>
      </w:r>
    </w:p>
    <w:p>
      <w:pPr>
        <w:pStyle w:val="TextBody"/>
        <w:bidi w:val="0"/>
        <w:spacing w:lineRule="auto" w:line="343" w:before="0" w:after="240"/>
        <w:jc w:val="left"/>
        <w:rPr>
          <w:color w:val="000000"/>
        </w:rPr>
      </w:pPr>
      <w:r>
        <w:rPr>
          <w:color w:val="000000"/>
        </w:rPr>
        <w:t>“</w:t>
      </w:r>
      <w:r>
        <w:rPr>
          <w:rFonts w:ascii="Helvetica Light;sans-serif" w:hAnsi="Helvetica Light;sans-serif"/>
          <w:b w:val="false"/>
          <w:color w:val="000000"/>
          <w:sz w:val="20"/>
        </w:rPr>
        <w:t>We are subject to risks relating to geopolitical volatility and instability. For example, as a result of ongoing global conflicts, including the conflict in Iran, we may be subject to supply chain disruptions, energy and logistics cost inflation or other adverse impacts from increased global instability”.</w:t>
      </w:r>
    </w:p>
    <w:p>
      <w:pPr>
        <w:pStyle w:val="TextBody"/>
        <w:bidi w:val="0"/>
        <w:spacing w:lineRule="auto" w:line="343" w:before="0" w:after="240"/>
        <w:jc w:val="left"/>
        <w:rPr/>
      </w:pPr>
      <w:r>
        <w:rPr>
          <w:rFonts w:ascii="Helvetica Light;sans-serif" w:hAnsi="Helvetica Light;sans-serif"/>
          <w:b w:val="false"/>
          <w:color w:val="000000"/>
          <w:sz w:val="20"/>
        </w:rPr>
        <w:t>The final paragraph of the subsection “</w:t>
      </w:r>
      <w:r>
        <w:rPr>
          <w:rFonts w:ascii="Helvetica Light;sans-serif" w:hAnsi="Helvetica Light;sans-serif"/>
          <w:b w:val="false"/>
          <w:i/>
          <w:color w:val="000000"/>
          <w:sz w:val="20"/>
        </w:rPr>
        <w:t>Risks Related to the Industry in which We Operate - We face risks associated with increases in costs, disruptions of supply or shortages of raw materials, parts, components and systems used in our vehicles</w:t>
      </w:r>
      <w:r>
        <w:rPr>
          <w:color w:val="000000"/>
        </w:rPr>
        <w:t xml:space="preserve">” </w:t>
      </w:r>
      <w:r>
        <w:rPr>
          <w:rFonts w:ascii="Helvetica Light;sans-serif" w:hAnsi="Helvetica Light;sans-serif"/>
          <w:b w:val="false"/>
          <w:color w:val="000000"/>
          <w:sz w:val="20"/>
        </w:rPr>
        <w:t xml:space="preserve">is deleted and replaced in its entirety with the following: </w:t>
      </w:r>
    </w:p>
    <w:p>
      <w:pPr>
        <w:pStyle w:val="TextBody"/>
        <w:bidi w:val="0"/>
        <w:spacing w:lineRule="auto" w:line="343" w:before="0" w:after="240"/>
        <w:jc w:val="left"/>
        <w:rPr>
          <w:color w:val="000000"/>
        </w:rPr>
      </w:pPr>
      <w:r>
        <w:rPr>
          <w:color w:val="000000"/>
        </w:rPr>
        <w:t>“</w:t>
      </w:r>
      <w:r>
        <w:rPr>
          <w:rFonts w:ascii="Helvetica Light;sans-serif" w:hAnsi="Helvetica Light;sans-serif"/>
          <w:b w:val="false"/>
          <w:color w:val="000000"/>
          <w:sz w:val="20"/>
        </w:rPr>
        <w:t>Any interruption in the supply or any increase in the cost of raw materials, parts, components and systems could negatively impact our ability to achieve our vehicle shipment objectives and profitability and delay commercial launches. The potential impact of an interruption is particularly high in instances where a part or component is sourced exclusively from a single supplier. Long-term interruptions in the supply of raw materials, parts, components and systems may result in a material impact on vehicle production, vehicle shipment objectives, and profitability. Cost increases which cannot be recouped through increases in vehicle prices, or countered by productivity gains, could have a material adverse effect on our business, financial condition and results of operations. This risk can increase during periods of economic uncertainty such as the crisis that resulted from the outbreak of COVID-19, as a result of regional economic disruptions such as that experienced in South America due to the deterioration in Argentina’s economic condition, the Russia-Ukraine conflict beginning in 2022, the increasing trade protectionism and barriers experienced in 2025, or the Iran conflict in 2026”.    </w:t>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503555"/>
                <wp:effectExtent l="0" t="0" r="0" b="0"/>
                <wp:wrapNone/>
                <wp:docPr id="71" name="Frame56"/>
                <a:graphic xmlns:a="http://schemas.openxmlformats.org/drawingml/2006/main">
                  <a:graphicData uri="http://schemas.microsoft.com/office/word/2010/wordprocessingShape">
                    <wps:wsp>
                      <wps:cNvSpPr txBox="1"/>
                      <wps:spPr>
                        <a:xfrm>
                          <a:off x="0" y="0"/>
                          <a:ext cx="6480175" cy="5035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52</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52</w:t>
                      </w:r>
                    </w:p>
                    <w:p>
                      <w:pPr>
                        <w:pStyle w:val="TextBody"/>
                        <w:bidi w:val="0"/>
                        <w:spacing w:before="0" w:after="24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88" w:before="0" w:after="240"/>
        <w:jc w:val="left"/>
        <w:rPr>
          <w:rFonts w:ascii="Helvetica Light;sans-serif" w:hAnsi="Helvetica Light;sans-serif"/>
          <w:b w:val="false"/>
          <w:color w:val="143A84"/>
          <w:sz w:val="36"/>
        </w:rPr>
      </w:pPr>
      <w:r>
        <w:rPr>
          <w:rFonts w:ascii="Helvetica Light;sans-serif" w:hAnsi="Helvetica Light;sans-serif"/>
          <w:b w:val="false"/>
          <w:color w:val="143A84"/>
          <w:sz w:val="36"/>
        </w:rPr>
        <w:t>GUIDANCE AND OUTLOOK</w:t>
      </w:r>
    </w:p>
    <w:p>
      <w:pPr>
        <w:pStyle w:val="TextBody"/>
        <w:bidi w:val="0"/>
        <w:spacing w:lineRule="auto" w:line="288" w:before="0" w:after="240"/>
        <w:jc w:val="left"/>
        <w:rPr>
          <w:rFonts w:ascii="Helvetica Light;sans-serif" w:hAnsi="Helvetica Light;sans-serif"/>
          <w:b w:val="false"/>
          <w:color w:val="143A84"/>
          <w:sz w:val="28"/>
        </w:rPr>
      </w:pPr>
      <w:r>
        <w:rPr>
          <w:rFonts w:ascii="Helvetica Light;sans-serif" w:hAnsi="Helvetica Light;sans-serif"/>
          <w:b w:val="false"/>
          <w:color w:val="143A84"/>
          <w:sz w:val="28"/>
        </w:rPr>
        <w:t xml:space="preserve">FULL YEAR 2026 STELLANTIS GUIDANCE </w:t>
      </w:r>
    </w:p>
    <w:tbl>
      <w:tblPr>
        <w:tblW w:w="7346" w:type="dxa"/>
        <w:jc w:val="left"/>
        <w:tblInd w:w="0" w:type="dxa"/>
        <w:tblLayout w:type="fixed"/>
        <w:tblCellMar>
          <w:top w:w="28" w:type="dxa"/>
          <w:left w:w="28" w:type="dxa"/>
          <w:bottom w:w="28" w:type="dxa"/>
          <w:right w:w="28" w:type="dxa"/>
        </w:tblCellMar>
      </w:tblPr>
      <w:tblGrid>
        <w:gridCol w:w="1057"/>
        <w:gridCol w:w="930"/>
        <w:gridCol w:w="937"/>
        <w:gridCol w:w="109"/>
        <w:gridCol w:w="109"/>
        <w:gridCol w:w="109"/>
        <w:gridCol w:w="1197"/>
        <w:gridCol w:w="1197"/>
        <w:gridCol w:w="1701"/>
      </w:tblGrid>
      <w:tr>
        <w:trPr/>
        <w:tc>
          <w:tcPr>
            <w:tcW w:w="1057"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701"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 xml:space="preserve">Net revenue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Mid-single digit percent increase</w:t>
            </w:r>
          </w:p>
        </w:tc>
      </w:tr>
      <w:tr>
        <w:trPr/>
        <w:tc>
          <w:tcPr>
            <w:tcW w:w="2924"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Adjusted operating income margin</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Low-single digit percent</w:t>
            </w:r>
          </w:p>
        </w:tc>
      </w:tr>
      <w:tr>
        <w:trPr/>
        <w:tc>
          <w:tcPr>
            <w:tcW w:w="2924"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Industrial free cash flows</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Improved year-over-year</w:t>
              <w:br/>
              <w:t>Expect positive Industrial free cash flows in 2027</w:t>
            </w:r>
          </w:p>
        </w:tc>
      </w:tr>
    </w:tbl>
    <w:p>
      <w:pPr>
        <w:pStyle w:val="TextBody"/>
        <w:bidi w:val="0"/>
        <w:spacing w:lineRule="auto" w:line="288" w:before="0" w:after="240"/>
        <w:jc w:val="left"/>
        <w:rPr>
          <w:rFonts w:ascii="Helvetica;sans-serif" w:hAnsi="Helvetica;sans-serif"/>
          <w:b/>
          <w:color w:val="143A84"/>
          <w:sz w:val="20"/>
        </w:rPr>
      </w:pPr>
      <w:r>
        <w:rPr>
          <w:rFonts w:ascii="Helvetica;sans-serif" w:hAnsi="Helvetica;sans-serif"/>
          <w:b/>
          <w:color w:val="143A84"/>
          <w:sz w:val="20"/>
        </w:rPr>
        <w:t>Net revenue:</w:t>
      </w:r>
    </w:p>
    <w:p>
      <w:pPr>
        <w:pStyle w:val="TextBody"/>
        <w:bidi w:val="0"/>
        <w:spacing w:lineRule="auto" w:line="343" w:before="0" w:after="120"/>
        <w:ind w:left="0" w:right="0" w:hanging="173"/>
        <w:jc w:val="left"/>
        <w:rPr/>
      </w:pPr>
      <w:r>
        <w:rPr>
          <w:color w:val="143A84"/>
        </w:rPr>
        <w:t>•</w:t>
      </w:r>
      <w:r>
        <w:rPr>
          <w:rFonts w:ascii="Helvetica Light;sans-serif" w:hAnsi="Helvetica Light;sans-serif"/>
          <w:b w:val="false"/>
          <w:color w:val="000000"/>
          <w:sz w:val="20"/>
        </w:rPr>
        <w:t>Reflects expanded product portfolio and expected volume recovery</w:t>
      </w:r>
    </w:p>
    <w:p>
      <w:pPr>
        <w:pStyle w:val="TextBody"/>
        <w:bidi w:val="0"/>
        <w:spacing w:lineRule="auto" w:line="288" w:before="0" w:after="240"/>
        <w:jc w:val="left"/>
        <w:rPr>
          <w:rFonts w:ascii="Helvetica;sans-serif" w:hAnsi="Helvetica;sans-serif"/>
          <w:b/>
          <w:color w:val="143A84"/>
          <w:sz w:val="20"/>
        </w:rPr>
      </w:pPr>
      <w:r>
        <w:rPr>
          <w:rFonts w:ascii="Helvetica;sans-serif" w:hAnsi="Helvetica;sans-serif"/>
          <w:b/>
          <w:color w:val="143A84"/>
          <w:sz w:val="20"/>
        </w:rPr>
        <w:t>AOI considerations:</w:t>
      </w:r>
    </w:p>
    <w:p>
      <w:pPr>
        <w:pStyle w:val="TextBody"/>
        <w:bidi w:val="0"/>
        <w:spacing w:lineRule="auto" w:line="343" w:before="0" w:after="120"/>
        <w:jc w:val="left"/>
        <w:rPr/>
      </w:pPr>
      <w:r>
        <w:rPr>
          <w:color w:val="143A84"/>
        </w:rPr>
        <w:t>•</w:t>
      </w:r>
      <w:r>
        <w:rPr>
          <w:color w:val="000000"/>
        </w:rPr>
        <w:t xml:space="preserve"> </w:t>
      </w:r>
      <w:r>
        <w:rPr>
          <w:rFonts w:ascii="Helvetica Light;sans-serif" w:hAnsi="Helvetica Light;sans-serif"/>
          <w:b w:val="false"/>
          <w:color w:val="000000"/>
          <w:sz w:val="20"/>
        </w:rPr>
        <w:t>Continued focus on mitigating geopolitical, trade, inflationary, and commodity cost pressures</w:t>
      </w:r>
    </w:p>
    <w:p>
      <w:pPr>
        <w:pStyle w:val="TextBody"/>
        <w:bidi w:val="0"/>
        <w:spacing w:lineRule="auto" w:line="343" w:before="0" w:after="120"/>
        <w:ind w:left="0" w:right="0" w:hanging="180"/>
        <w:jc w:val="left"/>
        <w:rPr/>
      </w:pPr>
      <w:r>
        <w:rPr>
          <w:color w:val="143A84"/>
        </w:rPr>
        <w:t>•</w:t>
      </w:r>
      <w:r>
        <w:rPr>
          <w:color w:val="000000"/>
        </w:rPr>
        <w:t xml:space="preserve"> </w:t>
      </w:r>
      <w:r>
        <w:rPr>
          <w:rFonts w:ascii="Helvetica Light;sans-serif" w:hAnsi="Helvetica Light;sans-serif"/>
          <w:b w:val="false"/>
          <w:color w:val="000000"/>
          <w:sz w:val="20"/>
        </w:rPr>
        <w:t>Net tariff headwind now estimated at €1.0 billion to €1.2 billion, H1 2026 net tariff costs were €0.3 billion, including IEEPA refund of €0.4 billion</w:t>
      </w:r>
    </w:p>
    <w:p>
      <w:pPr>
        <w:pStyle w:val="TextBody"/>
        <w:bidi w:val="0"/>
        <w:spacing w:lineRule="auto" w:line="288" w:before="0" w:after="240"/>
        <w:jc w:val="left"/>
        <w:rPr>
          <w:rFonts w:ascii="Helvetica;sans-serif" w:hAnsi="Helvetica;sans-serif"/>
          <w:b/>
          <w:color w:val="143A84"/>
          <w:sz w:val="20"/>
        </w:rPr>
      </w:pPr>
      <w:r>
        <w:rPr>
          <w:rFonts w:ascii="Helvetica;sans-serif" w:hAnsi="Helvetica;sans-serif"/>
          <w:b/>
          <w:color w:val="143A84"/>
          <w:sz w:val="20"/>
        </w:rPr>
        <w:t>IFCF Considerations:</w:t>
      </w:r>
    </w:p>
    <w:p>
      <w:pPr>
        <w:pStyle w:val="TextBody"/>
        <w:bidi w:val="0"/>
        <w:spacing w:lineRule="auto" w:line="343" w:before="0" w:after="120"/>
        <w:ind w:left="0" w:right="0" w:hanging="180"/>
        <w:jc w:val="left"/>
        <w:rPr/>
      </w:pPr>
      <w:r>
        <w:rPr>
          <w:color w:val="143A84"/>
        </w:rPr>
        <w:t>•</w:t>
      </w:r>
      <w:r>
        <w:rPr>
          <w:color w:val="000000"/>
        </w:rPr>
        <w:t xml:space="preserve"> </w:t>
      </w:r>
      <w:r>
        <w:rPr>
          <w:rFonts w:ascii="Helvetica Light;sans-serif" w:hAnsi="Helvetica Light;sans-serif"/>
          <w:b w:val="false"/>
          <w:color w:val="000000"/>
          <w:sz w:val="20"/>
        </w:rPr>
        <w:t>Includes approximately €2 billion of cash payments related to H2 2025 charges, of which, approximately €0.9 billion already paid in H1 2026</w:t>
      </w:r>
    </w:p>
    <w:p>
      <w:pPr>
        <w:pStyle w:val="TextBody"/>
        <w:bidi w:val="0"/>
        <w:spacing w:lineRule="auto" w:line="343" w:before="0" w:after="120"/>
        <w:ind w:left="0" w:right="0" w:hanging="173"/>
        <w:jc w:val="left"/>
        <w:rPr/>
      </w:pPr>
      <w:r>
        <w:rPr>
          <w:color w:val="143A84"/>
        </w:rPr>
        <w:t>•</w:t>
      </w:r>
      <w:r>
        <w:rPr>
          <w:rFonts w:ascii="Helvetica Light;sans-serif" w:hAnsi="Helvetica Light;sans-serif"/>
          <w:b w:val="false"/>
          <w:color w:val="000000"/>
          <w:sz w:val="20"/>
        </w:rPr>
        <w:t>Full year 2026 capital expenditures and research and development estimated at 6.5 to 7 percent of Net revenues, consistent with FaSTLAne 2030 investment plan for this year</w:t>
      </w:r>
    </w:p>
    <w:p>
      <w:pPr>
        <w:pStyle w:val="TextBody"/>
        <w:bidi w:val="0"/>
        <w:spacing w:lineRule="auto" w:line="288" w:before="0" w:after="240"/>
        <w:jc w:val="left"/>
        <w:rPr>
          <w:rFonts w:ascii="Helvetica;sans-serif" w:hAnsi="Helvetica;sans-serif"/>
          <w:b/>
          <w:color w:val="143A84"/>
          <w:sz w:val="20"/>
        </w:rPr>
      </w:pPr>
      <w:r>
        <w:rPr>
          <w:rFonts w:ascii="Helvetica;sans-serif" w:hAnsi="Helvetica;sans-serif"/>
          <w:b/>
          <w:color w:val="143A84"/>
          <w:sz w:val="20"/>
        </w:rPr>
        <w:t>H2 2026 Dynamics:</w:t>
      </w:r>
    </w:p>
    <w:p>
      <w:pPr>
        <w:pStyle w:val="TextBody"/>
        <w:bidi w:val="0"/>
        <w:spacing w:lineRule="auto" w:line="343" w:before="0" w:after="120"/>
        <w:ind w:left="0" w:right="0" w:hanging="173"/>
        <w:jc w:val="left"/>
        <w:rPr/>
      </w:pPr>
      <w:r>
        <w:rPr>
          <w:color w:val="143A84"/>
        </w:rPr>
        <w:t>•</w:t>
      </w:r>
      <w:r>
        <w:rPr>
          <w:rFonts w:ascii="Helvetica Light;sans-serif" w:hAnsi="Helvetica Light;sans-serif"/>
          <w:b w:val="false"/>
          <w:color w:val="000000"/>
          <w:sz w:val="20"/>
        </w:rPr>
        <w:t>Performance expected to be weighted toward Q4, following Q3 summer production shutdown and continued operational performance improvements</w:t>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503555"/>
                <wp:effectExtent l="0" t="0" r="0" b="0"/>
                <wp:wrapNone/>
                <wp:docPr id="72" name="Frame57"/>
                <a:graphic xmlns:a="http://schemas.openxmlformats.org/drawingml/2006/main">
                  <a:graphicData uri="http://schemas.microsoft.com/office/word/2010/wordprocessingShape">
                    <wps:wsp>
                      <wps:cNvSpPr txBox="1"/>
                      <wps:spPr>
                        <a:xfrm>
                          <a:off x="0" y="0"/>
                          <a:ext cx="6480175" cy="5035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53</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53</w:t>
                      </w:r>
                    </w:p>
                    <w:p>
                      <w:pPr>
                        <w:pStyle w:val="TextBody"/>
                        <w:bidi w:val="0"/>
                        <w:spacing w:before="0" w:after="24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88" w:before="0" w:after="240"/>
        <w:jc w:val="left"/>
        <w:rPr>
          <w:rFonts w:ascii="Helvetica Light;sans-serif" w:hAnsi="Helvetica Light;sans-serif"/>
          <w:b w:val="false"/>
          <w:color w:val="143A84"/>
          <w:sz w:val="28"/>
        </w:rPr>
      </w:pPr>
      <w:r>
        <w:rPr>
          <w:rFonts w:ascii="Helvetica Light;sans-serif" w:hAnsi="Helvetica Light;sans-serif"/>
          <w:b w:val="false"/>
          <w:color w:val="143A84"/>
          <w:sz w:val="28"/>
        </w:rPr>
        <w:t>INTERIM CONDENSED CONSOLIDATED FINANCIAL STATEMENTS AND NOTES AS OF AND FOR THE THREE AND SIX MONTHS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503555"/>
                <wp:effectExtent l="0" t="0" r="0" b="0"/>
                <wp:wrapNone/>
                <wp:docPr id="73" name="Frame58"/>
                <a:graphic xmlns:a="http://schemas.openxmlformats.org/drawingml/2006/main">
                  <a:graphicData uri="http://schemas.microsoft.com/office/word/2010/wordprocessingShape">
                    <wps:wsp>
                      <wps:cNvSpPr txBox="1"/>
                      <wps:spPr>
                        <a:xfrm>
                          <a:off x="0" y="0"/>
                          <a:ext cx="6480175" cy="5035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54</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54</w:t>
                      </w:r>
                    </w:p>
                    <w:p>
                      <w:pPr>
                        <w:pStyle w:val="TextBody"/>
                        <w:bidi w:val="0"/>
                        <w:spacing w:before="0" w:after="24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88" w:before="0" w:after="40"/>
        <w:jc w:val="left"/>
        <w:rPr>
          <w:rFonts w:ascii="Helvetica;sans-serif" w:hAnsi="Helvetica;sans-serif"/>
          <w:b/>
          <w:color w:val="143A84"/>
          <w:sz w:val="18"/>
        </w:rPr>
      </w:pPr>
      <w:r>
        <w:rPr>
          <w:rFonts w:ascii="Helvetica;sans-serif" w:hAnsi="Helvetica;sans-serif"/>
          <w:b/>
          <w:color w:val="143A84"/>
          <w:sz w:val="18"/>
        </w:rPr>
        <w:t>STELLANTIS N.V. AND SUBSIDIARIES</w:t>
      </w:r>
    </w:p>
    <w:p>
      <w:pPr>
        <w:pStyle w:val="TextBody"/>
        <w:bidi w:val="0"/>
        <w:spacing w:lineRule="auto" w:line="288" w:before="0" w:after="40"/>
        <w:jc w:val="left"/>
        <w:rPr>
          <w:rFonts w:ascii="Helvetica;sans-serif" w:hAnsi="Helvetica;sans-serif"/>
          <w:b/>
          <w:color w:val="143A84"/>
          <w:sz w:val="18"/>
        </w:rPr>
      </w:pPr>
      <w:r>
        <w:rPr>
          <w:rFonts w:ascii="Helvetica;sans-serif" w:hAnsi="Helvetica;sans-serif"/>
          <w:b/>
          <w:color w:val="143A84"/>
          <w:sz w:val="18"/>
        </w:rPr>
        <w:t xml:space="preserve">INTERIM CONDENSED CONSOLIDATED INCOME STATEMENT </w:t>
      </w:r>
    </w:p>
    <w:p>
      <w:pPr>
        <w:pStyle w:val="TextBody"/>
        <w:bidi w:val="0"/>
        <w:spacing w:lineRule="auto" w:line="288" w:before="0" w:after="40"/>
        <w:jc w:val="left"/>
        <w:rPr>
          <w:rFonts w:ascii="Helvetica;sans-serif" w:hAnsi="Helvetica;sans-serif"/>
          <w:b/>
          <w:color w:val="143A84"/>
          <w:sz w:val="18"/>
        </w:rPr>
      </w:pPr>
      <w:r>
        <w:rPr>
          <w:rFonts w:ascii="Helvetica;sans-serif" w:hAnsi="Helvetica;sans-serif"/>
          <w:b/>
          <w:color w:val="143A84"/>
          <w:sz w:val="18"/>
        </w:rPr>
        <w:t>(Unaudited)</w:t>
      </w:r>
    </w:p>
    <w:tbl>
      <w:tblPr>
        <w:tblW w:w="10205" w:type="dxa"/>
        <w:jc w:val="left"/>
        <w:tblInd w:w="0" w:type="dxa"/>
        <w:tblLayout w:type="fixed"/>
        <w:tblCellMar>
          <w:top w:w="28" w:type="dxa"/>
          <w:left w:w="28" w:type="dxa"/>
          <w:bottom w:w="28" w:type="dxa"/>
          <w:right w:w="28" w:type="dxa"/>
        </w:tblCellMar>
      </w:tblPr>
      <w:tblGrid>
        <w:gridCol w:w="1387"/>
        <w:gridCol w:w="1098"/>
        <w:gridCol w:w="1106"/>
        <w:gridCol w:w="170"/>
        <w:gridCol w:w="170"/>
        <w:gridCol w:w="171"/>
        <w:gridCol w:w="109"/>
        <w:gridCol w:w="109"/>
        <w:gridCol w:w="109"/>
        <w:gridCol w:w="503"/>
        <w:gridCol w:w="273"/>
        <w:gridCol w:w="248"/>
        <w:gridCol w:w="248"/>
        <w:gridCol w:w="248"/>
        <w:gridCol w:w="248"/>
        <w:gridCol w:w="503"/>
        <w:gridCol w:w="273"/>
        <w:gridCol w:w="248"/>
        <w:gridCol w:w="109"/>
        <w:gridCol w:w="109"/>
        <w:gridCol w:w="109"/>
        <w:gridCol w:w="447"/>
        <w:gridCol w:w="274"/>
        <w:gridCol w:w="223"/>
        <w:gridCol w:w="223"/>
        <w:gridCol w:w="223"/>
        <w:gridCol w:w="223"/>
        <w:gridCol w:w="447"/>
        <w:gridCol w:w="274"/>
        <w:gridCol w:w="323"/>
      </w:tblGrid>
      <w:tr>
        <w:trPr/>
        <w:tc>
          <w:tcPr>
            <w:tcW w:w="1387"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3591" w:type="dxa"/>
            <w:gridSpan w:val="3"/>
            <w:tcBorders>
              <w:bottom w:val="single" w:sz="2"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2" w:type="dxa"/>
            <w:gridSpan w:val="9"/>
            <w:tcBorders>
              <w:bottom w:val="single" w:sz="2" w:space="0" w:color="8E939F"/>
            </w:tcBorders>
            <w:tcMar>
              <w:top w:w="0" w:type="dxa"/>
              <w:left w:w="0" w:type="dxa"/>
              <w:bottom w:w="3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Three months ended June 30,</w:t>
            </w:r>
          </w:p>
        </w:tc>
        <w:tc>
          <w:tcPr>
            <w:tcW w:w="327" w:type="dxa"/>
            <w:gridSpan w:val="3"/>
            <w:tcBorders>
              <w:bottom w:val="single" w:sz="2" w:space="0" w:color="8E939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657" w:type="dxa"/>
            <w:gridSpan w:val="9"/>
            <w:tcBorders>
              <w:bottom w:val="single" w:sz="2" w:space="0" w:color="8E939F"/>
            </w:tcBorders>
            <w:tcMar>
              <w:top w:w="0" w:type="dxa"/>
              <w:left w:w="0" w:type="dxa"/>
              <w:bottom w:w="3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Six months ended June 30,</w:t>
            </w:r>
          </w:p>
        </w:tc>
      </w:tr>
      <w:tr>
        <w:trPr/>
        <w:tc>
          <w:tcPr>
            <w:tcW w:w="3591" w:type="dxa"/>
            <w:gridSpan w:val="3"/>
            <w:tcBorders>
              <w:top w:val="single" w:sz="2" w:space="0" w:color="FFFFFF"/>
            </w:tcBorders>
            <w:tcMar>
              <w:top w:w="52" w:type="dxa"/>
              <w:left w:w="0" w:type="dxa"/>
              <w:bottom w:w="0" w:type="dxa"/>
              <w:right w:w="0" w:type="dxa"/>
            </w:tcMar>
            <w:vAlign w:val="center"/>
          </w:tcPr>
          <w:p>
            <w:pPr>
              <w:pStyle w:val="TableContents"/>
              <w:bidi w:val="0"/>
              <w:spacing w:lineRule="auto" w:line="288" w:before="0" w:after="240"/>
              <w:jc w:val="left"/>
              <w:rPr>
                <w:rFonts w:ascii="Helvetica;sans-serif" w:hAnsi="Helvetica;sans-serif"/>
                <w:b w:val="false"/>
                <w:i/>
                <w:color w:val="000000"/>
                <w:sz w:val="16"/>
              </w:rPr>
            </w:pPr>
            <w:r>
              <w:rPr>
                <w:rFonts w:ascii="Helvetica;sans-serif" w:hAnsi="Helvetica;sans-serif"/>
                <w:b w:val="false"/>
                <w:i/>
                <w:color w:val="000000"/>
                <w:sz w:val="16"/>
              </w:rPr>
              <w:t>(€ million, except per share amounts)</w:t>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Note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2026</w:t>
            </w:r>
          </w:p>
        </w:tc>
        <w:tc>
          <w:tcPr>
            <w:tcW w:w="744"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2025</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2026</w:t>
            </w:r>
          </w:p>
        </w:tc>
        <w:tc>
          <w:tcPr>
            <w:tcW w:w="669"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2025</w:t>
            </w:r>
          </w:p>
        </w:tc>
      </w:tr>
      <w:tr>
        <w:trPr/>
        <w:tc>
          <w:tcPr>
            <w:tcW w:w="3591" w:type="dxa"/>
            <w:gridSpan w:val="3"/>
            <w:tcBorders>
              <w:top w:val="single" w:sz="2" w:space="0" w:color="143A84"/>
            </w:tcBorders>
            <w:tcMar>
              <w:top w:w="52" w:type="dxa"/>
              <w:left w:w="0" w:type="dxa"/>
              <w:bottom w:w="0" w:type="dxa"/>
              <w:right w:w="0" w:type="dxa"/>
            </w:tcMar>
            <w:vAlign w:val="center"/>
          </w:tcPr>
          <w:p>
            <w:pPr>
              <w:pStyle w:val="TableContents"/>
              <w:bidi w:val="0"/>
              <w:spacing w:lineRule="auto" w:line="288" w:before="0" w:after="0"/>
              <w:jc w:val="left"/>
              <w:rPr>
                <w:rFonts w:ascii="Helvetica;sans-serif" w:hAnsi="Helvetica;sans-serif"/>
                <w:b w:val="false"/>
                <w:color w:val="000000"/>
                <w:sz w:val="18"/>
              </w:rPr>
            </w:pPr>
            <w:r>
              <w:rPr>
                <w:rFonts w:ascii="Helvetica;sans-serif" w:hAnsi="Helvetica;sans-serif"/>
                <w:b w:val="false"/>
                <w:color w:val="000000"/>
                <w:sz w:val="18"/>
              </w:rPr>
              <w:t>Net revenues</w:t>
            </w:r>
          </w:p>
        </w:tc>
        <w:tc>
          <w:tcPr>
            <w:tcW w:w="511" w:type="dxa"/>
            <w:gridSpan w:val="3"/>
            <w:tcBorders>
              <w:top w:val="single" w:sz="2" w:space="0" w:color="143A84"/>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8"/>
              </w:rPr>
            </w:pPr>
            <w:r>
              <w:rPr>
                <w:rFonts w:ascii="Helvetica;sans-serif" w:hAnsi="Helvetica;sans-serif"/>
                <w:b w:val="false"/>
                <w:color w:val="000000"/>
                <w:sz w:val="18"/>
              </w:rPr>
              <w:t>3</w:t>
            </w:r>
          </w:p>
        </w:tc>
        <w:tc>
          <w:tcPr>
            <w:tcW w:w="327"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top w:val="single" w:sz="2" w:space="0" w:color="143A84"/>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43,482 </w:t>
            </w:r>
          </w:p>
        </w:tc>
        <w:tc>
          <w:tcPr>
            <w:tcW w:w="248" w:type="dxa"/>
            <w:tcBorders>
              <w:top w:val="single" w:sz="2" w:space="0" w:color="143A84"/>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top w:val="single" w:sz="2" w:space="0" w:color="143A84"/>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38,448 </w:t>
            </w:r>
          </w:p>
        </w:tc>
        <w:tc>
          <w:tcPr>
            <w:tcW w:w="248" w:type="dxa"/>
            <w:tcBorders>
              <w:top w:val="single" w:sz="2" w:space="0" w:color="143A84"/>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143A84"/>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81,614 </w:t>
            </w:r>
          </w:p>
        </w:tc>
        <w:tc>
          <w:tcPr>
            <w:tcW w:w="223" w:type="dxa"/>
            <w:tcBorders>
              <w:top w:val="single" w:sz="2" w:space="0" w:color="143A84"/>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143A84"/>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74,261 </w:t>
            </w:r>
          </w:p>
        </w:tc>
        <w:tc>
          <w:tcPr>
            <w:tcW w:w="323" w:type="dxa"/>
            <w:tcBorders>
              <w:top w:val="single" w:sz="2" w:space="0" w:color="143A84"/>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1"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0"/>
              <w:jc w:val="left"/>
              <w:rPr>
                <w:rFonts w:ascii="Helvetica;sans-serif" w:hAnsi="Helvetica;sans-serif"/>
                <w:b w:val="false"/>
                <w:color w:val="000000"/>
                <w:sz w:val="18"/>
              </w:rPr>
            </w:pPr>
            <w:r>
              <w:rPr>
                <w:rFonts w:ascii="Helvetica;sans-serif" w:hAnsi="Helvetica;sans-serif"/>
                <w:b w:val="false"/>
                <w:color w:val="000000"/>
                <w:sz w:val="18"/>
              </w:rPr>
              <w:t>Cost of revenues</w:t>
            </w:r>
          </w:p>
        </w:tc>
        <w:tc>
          <w:tcPr>
            <w:tcW w:w="511"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38,708 </w:t>
            </w:r>
          </w:p>
        </w:tc>
        <w:tc>
          <w:tcPr>
            <w:tcW w:w="248"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36,079 </w:t>
            </w:r>
          </w:p>
        </w:tc>
        <w:tc>
          <w:tcPr>
            <w:tcW w:w="248"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72,411 </w:t>
            </w:r>
          </w:p>
        </w:tc>
        <w:tc>
          <w:tcPr>
            <w:tcW w:w="223"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68,267 </w:t>
            </w:r>
          </w:p>
        </w:tc>
        <w:tc>
          <w:tcPr>
            <w:tcW w:w="323"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1"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100" w:after="100"/>
              <w:jc w:val="left"/>
              <w:rPr>
                <w:rFonts w:ascii="Helvetica;sans-serif" w:hAnsi="Helvetica;sans-serif"/>
                <w:b w:val="false"/>
                <w:color w:val="000000"/>
                <w:sz w:val="18"/>
              </w:rPr>
            </w:pPr>
            <w:r>
              <w:rPr>
                <w:rFonts w:ascii="Helvetica;sans-serif" w:hAnsi="Helvetica;sans-serif"/>
                <w:b w:val="false"/>
                <w:color w:val="000000"/>
                <w:sz w:val="18"/>
              </w:rPr>
              <w:t>Selling, general and other costs</w:t>
            </w:r>
          </w:p>
        </w:tc>
        <w:tc>
          <w:tcPr>
            <w:tcW w:w="511"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2,483 </w:t>
            </w:r>
          </w:p>
        </w:tc>
        <w:tc>
          <w:tcPr>
            <w:tcW w:w="248"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1,828 </w:t>
            </w:r>
          </w:p>
        </w:tc>
        <w:tc>
          <w:tcPr>
            <w:tcW w:w="248"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4,785 </w:t>
            </w:r>
          </w:p>
        </w:tc>
        <w:tc>
          <w:tcPr>
            <w:tcW w:w="223"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4,174 </w:t>
            </w:r>
          </w:p>
        </w:tc>
        <w:tc>
          <w:tcPr>
            <w:tcW w:w="323"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1"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100" w:after="100"/>
              <w:jc w:val="left"/>
              <w:rPr>
                <w:rFonts w:ascii="Helvetica;sans-serif" w:hAnsi="Helvetica;sans-serif"/>
                <w:b w:val="false"/>
                <w:color w:val="000000"/>
                <w:sz w:val="18"/>
              </w:rPr>
            </w:pPr>
            <w:r>
              <w:rPr>
                <w:rFonts w:ascii="Helvetica;sans-serif" w:hAnsi="Helvetica;sans-serif"/>
                <w:b w:val="false"/>
                <w:color w:val="000000"/>
                <w:sz w:val="18"/>
              </w:rPr>
              <w:t>Research and development costs</w:t>
            </w:r>
          </w:p>
        </w:tc>
        <w:tc>
          <w:tcPr>
            <w:tcW w:w="511"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1,308 </w:t>
            </w:r>
          </w:p>
        </w:tc>
        <w:tc>
          <w:tcPr>
            <w:tcW w:w="248"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1,938 </w:t>
            </w:r>
          </w:p>
        </w:tc>
        <w:tc>
          <w:tcPr>
            <w:tcW w:w="248"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2,748 </w:t>
            </w:r>
          </w:p>
        </w:tc>
        <w:tc>
          <w:tcPr>
            <w:tcW w:w="223"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3,371 </w:t>
            </w:r>
          </w:p>
        </w:tc>
        <w:tc>
          <w:tcPr>
            <w:tcW w:w="323"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1"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100" w:after="100"/>
              <w:jc w:val="left"/>
              <w:rPr>
                <w:rFonts w:ascii="Helvetica;sans-serif" w:hAnsi="Helvetica;sans-serif"/>
                <w:b w:val="false"/>
                <w:color w:val="000000"/>
                <w:sz w:val="18"/>
              </w:rPr>
            </w:pPr>
            <w:r>
              <w:rPr>
                <w:rFonts w:ascii="Helvetica;sans-serif" w:hAnsi="Helvetica;sans-serif"/>
                <w:b w:val="false"/>
                <w:color w:val="000000"/>
                <w:sz w:val="18"/>
              </w:rPr>
              <w:t>Gains/(losses) on disposal of investments</w:t>
            </w:r>
          </w:p>
        </w:tc>
        <w:tc>
          <w:tcPr>
            <w:tcW w:w="511"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8"/>
              </w:rPr>
            </w:pPr>
            <w:r>
              <w:rPr>
                <w:rFonts w:ascii="Helvetica;sans-serif" w:hAnsi="Helvetica;sans-serif"/>
                <w:b w:val="false"/>
                <w:color w:val="000000"/>
                <w:sz w:val="18"/>
              </w:rPr>
              <w:t>2</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71 </w:t>
            </w:r>
          </w:p>
        </w:tc>
        <w:tc>
          <w:tcPr>
            <w:tcW w:w="248"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(202)</w:t>
            </w:r>
          </w:p>
        </w:tc>
        <w:tc>
          <w:tcPr>
            <w:tcW w:w="248"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59 </w:t>
            </w:r>
          </w:p>
        </w:tc>
        <w:tc>
          <w:tcPr>
            <w:tcW w:w="223"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(204)</w:t>
            </w:r>
          </w:p>
        </w:tc>
        <w:tc>
          <w:tcPr>
            <w:tcW w:w="323"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1"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100" w:after="100"/>
              <w:jc w:val="left"/>
              <w:rPr>
                <w:rFonts w:ascii="Helvetica;sans-serif" w:hAnsi="Helvetica;sans-serif"/>
                <w:b w:val="false"/>
                <w:color w:val="000000"/>
                <w:sz w:val="18"/>
              </w:rPr>
            </w:pPr>
            <w:r>
              <w:rPr>
                <w:rFonts w:ascii="Helvetica;sans-serif" w:hAnsi="Helvetica;sans-serif"/>
                <w:b w:val="false"/>
                <w:color w:val="000000"/>
                <w:sz w:val="18"/>
              </w:rPr>
              <w:t>Restructuring costs</w:t>
            </w:r>
          </w:p>
        </w:tc>
        <w:tc>
          <w:tcPr>
            <w:tcW w:w="511"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8"/>
              </w:rPr>
            </w:pPr>
            <w:r>
              <w:rPr>
                <w:rFonts w:ascii="Helvetica;sans-serif" w:hAnsi="Helvetica;sans-serif"/>
                <w:b w:val="false"/>
                <w:color w:val="000000"/>
                <w:sz w:val="18"/>
              </w:rPr>
              <w:t>12</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384 </w:t>
            </w:r>
          </w:p>
        </w:tc>
        <w:tc>
          <w:tcPr>
            <w:tcW w:w="248"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399 </w:t>
            </w:r>
          </w:p>
        </w:tc>
        <w:tc>
          <w:tcPr>
            <w:tcW w:w="248"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482 </w:t>
            </w:r>
          </w:p>
        </w:tc>
        <w:tc>
          <w:tcPr>
            <w:tcW w:w="223"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522 </w:t>
            </w:r>
          </w:p>
        </w:tc>
        <w:tc>
          <w:tcPr>
            <w:tcW w:w="323"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1"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Share of the profit/(loss) of equity method investees</w:t>
            </w:r>
          </w:p>
        </w:tc>
        <w:tc>
          <w:tcPr>
            <w:tcW w:w="511"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32 </w:t>
            </w:r>
          </w:p>
        </w:tc>
        <w:tc>
          <w:tcPr>
            <w:tcW w:w="248"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(396)</w:t>
            </w:r>
          </w:p>
        </w:tc>
        <w:tc>
          <w:tcPr>
            <w:tcW w:w="248"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143 </w:t>
            </w:r>
          </w:p>
        </w:tc>
        <w:tc>
          <w:tcPr>
            <w:tcW w:w="223"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(433)</w:t>
            </w:r>
          </w:p>
        </w:tc>
        <w:tc>
          <w:tcPr>
            <w:tcW w:w="323"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1" w:type="dxa"/>
            <w:gridSpan w:val="3"/>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243782"/>
                <w:sz w:val="18"/>
              </w:rPr>
            </w:pPr>
            <w:r>
              <w:rPr>
                <w:rFonts w:ascii="Helvetica;sans-serif" w:hAnsi="Helvetica;sans-serif"/>
                <w:b/>
                <w:color w:val="243782"/>
                <w:sz w:val="18"/>
              </w:rPr>
              <w:t>Operating income/(loss)</w:t>
            </w:r>
          </w:p>
        </w:tc>
        <w:tc>
          <w:tcPr>
            <w:tcW w:w="511" w:type="dxa"/>
            <w:gridSpan w:val="3"/>
            <w:tcBorders>
              <w:top w:val="single" w:sz="2" w:space="0" w:color="8E939F"/>
            </w:tcBorders>
            <w:shd w:fill="E6E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E6E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8"/>
              </w:rPr>
              <w:t>702</w:t>
            </w:r>
            <w:r>
              <w:rPr>
                <w:color w:val="243782"/>
              </w:rPr>
              <w:t> </w:t>
            </w:r>
          </w:p>
        </w:tc>
        <w:tc>
          <w:tcPr>
            <w:tcW w:w="248"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op w:val="single" w:sz="2" w:space="0" w:color="8E939F"/>
            </w:tcBorders>
            <w:shd w:fill="E6E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(2,394)</w:t>
            </w:r>
          </w:p>
        </w:tc>
        <w:tc>
          <w:tcPr>
            <w:tcW w:w="248"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E6E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8"/>
              </w:rPr>
              <w:t>1,390</w:t>
            </w:r>
            <w:r>
              <w:rPr>
                <w:color w:val="243782"/>
              </w:rPr>
              <w:t> </w:t>
            </w:r>
          </w:p>
        </w:tc>
        <w:tc>
          <w:tcPr>
            <w:tcW w:w="223"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op w:val="single" w:sz="2" w:space="0" w:color="8E939F"/>
            </w:tcBorders>
            <w:shd w:fill="E6E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(2,710)</w:t>
            </w:r>
          </w:p>
        </w:tc>
        <w:tc>
          <w:tcPr>
            <w:tcW w:w="323"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1"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100" w:after="100"/>
              <w:jc w:val="left"/>
              <w:rPr>
                <w:rFonts w:ascii="Helvetica;sans-serif" w:hAnsi="Helvetica;sans-serif"/>
                <w:b w:val="false"/>
                <w:color w:val="000000"/>
                <w:sz w:val="18"/>
              </w:rPr>
            </w:pPr>
            <w:r>
              <w:rPr>
                <w:rFonts w:ascii="Helvetica;sans-serif" w:hAnsi="Helvetica;sans-serif"/>
                <w:b w:val="false"/>
                <w:color w:val="000000"/>
                <w:sz w:val="18"/>
              </w:rPr>
              <w:t>Net financial expenses/(income)</w:t>
            </w:r>
          </w:p>
        </w:tc>
        <w:tc>
          <w:tcPr>
            <w:tcW w:w="511"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8"/>
              </w:rPr>
            </w:pPr>
            <w:r>
              <w:rPr>
                <w:rFonts w:ascii="Helvetica;sans-serif" w:hAnsi="Helvetica;sans-serif"/>
                <w:b w:val="false"/>
                <w:color w:val="000000"/>
                <w:sz w:val="18"/>
              </w:rPr>
              <w:t>4</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202 </w:t>
            </w:r>
          </w:p>
        </w:tc>
        <w:tc>
          <w:tcPr>
            <w:tcW w:w="248"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63 </w:t>
            </w:r>
          </w:p>
        </w:tc>
        <w:tc>
          <w:tcPr>
            <w:tcW w:w="248"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352 </w:t>
            </w:r>
          </w:p>
        </w:tc>
        <w:tc>
          <w:tcPr>
            <w:tcW w:w="223"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160 </w:t>
            </w:r>
          </w:p>
        </w:tc>
        <w:tc>
          <w:tcPr>
            <w:tcW w:w="323"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1" w:type="dxa"/>
            <w:gridSpan w:val="3"/>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100" w:after="100"/>
              <w:jc w:val="left"/>
              <w:rPr>
                <w:rFonts w:ascii="Helvetica;sans-serif" w:hAnsi="Helvetica;sans-serif"/>
                <w:b/>
                <w:color w:val="243782"/>
                <w:sz w:val="18"/>
              </w:rPr>
            </w:pPr>
            <w:r>
              <w:rPr>
                <w:rFonts w:ascii="Helvetica;sans-serif" w:hAnsi="Helvetica;sans-serif"/>
                <w:b/>
                <w:color w:val="243782"/>
                <w:sz w:val="18"/>
              </w:rPr>
              <w:t>Profit/(loss) before taxes</w:t>
            </w:r>
          </w:p>
        </w:tc>
        <w:tc>
          <w:tcPr>
            <w:tcW w:w="511" w:type="dxa"/>
            <w:gridSpan w:val="3"/>
            <w:tcBorders>
              <w:top w:val="single" w:sz="2" w:space="0" w:color="8E939F"/>
            </w:tcBorders>
            <w:shd w:fill="E6E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E6E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8"/>
              </w:rPr>
              <w:t>500</w:t>
            </w:r>
            <w:r>
              <w:rPr>
                <w:color w:val="243782"/>
              </w:rPr>
              <w:t> </w:t>
            </w:r>
          </w:p>
        </w:tc>
        <w:tc>
          <w:tcPr>
            <w:tcW w:w="248"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op w:val="single" w:sz="2" w:space="0" w:color="8E939F"/>
            </w:tcBorders>
            <w:shd w:fill="E6E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(2,457)</w:t>
            </w:r>
          </w:p>
        </w:tc>
        <w:tc>
          <w:tcPr>
            <w:tcW w:w="248"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E6E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8"/>
              </w:rPr>
              <w:t>1,038</w:t>
            </w:r>
            <w:r>
              <w:rPr>
                <w:color w:val="243782"/>
              </w:rPr>
              <w:t> </w:t>
            </w:r>
          </w:p>
        </w:tc>
        <w:tc>
          <w:tcPr>
            <w:tcW w:w="223"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op w:val="single" w:sz="2" w:space="0" w:color="8E939F"/>
            </w:tcBorders>
            <w:shd w:fill="E6E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(2,870)</w:t>
            </w:r>
          </w:p>
        </w:tc>
        <w:tc>
          <w:tcPr>
            <w:tcW w:w="323"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1"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100" w:after="100"/>
              <w:jc w:val="left"/>
              <w:rPr>
                <w:rFonts w:ascii="Helvetica;sans-serif" w:hAnsi="Helvetica;sans-serif"/>
                <w:b w:val="false"/>
                <w:color w:val="000000"/>
                <w:sz w:val="18"/>
              </w:rPr>
            </w:pPr>
            <w:r>
              <w:rPr>
                <w:rFonts w:ascii="Helvetica;sans-serif" w:hAnsi="Helvetica;sans-serif"/>
                <w:b w:val="false"/>
                <w:color w:val="000000"/>
                <w:sz w:val="18"/>
              </w:rPr>
              <w:t>Tax expense/(benefit)</w:t>
            </w:r>
          </w:p>
        </w:tc>
        <w:tc>
          <w:tcPr>
            <w:tcW w:w="511"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8"/>
              </w:rPr>
            </w:pPr>
            <w:r>
              <w:rPr>
                <w:rFonts w:ascii="Helvetica;sans-serif" w:hAnsi="Helvetica;sans-serif"/>
                <w:b w:val="false"/>
                <w:color w:val="000000"/>
                <w:sz w:val="18"/>
              </w:rPr>
              <w:t>5</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207 </w:t>
            </w:r>
          </w:p>
        </w:tc>
        <w:tc>
          <w:tcPr>
            <w:tcW w:w="248"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(588)</w:t>
            </w:r>
          </w:p>
        </w:tc>
        <w:tc>
          <w:tcPr>
            <w:tcW w:w="248"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368 </w:t>
            </w:r>
          </w:p>
        </w:tc>
        <w:tc>
          <w:tcPr>
            <w:tcW w:w="223"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(614)</w:t>
            </w:r>
          </w:p>
        </w:tc>
        <w:tc>
          <w:tcPr>
            <w:tcW w:w="323"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1"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669"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r>
      <w:tr>
        <w:trPr/>
        <w:tc>
          <w:tcPr>
            <w:tcW w:w="3591"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669"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r>
      <w:tr>
        <w:trPr/>
        <w:tc>
          <w:tcPr>
            <w:tcW w:w="3591" w:type="dxa"/>
            <w:gridSpan w:val="3"/>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100" w:after="100"/>
              <w:jc w:val="left"/>
              <w:rPr>
                <w:rFonts w:ascii="Helvetica;sans-serif" w:hAnsi="Helvetica;sans-serif"/>
                <w:b/>
                <w:color w:val="243782"/>
                <w:sz w:val="18"/>
              </w:rPr>
            </w:pPr>
            <w:r>
              <w:rPr>
                <w:rFonts w:ascii="Helvetica;sans-serif" w:hAnsi="Helvetica;sans-serif"/>
                <w:b/>
                <w:color w:val="243782"/>
                <w:sz w:val="18"/>
              </w:rPr>
              <w:t>Net profit/(loss)</w:t>
            </w:r>
          </w:p>
        </w:tc>
        <w:tc>
          <w:tcPr>
            <w:tcW w:w="511" w:type="dxa"/>
            <w:gridSpan w:val="3"/>
            <w:tcBorders>
              <w:top w:val="single" w:sz="2" w:space="0" w:color="8E939F"/>
            </w:tcBorders>
            <w:shd w:fill="E6E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E6E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8"/>
              </w:rPr>
              <w:t>293</w:t>
            </w:r>
            <w:r>
              <w:rPr>
                <w:color w:val="243782"/>
              </w:rPr>
              <w:t> </w:t>
            </w:r>
          </w:p>
        </w:tc>
        <w:tc>
          <w:tcPr>
            <w:tcW w:w="248"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op w:val="single" w:sz="2" w:space="0" w:color="8E939F"/>
            </w:tcBorders>
            <w:shd w:fill="E6E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(1,869)</w:t>
            </w:r>
          </w:p>
        </w:tc>
        <w:tc>
          <w:tcPr>
            <w:tcW w:w="248"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E6E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8"/>
              </w:rPr>
              <w:t>670</w:t>
            </w:r>
            <w:r>
              <w:rPr>
                <w:color w:val="243782"/>
              </w:rPr>
              <w:t> </w:t>
            </w:r>
          </w:p>
        </w:tc>
        <w:tc>
          <w:tcPr>
            <w:tcW w:w="223"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op w:val="single" w:sz="2" w:space="0" w:color="8E939F"/>
            </w:tcBorders>
            <w:shd w:fill="E6E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(2,256)</w:t>
            </w:r>
          </w:p>
        </w:tc>
        <w:tc>
          <w:tcPr>
            <w:tcW w:w="323"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1"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669"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r>
      <w:tr>
        <w:trPr/>
        <w:tc>
          <w:tcPr>
            <w:tcW w:w="3591"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669"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r>
      <w:tr>
        <w:trPr/>
        <w:tc>
          <w:tcPr>
            <w:tcW w:w="3591"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1"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100" w:after="100"/>
              <w:jc w:val="left"/>
              <w:rPr>
                <w:rFonts w:ascii="Helvetica;sans-serif" w:hAnsi="Helvetica;sans-serif"/>
                <w:b/>
                <w:color w:val="243782"/>
                <w:sz w:val="18"/>
              </w:rPr>
            </w:pPr>
            <w:r>
              <w:rPr>
                <w:rFonts w:ascii="Helvetica;sans-serif" w:hAnsi="Helvetica;sans-serif"/>
                <w:b/>
                <w:color w:val="243782"/>
                <w:sz w:val="18"/>
              </w:rPr>
              <w:t>Net profit/(loss) attributable to:</w:t>
            </w:r>
          </w:p>
        </w:tc>
        <w:tc>
          <w:tcPr>
            <w:tcW w:w="511"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1"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100" w:after="100"/>
              <w:jc w:val="left"/>
              <w:rPr>
                <w:rFonts w:ascii="Helvetica;sans-serif" w:hAnsi="Helvetica;sans-serif"/>
                <w:b w:val="false"/>
                <w:color w:val="000000"/>
                <w:sz w:val="18"/>
              </w:rPr>
            </w:pPr>
            <w:r>
              <w:rPr>
                <w:rFonts w:ascii="Helvetica;sans-serif" w:hAnsi="Helvetica;sans-serif"/>
                <w:b w:val="false"/>
                <w:color w:val="000000"/>
                <w:sz w:val="18"/>
              </w:rPr>
              <w:t>Owners of the parent</w:t>
            </w:r>
          </w:p>
        </w:tc>
        <w:tc>
          <w:tcPr>
            <w:tcW w:w="511"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266 </w:t>
            </w:r>
          </w:p>
        </w:tc>
        <w:tc>
          <w:tcPr>
            <w:tcW w:w="248"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(1,869)</w:t>
            </w:r>
          </w:p>
        </w:tc>
        <w:tc>
          <w:tcPr>
            <w:tcW w:w="248"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656 </w:t>
            </w:r>
          </w:p>
        </w:tc>
        <w:tc>
          <w:tcPr>
            <w:tcW w:w="223"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(2,240)</w:t>
            </w:r>
          </w:p>
        </w:tc>
        <w:tc>
          <w:tcPr>
            <w:tcW w:w="323"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1"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100" w:after="100"/>
              <w:jc w:val="left"/>
              <w:rPr>
                <w:rFonts w:ascii="Helvetica;sans-serif" w:hAnsi="Helvetica;sans-serif"/>
                <w:b w:val="false"/>
                <w:color w:val="000000"/>
                <w:sz w:val="18"/>
              </w:rPr>
            </w:pPr>
            <w:r>
              <w:rPr>
                <w:rFonts w:ascii="Helvetica;sans-serif" w:hAnsi="Helvetica;sans-serif"/>
                <w:b w:val="false"/>
                <w:color w:val="000000"/>
                <w:sz w:val="18"/>
              </w:rPr>
              <w:t>Non-controlling interests</w:t>
            </w:r>
          </w:p>
        </w:tc>
        <w:tc>
          <w:tcPr>
            <w:tcW w:w="511"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27 </w:t>
            </w:r>
          </w:p>
        </w:tc>
        <w:tc>
          <w:tcPr>
            <w:tcW w:w="248"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8"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14 </w:t>
            </w:r>
          </w:p>
        </w:tc>
        <w:tc>
          <w:tcPr>
            <w:tcW w:w="223"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(16)</w:t>
            </w:r>
          </w:p>
        </w:tc>
        <w:tc>
          <w:tcPr>
            <w:tcW w:w="323"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1"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1"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0"/>
              <w:jc w:val="left"/>
              <w:rPr>
                <w:rFonts w:ascii="Helvetica;sans-serif" w:hAnsi="Helvetica;sans-serif"/>
                <w:b/>
                <w:color w:val="243782"/>
                <w:sz w:val="18"/>
              </w:rPr>
            </w:pPr>
            <w:r>
              <w:rPr>
                <w:rFonts w:ascii="Helvetica;sans-serif" w:hAnsi="Helvetica;sans-serif"/>
                <w:b/>
                <w:color w:val="243782"/>
                <w:sz w:val="18"/>
              </w:rPr>
              <w:t>Earnings/(loss) per share:</w:t>
            </w:r>
          </w:p>
        </w:tc>
        <w:tc>
          <w:tcPr>
            <w:tcW w:w="511"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8"/>
              </w:rPr>
            </w:pPr>
            <w:r>
              <w:rPr>
                <w:rFonts w:ascii="Helvetica;sans-serif" w:hAnsi="Helvetica;sans-serif"/>
                <w:b w:val="false"/>
                <w:color w:val="000000"/>
                <w:sz w:val="18"/>
              </w:rPr>
              <w:t>19</w:t>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1"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100" w:after="100"/>
              <w:jc w:val="left"/>
              <w:rPr>
                <w:rFonts w:ascii="Helvetica;sans-serif" w:hAnsi="Helvetica;sans-serif"/>
                <w:b w:val="false"/>
                <w:color w:val="000000"/>
                <w:sz w:val="18"/>
              </w:rPr>
            </w:pPr>
            <w:r>
              <w:rPr>
                <w:rFonts w:ascii="Helvetica;sans-serif" w:hAnsi="Helvetica;sans-serif"/>
                <w:b w:val="false"/>
                <w:color w:val="000000"/>
                <w:sz w:val="18"/>
              </w:rPr>
              <w:t>Basic (loss)/earnings per share (€)</w:t>
            </w:r>
          </w:p>
        </w:tc>
        <w:tc>
          <w:tcPr>
            <w:tcW w:w="511"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0.07 </w:t>
            </w:r>
          </w:p>
        </w:tc>
        <w:tc>
          <w:tcPr>
            <w:tcW w:w="248"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(0.65)</w:t>
            </w:r>
          </w:p>
        </w:tc>
        <w:tc>
          <w:tcPr>
            <w:tcW w:w="248"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0.20 </w:t>
            </w:r>
          </w:p>
        </w:tc>
        <w:tc>
          <w:tcPr>
            <w:tcW w:w="223"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(0.78)</w:t>
            </w:r>
          </w:p>
        </w:tc>
        <w:tc>
          <w:tcPr>
            <w:tcW w:w="323"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1" w:type="dxa"/>
            <w:gridSpan w:val="3"/>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lineRule="auto" w:line="288" w:before="100" w:after="100"/>
              <w:jc w:val="left"/>
              <w:rPr>
                <w:rFonts w:ascii="Helvetica;sans-serif" w:hAnsi="Helvetica;sans-serif"/>
                <w:b w:val="false"/>
                <w:color w:val="000000"/>
                <w:sz w:val="18"/>
              </w:rPr>
            </w:pPr>
            <w:r>
              <w:rPr>
                <w:rFonts w:ascii="Helvetica;sans-serif" w:hAnsi="Helvetica;sans-serif"/>
                <w:b w:val="false"/>
                <w:color w:val="000000"/>
                <w:sz w:val="18"/>
              </w:rPr>
              <w:t>Diluted (loss)/earnings per share (€)</w:t>
            </w:r>
          </w:p>
        </w:tc>
        <w:tc>
          <w:tcPr>
            <w:tcW w:w="511" w:type="dxa"/>
            <w:gridSpan w:val="3"/>
            <w:tcBorders>
              <w:top w:val="single" w:sz="2" w:space="0" w:color="8E939F"/>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top w:val="single" w:sz="2" w:space="0" w:color="8E939F"/>
              <w:bottom w:val="single" w:sz="2" w:space="0" w:color="8E939F"/>
            </w:tcBorders>
            <w:shd w:fill="F3F3F9" w:val="clear"/>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0.07 </w:t>
            </w:r>
          </w:p>
        </w:tc>
        <w:tc>
          <w:tcPr>
            <w:tcW w:w="248" w:type="dxa"/>
            <w:tcBorders>
              <w:top w:val="single" w:sz="2" w:space="0" w:color="8E939F"/>
              <w:bottom w:val="single" w:sz="2" w:space="0" w:color="8E939F"/>
            </w:tcBorders>
            <w:shd w:fill="F3F3F9"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op w:val="single" w:sz="2" w:space="0" w:color="8E939F"/>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(0.65)</w:t>
            </w:r>
          </w:p>
        </w:tc>
        <w:tc>
          <w:tcPr>
            <w:tcW w:w="248" w:type="dxa"/>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8E939F"/>
              <w:bottom w:val="single" w:sz="2" w:space="0" w:color="8E939F"/>
            </w:tcBorders>
            <w:shd w:fill="F3F3F9" w:val="clear"/>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0.20 </w:t>
            </w:r>
          </w:p>
        </w:tc>
        <w:tc>
          <w:tcPr>
            <w:tcW w:w="223" w:type="dxa"/>
            <w:tcBorders>
              <w:top w:val="single" w:sz="2" w:space="0" w:color="8E939F"/>
              <w:bottom w:val="single" w:sz="2" w:space="0" w:color="8E939F"/>
            </w:tcBorders>
            <w:shd w:fill="F3F3F9"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op w:val="single" w:sz="2" w:space="0" w:color="8E939F"/>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(0.78)</w:t>
            </w:r>
          </w:p>
        </w:tc>
        <w:tc>
          <w:tcPr>
            <w:tcW w:w="323" w:type="dxa"/>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591"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669"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r>
      <w:tr>
        <w:trPr/>
        <w:tc>
          <w:tcPr>
            <w:tcW w:w="3591"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669"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r>
      <w:tr>
        <w:trPr/>
        <w:tc>
          <w:tcPr>
            <w:tcW w:w="3591"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669"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r>
      <w:tr>
        <w:trPr/>
        <w:tc>
          <w:tcPr>
            <w:tcW w:w="3591"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669"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lineRule="auto" w:line="343" w:before="0" w:after="240"/>
        <w:jc w:val="center"/>
        <w:rPr>
          <w:rFonts w:ascii="Helvetica Light;sans-serif" w:hAnsi="Helvetica Light;sans-serif"/>
          <w:b w:val="false"/>
          <w:color w:val="000000"/>
          <w:sz w:val="16"/>
        </w:rPr>
      </w:pPr>
      <w:r>
        <w:rPr>
          <w:rFonts w:ascii="Helvetica Light;sans-serif" w:hAnsi="Helvetica Light;sans-serif"/>
          <w:b w:val="false"/>
          <w:color w:val="000000"/>
          <w:sz w:val="16"/>
        </w:rPr>
        <w:t>The accompanying notes are an integral part of the Interim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503555"/>
                <wp:effectExtent l="0" t="0" r="0" b="0"/>
                <wp:wrapNone/>
                <wp:docPr id="74" name="Frame59"/>
                <a:graphic xmlns:a="http://schemas.openxmlformats.org/drawingml/2006/main">
                  <a:graphicData uri="http://schemas.microsoft.com/office/word/2010/wordprocessingShape">
                    <wps:wsp>
                      <wps:cNvSpPr txBox="1"/>
                      <wps:spPr>
                        <a:xfrm>
                          <a:off x="0" y="0"/>
                          <a:ext cx="6480175" cy="5035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55</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55</w:t>
                      </w:r>
                    </w:p>
                    <w:p>
                      <w:pPr>
                        <w:pStyle w:val="TextBody"/>
                        <w:bidi w:val="0"/>
                        <w:spacing w:before="0" w:after="24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88" w:before="0" w:after="40"/>
        <w:jc w:val="left"/>
        <w:rPr>
          <w:rFonts w:ascii="Helvetica;sans-serif" w:hAnsi="Helvetica;sans-serif"/>
          <w:b/>
          <w:color w:val="143A84"/>
          <w:sz w:val="18"/>
        </w:rPr>
      </w:pPr>
      <w:r>
        <w:rPr>
          <w:rFonts w:ascii="Helvetica;sans-serif" w:hAnsi="Helvetica;sans-serif"/>
          <w:b/>
          <w:color w:val="143A84"/>
          <w:sz w:val="18"/>
        </w:rPr>
        <w:t>STELLANTIS N.V. AND SUBSIDIARIES</w:t>
      </w:r>
    </w:p>
    <w:p>
      <w:pPr>
        <w:pStyle w:val="TextBody"/>
        <w:bidi w:val="0"/>
        <w:spacing w:lineRule="auto" w:line="288" w:before="0" w:after="40"/>
        <w:jc w:val="left"/>
        <w:rPr>
          <w:rFonts w:ascii="Helvetica;sans-serif" w:hAnsi="Helvetica;sans-serif"/>
          <w:b/>
          <w:color w:val="143A84"/>
          <w:sz w:val="18"/>
        </w:rPr>
      </w:pPr>
      <w:r>
        <w:rPr>
          <w:rFonts w:ascii="Helvetica;sans-serif" w:hAnsi="Helvetica;sans-serif"/>
          <w:b/>
          <w:color w:val="143A84"/>
          <w:sz w:val="18"/>
        </w:rPr>
        <w:t>INTERIM CONDENSED CONSOLIDATED STATEMENT OF COMPREHENSIVE INCOME</w:t>
      </w:r>
    </w:p>
    <w:p>
      <w:pPr>
        <w:pStyle w:val="TextBody"/>
        <w:bidi w:val="0"/>
        <w:spacing w:lineRule="auto" w:line="288" w:before="0" w:after="100"/>
        <w:jc w:val="left"/>
        <w:rPr/>
      </w:pPr>
      <w:r>
        <w:rPr>
          <w:rFonts w:ascii="Helvetica;sans-serif" w:hAnsi="Helvetica;sans-serif"/>
          <w:b/>
          <w:color w:val="143A84"/>
          <w:sz w:val="18"/>
        </w:rPr>
        <w:t>(Unaudited)</w:t>
      </w:r>
      <w:r>
        <w:rPr>
          <w:color w:val="000000"/>
        </w:rPr>
        <w:t> </w:t>
      </w:r>
    </w:p>
    <w:tbl>
      <w:tblPr>
        <w:tblW w:w="10205" w:type="dxa"/>
        <w:jc w:val="left"/>
        <w:tblInd w:w="0" w:type="dxa"/>
        <w:tblLayout w:type="fixed"/>
        <w:tblCellMar>
          <w:top w:w="28" w:type="dxa"/>
          <w:left w:w="28" w:type="dxa"/>
          <w:bottom w:w="28" w:type="dxa"/>
          <w:right w:w="28" w:type="dxa"/>
        </w:tblCellMar>
      </w:tblPr>
      <w:tblGrid>
        <w:gridCol w:w="1750"/>
        <w:gridCol w:w="1348"/>
        <w:gridCol w:w="1359"/>
        <w:gridCol w:w="170"/>
        <w:gridCol w:w="170"/>
        <w:gridCol w:w="171"/>
        <w:gridCol w:w="109"/>
        <w:gridCol w:w="109"/>
        <w:gridCol w:w="109"/>
        <w:gridCol w:w="291"/>
        <w:gridCol w:w="244"/>
        <w:gridCol w:w="207"/>
        <w:gridCol w:w="207"/>
        <w:gridCol w:w="207"/>
        <w:gridCol w:w="207"/>
        <w:gridCol w:w="440"/>
        <w:gridCol w:w="245"/>
        <w:gridCol w:w="207"/>
        <w:gridCol w:w="109"/>
        <w:gridCol w:w="109"/>
        <w:gridCol w:w="109"/>
        <w:gridCol w:w="339"/>
        <w:gridCol w:w="292"/>
        <w:gridCol w:w="190"/>
        <w:gridCol w:w="190"/>
        <w:gridCol w:w="190"/>
        <w:gridCol w:w="190"/>
        <w:gridCol w:w="403"/>
        <w:gridCol w:w="258"/>
        <w:gridCol w:w="276"/>
      </w:tblGrid>
      <w:tr>
        <w:trPr/>
        <w:tc>
          <w:tcPr>
            <w:tcW w:w="1750"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r>
      <w:tr>
        <w:trPr/>
        <w:tc>
          <w:tcPr>
            <w:tcW w:w="44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Six months ended June 30,</w:t>
            </w:r>
          </w:p>
        </w:tc>
      </w:tr>
      <w:tr>
        <w:trPr/>
        <w:tc>
          <w:tcPr>
            <w:tcW w:w="4457"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Helvetica;sans-serif" w:hAnsi="Helvetica;sans-serif"/>
                <w:b w:val="false"/>
                <w:i/>
                <w:color w:val="000000"/>
                <w:sz w:val="16"/>
              </w:rPr>
            </w:pPr>
            <w:r>
              <w:rPr>
                <w:rFonts w:ascii="Helvetica;sans-serif" w:hAnsi="Helvetica;sans-serif"/>
                <w:b w:val="false"/>
                <w:i/>
                <w:color w:val="000000"/>
                <w:sz w:val="16"/>
              </w:rPr>
              <w:t>(€ million)</w:t>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Note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2026</w:t>
            </w:r>
          </w:p>
        </w:tc>
        <w:tc>
          <w:tcPr>
            <w:tcW w:w="621"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2025</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2026</w:t>
            </w:r>
          </w:p>
        </w:tc>
        <w:tc>
          <w:tcPr>
            <w:tcW w:w="570"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2025</w:t>
            </w:r>
          </w:p>
        </w:tc>
      </w:tr>
      <w:tr>
        <w:trPr/>
        <w:tc>
          <w:tcPr>
            <w:tcW w:w="4457" w:type="dxa"/>
            <w:gridSpan w:val="3"/>
            <w:tcBorders>
              <w:top w:val="single" w:sz="2" w:space="0" w:color="8E939F"/>
              <w:bottom w:val="single" w:sz="2" w:space="0" w:color="8E939F"/>
            </w:tcBorders>
            <w:shd w:fill="F3F3F9" w:val="clear"/>
            <w:tcMar>
              <w:top w:w="52"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color w:val="243782"/>
                <w:sz w:val="18"/>
              </w:rPr>
            </w:pPr>
            <w:r>
              <w:rPr>
                <w:rFonts w:ascii="Helvetica;sans-serif" w:hAnsi="Helvetica;sans-serif"/>
                <w:b/>
                <w:color w:val="243782"/>
                <w:sz w:val="18"/>
              </w:rPr>
              <w:t>Consolidated profit/(loss) for the period</w:t>
            </w:r>
          </w:p>
        </w:tc>
        <w:tc>
          <w:tcPr>
            <w:tcW w:w="511" w:type="dxa"/>
            <w:gridSpan w:val="3"/>
            <w:tcBorders>
              <w:top w:val="single" w:sz="2" w:space="0" w:color="8E939F"/>
              <w:bottom w:val="single" w:sz="2" w:space="0" w:color="8E939F"/>
            </w:tcBorders>
            <w:shd w:fill="F3F3F9"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bottom w:val="single" w:sz="2" w:space="0" w:color="8E939F"/>
            </w:tcBorders>
            <w:shd w:fill="F3F3F9" w:val="clear"/>
            <w:tcMar>
              <w:left w:w="0" w:type="dxa"/>
              <w:right w:w="0" w:type="dxa"/>
            </w:tcMar>
            <w:vAlign w:val="center"/>
          </w:tcPr>
          <w:p>
            <w:pPr>
              <w:pStyle w:val="TableContents"/>
              <w:bidi w:val="0"/>
              <w:spacing w:before="0" w:after="283"/>
              <w:jc w:val="left"/>
              <w:rPr>
                <w:sz w:val="4"/>
                <w:szCs w:val="4"/>
              </w:rPr>
            </w:pPr>
            <w:r>
              <w:rPr>
                <w:sz w:val="4"/>
                <w:szCs w:val="4"/>
              </w:rPr>
            </w:r>
          </w:p>
        </w:tc>
        <w:tc>
          <w:tcPr>
            <w:tcW w:w="535" w:type="dxa"/>
            <w:gridSpan w:val="2"/>
            <w:tcBorders>
              <w:top w:val="single" w:sz="2" w:space="0" w:color="8E939F"/>
              <w:bottom w:val="single" w:sz="2" w:space="0" w:color="8E939F"/>
            </w:tcBorders>
            <w:shd w:fill="F3F3F9" w:val="clear"/>
            <w:tcMar>
              <w:top w:w="52" w:type="dxa"/>
              <w:left w:w="0" w:type="dxa"/>
              <w:bottom w:w="3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8"/>
              </w:rPr>
              <w:t>293</w:t>
            </w:r>
            <w:r>
              <w:rPr>
                <w:color w:val="243782"/>
              </w:rPr>
              <w:t> </w:t>
            </w:r>
          </w:p>
        </w:tc>
        <w:tc>
          <w:tcPr>
            <w:tcW w:w="207" w:type="dxa"/>
            <w:tcBorders>
              <w:top w:val="single" w:sz="2" w:space="0" w:color="8E939F"/>
              <w:bottom w:val="single" w:sz="2" w:space="0" w:color="8E939F"/>
            </w:tcBorders>
            <w:shd w:fill="F3F3F9"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op w:val="single" w:sz="2" w:space="0" w:color="8E939F"/>
              <w:bottom w:val="single" w:sz="2" w:space="0" w:color="8E939F"/>
            </w:tcBorders>
            <w:shd w:fill="F3F3F9" w:val="clear"/>
            <w:tcMar>
              <w:left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top w:val="single" w:sz="2" w:space="0" w:color="8E939F"/>
              <w:bottom w:val="single" w:sz="2" w:space="0" w:color="8E939F"/>
            </w:tcBorders>
            <w:shd w:fill="F3F3F9" w:val="clear"/>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(1,869)</w:t>
            </w:r>
          </w:p>
        </w:tc>
        <w:tc>
          <w:tcPr>
            <w:tcW w:w="207" w:type="dxa"/>
            <w:tcBorders>
              <w:top w:val="single" w:sz="2" w:space="0" w:color="8E939F"/>
              <w:bottom w:val="single" w:sz="2" w:space="0" w:color="8E939F"/>
            </w:tcBorders>
            <w:shd w:fill="F3F3F9"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bottom w:val="single" w:sz="2" w:space="0" w:color="8E939F"/>
            </w:tcBorders>
            <w:shd w:fill="F3F3F9" w:val="clear"/>
            <w:tcMar>
              <w:left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2" w:space="0" w:color="8E939F"/>
              <w:bottom w:val="single" w:sz="2" w:space="0" w:color="8E939F"/>
            </w:tcBorders>
            <w:shd w:fill="F3F3F9" w:val="clear"/>
            <w:tcMar>
              <w:top w:w="52" w:type="dxa"/>
              <w:left w:w="0" w:type="dxa"/>
              <w:bottom w:w="3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8"/>
              </w:rPr>
              <w:t>670</w:t>
            </w:r>
            <w:r>
              <w:rPr>
                <w:color w:val="243782"/>
              </w:rPr>
              <w:t> </w:t>
            </w:r>
          </w:p>
        </w:tc>
        <w:tc>
          <w:tcPr>
            <w:tcW w:w="190" w:type="dxa"/>
            <w:tcBorders>
              <w:top w:val="single" w:sz="2" w:space="0" w:color="8E939F"/>
              <w:bottom w:val="single" w:sz="2" w:space="0" w:color="8E939F"/>
            </w:tcBorders>
            <w:shd w:fill="F3F3F9"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op w:val="single" w:sz="2" w:space="0" w:color="8E939F"/>
              <w:bottom w:val="single" w:sz="2" w:space="0" w:color="8E939F"/>
            </w:tcBorders>
            <w:shd w:fill="F3F3F9" w:val="clear"/>
            <w:tcMar>
              <w:left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2" w:space="0" w:color="8E939F"/>
              <w:bottom w:val="single" w:sz="2" w:space="0" w:color="8E939F"/>
            </w:tcBorders>
            <w:shd w:fill="F3F3F9" w:val="clear"/>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(2,256)</w:t>
            </w:r>
          </w:p>
        </w:tc>
        <w:tc>
          <w:tcPr>
            <w:tcW w:w="276" w:type="dxa"/>
            <w:tcBorders>
              <w:top w:val="single" w:sz="2" w:space="0" w:color="8E939F"/>
              <w:bottom w:val="single" w:sz="2" w:space="0" w:color="8E939F"/>
            </w:tcBorders>
            <w:shd w:fill="F3F3F9"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45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7"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Fair value remeasurement of cash flow hedges</w:t>
            </w:r>
          </w:p>
        </w:tc>
        <w:tc>
          <w:tcPr>
            <w:tcW w:w="511"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(48)</w:t>
            </w:r>
          </w:p>
        </w:tc>
        <w:tc>
          <w:tcPr>
            <w:tcW w:w="207"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(17)</w:t>
            </w:r>
          </w:p>
        </w:tc>
        <w:tc>
          <w:tcPr>
            <w:tcW w:w="207"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122 </w:t>
            </w:r>
          </w:p>
        </w:tc>
        <w:tc>
          <w:tcPr>
            <w:tcW w:w="190"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260 </w:t>
            </w:r>
          </w:p>
        </w:tc>
        <w:tc>
          <w:tcPr>
            <w:tcW w:w="27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7"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of which, reclassified to the income statement</w:t>
            </w:r>
          </w:p>
        </w:tc>
        <w:tc>
          <w:tcPr>
            <w:tcW w:w="511"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(72)</w:t>
            </w:r>
          </w:p>
        </w:tc>
        <w:tc>
          <w:tcPr>
            <w:tcW w:w="207"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226 </w:t>
            </w:r>
          </w:p>
        </w:tc>
        <w:tc>
          <w:tcPr>
            <w:tcW w:w="207"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(101)</w:t>
            </w:r>
          </w:p>
        </w:tc>
        <w:tc>
          <w:tcPr>
            <w:tcW w:w="190"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221 </w:t>
            </w:r>
          </w:p>
        </w:tc>
        <w:tc>
          <w:tcPr>
            <w:tcW w:w="27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7"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of which, recognized in equity during the period</w:t>
            </w:r>
          </w:p>
        </w:tc>
        <w:tc>
          <w:tcPr>
            <w:tcW w:w="511"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24 </w:t>
            </w:r>
          </w:p>
        </w:tc>
        <w:tc>
          <w:tcPr>
            <w:tcW w:w="207"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(243)</w:t>
            </w:r>
          </w:p>
        </w:tc>
        <w:tc>
          <w:tcPr>
            <w:tcW w:w="207"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223 </w:t>
            </w:r>
          </w:p>
        </w:tc>
        <w:tc>
          <w:tcPr>
            <w:tcW w:w="190"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39 </w:t>
            </w:r>
          </w:p>
        </w:tc>
        <w:tc>
          <w:tcPr>
            <w:tcW w:w="27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7"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Gains and losses from remeasurement of financial assets</w:t>
            </w:r>
          </w:p>
        </w:tc>
        <w:tc>
          <w:tcPr>
            <w:tcW w:w="511"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(4)</w:t>
            </w:r>
          </w:p>
        </w:tc>
        <w:tc>
          <w:tcPr>
            <w:tcW w:w="207"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(65)</w:t>
            </w:r>
          </w:p>
        </w:tc>
        <w:tc>
          <w:tcPr>
            <w:tcW w:w="207"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(11)</w:t>
            </w:r>
          </w:p>
        </w:tc>
        <w:tc>
          <w:tcPr>
            <w:tcW w:w="190"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115 </w:t>
            </w:r>
          </w:p>
        </w:tc>
        <w:tc>
          <w:tcPr>
            <w:tcW w:w="27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621"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570"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r>
      <w:tr>
        <w:trPr/>
        <w:tc>
          <w:tcPr>
            <w:tcW w:w="4457"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of which, recognized in equity during the period</w:t>
            </w:r>
          </w:p>
        </w:tc>
        <w:tc>
          <w:tcPr>
            <w:tcW w:w="511"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(4)</w:t>
            </w:r>
          </w:p>
        </w:tc>
        <w:tc>
          <w:tcPr>
            <w:tcW w:w="207"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(65)</w:t>
            </w:r>
          </w:p>
        </w:tc>
        <w:tc>
          <w:tcPr>
            <w:tcW w:w="207"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(11)</w:t>
            </w:r>
          </w:p>
        </w:tc>
        <w:tc>
          <w:tcPr>
            <w:tcW w:w="190"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115 </w:t>
            </w:r>
          </w:p>
        </w:tc>
        <w:tc>
          <w:tcPr>
            <w:tcW w:w="27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7"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Exchange differences on translating foreign operations</w:t>
            </w:r>
          </w:p>
        </w:tc>
        <w:tc>
          <w:tcPr>
            <w:tcW w:w="511"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402 </w:t>
            </w:r>
          </w:p>
        </w:tc>
        <w:tc>
          <w:tcPr>
            <w:tcW w:w="207"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(3,018)</w:t>
            </w:r>
          </w:p>
        </w:tc>
        <w:tc>
          <w:tcPr>
            <w:tcW w:w="207"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1,655 </w:t>
            </w:r>
          </w:p>
        </w:tc>
        <w:tc>
          <w:tcPr>
            <w:tcW w:w="190"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(4,340)</w:t>
            </w:r>
          </w:p>
        </w:tc>
        <w:tc>
          <w:tcPr>
            <w:tcW w:w="27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7"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 xml:space="preserve">Income tax (expense)/benefit </w:t>
            </w:r>
          </w:p>
        </w:tc>
        <w:tc>
          <w:tcPr>
            <w:tcW w:w="511"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2 </w:t>
            </w:r>
          </w:p>
        </w:tc>
        <w:tc>
          <w:tcPr>
            <w:tcW w:w="207"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(65)</w:t>
            </w:r>
          </w:p>
        </w:tc>
        <w:tc>
          <w:tcPr>
            <w:tcW w:w="207"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(18)</w:t>
            </w:r>
          </w:p>
        </w:tc>
        <w:tc>
          <w:tcPr>
            <w:tcW w:w="190"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(137)</w:t>
            </w:r>
          </w:p>
        </w:tc>
        <w:tc>
          <w:tcPr>
            <w:tcW w:w="27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7"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Share of Other comprehensive income/(loss) of equity method investees</w:t>
            </w:r>
          </w:p>
        </w:tc>
        <w:tc>
          <w:tcPr>
            <w:tcW w:w="511"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(63)</w:t>
            </w:r>
          </w:p>
        </w:tc>
        <w:tc>
          <w:tcPr>
            <w:tcW w:w="207"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(175)</w:t>
            </w:r>
          </w:p>
        </w:tc>
        <w:tc>
          <w:tcPr>
            <w:tcW w:w="207"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4 </w:t>
            </w:r>
          </w:p>
        </w:tc>
        <w:tc>
          <w:tcPr>
            <w:tcW w:w="190"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(304)</w:t>
            </w:r>
          </w:p>
        </w:tc>
        <w:tc>
          <w:tcPr>
            <w:tcW w:w="27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621"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570"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r>
      <w:tr>
        <w:trPr/>
        <w:tc>
          <w:tcPr>
            <w:tcW w:w="4457"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243782"/>
                <w:sz w:val="18"/>
              </w:rPr>
            </w:pPr>
            <w:r>
              <w:rPr>
                <w:rFonts w:ascii="Helvetica;sans-serif" w:hAnsi="Helvetica;sans-serif"/>
                <w:b/>
                <w:color w:val="243782"/>
                <w:sz w:val="18"/>
              </w:rPr>
              <w:t>Amounts to be potentially reclassified to profit or loss</w:t>
            </w:r>
          </w:p>
        </w:tc>
        <w:tc>
          <w:tcPr>
            <w:tcW w:w="511"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8"/>
              </w:rPr>
            </w:pPr>
            <w:r>
              <w:rPr>
                <w:rFonts w:ascii="Helvetica;sans-serif" w:hAnsi="Helvetica;sans-serif"/>
                <w:b w:val="false"/>
                <w:color w:val="000000"/>
                <w:sz w:val="18"/>
              </w:rPr>
              <w:t>15</w:t>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8"/>
              </w:rPr>
              <w:t>289</w:t>
            </w:r>
            <w:r>
              <w:rPr>
                <w:color w:val="243782"/>
              </w:rPr>
              <w:t> </w:t>
            </w:r>
          </w:p>
        </w:tc>
        <w:tc>
          <w:tcPr>
            <w:tcW w:w="207"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(3,340)</w:t>
            </w:r>
          </w:p>
        </w:tc>
        <w:tc>
          <w:tcPr>
            <w:tcW w:w="207"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8"/>
              </w:rPr>
              <w:t>1,752</w:t>
            </w:r>
            <w:r>
              <w:rPr>
                <w:color w:val="243782"/>
              </w:rPr>
              <w:t> </w:t>
            </w:r>
          </w:p>
        </w:tc>
        <w:tc>
          <w:tcPr>
            <w:tcW w:w="190"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(4,406)</w:t>
            </w:r>
          </w:p>
        </w:tc>
        <w:tc>
          <w:tcPr>
            <w:tcW w:w="276"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7"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Actuarial gains and losses on defined benefit pension obligations</w:t>
            </w:r>
          </w:p>
        </w:tc>
        <w:tc>
          <w:tcPr>
            <w:tcW w:w="511"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159 </w:t>
            </w:r>
          </w:p>
        </w:tc>
        <w:tc>
          <w:tcPr>
            <w:tcW w:w="207"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(257)</w:t>
            </w:r>
          </w:p>
        </w:tc>
        <w:tc>
          <w:tcPr>
            <w:tcW w:w="207"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339 </w:t>
            </w:r>
          </w:p>
        </w:tc>
        <w:tc>
          <w:tcPr>
            <w:tcW w:w="190"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(119)</w:t>
            </w:r>
          </w:p>
        </w:tc>
        <w:tc>
          <w:tcPr>
            <w:tcW w:w="27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7"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 xml:space="preserve">Income tax (expense)/benefit </w:t>
            </w:r>
          </w:p>
        </w:tc>
        <w:tc>
          <w:tcPr>
            <w:tcW w:w="511"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(30)</w:t>
            </w:r>
          </w:p>
        </w:tc>
        <w:tc>
          <w:tcPr>
            <w:tcW w:w="207"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65 </w:t>
            </w:r>
          </w:p>
        </w:tc>
        <w:tc>
          <w:tcPr>
            <w:tcW w:w="207"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(81)</w:t>
            </w:r>
          </w:p>
        </w:tc>
        <w:tc>
          <w:tcPr>
            <w:tcW w:w="190"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32 </w:t>
            </w:r>
          </w:p>
        </w:tc>
        <w:tc>
          <w:tcPr>
            <w:tcW w:w="27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7"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Share of Other comprehensive income/(loss) for equity method investees</w:t>
            </w:r>
          </w:p>
        </w:tc>
        <w:tc>
          <w:tcPr>
            <w:tcW w:w="511"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w:t>
            </w:r>
          </w:p>
        </w:tc>
        <w:tc>
          <w:tcPr>
            <w:tcW w:w="207"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2 </w:t>
            </w:r>
          </w:p>
        </w:tc>
        <w:tc>
          <w:tcPr>
            <w:tcW w:w="207"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9 </w:t>
            </w:r>
          </w:p>
        </w:tc>
        <w:tc>
          <w:tcPr>
            <w:tcW w:w="27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621"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570"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r>
      <w:tr>
        <w:trPr/>
        <w:tc>
          <w:tcPr>
            <w:tcW w:w="4457"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243782"/>
                <w:sz w:val="18"/>
              </w:rPr>
            </w:pPr>
            <w:r>
              <w:rPr>
                <w:rFonts w:ascii="Helvetica;sans-serif" w:hAnsi="Helvetica;sans-serif"/>
                <w:b/>
                <w:color w:val="243782"/>
                <w:sz w:val="18"/>
              </w:rPr>
              <w:t>Amounts not to be reclassified to profit or loss</w:t>
            </w:r>
          </w:p>
        </w:tc>
        <w:tc>
          <w:tcPr>
            <w:tcW w:w="511"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8"/>
              </w:rPr>
            </w:pPr>
            <w:r>
              <w:rPr>
                <w:rFonts w:ascii="Helvetica;sans-serif" w:hAnsi="Helvetica;sans-serif"/>
                <w:b w:val="false"/>
                <w:color w:val="000000"/>
                <w:sz w:val="18"/>
              </w:rPr>
              <w:t>15</w:t>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8"/>
              </w:rPr>
              <w:t>127</w:t>
            </w:r>
            <w:r>
              <w:rPr>
                <w:color w:val="243782"/>
              </w:rPr>
              <w:t> </w:t>
            </w:r>
          </w:p>
        </w:tc>
        <w:tc>
          <w:tcPr>
            <w:tcW w:w="207"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(190)</w:t>
            </w:r>
          </w:p>
        </w:tc>
        <w:tc>
          <w:tcPr>
            <w:tcW w:w="207"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8"/>
              </w:rPr>
              <w:t>258</w:t>
            </w:r>
            <w:r>
              <w:rPr>
                <w:color w:val="243782"/>
              </w:rPr>
              <w:t> </w:t>
            </w:r>
          </w:p>
        </w:tc>
        <w:tc>
          <w:tcPr>
            <w:tcW w:w="190"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(78)</w:t>
            </w:r>
          </w:p>
        </w:tc>
        <w:tc>
          <w:tcPr>
            <w:tcW w:w="276"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7" w:type="dxa"/>
            <w:gridSpan w:val="3"/>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243782"/>
                <w:sz w:val="18"/>
              </w:rPr>
            </w:pPr>
            <w:r>
              <w:rPr>
                <w:rFonts w:ascii="Helvetica;sans-serif" w:hAnsi="Helvetica;sans-serif"/>
                <w:b/>
                <w:color w:val="243782"/>
                <w:sz w:val="18"/>
              </w:rPr>
              <w:t>TOTAL CONSOLIDATED COMPREHENSIVE INCOME/(LOSS) FOR THE PERIOD</w:t>
            </w:r>
          </w:p>
        </w:tc>
        <w:tc>
          <w:tcPr>
            <w:tcW w:w="511" w:type="dxa"/>
            <w:gridSpan w:val="3"/>
            <w:tcBorders>
              <w:top w:val="single" w:sz="2" w:space="0" w:color="8E939F"/>
            </w:tcBorders>
            <w:shd w:fill="E6E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E6E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8"/>
              </w:rPr>
              <w:t>709</w:t>
            </w:r>
            <w:r>
              <w:rPr>
                <w:color w:val="243782"/>
              </w:rPr>
              <w:t> </w:t>
            </w:r>
          </w:p>
        </w:tc>
        <w:tc>
          <w:tcPr>
            <w:tcW w:w="207"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op w:val="single" w:sz="2" w:space="0" w:color="8E939F"/>
            </w:tcBorders>
            <w:shd w:fill="E6E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(5,399)</w:t>
            </w:r>
          </w:p>
        </w:tc>
        <w:tc>
          <w:tcPr>
            <w:tcW w:w="207"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E6E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8"/>
              </w:rPr>
              <w:t>2,680</w:t>
            </w:r>
            <w:r>
              <w:rPr>
                <w:color w:val="243782"/>
              </w:rPr>
              <w:t> </w:t>
            </w:r>
          </w:p>
        </w:tc>
        <w:tc>
          <w:tcPr>
            <w:tcW w:w="190"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op w:val="single" w:sz="2" w:space="0" w:color="8E939F"/>
            </w:tcBorders>
            <w:shd w:fill="E6E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(6,740)</w:t>
            </w:r>
          </w:p>
        </w:tc>
        <w:tc>
          <w:tcPr>
            <w:tcW w:w="276"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7"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of which, attributable to equity holders of the parent</w:t>
            </w:r>
          </w:p>
        </w:tc>
        <w:tc>
          <w:tcPr>
            <w:tcW w:w="511"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680 </w:t>
            </w:r>
          </w:p>
        </w:tc>
        <w:tc>
          <w:tcPr>
            <w:tcW w:w="207"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(5,402)</w:t>
            </w:r>
          </w:p>
        </w:tc>
        <w:tc>
          <w:tcPr>
            <w:tcW w:w="207"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2,662 </w:t>
            </w:r>
          </w:p>
        </w:tc>
        <w:tc>
          <w:tcPr>
            <w:tcW w:w="190"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(6,713)</w:t>
            </w:r>
          </w:p>
        </w:tc>
        <w:tc>
          <w:tcPr>
            <w:tcW w:w="27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7" w:type="dxa"/>
            <w:gridSpan w:val="3"/>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of which, attributable to non-controlling interests</w:t>
            </w:r>
          </w:p>
        </w:tc>
        <w:tc>
          <w:tcPr>
            <w:tcW w:w="511" w:type="dxa"/>
            <w:gridSpan w:val="3"/>
            <w:tcBorders>
              <w:top w:val="single" w:sz="2" w:space="0" w:color="8E939F"/>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535" w:type="dxa"/>
            <w:gridSpan w:val="2"/>
            <w:tcBorders>
              <w:top w:val="single" w:sz="2" w:space="0" w:color="8E939F"/>
              <w:bottom w:val="single" w:sz="2" w:space="0" w:color="8E939F"/>
            </w:tcBorders>
            <w:shd w:fill="F3F3F9" w:val="clear"/>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29 </w:t>
            </w:r>
          </w:p>
        </w:tc>
        <w:tc>
          <w:tcPr>
            <w:tcW w:w="207" w:type="dxa"/>
            <w:tcBorders>
              <w:top w:val="single" w:sz="2" w:space="0" w:color="8E939F"/>
              <w:bottom w:val="single" w:sz="2" w:space="0" w:color="8E939F"/>
            </w:tcBorders>
            <w:shd w:fill="F3F3F9"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op w:val="single" w:sz="2" w:space="0" w:color="8E939F"/>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3 </w:t>
            </w:r>
          </w:p>
        </w:tc>
        <w:tc>
          <w:tcPr>
            <w:tcW w:w="207" w:type="dxa"/>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2" w:space="0" w:color="8E939F"/>
              <w:bottom w:val="single" w:sz="2" w:space="0" w:color="8E939F"/>
            </w:tcBorders>
            <w:shd w:fill="F3F3F9" w:val="clear"/>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18 </w:t>
            </w:r>
          </w:p>
        </w:tc>
        <w:tc>
          <w:tcPr>
            <w:tcW w:w="190" w:type="dxa"/>
            <w:tcBorders>
              <w:top w:val="single" w:sz="2" w:space="0" w:color="8E939F"/>
              <w:bottom w:val="single" w:sz="2" w:space="0" w:color="8E939F"/>
            </w:tcBorders>
            <w:shd w:fill="F3F3F9"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op w:val="single" w:sz="2" w:space="0" w:color="8E939F"/>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(27)</w:t>
            </w:r>
          </w:p>
        </w:tc>
        <w:tc>
          <w:tcPr>
            <w:tcW w:w="276" w:type="dxa"/>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343" w:before="0" w:after="240"/>
        <w:jc w:val="center"/>
        <w:rPr>
          <w:rFonts w:ascii="Helvetica Light;sans-serif" w:hAnsi="Helvetica Light;sans-serif"/>
          <w:b w:val="false"/>
          <w:color w:val="000000"/>
          <w:sz w:val="16"/>
        </w:rPr>
      </w:pPr>
      <w:r>
        <w:rPr>
          <w:rFonts w:ascii="Helvetica Light;sans-serif" w:hAnsi="Helvetica Light;sans-serif"/>
          <w:b w:val="false"/>
          <w:color w:val="000000"/>
          <w:sz w:val="16"/>
        </w:rPr>
        <w:t>The accompanying notes are an integral part of the Interim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503555"/>
                <wp:effectExtent l="0" t="0" r="0" b="0"/>
                <wp:wrapNone/>
                <wp:docPr id="75" name="Frame60"/>
                <a:graphic xmlns:a="http://schemas.openxmlformats.org/drawingml/2006/main">
                  <a:graphicData uri="http://schemas.microsoft.com/office/word/2010/wordprocessingShape">
                    <wps:wsp>
                      <wps:cNvSpPr txBox="1"/>
                      <wps:spPr>
                        <a:xfrm>
                          <a:off x="0" y="0"/>
                          <a:ext cx="6480175" cy="5035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56</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56</w:t>
                      </w:r>
                    </w:p>
                    <w:p>
                      <w:pPr>
                        <w:pStyle w:val="TextBody"/>
                        <w:bidi w:val="0"/>
                        <w:spacing w:before="0" w:after="24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88" w:before="0" w:after="40"/>
        <w:jc w:val="left"/>
        <w:rPr>
          <w:rFonts w:ascii="Helvetica;sans-serif" w:hAnsi="Helvetica;sans-serif"/>
          <w:b/>
          <w:color w:val="143A84"/>
          <w:sz w:val="18"/>
        </w:rPr>
      </w:pPr>
      <w:r>
        <w:rPr>
          <w:rFonts w:ascii="Helvetica;sans-serif" w:hAnsi="Helvetica;sans-serif"/>
          <w:b/>
          <w:color w:val="143A84"/>
          <w:sz w:val="18"/>
        </w:rPr>
        <w:t xml:space="preserve">STELLANTIS N.V. AND SUBSIDIARIES </w:t>
      </w:r>
    </w:p>
    <w:p>
      <w:pPr>
        <w:pStyle w:val="TextBody"/>
        <w:bidi w:val="0"/>
        <w:spacing w:lineRule="auto" w:line="288" w:before="0" w:after="40"/>
        <w:jc w:val="left"/>
        <w:rPr>
          <w:rFonts w:ascii="Helvetica;sans-serif" w:hAnsi="Helvetica;sans-serif"/>
          <w:b/>
          <w:color w:val="143A84"/>
          <w:sz w:val="18"/>
        </w:rPr>
      </w:pPr>
      <w:r>
        <w:rPr>
          <w:rFonts w:ascii="Helvetica;sans-serif" w:hAnsi="Helvetica;sans-serif"/>
          <w:b/>
          <w:color w:val="143A84"/>
          <w:sz w:val="18"/>
        </w:rPr>
        <w:t xml:space="preserve">INTERIM CONDENSED CONSOLIDATED STATEMENT OF FINANCIAL POSITION </w:t>
      </w:r>
    </w:p>
    <w:p>
      <w:pPr>
        <w:pStyle w:val="TextBody"/>
        <w:bidi w:val="0"/>
        <w:spacing w:lineRule="auto" w:line="288" w:before="0" w:after="40"/>
        <w:jc w:val="left"/>
        <w:rPr>
          <w:rFonts w:ascii="Helvetica;sans-serif" w:hAnsi="Helvetica;sans-serif"/>
          <w:b/>
          <w:color w:val="143A84"/>
          <w:sz w:val="18"/>
        </w:rPr>
      </w:pPr>
      <w:r>
        <w:rPr>
          <w:rFonts w:ascii="Helvetica;sans-serif" w:hAnsi="Helvetica;sans-serif"/>
          <w:b/>
          <w:color w:val="143A84"/>
          <w:sz w:val="18"/>
        </w:rPr>
        <w:t>(Unaudited)</w:t>
      </w:r>
    </w:p>
    <w:tbl>
      <w:tblPr>
        <w:tblW w:w="9504" w:type="dxa"/>
        <w:jc w:val="left"/>
        <w:tblInd w:w="0" w:type="dxa"/>
        <w:tblLayout w:type="fixed"/>
        <w:tblCellMar>
          <w:top w:w="28" w:type="dxa"/>
          <w:left w:w="28" w:type="dxa"/>
          <w:bottom w:w="28" w:type="dxa"/>
          <w:right w:w="28" w:type="dxa"/>
        </w:tblCellMar>
      </w:tblPr>
      <w:tblGrid>
        <w:gridCol w:w="1721"/>
        <w:gridCol w:w="1512"/>
        <w:gridCol w:w="1522"/>
        <w:gridCol w:w="170"/>
        <w:gridCol w:w="170"/>
        <w:gridCol w:w="171"/>
        <w:gridCol w:w="109"/>
        <w:gridCol w:w="109"/>
        <w:gridCol w:w="109"/>
        <w:gridCol w:w="509"/>
        <w:gridCol w:w="509"/>
        <w:gridCol w:w="512"/>
        <w:gridCol w:w="109"/>
        <w:gridCol w:w="109"/>
        <w:gridCol w:w="109"/>
        <w:gridCol w:w="600"/>
        <w:gridCol w:w="600"/>
        <w:gridCol w:w="854"/>
      </w:tblGrid>
      <w:tr>
        <w:trPr/>
        <w:tc>
          <w:tcPr>
            <w:tcW w:w="1721"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152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top w:val="single" w:sz="2" w:space="0" w:color="FFFFFF"/>
            </w:tcBorders>
            <w:tcMar>
              <w:top w:w="52" w:type="dxa"/>
              <w:left w:w="0" w:type="dxa"/>
              <w:bottom w:w="0" w:type="dxa"/>
              <w:right w:w="0" w:type="dxa"/>
            </w:tcMar>
            <w:vAlign w:val="center"/>
          </w:tcPr>
          <w:p>
            <w:pPr>
              <w:pStyle w:val="TableContents"/>
              <w:bidi w:val="0"/>
              <w:spacing w:lineRule="auto" w:line="288" w:before="0" w:after="240"/>
              <w:jc w:val="left"/>
              <w:rPr>
                <w:rFonts w:ascii="Helvetica;sans-serif" w:hAnsi="Helvetica;sans-serif"/>
                <w:b w:val="false"/>
                <w:i/>
                <w:color w:val="000000"/>
                <w:sz w:val="16"/>
              </w:rPr>
            </w:pPr>
            <w:r>
              <w:rPr>
                <w:rFonts w:ascii="Helvetica;sans-serif" w:hAnsi="Helvetica;sans-serif"/>
                <w:b w:val="false"/>
                <w:i/>
                <w:color w:val="000000"/>
                <w:sz w:val="16"/>
              </w:rPr>
              <w:t>(€ million)</w:t>
            </w:r>
          </w:p>
        </w:tc>
        <w:tc>
          <w:tcPr>
            <w:tcW w:w="511" w:type="dxa"/>
            <w:gridSpan w:val="3"/>
            <w:tcBorders>
              <w:top w:val="single" w:sz="2" w:space="0" w:color="FFFFFF"/>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Note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F3F3F9"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At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At December 31, 2025</w:t>
            </w:r>
          </w:p>
        </w:tc>
      </w:tr>
      <w:tr>
        <w:trPr/>
        <w:tc>
          <w:tcPr>
            <w:tcW w:w="4755"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243782"/>
                <w:sz w:val="18"/>
              </w:rPr>
            </w:pPr>
            <w:r>
              <w:rPr>
                <w:rFonts w:ascii="Helvetica;sans-serif" w:hAnsi="Helvetica;sans-serif"/>
                <w:b/>
                <w:color w:val="243782"/>
                <w:sz w:val="18"/>
              </w:rPr>
              <w:t>Assets</w:t>
            </w:r>
          </w:p>
        </w:tc>
        <w:tc>
          <w:tcPr>
            <w:tcW w:w="511"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Goodwill and intangible assets with indefinite useful lives</w:t>
            </w:r>
          </w:p>
        </w:tc>
        <w:tc>
          <w:tcPr>
            <w:tcW w:w="511"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8"/>
              </w:rPr>
            </w:pPr>
            <w:r>
              <w:rPr>
                <w:rFonts w:ascii="Helvetica;sans-serif" w:hAnsi="Helvetica;sans-serif"/>
                <w:b w:val="false"/>
                <w:color w:val="000000"/>
                <w:sz w:val="18"/>
              </w:rPr>
              <w:t>6</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29,977 </w:t>
            </w:r>
          </w:p>
        </w:tc>
        <w:tc>
          <w:tcPr>
            <w:tcW w:w="512"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29,176 </w:t>
            </w:r>
          </w:p>
        </w:tc>
        <w:tc>
          <w:tcPr>
            <w:tcW w:w="854"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Other intangible assets</w:t>
            </w:r>
          </w:p>
        </w:tc>
        <w:tc>
          <w:tcPr>
            <w:tcW w:w="511"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15,793 </w:t>
            </w:r>
          </w:p>
        </w:tc>
        <w:tc>
          <w:tcPr>
            <w:tcW w:w="512"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15,709 </w:t>
            </w:r>
          </w:p>
        </w:tc>
        <w:tc>
          <w:tcPr>
            <w:tcW w:w="854"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Property, plant and equipment</w:t>
            </w:r>
          </w:p>
        </w:tc>
        <w:tc>
          <w:tcPr>
            <w:tcW w:w="511"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46,133 </w:t>
            </w:r>
          </w:p>
        </w:tc>
        <w:tc>
          <w:tcPr>
            <w:tcW w:w="512"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42,958 </w:t>
            </w:r>
          </w:p>
        </w:tc>
        <w:tc>
          <w:tcPr>
            <w:tcW w:w="854"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100" w:after="100"/>
              <w:jc w:val="left"/>
              <w:rPr>
                <w:rFonts w:ascii="Helvetica;sans-serif" w:hAnsi="Helvetica;sans-serif"/>
                <w:b w:val="false"/>
                <w:color w:val="000000"/>
                <w:sz w:val="18"/>
              </w:rPr>
            </w:pPr>
            <w:r>
              <w:rPr>
                <w:rFonts w:ascii="Helvetica;sans-serif" w:hAnsi="Helvetica;sans-serif"/>
                <w:b w:val="false"/>
                <w:color w:val="000000"/>
                <w:sz w:val="18"/>
              </w:rPr>
              <w:t>Equity method investments</w:t>
            </w:r>
          </w:p>
        </w:tc>
        <w:tc>
          <w:tcPr>
            <w:tcW w:w="511"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7,343 </w:t>
            </w:r>
          </w:p>
        </w:tc>
        <w:tc>
          <w:tcPr>
            <w:tcW w:w="512"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7,276 </w:t>
            </w:r>
          </w:p>
        </w:tc>
        <w:tc>
          <w:tcPr>
            <w:tcW w:w="854"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100" w:after="100"/>
              <w:jc w:val="left"/>
              <w:rPr>
                <w:rFonts w:ascii="Helvetica;sans-serif" w:hAnsi="Helvetica;sans-serif"/>
                <w:b w:val="false"/>
                <w:color w:val="000000"/>
                <w:sz w:val="18"/>
              </w:rPr>
            </w:pPr>
            <w:r>
              <w:rPr>
                <w:rFonts w:ascii="Helvetica;sans-serif" w:hAnsi="Helvetica;sans-serif"/>
                <w:b w:val="false"/>
                <w:color w:val="000000"/>
                <w:sz w:val="18"/>
              </w:rPr>
              <w:t>Non-current financial assets</w:t>
            </w:r>
          </w:p>
        </w:tc>
        <w:tc>
          <w:tcPr>
            <w:tcW w:w="511"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8"/>
              </w:rPr>
            </w:pPr>
            <w:r>
              <w:rPr>
                <w:rFonts w:ascii="Helvetica;sans-serif" w:hAnsi="Helvetica;sans-serif"/>
                <w:b w:val="false"/>
                <w:color w:val="000000"/>
                <w:sz w:val="18"/>
              </w:rPr>
              <w:t>8</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1,895 </w:t>
            </w:r>
          </w:p>
        </w:tc>
        <w:tc>
          <w:tcPr>
            <w:tcW w:w="512"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1,794 </w:t>
            </w:r>
          </w:p>
        </w:tc>
        <w:tc>
          <w:tcPr>
            <w:tcW w:w="854"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Other non-current assets and prepaid expenses</w:t>
            </w:r>
          </w:p>
        </w:tc>
        <w:tc>
          <w:tcPr>
            <w:tcW w:w="511"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8"/>
              </w:rPr>
            </w:pPr>
            <w:r>
              <w:rPr>
                <w:rFonts w:ascii="Helvetica;sans-serif" w:hAnsi="Helvetica;sans-serif"/>
                <w:b w:val="false"/>
                <w:color w:val="000000"/>
                <w:sz w:val="18"/>
              </w:rPr>
              <w:t>7</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15,103 </w:t>
            </w:r>
          </w:p>
        </w:tc>
        <w:tc>
          <w:tcPr>
            <w:tcW w:w="512"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11,125 </w:t>
            </w:r>
          </w:p>
        </w:tc>
        <w:tc>
          <w:tcPr>
            <w:tcW w:w="854"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Deferred tax assets</w:t>
            </w:r>
          </w:p>
        </w:tc>
        <w:tc>
          <w:tcPr>
            <w:tcW w:w="511"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6,558 </w:t>
            </w:r>
          </w:p>
        </w:tc>
        <w:tc>
          <w:tcPr>
            <w:tcW w:w="512"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6,383 </w:t>
            </w:r>
          </w:p>
        </w:tc>
        <w:tc>
          <w:tcPr>
            <w:tcW w:w="854"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Non-current tax receivables</w:t>
            </w:r>
          </w:p>
        </w:tc>
        <w:tc>
          <w:tcPr>
            <w:tcW w:w="511"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238 </w:t>
            </w:r>
          </w:p>
        </w:tc>
        <w:tc>
          <w:tcPr>
            <w:tcW w:w="512"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194 </w:t>
            </w:r>
          </w:p>
        </w:tc>
        <w:tc>
          <w:tcPr>
            <w:tcW w:w="854"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243782"/>
                <w:sz w:val="18"/>
              </w:rPr>
            </w:pPr>
            <w:r>
              <w:rPr>
                <w:rFonts w:ascii="Helvetica;sans-serif" w:hAnsi="Helvetica;sans-serif"/>
                <w:b/>
                <w:color w:val="243782"/>
                <w:sz w:val="18"/>
              </w:rPr>
              <w:t>Total Non-current assets</w:t>
            </w:r>
          </w:p>
        </w:tc>
        <w:tc>
          <w:tcPr>
            <w:tcW w:w="511" w:type="dxa"/>
            <w:gridSpan w:val="3"/>
            <w:tcBorders>
              <w:top w:val="single" w:sz="2" w:space="0" w:color="8E939F"/>
            </w:tcBorders>
            <w:shd w:fill="E6E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E6E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8"/>
              </w:rPr>
              <w:t>123,040</w:t>
            </w:r>
            <w:r>
              <w:rPr>
                <w:color w:val="243782"/>
              </w:rPr>
              <w:t> </w:t>
            </w:r>
          </w:p>
        </w:tc>
        <w:tc>
          <w:tcPr>
            <w:tcW w:w="512"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E6E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8"/>
              </w:rPr>
              <w:t>114,615</w:t>
            </w:r>
            <w:r>
              <w:rPr>
                <w:color w:val="243782"/>
              </w:rPr>
              <w:t> </w:t>
            </w:r>
          </w:p>
        </w:tc>
        <w:tc>
          <w:tcPr>
            <w:tcW w:w="854"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Inventories</w:t>
            </w:r>
          </w:p>
        </w:tc>
        <w:tc>
          <w:tcPr>
            <w:tcW w:w="511"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8"/>
              </w:rPr>
            </w:pPr>
            <w:r>
              <w:rPr>
                <w:rFonts w:ascii="Helvetica;sans-serif" w:hAnsi="Helvetica;sans-serif"/>
                <w:b w:val="false"/>
                <w:color w:val="000000"/>
                <w:sz w:val="18"/>
              </w:rPr>
              <w:t>9</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23,987 </w:t>
            </w:r>
          </w:p>
        </w:tc>
        <w:tc>
          <w:tcPr>
            <w:tcW w:w="512"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22,153 </w:t>
            </w:r>
          </w:p>
        </w:tc>
        <w:tc>
          <w:tcPr>
            <w:tcW w:w="854"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Assets sold with a buyback commitment</w:t>
            </w:r>
          </w:p>
        </w:tc>
        <w:tc>
          <w:tcPr>
            <w:tcW w:w="511"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4,912 </w:t>
            </w:r>
          </w:p>
        </w:tc>
        <w:tc>
          <w:tcPr>
            <w:tcW w:w="512"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3,616 </w:t>
            </w:r>
          </w:p>
        </w:tc>
        <w:tc>
          <w:tcPr>
            <w:tcW w:w="854"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Trade receivables</w:t>
            </w:r>
          </w:p>
        </w:tc>
        <w:tc>
          <w:tcPr>
            <w:tcW w:w="511"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7,291 </w:t>
            </w:r>
          </w:p>
        </w:tc>
        <w:tc>
          <w:tcPr>
            <w:tcW w:w="512"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5,662 </w:t>
            </w:r>
          </w:p>
        </w:tc>
        <w:tc>
          <w:tcPr>
            <w:tcW w:w="854"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Current tax receivables</w:t>
            </w:r>
          </w:p>
        </w:tc>
        <w:tc>
          <w:tcPr>
            <w:tcW w:w="511"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931 </w:t>
            </w:r>
          </w:p>
        </w:tc>
        <w:tc>
          <w:tcPr>
            <w:tcW w:w="512"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1,199 </w:t>
            </w:r>
          </w:p>
        </w:tc>
        <w:tc>
          <w:tcPr>
            <w:tcW w:w="854"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Other current assets and prepaid expenses</w:t>
            </w:r>
          </w:p>
        </w:tc>
        <w:tc>
          <w:tcPr>
            <w:tcW w:w="511"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8"/>
              </w:rPr>
            </w:pPr>
            <w:r>
              <w:rPr>
                <w:rFonts w:ascii="Helvetica;sans-serif" w:hAnsi="Helvetica;sans-serif"/>
                <w:b w:val="false"/>
                <w:color w:val="000000"/>
                <w:sz w:val="18"/>
              </w:rPr>
              <w:t>7</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17,586 </w:t>
            </w:r>
          </w:p>
        </w:tc>
        <w:tc>
          <w:tcPr>
            <w:tcW w:w="512"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15,770 </w:t>
            </w:r>
          </w:p>
        </w:tc>
        <w:tc>
          <w:tcPr>
            <w:tcW w:w="854"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Current financial assets</w:t>
            </w:r>
          </w:p>
        </w:tc>
        <w:tc>
          <w:tcPr>
            <w:tcW w:w="511"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8"/>
              </w:rPr>
            </w:pPr>
            <w:r>
              <w:rPr>
                <w:rFonts w:ascii="Helvetica;sans-serif" w:hAnsi="Helvetica;sans-serif"/>
                <w:b w:val="false"/>
                <w:color w:val="000000"/>
                <w:sz w:val="18"/>
              </w:rPr>
              <w:t>8</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1,969 </w:t>
            </w:r>
          </w:p>
        </w:tc>
        <w:tc>
          <w:tcPr>
            <w:tcW w:w="512"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1,987 </w:t>
            </w:r>
          </w:p>
        </w:tc>
        <w:tc>
          <w:tcPr>
            <w:tcW w:w="854"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Cash and cash equivalents</w:t>
            </w:r>
          </w:p>
        </w:tc>
        <w:tc>
          <w:tcPr>
            <w:tcW w:w="511"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33,697 </w:t>
            </w:r>
          </w:p>
        </w:tc>
        <w:tc>
          <w:tcPr>
            <w:tcW w:w="512"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30,146 </w:t>
            </w:r>
          </w:p>
        </w:tc>
        <w:tc>
          <w:tcPr>
            <w:tcW w:w="854"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 xml:space="preserve">Assets held for sale </w:t>
            </w:r>
          </w:p>
        </w:tc>
        <w:tc>
          <w:tcPr>
            <w:tcW w:w="511"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10 </w:t>
            </w:r>
          </w:p>
        </w:tc>
        <w:tc>
          <w:tcPr>
            <w:tcW w:w="512"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5 </w:t>
            </w:r>
          </w:p>
        </w:tc>
        <w:tc>
          <w:tcPr>
            <w:tcW w:w="854"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243782"/>
                <w:sz w:val="18"/>
              </w:rPr>
            </w:pPr>
            <w:r>
              <w:rPr>
                <w:rFonts w:ascii="Helvetica;sans-serif" w:hAnsi="Helvetica;sans-serif"/>
                <w:b/>
                <w:color w:val="243782"/>
                <w:sz w:val="18"/>
              </w:rPr>
              <w:t>Total Current assets</w:t>
            </w:r>
          </w:p>
        </w:tc>
        <w:tc>
          <w:tcPr>
            <w:tcW w:w="511" w:type="dxa"/>
            <w:gridSpan w:val="3"/>
            <w:tcBorders>
              <w:top w:val="single" w:sz="2" w:space="0" w:color="8E939F"/>
            </w:tcBorders>
            <w:shd w:fill="E6E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E6E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8"/>
              </w:rPr>
              <w:t>90,383</w:t>
            </w:r>
            <w:r>
              <w:rPr>
                <w:color w:val="243782"/>
              </w:rPr>
              <w:t> </w:t>
            </w:r>
          </w:p>
        </w:tc>
        <w:tc>
          <w:tcPr>
            <w:tcW w:w="512"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E6E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8"/>
              </w:rPr>
              <w:t>80,538</w:t>
            </w:r>
            <w:r>
              <w:rPr>
                <w:color w:val="243782"/>
              </w:rPr>
              <w:t> </w:t>
            </w:r>
          </w:p>
        </w:tc>
        <w:tc>
          <w:tcPr>
            <w:tcW w:w="854"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243782"/>
                <w:sz w:val="18"/>
              </w:rPr>
            </w:pPr>
            <w:r>
              <w:rPr>
                <w:rFonts w:ascii="Helvetica;sans-serif" w:hAnsi="Helvetica;sans-serif"/>
                <w:b/>
                <w:color w:val="243782"/>
                <w:sz w:val="18"/>
              </w:rPr>
              <w:t>Total Assets</w:t>
            </w:r>
          </w:p>
        </w:tc>
        <w:tc>
          <w:tcPr>
            <w:tcW w:w="511" w:type="dxa"/>
            <w:gridSpan w:val="3"/>
            <w:tcBorders>
              <w:top w:val="single" w:sz="2" w:space="0" w:color="8E939F"/>
            </w:tcBorders>
            <w:shd w:fill="E6E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E6E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8"/>
              </w:rPr>
              <w:t>213,423</w:t>
            </w:r>
            <w:r>
              <w:rPr>
                <w:color w:val="243782"/>
              </w:rPr>
              <w:t> </w:t>
            </w:r>
          </w:p>
        </w:tc>
        <w:tc>
          <w:tcPr>
            <w:tcW w:w="512"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E6E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8"/>
              </w:rPr>
              <w:t>195,153</w:t>
            </w:r>
            <w:r>
              <w:rPr>
                <w:color w:val="243782"/>
              </w:rPr>
              <w:t> </w:t>
            </w:r>
          </w:p>
        </w:tc>
        <w:tc>
          <w:tcPr>
            <w:tcW w:w="854"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243782"/>
                <w:sz w:val="18"/>
              </w:rPr>
            </w:pPr>
            <w:r>
              <w:rPr>
                <w:rFonts w:ascii="Helvetica;sans-serif" w:hAnsi="Helvetica;sans-serif"/>
                <w:b/>
                <w:color w:val="243782"/>
                <w:sz w:val="18"/>
              </w:rPr>
              <w:t>Equity and liabilities</w:t>
            </w:r>
          </w:p>
        </w:tc>
        <w:tc>
          <w:tcPr>
            <w:tcW w:w="511"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243782"/>
                <w:sz w:val="18"/>
              </w:rPr>
            </w:pPr>
            <w:r>
              <w:rPr>
                <w:rFonts w:ascii="Helvetica;sans-serif" w:hAnsi="Helvetica;sans-serif"/>
                <w:b/>
                <w:color w:val="243782"/>
                <w:sz w:val="18"/>
              </w:rPr>
              <w:t>Equity</w:t>
            </w:r>
          </w:p>
        </w:tc>
        <w:tc>
          <w:tcPr>
            <w:tcW w:w="511"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8"/>
              </w:rPr>
            </w:pPr>
            <w:r>
              <w:rPr>
                <w:rFonts w:ascii="Helvetica;sans-serif" w:hAnsi="Helvetica;sans-serif"/>
                <w:b w:val="false"/>
                <w:color w:val="000000"/>
                <w:sz w:val="18"/>
              </w:rPr>
              <w:t>18</w:t>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4" w:type="dxa"/>
            <w:gridSpan w:val="3"/>
            <w:tcBorders/>
            <w:vAlign w:val="center"/>
          </w:tcPr>
          <w:p>
            <w:pPr>
              <w:pStyle w:val="TableContents"/>
              <w:bidi w:val="0"/>
              <w:spacing w:before="0" w:after="283"/>
              <w:jc w:val="left"/>
              <w:rPr>
                <w:sz w:val="4"/>
                <w:szCs w:val="4"/>
              </w:rPr>
            </w:pPr>
            <w:r>
              <w:rPr>
                <w:sz w:val="4"/>
                <w:szCs w:val="4"/>
              </w:rPr>
            </w:r>
          </w:p>
        </w:tc>
      </w:tr>
      <w:tr>
        <w:trPr/>
        <w:tc>
          <w:tcPr>
            <w:tcW w:w="4755"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4" w:type="dxa"/>
            <w:gridSpan w:val="3"/>
            <w:tcBorders/>
            <w:vAlign w:val="center"/>
          </w:tcPr>
          <w:p>
            <w:pPr>
              <w:pStyle w:val="TableContents"/>
              <w:bidi w:val="0"/>
              <w:spacing w:before="0" w:after="283"/>
              <w:jc w:val="left"/>
              <w:rPr>
                <w:sz w:val="4"/>
                <w:szCs w:val="4"/>
              </w:rPr>
            </w:pPr>
            <w:r>
              <w:rPr>
                <w:sz w:val="4"/>
                <w:szCs w:val="4"/>
              </w:rPr>
            </w:r>
          </w:p>
        </w:tc>
      </w:tr>
      <w:tr>
        <w:trPr/>
        <w:tc>
          <w:tcPr>
            <w:tcW w:w="4755"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Equity attributable to owners of the parent</w:t>
            </w:r>
          </w:p>
        </w:tc>
        <w:tc>
          <w:tcPr>
            <w:tcW w:w="511"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61,279 </w:t>
            </w:r>
          </w:p>
        </w:tc>
        <w:tc>
          <w:tcPr>
            <w:tcW w:w="512"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53,551 </w:t>
            </w:r>
          </w:p>
        </w:tc>
        <w:tc>
          <w:tcPr>
            <w:tcW w:w="854"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Non-controlling interests</w:t>
            </w:r>
          </w:p>
        </w:tc>
        <w:tc>
          <w:tcPr>
            <w:tcW w:w="511"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458 </w:t>
            </w:r>
          </w:p>
        </w:tc>
        <w:tc>
          <w:tcPr>
            <w:tcW w:w="512"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450 </w:t>
            </w:r>
          </w:p>
        </w:tc>
        <w:tc>
          <w:tcPr>
            <w:tcW w:w="854"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243782"/>
                <w:sz w:val="18"/>
              </w:rPr>
            </w:pPr>
            <w:r>
              <w:rPr>
                <w:rFonts w:ascii="Helvetica;sans-serif" w:hAnsi="Helvetica;sans-serif"/>
                <w:b/>
                <w:color w:val="243782"/>
                <w:sz w:val="18"/>
              </w:rPr>
              <w:t>Total Equity</w:t>
            </w:r>
          </w:p>
        </w:tc>
        <w:tc>
          <w:tcPr>
            <w:tcW w:w="511" w:type="dxa"/>
            <w:gridSpan w:val="3"/>
            <w:tcBorders>
              <w:top w:val="single" w:sz="2" w:space="0" w:color="8E939F"/>
            </w:tcBorders>
            <w:shd w:fill="E6E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E6E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8"/>
              </w:rPr>
              <w:t>61,737</w:t>
            </w:r>
            <w:r>
              <w:rPr>
                <w:color w:val="243782"/>
              </w:rPr>
              <w:t> </w:t>
            </w:r>
          </w:p>
        </w:tc>
        <w:tc>
          <w:tcPr>
            <w:tcW w:w="512"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E6E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8"/>
              </w:rPr>
              <w:t>54,001</w:t>
            </w:r>
            <w:r>
              <w:rPr>
                <w:color w:val="243782"/>
              </w:rPr>
              <w:t> </w:t>
            </w:r>
          </w:p>
        </w:tc>
        <w:tc>
          <w:tcPr>
            <w:tcW w:w="854"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243782"/>
                <w:sz w:val="18"/>
              </w:rPr>
            </w:pPr>
            <w:r>
              <w:rPr>
                <w:rFonts w:ascii="Helvetica;sans-serif" w:hAnsi="Helvetica;sans-serif"/>
                <w:b/>
                <w:color w:val="243782"/>
                <w:sz w:val="18"/>
              </w:rPr>
              <w:t>Liabilities</w:t>
            </w:r>
          </w:p>
        </w:tc>
        <w:tc>
          <w:tcPr>
            <w:tcW w:w="511"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Long-term debt</w:t>
            </w:r>
          </w:p>
        </w:tc>
        <w:tc>
          <w:tcPr>
            <w:tcW w:w="511"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8"/>
              </w:rPr>
            </w:pPr>
            <w:r>
              <w:rPr>
                <w:rFonts w:ascii="Helvetica;sans-serif" w:hAnsi="Helvetica;sans-serif"/>
                <w:b w:val="false"/>
                <w:color w:val="000000"/>
                <w:sz w:val="18"/>
              </w:rPr>
              <w:t>13</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36,203 </w:t>
            </w:r>
          </w:p>
        </w:tc>
        <w:tc>
          <w:tcPr>
            <w:tcW w:w="512"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31,826 </w:t>
            </w:r>
          </w:p>
        </w:tc>
        <w:tc>
          <w:tcPr>
            <w:tcW w:w="854"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Other non-current financial liabilities</w:t>
            </w:r>
          </w:p>
        </w:tc>
        <w:tc>
          <w:tcPr>
            <w:tcW w:w="511"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6 </w:t>
            </w:r>
          </w:p>
        </w:tc>
        <w:tc>
          <w:tcPr>
            <w:tcW w:w="512"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7 </w:t>
            </w:r>
          </w:p>
        </w:tc>
        <w:tc>
          <w:tcPr>
            <w:tcW w:w="854"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Other non-current liabilities</w:t>
            </w:r>
          </w:p>
        </w:tc>
        <w:tc>
          <w:tcPr>
            <w:tcW w:w="511"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8"/>
              </w:rPr>
            </w:pPr>
            <w:r>
              <w:rPr>
                <w:rFonts w:ascii="Helvetica;sans-serif" w:hAnsi="Helvetica;sans-serif"/>
                <w:b w:val="false"/>
                <w:color w:val="000000"/>
                <w:sz w:val="18"/>
              </w:rPr>
              <w:t>14</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5,758 </w:t>
            </w:r>
          </w:p>
        </w:tc>
        <w:tc>
          <w:tcPr>
            <w:tcW w:w="512"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5,475 </w:t>
            </w:r>
          </w:p>
        </w:tc>
        <w:tc>
          <w:tcPr>
            <w:tcW w:w="854"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Non-current provisions</w:t>
            </w:r>
          </w:p>
        </w:tc>
        <w:tc>
          <w:tcPr>
            <w:tcW w:w="511"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8"/>
              </w:rPr>
            </w:pPr>
            <w:r>
              <w:rPr>
                <w:rFonts w:ascii="Helvetica;sans-serif" w:hAnsi="Helvetica;sans-serif"/>
                <w:b w:val="false"/>
                <w:color w:val="000000"/>
                <w:sz w:val="18"/>
              </w:rPr>
              <w:t>12</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16,393 </w:t>
            </w:r>
          </w:p>
        </w:tc>
        <w:tc>
          <w:tcPr>
            <w:tcW w:w="512"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18,596 </w:t>
            </w:r>
          </w:p>
        </w:tc>
        <w:tc>
          <w:tcPr>
            <w:tcW w:w="854"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Employee benefits liabilities</w:t>
            </w:r>
          </w:p>
        </w:tc>
        <w:tc>
          <w:tcPr>
            <w:tcW w:w="511"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8"/>
              </w:rPr>
            </w:pPr>
            <w:r>
              <w:rPr>
                <w:rFonts w:ascii="Helvetica;sans-serif" w:hAnsi="Helvetica;sans-serif"/>
                <w:b w:val="false"/>
                <w:color w:val="000000"/>
                <w:sz w:val="18"/>
              </w:rPr>
              <w:t>11</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4,664 </w:t>
            </w:r>
          </w:p>
        </w:tc>
        <w:tc>
          <w:tcPr>
            <w:tcW w:w="512"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4,795 </w:t>
            </w:r>
          </w:p>
        </w:tc>
        <w:tc>
          <w:tcPr>
            <w:tcW w:w="854"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Non-current tax liabilities</w:t>
            </w:r>
          </w:p>
        </w:tc>
        <w:tc>
          <w:tcPr>
            <w:tcW w:w="511"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213 </w:t>
            </w:r>
          </w:p>
        </w:tc>
        <w:tc>
          <w:tcPr>
            <w:tcW w:w="512"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420 </w:t>
            </w:r>
          </w:p>
        </w:tc>
        <w:tc>
          <w:tcPr>
            <w:tcW w:w="854"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Deferred tax liabilities</w:t>
            </w:r>
          </w:p>
        </w:tc>
        <w:tc>
          <w:tcPr>
            <w:tcW w:w="511"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1,263 </w:t>
            </w:r>
          </w:p>
        </w:tc>
        <w:tc>
          <w:tcPr>
            <w:tcW w:w="512"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1,294 </w:t>
            </w:r>
          </w:p>
        </w:tc>
        <w:tc>
          <w:tcPr>
            <w:tcW w:w="854"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243782"/>
                <w:sz w:val="18"/>
              </w:rPr>
            </w:pPr>
            <w:r>
              <w:rPr>
                <w:rFonts w:ascii="Helvetica;sans-serif" w:hAnsi="Helvetica;sans-serif"/>
                <w:b/>
                <w:color w:val="243782"/>
                <w:sz w:val="18"/>
              </w:rPr>
              <w:t>Total Non-current liabilities</w:t>
            </w:r>
          </w:p>
        </w:tc>
        <w:tc>
          <w:tcPr>
            <w:tcW w:w="511" w:type="dxa"/>
            <w:gridSpan w:val="3"/>
            <w:tcBorders>
              <w:top w:val="single" w:sz="2" w:space="0" w:color="8E939F"/>
            </w:tcBorders>
            <w:shd w:fill="E6E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E6E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8"/>
              </w:rPr>
              <w:t>64,500</w:t>
            </w:r>
            <w:r>
              <w:rPr>
                <w:color w:val="243782"/>
              </w:rPr>
              <w:t> </w:t>
            </w:r>
          </w:p>
        </w:tc>
        <w:tc>
          <w:tcPr>
            <w:tcW w:w="512"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E6E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8"/>
              </w:rPr>
              <w:t>62,413</w:t>
            </w:r>
            <w:r>
              <w:rPr>
                <w:color w:val="243782"/>
              </w:rPr>
              <w:t> </w:t>
            </w:r>
          </w:p>
        </w:tc>
        <w:tc>
          <w:tcPr>
            <w:tcW w:w="854"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 xml:space="preserve">Short-term debt and current portion of long-term debt </w:t>
            </w:r>
          </w:p>
        </w:tc>
        <w:tc>
          <w:tcPr>
            <w:tcW w:w="511"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8"/>
              </w:rPr>
            </w:pPr>
            <w:r>
              <w:rPr>
                <w:rFonts w:ascii="Helvetica;sans-serif" w:hAnsi="Helvetica;sans-serif"/>
                <w:b w:val="false"/>
                <w:color w:val="000000"/>
                <w:sz w:val="18"/>
              </w:rPr>
              <w:t>13</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15,859 </w:t>
            </w:r>
          </w:p>
        </w:tc>
        <w:tc>
          <w:tcPr>
            <w:tcW w:w="512"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14,121 </w:t>
            </w:r>
          </w:p>
        </w:tc>
        <w:tc>
          <w:tcPr>
            <w:tcW w:w="854"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Current provisions</w:t>
            </w:r>
          </w:p>
        </w:tc>
        <w:tc>
          <w:tcPr>
            <w:tcW w:w="511"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8"/>
              </w:rPr>
            </w:pPr>
            <w:r>
              <w:rPr>
                <w:rFonts w:ascii="Helvetica;sans-serif" w:hAnsi="Helvetica;sans-serif"/>
                <w:b w:val="false"/>
                <w:color w:val="000000"/>
                <w:sz w:val="18"/>
              </w:rPr>
              <w:t>12</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14,775 </w:t>
            </w:r>
          </w:p>
        </w:tc>
        <w:tc>
          <w:tcPr>
            <w:tcW w:w="512"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14,317 </w:t>
            </w:r>
          </w:p>
        </w:tc>
        <w:tc>
          <w:tcPr>
            <w:tcW w:w="854"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Employee benefits liabilities</w:t>
            </w:r>
          </w:p>
        </w:tc>
        <w:tc>
          <w:tcPr>
            <w:tcW w:w="511"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8"/>
              </w:rPr>
            </w:pPr>
            <w:r>
              <w:rPr>
                <w:rFonts w:ascii="Helvetica;sans-serif" w:hAnsi="Helvetica;sans-serif"/>
                <w:b w:val="false"/>
                <w:color w:val="000000"/>
                <w:sz w:val="18"/>
              </w:rPr>
              <w:t>11</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559 </w:t>
            </w:r>
          </w:p>
        </w:tc>
        <w:tc>
          <w:tcPr>
            <w:tcW w:w="512"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517 </w:t>
            </w:r>
          </w:p>
        </w:tc>
        <w:tc>
          <w:tcPr>
            <w:tcW w:w="854"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Trade payables</w:t>
            </w:r>
          </w:p>
        </w:tc>
        <w:tc>
          <w:tcPr>
            <w:tcW w:w="511"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33,604 </w:t>
            </w:r>
          </w:p>
        </w:tc>
        <w:tc>
          <w:tcPr>
            <w:tcW w:w="512"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29,999 </w:t>
            </w:r>
          </w:p>
        </w:tc>
        <w:tc>
          <w:tcPr>
            <w:tcW w:w="854"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Current tax liabilities</w:t>
            </w:r>
          </w:p>
        </w:tc>
        <w:tc>
          <w:tcPr>
            <w:tcW w:w="511"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713 </w:t>
            </w:r>
          </w:p>
        </w:tc>
        <w:tc>
          <w:tcPr>
            <w:tcW w:w="512"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491 </w:t>
            </w:r>
          </w:p>
        </w:tc>
        <w:tc>
          <w:tcPr>
            <w:tcW w:w="854"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Other liabilities</w:t>
            </w:r>
          </w:p>
        </w:tc>
        <w:tc>
          <w:tcPr>
            <w:tcW w:w="511"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8"/>
              </w:rPr>
            </w:pPr>
            <w:r>
              <w:rPr>
                <w:rFonts w:ascii="Helvetica;sans-serif" w:hAnsi="Helvetica;sans-serif"/>
                <w:b w:val="false"/>
                <w:color w:val="000000"/>
                <w:sz w:val="18"/>
              </w:rPr>
              <w:t>14</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21,632 </w:t>
            </w:r>
          </w:p>
        </w:tc>
        <w:tc>
          <w:tcPr>
            <w:tcW w:w="512"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19,265 </w:t>
            </w:r>
          </w:p>
        </w:tc>
        <w:tc>
          <w:tcPr>
            <w:tcW w:w="854"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Other current financial liabilities</w:t>
            </w:r>
          </w:p>
        </w:tc>
        <w:tc>
          <w:tcPr>
            <w:tcW w:w="511"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30 </w:t>
            </w:r>
          </w:p>
        </w:tc>
        <w:tc>
          <w:tcPr>
            <w:tcW w:w="512"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29 </w:t>
            </w:r>
          </w:p>
        </w:tc>
        <w:tc>
          <w:tcPr>
            <w:tcW w:w="854"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Liabilities held for sale</w:t>
            </w:r>
          </w:p>
        </w:tc>
        <w:tc>
          <w:tcPr>
            <w:tcW w:w="511"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14 </w:t>
            </w:r>
          </w:p>
        </w:tc>
        <w:tc>
          <w:tcPr>
            <w:tcW w:w="512"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854"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243782"/>
                <w:sz w:val="18"/>
              </w:rPr>
            </w:pPr>
            <w:r>
              <w:rPr>
                <w:rFonts w:ascii="Helvetica;sans-serif" w:hAnsi="Helvetica;sans-serif"/>
                <w:b/>
                <w:color w:val="243782"/>
                <w:sz w:val="18"/>
              </w:rPr>
              <w:t>Total Current liabilities</w:t>
            </w:r>
          </w:p>
        </w:tc>
        <w:tc>
          <w:tcPr>
            <w:tcW w:w="511" w:type="dxa"/>
            <w:gridSpan w:val="3"/>
            <w:tcBorders>
              <w:top w:val="single" w:sz="2" w:space="0" w:color="8E939F"/>
            </w:tcBorders>
            <w:shd w:fill="E6E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E6E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8"/>
              </w:rPr>
              <w:t>87,186</w:t>
            </w:r>
            <w:r>
              <w:rPr>
                <w:color w:val="243782"/>
              </w:rPr>
              <w:t> </w:t>
            </w:r>
          </w:p>
        </w:tc>
        <w:tc>
          <w:tcPr>
            <w:tcW w:w="512"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E6E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8"/>
              </w:rPr>
              <w:t>78,739</w:t>
            </w:r>
            <w:r>
              <w:rPr>
                <w:color w:val="243782"/>
              </w:rPr>
              <w:t> </w:t>
            </w:r>
          </w:p>
        </w:tc>
        <w:tc>
          <w:tcPr>
            <w:tcW w:w="854"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color w:val="243782"/>
                <w:sz w:val="18"/>
              </w:rPr>
            </w:pPr>
            <w:r>
              <w:rPr>
                <w:rFonts w:ascii="Helvetica;sans-serif" w:hAnsi="Helvetica;sans-serif"/>
                <w:b/>
                <w:color w:val="243782"/>
                <w:sz w:val="18"/>
              </w:rPr>
              <w:t>Total Equity and liabilities</w:t>
            </w:r>
          </w:p>
        </w:tc>
        <w:tc>
          <w:tcPr>
            <w:tcW w:w="511" w:type="dxa"/>
            <w:gridSpan w:val="3"/>
            <w:tcBorders>
              <w:top w:val="single" w:sz="2" w:space="0" w:color="8E939F"/>
              <w:bottom w:val="single" w:sz="2" w:space="0" w:color="8E939F"/>
            </w:tcBorders>
            <w:shd w:fill="E6E7F4"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bottom w:val="single" w:sz="2" w:space="0" w:color="8E939F"/>
            </w:tcBorders>
            <w:shd w:fill="E6E7F4" w:val="clear"/>
            <w:tcMar>
              <w:left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8"/>
              </w:rPr>
              <w:t>213,423</w:t>
            </w:r>
            <w:r>
              <w:rPr>
                <w:color w:val="243782"/>
              </w:rPr>
              <w:t> </w:t>
            </w:r>
          </w:p>
        </w:tc>
        <w:tc>
          <w:tcPr>
            <w:tcW w:w="512" w:type="dxa"/>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bottom w:val="single" w:sz="2" w:space="0" w:color="8E939F"/>
            </w:tcBorders>
            <w:shd w:fill="E6E7F4" w:val="clear"/>
            <w:tcMar>
              <w:left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8"/>
              </w:rPr>
              <w:t>195,153</w:t>
            </w:r>
            <w:r>
              <w:rPr>
                <w:color w:val="243782"/>
              </w:rPr>
              <w:t> </w:t>
            </w:r>
          </w:p>
        </w:tc>
        <w:tc>
          <w:tcPr>
            <w:tcW w:w="854" w:type="dxa"/>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3" w:before="0" w:after="240"/>
        <w:jc w:val="center"/>
        <w:rPr>
          <w:rFonts w:ascii="Helvetica Light;sans-serif" w:hAnsi="Helvetica Light;sans-serif"/>
          <w:b w:val="false"/>
          <w:color w:val="000000"/>
          <w:sz w:val="16"/>
        </w:rPr>
      </w:pPr>
      <w:r>
        <w:rPr>
          <w:rFonts w:ascii="Helvetica Light;sans-serif" w:hAnsi="Helvetica Light;sans-serif"/>
          <w:b w:val="false"/>
          <w:color w:val="000000"/>
          <w:sz w:val="16"/>
        </w:rPr>
        <w:t>The accompanying notes are an integral part of the Interim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503555"/>
                <wp:effectExtent l="0" t="0" r="0" b="0"/>
                <wp:wrapNone/>
                <wp:docPr id="76" name="Frame61"/>
                <a:graphic xmlns:a="http://schemas.openxmlformats.org/drawingml/2006/main">
                  <a:graphicData uri="http://schemas.microsoft.com/office/word/2010/wordprocessingShape">
                    <wps:wsp>
                      <wps:cNvSpPr txBox="1"/>
                      <wps:spPr>
                        <a:xfrm>
                          <a:off x="0" y="0"/>
                          <a:ext cx="6480175" cy="5035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57</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57</w:t>
                      </w:r>
                    </w:p>
                    <w:p>
                      <w:pPr>
                        <w:pStyle w:val="TextBody"/>
                        <w:bidi w:val="0"/>
                        <w:spacing w:before="0" w:after="24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88" w:before="0" w:after="0"/>
        <w:jc w:val="left"/>
        <w:rPr>
          <w:rFonts w:ascii="Helvetica;sans-serif" w:hAnsi="Helvetica;sans-serif"/>
          <w:b/>
          <w:color w:val="143A84"/>
          <w:sz w:val="18"/>
        </w:rPr>
      </w:pPr>
      <w:r>
        <w:rPr>
          <w:rFonts w:ascii="Helvetica;sans-serif" w:hAnsi="Helvetica;sans-serif"/>
          <w:b/>
          <w:color w:val="143A84"/>
          <w:sz w:val="18"/>
        </w:rPr>
        <w:t>STELLANTIS N.V. AND SUBSIDIARIES</w:t>
      </w:r>
    </w:p>
    <w:p>
      <w:pPr>
        <w:pStyle w:val="TextBody"/>
        <w:bidi w:val="0"/>
        <w:spacing w:lineRule="auto" w:line="288" w:before="0" w:after="0"/>
        <w:jc w:val="left"/>
        <w:rPr>
          <w:rFonts w:ascii="Helvetica;sans-serif" w:hAnsi="Helvetica;sans-serif"/>
          <w:b/>
          <w:color w:val="143A84"/>
          <w:sz w:val="18"/>
        </w:rPr>
      </w:pPr>
      <w:r>
        <w:rPr>
          <w:rFonts w:ascii="Helvetica;sans-serif" w:hAnsi="Helvetica;sans-serif"/>
          <w:b/>
          <w:color w:val="143A84"/>
          <w:sz w:val="18"/>
        </w:rPr>
        <w:t xml:space="preserve">INTERIM CONDENSED CONSOLIDATED STATEMENT OF CASH FLOWS </w:t>
      </w:r>
    </w:p>
    <w:p>
      <w:pPr>
        <w:pStyle w:val="TextBody"/>
        <w:bidi w:val="0"/>
        <w:spacing w:lineRule="auto" w:line="288" w:before="0" w:after="0"/>
        <w:jc w:val="left"/>
        <w:rPr>
          <w:rFonts w:ascii="Helvetica;sans-serif" w:hAnsi="Helvetica;sans-serif"/>
          <w:b/>
          <w:color w:val="143A84"/>
          <w:sz w:val="18"/>
        </w:rPr>
      </w:pPr>
      <w:r>
        <w:rPr>
          <w:rFonts w:ascii="Helvetica;sans-serif" w:hAnsi="Helvetica;sans-serif"/>
          <w:b/>
          <w:color w:val="143A84"/>
          <w:sz w:val="18"/>
        </w:rPr>
        <w:t>(Unaudited)</w:t>
      </w:r>
    </w:p>
    <w:tbl>
      <w:tblPr>
        <w:tblW w:w="10205" w:type="dxa"/>
        <w:jc w:val="center"/>
        <w:tblInd w:w="0" w:type="dxa"/>
        <w:tblLayout w:type="fixed"/>
        <w:tblCellMar>
          <w:top w:w="28" w:type="dxa"/>
          <w:left w:w="28" w:type="dxa"/>
          <w:bottom w:w="28" w:type="dxa"/>
          <w:right w:w="28" w:type="dxa"/>
        </w:tblCellMar>
      </w:tblPr>
      <w:tblGrid>
        <w:gridCol w:w="2614"/>
        <w:gridCol w:w="2069"/>
        <w:gridCol w:w="2077"/>
        <w:gridCol w:w="170"/>
        <w:gridCol w:w="170"/>
        <w:gridCol w:w="171"/>
        <w:gridCol w:w="109"/>
        <w:gridCol w:w="109"/>
        <w:gridCol w:w="109"/>
        <w:gridCol w:w="455"/>
        <w:gridCol w:w="281"/>
        <w:gridCol w:w="209"/>
        <w:gridCol w:w="209"/>
        <w:gridCol w:w="209"/>
        <w:gridCol w:w="209"/>
        <w:gridCol w:w="455"/>
        <w:gridCol w:w="281"/>
        <w:gridCol w:w="299"/>
      </w:tblGrid>
      <w:tr>
        <w:trPr/>
        <w:tc>
          <w:tcPr>
            <w:tcW w:w="2614" w:type="dxa"/>
            <w:tcBorders/>
            <w:vAlign w:val="center"/>
          </w:tcPr>
          <w:p>
            <w:pPr>
              <w:pStyle w:val="TableContents"/>
              <w:bidi w:val="0"/>
              <w:spacing w:before="0" w:after="283"/>
              <w:jc w:val="left"/>
              <w:rPr>
                <w:sz w:val="4"/>
                <w:szCs w:val="4"/>
              </w:rPr>
            </w:pPr>
            <w:r>
              <w:rPr>
                <w:sz w:val="4"/>
                <w:szCs w:val="4"/>
              </w:rPr>
            </w:r>
          </w:p>
        </w:tc>
        <w:tc>
          <w:tcPr>
            <w:tcW w:w="2069" w:type="dxa"/>
            <w:tcBorders/>
            <w:vAlign w:val="center"/>
          </w:tcPr>
          <w:p>
            <w:pPr>
              <w:pStyle w:val="TableContents"/>
              <w:bidi w:val="0"/>
              <w:spacing w:before="0" w:after="283"/>
              <w:jc w:val="left"/>
              <w:rPr>
                <w:sz w:val="4"/>
                <w:szCs w:val="4"/>
              </w:rPr>
            </w:pPr>
            <w:r>
              <w:rPr>
                <w:sz w:val="4"/>
                <w:szCs w:val="4"/>
              </w:rPr>
            </w:r>
          </w:p>
        </w:tc>
        <w:tc>
          <w:tcPr>
            <w:tcW w:w="207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6760" w:type="dxa"/>
            <w:gridSpan w:val="3"/>
            <w:tcBorders>
              <w:bottom w:val="single" w:sz="2"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bottom w:val="single" w:sz="2"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2"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607" w:type="dxa"/>
            <w:gridSpan w:val="9"/>
            <w:tcBorders>
              <w:bottom w:val="single" w:sz="2" w:space="0" w:color="8E939F"/>
            </w:tcBorders>
            <w:tcMar>
              <w:top w:w="0" w:type="dxa"/>
              <w:left w:w="0" w:type="dxa"/>
              <w:bottom w:w="3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Six months ended June 30,</w:t>
            </w:r>
          </w:p>
        </w:tc>
      </w:tr>
      <w:tr>
        <w:trPr/>
        <w:tc>
          <w:tcPr>
            <w:tcW w:w="6760" w:type="dxa"/>
            <w:gridSpan w:val="3"/>
            <w:tcBorders>
              <w:top w:val="single" w:sz="2" w:space="0" w:color="FFFFFF"/>
            </w:tcBorders>
            <w:tcMar>
              <w:top w:w="52" w:type="dxa"/>
              <w:left w:w="0" w:type="dxa"/>
              <w:bottom w:w="0" w:type="dxa"/>
              <w:right w:w="0" w:type="dxa"/>
            </w:tcMar>
            <w:vAlign w:val="center"/>
          </w:tcPr>
          <w:p>
            <w:pPr>
              <w:pStyle w:val="TableContents"/>
              <w:bidi w:val="0"/>
              <w:spacing w:lineRule="auto" w:line="288" w:before="0" w:after="240"/>
              <w:jc w:val="left"/>
              <w:rPr>
                <w:rFonts w:ascii="Helvetica;sans-serif" w:hAnsi="Helvetica;sans-serif"/>
                <w:b w:val="false"/>
                <w:i/>
                <w:color w:val="000000"/>
                <w:sz w:val="16"/>
              </w:rPr>
            </w:pPr>
            <w:r>
              <w:rPr>
                <w:rFonts w:ascii="Helvetica;sans-serif" w:hAnsi="Helvetica;sans-serif"/>
                <w:b w:val="false"/>
                <w:i/>
                <w:color w:val="000000"/>
                <w:sz w:val="16"/>
              </w:rPr>
              <w:t>(€ million)</w:t>
            </w:r>
          </w:p>
        </w:tc>
        <w:tc>
          <w:tcPr>
            <w:tcW w:w="511" w:type="dxa"/>
            <w:gridSpan w:val="3"/>
            <w:tcBorders>
              <w:top w:val="single" w:sz="2" w:space="0" w:color="FFFFFF"/>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Note</w:t>
            </w:r>
          </w:p>
        </w:tc>
        <w:tc>
          <w:tcPr>
            <w:tcW w:w="327" w:type="dxa"/>
            <w:gridSpan w:val="3"/>
            <w:tcBorders>
              <w:top w:val="single" w:sz="2"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2026</w:t>
            </w:r>
          </w:p>
        </w:tc>
        <w:tc>
          <w:tcPr>
            <w:tcW w:w="6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2025</w:t>
            </w:r>
          </w:p>
        </w:tc>
      </w:tr>
      <w:tr>
        <w:trPr/>
        <w:tc>
          <w:tcPr>
            <w:tcW w:w="6760" w:type="dxa"/>
            <w:gridSpan w:val="3"/>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243782"/>
                <w:sz w:val="18"/>
              </w:rPr>
            </w:pPr>
            <w:r>
              <w:rPr>
                <w:rFonts w:ascii="Helvetica;sans-serif" w:hAnsi="Helvetica;sans-serif"/>
                <w:b/>
                <w:color w:val="243782"/>
                <w:sz w:val="18"/>
              </w:rPr>
              <w:t>Profit/(loss) before taxes</w:t>
            </w:r>
          </w:p>
        </w:tc>
        <w:tc>
          <w:tcPr>
            <w:tcW w:w="511" w:type="dxa"/>
            <w:gridSpan w:val="3"/>
            <w:tcBorders>
              <w:top w:val="single" w:sz="2" w:space="0" w:color="8E939F"/>
            </w:tcBorders>
            <w:shd w:fill="E6E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E6E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8"/>
              </w:rPr>
              <w:t>1,038</w:t>
            </w:r>
            <w:r>
              <w:rPr>
                <w:color w:val="243782"/>
              </w:rPr>
              <w:t> </w:t>
            </w:r>
          </w:p>
        </w:tc>
        <w:tc>
          <w:tcPr>
            <w:tcW w:w="209"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op w:val="single" w:sz="2" w:space="0" w:color="8E939F"/>
            </w:tcBorders>
            <w:shd w:fill="E6E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(2,870)</w:t>
            </w:r>
          </w:p>
        </w:tc>
        <w:tc>
          <w:tcPr>
            <w:tcW w:w="299"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0"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Adjustments for non-cash items and other:</w:t>
            </w:r>
          </w:p>
        </w:tc>
        <w:tc>
          <w:tcPr>
            <w:tcW w:w="511"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0"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Helvetica;sans-serif" w:hAnsi="Helvetica;sans-serif"/>
                <w:b w:val="false"/>
                <w:color w:val="000000"/>
                <w:sz w:val="18"/>
              </w:rPr>
              <w:t>depreciation and amortization</w:t>
            </w:r>
          </w:p>
        </w:tc>
        <w:tc>
          <w:tcPr>
            <w:tcW w:w="511"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3,164 </w:t>
            </w:r>
          </w:p>
        </w:tc>
        <w:tc>
          <w:tcPr>
            <w:tcW w:w="209"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3,582 </w:t>
            </w:r>
          </w:p>
        </w:tc>
        <w:tc>
          <w:tcPr>
            <w:tcW w:w="299"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0"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Helvetica;sans-serif" w:hAnsi="Helvetica;sans-serif"/>
                <w:b w:val="false"/>
                <w:color w:val="000000"/>
                <w:sz w:val="18"/>
              </w:rPr>
              <w:t>other non-cash items</w:t>
            </w:r>
          </w:p>
        </w:tc>
        <w:tc>
          <w:tcPr>
            <w:tcW w:w="511"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794 </w:t>
            </w:r>
          </w:p>
        </w:tc>
        <w:tc>
          <w:tcPr>
            <w:tcW w:w="209"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2,155 </w:t>
            </w:r>
          </w:p>
        </w:tc>
        <w:tc>
          <w:tcPr>
            <w:tcW w:w="299"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0"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Helvetica;sans-serif" w:hAnsi="Helvetica;sans-serif"/>
                <w:b w:val="false"/>
                <w:color w:val="000000"/>
                <w:sz w:val="18"/>
              </w:rPr>
              <w:t>(gains)/losses on disposals</w:t>
            </w:r>
          </w:p>
        </w:tc>
        <w:tc>
          <w:tcPr>
            <w:tcW w:w="511"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(51)</w:t>
            </w:r>
          </w:p>
        </w:tc>
        <w:tc>
          <w:tcPr>
            <w:tcW w:w="209"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154 </w:t>
            </w:r>
          </w:p>
        </w:tc>
        <w:tc>
          <w:tcPr>
            <w:tcW w:w="299"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0"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Helvetica;sans-serif" w:hAnsi="Helvetica;sans-serif"/>
                <w:b w:val="false"/>
                <w:color w:val="000000"/>
                <w:sz w:val="18"/>
              </w:rPr>
              <w:t>share of the (profit)/loss of equity method investees</w:t>
            </w:r>
          </w:p>
        </w:tc>
        <w:tc>
          <w:tcPr>
            <w:tcW w:w="511"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(143)</w:t>
            </w:r>
          </w:p>
        </w:tc>
        <w:tc>
          <w:tcPr>
            <w:tcW w:w="209"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433 </w:t>
            </w:r>
          </w:p>
        </w:tc>
        <w:tc>
          <w:tcPr>
            <w:tcW w:w="299"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0"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Change in provisions and employee benefits liabilities</w:t>
            </w:r>
          </w:p>
        </w:tc>
        <w:tc>
          <w:tcPr>
            <w:tcW w:w="511"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(1,985)</w:t>
            </w:r>
          </w:p>
        </w:tc>
        <w:tc>
          <w:tcPr>
            <w:tcW w:w="209"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(833)</w:t>
            </w:r>
          </w:p>
        </w:tc>
        <w:tc>
          <w:tcPr>
            <w:tcW w:w="299"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0"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Change in carrying amount of leased vehicles</w:t>
            </w:r>
          </w:p>
        </w:tc>
        <w:tc>
          <w:tcPr>
            <w:tcW w:w="511"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(2,076)</w:t>
            </w:r>
          </w:p>
        </w:tc>
        <w:tc>
          <w:tcPr>
            <w:tcW w:w="209"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(2,824)</w:t>
            </w:r>
          </w:p>
        </w:tc>
        <w:tc>
          <w:tcPr>
            <w:tcW w:w="299"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0"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Net change in receivables related to financial services activities</w:t>
            </w:r>
          </w:p>
        </w:tc>
        <w:tc>
          <w:tcPr>
            <w:tcW w:w="511"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(3,048)</w:t>
            </w:r>
          </w:p>
        </w:tc>
        <w:tc>
          <w:tcPr>
            <w:tcW w:w="209"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(1,738)</w:t>
            </w:r>
          </w:p>
        </w:tc>
        <w:tc>
          <w:tcPr>
            <w:tcW w:w="299"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0"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Dividend received</w:t>
            </w:r>
          </w:p>
        </w:tc>
        <w:tc>
          <w:tcPr>
            <w:tcW w:w="511"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185 </w:t>
            </w:r>
          </w:p>
        </w:tc>
        <w:tc>
          <w:tcPr>
            <w:tcW w:w="209"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227 </w:t>
            </w:r>
          </w:p>
        </w:tc>
        <w:tc>
          <w:tcPr>
            <w:tcW w:w="299"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0"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Income tax received/(paid), net</w:t>
            </w:r>
          </w:p>
        </w:tc>
        <w:tc>
          <w:tcPr>
            <w:tcW w:w="511"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165 </w:t>
            </w:r>
          </w:p>
        </w:tc>
        <w:tc>
          <w:tcPr>
            <w:tcW w:w="209"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80 </w:t>
            </w:r>
          </w:p>
        </w:tc>
        <w:tc>
          <w:tcPr>
            <w:tcW w:w="299"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0"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Changes in working capital</w:t>
            </w:r>
          </w:p>
        </w:tc>
        <w:tc>
          <w:tcPr>
            <w:tcW w:w="511"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(930)</w:t>
            </w:r>
          </w:p>
        </w:tc>
        <w:tc>
          <w:tcPr>
            <w:tcW w:w="209"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(653)</w:t>
            </w:r>
          </w:p>
        </w:tc>
        <w:tc>
          <w:tcPr>
            <w:tcW w:w="299"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0" w:type="dxa"/>
            <w:gridSpan w:val="3"/>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243782"/>
                <w:sz w:val="18"/>
              </w:rPr>
            </w:pPr>
            <w:r>
              <w:rPr>
                <w:rFonts w:ascii="Helvetica;sans-serif" w:hAnsi="Helvetica;sans-serif"/>
                <w:b/>
                <w:color w:val="243782"/>
                <w:sz w:val="18"/>
              </w:rPr>
              <w:t>Net cash from (used in) operating activities</w:t>
            </w:r>
          </w:p>
        </w:tc>
        <w:tc>
          <w:tcPr>
            <w:tcW w:w="511" w:type="dxa"/>
            <w:gridSpan w:val="3"/>
            <w:tcBorders>
              <w:top w:val="single" w:sz="2" w:space="0" w:color="8E939F"/>
            </w:tcBorders>
            <w:shd w:fill="E6E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E6E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(2,887)</w:t>
            </w:r>
          </w:p>
        </w:tc>
        <w:tc>
          <w:tcPr>
            <w:tcW w:w="209"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op w:val="single" w:sz="2" w:space="0" w:color="8E939F"/>
            </w:tcBorders>
            <w:shd w:fill="E6E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(2,287)</w:t>
            </w:r>
          </w:p>
        </w:tc>
        <w:tc>
          <w:tcPr>
            <w:tcW w:w="299"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0"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Proceeds from disposals of shares in consolidated companies and of investments in non-consolidated companies</w:t>
            </w:r>
          </w:p>
        </w:tc>
        <w:tc>
          <w:tcPr>
            <w:tcW w:w="511"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20 </w:t>
            </w:r>
          </w:p>
        </w:tc>
        <w:tc>
          <w:tcPr>
            <w:tcW w:w="209"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389 </w:t>
            </w:r>
          </w:p>
        </w:tc>
        <w:tc>
          <w:tcPr>
            <w:tcW w:w="299"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0"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Acquisitions of consolidated subsidiaries and equity method investments</w:t>
            </w:r>
          </w:p>
        </w:tc>
        <w:tc>
          <w:tcPr>
            <w:tcW w:w="511"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(258)</w:t>
            </w:r>
          </w:p>
        </w:tc>
        <w:tc>
          <w:tcPr>
            <w:tcW w:w="209"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(247)</w:t>
            </w:r>
          </w:p>
        </w:tc>
        <w:tc>
          <w:tcPr>
            <w:tcW w:w="299"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0"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Proceeds from disposals of property, plant and equipment and of intangible assets</w:t>
            </w:r>
          </w:p>
        </w:tc>
        <w:tc>
          <w:tcPr>
            <w:tcW w:w="511"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22 </w:t>
            </w:r>
          </w:p>
        </w:tc>
        <w:tc>
          <w:tcPr>
            <w:tcW w:w="209"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150 </w:t>
            </w:r>
          </w:p>
        </w:tc>
        <w:tc>
          <w:tcPr>
            <w:tcW w:w="299"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0"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Investments in property, plant and equipment and intangible assets</w:t>
            </w:r>
          </w:p>
        </w:tc>
        <w:tc>
          <w:tcPr>
            <w:tcW w:w="511"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(2,744)</w:t>
            </w:r>
          </w:p>
        </w:tc>
        <w:tc>
          <w:tcPr>
            <w:tcW w:w="209"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(4,447)</w:t>
            </w:r>
          </w:p>
        </w:tc>
        <w:tc>
          <w:tcPr>
            <w:tcW w:w="299"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0"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Change in amounts payable on property, plant and equipment and of intangible assets</w:t>
            </w:r>
          </w:p>
        </w:tc>
        <w:tc>
          <w:tcPr>
            <w:tcW w:w="511"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(346)</w:t>
            </w:r>
          </w:p>
        </w:tc>
        <w:tc>
          <w:tcPr>
            <w:tcW w:w="209"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(711)</w:t>
            </w:r>
          </w:p>
        </w:tc>
        <w:tc>
          <w:tcPr>
            <w:tcW w:w="299"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0"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Changes in loans to joint ventures and associates</w:t>
            </w:r>
          </w:p>
        </w:tc>
        <w:tc>
          <w:tcPr>
            <w:tcW w:w="511"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(173)</w:t>
            </w:r>
          </w:p>
        </w:tc>
        <w:tc>
          <w:tcPr>
            <w:tcW w:w="209"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275 </w:t>
            </w:r>
          </w:p>
        </w:tc>
        <w:tc>
          <w:tcPr>
            <w:tcW w:w="299"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0"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Change in securities</w:t>
            </w:r>
          </w:p>
        </w:tc>
        <w:tc>
          <w:tcPr>
            <w:tcW w:w="511"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462 </w:t>
            </w:r>
          </w:p>
        </w:tc>
        <w:tc>
          <w:tcPr>
            <w:tcW w:w="209"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2,444 </w:t>
            </w:r>
          </w:p>
        </w:tc>
        <w:tc>
          <w:tcPr>
            <w:tcW w:w="299"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0"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Other changes</w:t>
            </w:r>
          </w:p>
        </w:tc>
        <w:tc>
          <w:tcPr>
            <w:tcW w:w="511"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(3)</w:t>
            </w:r>
          </w:p>
        </w:tc>
        <w:tc>
          <w:tcPr>
            <w:tcW w:w="209"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1 </w:t>
            </w:r>
          </w:p>
        </w:tc>
        <w:tc>
          <w:tcPr>
            <w:tcW w:w="299"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0" w:type="dxa"/>
            <w:gridSpan w:val="3"/>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243782"/>
                <w:sz w:val="18"/>
              </w:rPr>
            </w:pPr>
            <w:r>
              <w:rPr>
                <w:rFonts w:ascii="Helvetica;sans-serif" w:hAnsi="Helvetica;sans-serif"/>
                <w:b/>
                <w:color w:val="243782"/>
                <w:sz w:val="18"/>
              </w:rPr>
              <w:t>Net cash from (used in) investing activities</w:t>
            </w:r>
          </w:p>
        </w:tc>
        <w:tc>
          <w:tcPr>
            <w:tcW w:w="511" w:type="dxa"/>
            <w:gridSpan w:val="3"/>
            <w:tcBorders>
              <w:top w:val="single" w:sz="2" w:space="0" w:color="8E939F"/>
            </w:tcBorders>
            <w:shd w:fill="E6E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E6E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(3,020)</w:t>
            </w:r>
          </w:p>
        </w:tc>
        <w:tc>
          <w:tcPr>
            <w:tcW w:w="209"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op w:val="single" w:sz="2" w:space="0" w:color="8E939F"/>
            </w:tcBorders>
            <w:shd w:fill="E6E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(2,146)</w:t>
            </w:r>
          </w:p>
        </w:tc>
        <w:tc>
          <w:tcPr>
            <w:tcW w:w="299"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0"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Dividends paid:</w:t>
            </w:r>
          </w:p>
        </w:tc>
        <w:tc>
          <w:tcPr>
            <w:tcW w:w="511"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0"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Helvetica;sans-serif" w:hAnsi="Helvetica;sans-serif"/>
                <w:b w:val="false"/>
                <w:color w:val="000000"/>
                <w:sz w:val="18"/>
              </w:rPr>
              <w:t>to Stellantis shareholders</w:t>
            </w:r>
          </w:p>
        </w:tc>
        <w:tc>
          <w:tcPr>
            <w:tcW w:w="511"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9"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(1,959)</w:t>
            </w:r>
          </w:p>
        </w:tc>
        <w:tc>
          <w:tcPr>
            <w:tcW w:w="299"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0"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Helvetica;sans-serif" w:hAnsi="Helvetica;sans-serif"/>
                <w:b w:val="false"/>
                <w:color w:val="000000"/>
                <w:sz w:val="18"/>
              </w:rPr>
              <w:t>to minority shareholders of subsidiaries</w:t>
            </w:r>
          </w:p>
        </w:tc>
        <w:tc>
          <w:tcPr>
            <w:tcW w:w="511"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w:t>
            </w:r>
          </w:p>
        </w:tc>
        <w:tc>
          <w:tcPr>
            <w:tcW w:w="209"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(3)</w:t>
            </w:r>
          </w:p>
        </w:tc>
        <w:tc>
          <w:tcPr>
            <w:tcW w:w="299"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0"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Proceeds from issuance of shares</w:t>
            </w:r>
          </w:p>
        </w:tc>
        <w:tc>
          <w:tcPr>
            <w:tcW w:w="511"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14 </w:t>
            </w:r>
          </w:p>
        </w:tc>
        <w:tc>
          <w:tcPr>
            <w:tcW w:w="209"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9"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0"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(Purchases)/sales of treasury shares</w:t>
            </w:r>
          </w:p>
        </w:tc>
        <w:tc>
          <w:tcPr>
            <w:tcW w:w="511"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9"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9"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0"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Changes in short-term debt and other financial assets and liabilities</w:t>
            </w:r>
          </w:p>
        </w:tc>
        <w:tc>
          <w:tcPr>
            <w:tcW w:w="511"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8"/>
              </w:rPr>
            </w:pPr>
            <w:r>
              <w:rPr>
                <w:rFonts w:ascii="Helvetica;sans-serif" w:hAnsi="Helvetica;sans-serif"/>
                <w:b w:val="false"/>
                <w:color w:val="000000"/>
                <w:sz w:val="18"/>
              </w:rPr>
              <w:t>13</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334 </w:t>
            </w:r>
          </w:p>
        </w:tc>
        <w:tc>
          <w:tcPr>
            <w:tcW w:w="209"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(2,402)</w:t>
            </w:r>
          </w:p>
        </w:tc>
        <w:tc>
          <w:tcPr>
            <w:tcW w:w="299"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0"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Gross outflows in repayments of long-term debt</w:t>
            </w:r>
          </w:p>
        </w:tc>
        <w:tc>
          <w:tcPr>
            <w:tcW w:w="511"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8"/>
              </w:rPr>
            </w:pPr>
            <w:r>
              <w:rPr>
                <w:rFonts w:ascii="Helvetica;sans-serif" w:hAnsi="Helvetica;sans-serif"/>
                <w:b w:val="false"/>
                <w:color w:val="000000"/>
                <w:sz w:val="18"/>
              </w:rPr>
              <w:t>13</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(5,124)</w:t>
            </w:r>
          </w:p>
        </w:tc>
        <w:tc>
          <w:tcPr>
            <w:tcW w:w="209"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(2,517)</w:t>
            </w:r>
          </w:p>
        </w:tc>
        <w:tc>
          <w:tcPr>
            <w:tcW w:w="299"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0"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Proceed from issuances of long-term debt</w:t>
            </w:r>
          </w:p>
        </w:tc>
        <w:tc>
          <w:tcPr>
            <w:tcW w:w="511"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8"/>
              </w:rPr>
            </w:pPr>
            <w:r>
              <w:rPr>
                <w:rFonts w:ascii="Helvetica;sans-serif" w:hAnsi="Helvetica;sans-serif"/>
                <w:b w:val="false"/>
                <w:color w:val="000000"/>
                <w:sz w:val="18"/>
              </w:rPr>
              <w:t>13</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8,974 </w:t>
            </w:r>
          </w:p>
        </w:tc>
        <w:tc>
          <w:tcPr>
            <w:tcW w:w="209"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8,818 </w:t>
            </w:r>
          </w:p>
        </w:tc>
        <w:tc>
          <w:tcPr>
            <w:tcW w:w="299"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0"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Issuance of Hybrid perpetual notes</w:t>
            </w:r>
          </w:p>
        </w:tc>
        <w:tc>
          <w:tcPr>
            <w:tcW w:w="511"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8"/>
              </w:rPr>
            </w:pPr>
            <w:r>
              <w:rPr>
                <w:rFonts w:ascii="Helvetica;sans-serif" w:hAnsi="Helvetica;sans-serif"/>
                <w:b w:val="false"/>
                <w:color w:val="000000"/>
                <w:sz w:val="18"/>
              </w:rPr>
              <w:t>18</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4,927 </w:t>
            </w:r>
          </w:p>
        </w:tc>
        <w:tc>
          <w:tcPr>
            <w:tcW w:w="209"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9"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0"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Repayment of Hybrid perpetual notes</w:t>
            </w:r>
          </w:p>
        </w:tc>
        <w:tc>
          <w:tcPr>
            <w:tcW w:w="511"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8"/>
              </w:rPr>
            </w:pPr>
            <w:r>
              <w:rPr>
                <w:rFonts w:ascii="Helvetica;sans-serif" w:hAnsi="Helvetica;sans-serif"/>
                <w:b w:val="false"/>
                <w:color w:val="000000"/>
                <w:sz w:val="18"/>
              </w:rPr>
              <w:t>18</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9"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9"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0"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Coupons paid on Hybrid perpetual notes</w:t>
            </w:r>
          </w:p>
        </w:tc>
        <w:tc>
          <w:tcPr>
            <w:tcW w:w="511"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8"/>
              </w:rPr>
            </w:pPr>
            <w:r>
              <w:rPr>
                <w:rFonts w:ascii="Helvetica;sans-serif" w:hAnsi="Helvetica;sans-serif"/>
                <w:b w:val="false"/>
                <w:color w:val="000000"/>
                <w:sz w:val="18"/>
              </w:rPr>
              <w:t>18</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(35)</w:t>
            </w:r>
          </w:p>
        </w:tc>
        <w:tc>
          <w:tcPr>
            <w:tcW w:w="209"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9"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0"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Other changes</w:t>
            </w:r>
          </w:p>
        </w:tc>
        <w:tc>
          <w:tcPr>
            <w:tcW w:w="511"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(39)</w:t>
            </w:r>
          </w:p>
        </w:tc>
        <w:tc>
          <w:tcPr>
            <w:tcW w:w="209"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9"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0" w:type="dxa"/>
            <w:gridSpan w:val="3"/>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243782"/>
                <w:sz w:val="18"/>
              </w:rPr>
            </w:pPr>
            <w:r>
              <w:rPr>
                <w:rFonts w:ascii="Helvetica;sans-serif" w:hAnsi="Helvetica;sans-serif"/>
                <w:b/>
                <w:color w:val="243782"/>
                <w:sz w:val="18"/>
              </w:rPr>
              <w:t>Net cash from (used in) financing activities</w:t>
            </w:r>
          </w:p>
        </w:tc>
        <w:tc>
          <w:tcPr>
            <w:tcW w:w="511" w:type="dxa"/>
            <w:gridSpan w:val="3"/>
            <w:tcBorders>
              <w:top w:val="single" w:sz="2" w:space="0" w:color="8E939F"/>
            </w:tcBorders>
            <w:shd w:fill="E6E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E6E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8"/>
              </w:rPr>
              <w:t>9,049</w:t>
            </w:r>
            <w:r>
              <w:rPr>
                <w:color w:val="243782"/>
              </w:rPr>
              <w:t> </w:t>
            </w:r>
          </w:p>
        </w:tc>
        <w:tc>
          <w:tcPr>
            <w:tcW w:w="209"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op w:val="single" w:sz="2" w:space="0" w:color="8E939F"/>
            </w:tcBorders>
            <w:shd w:fill="E6E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8"/>
              </w:rPr>
              <w:t>1,937</w:t>
            </w:r>
            <w:r>
              <w:rPr>
                <w:color w:val="243782"/>
              </w:rPr>
              <w:t> </w:t>
            </w:r>
          </w:p>
        </w:tc>
        <w:tc>
          <w:tcPr>
            <w:tcW w:w="299"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0"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Effect of changes in exchange rates</w:t>
            </w:r>
          </w:p>
        </w:tc>
        <w:tc>
          <w:tcPr>
            <w:tcW w:w="511"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413 </w:t>
            </w:r>
          </w:p>
        </w:tc>
        <w:tc>
          <w:tcPr>
            <w:tcW w:w="209"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(1,236)</w:t>
            </w:r>
          </w:p>
        </w:tc>
        <w:tc>
          <w:tcPr>
            <w:tcW w:w="299"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0"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(Increase)/decrease in cash and cash equivalents included in asset held for sale</w:t>
            </w:r>
          </w:p>
        </w:tc>
        <w:tc>
          <w:tcPr>
            <w:tcW w:w="511"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(4)</w:t>
            </w:r>
          </w:p>
        </w:tc>
        <w:tc>
          <w:tcPr>
            <w:tcW w:w="209"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292 </w:t>
            </w:r>
          </w:p>
        </w:tc>
        <w:tc>
          <w:tcPr>
            <w:tcW w:w="299"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0" w:type="dxa"/>
            <w:gridSpan w:val="3"/>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243782"/>
                <w:sz w:val="18"/>
              </w:rPr>
            </w:pPr>
            <w:r>
              <w:rPr>
                <w:rFonts w:ascii="Helvetica;sans-serif" w:hAnsi="Helvetica;sans-serif"/>
                <w:b/>
                <w:color w:val="243782"/>
                <w:sz w:val="18"/>
              </w:rPr>
              <w:t>Increase/(decrease) in cash and cash equivalents</w:t>
            </w:r>
          </w:p>
        </w:tc>
        <w:tc>
          <w:tcPr>
            <w:tcW w:w="511" w:type="dxa"/>
            <w:gridSpan w:val="3"/>
            <w:tcBorders>
              <w:top w:val="single" w:sz="2" w:space="0" w:color="8E939F"/>
            </w:tcBorders>
            <w:shd w:fill="E6E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E6E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8"/>
              </w:rPr>
              <w:t>3,551</w:t>
            </w:r>
            <w:r>
              <w:rPr>
                <w:color w:val="243782"/>
              </w:rPr>
              <w:t> </w:t>
            </w:r>
          </w:p>
        </w:tc>
        <w:tc>
          <w:tcPr>
            <w:tcW w:w="209"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op w:val="single" w:sz="2" w:space="0" w:color="8E939F"/>
            </w:tcBorders>
            <w:shd w:fill="E6E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(3,440)</w:t>
            </w:r>
          </w:p>
        </w:tc>
        <w:tc>
          <w:tcPr>
            <w:tcW w:w="299"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0"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Net cash and cash equivalents at beginning of period</w:t>
            </w:r>
          </w:p>
        </w:tc>
        <w:tc>
          <w:tcPr>
            <w:tcW w:w="511"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30,146 </w:t>
            </w:r>
          </w:p>
        </w:tc>
        <w:tc>
          <w:tcPr>
            <w:tcW w:w="209"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34,100 </w:t>
            </w:r>
          </w:p>
        </w:tc>
        <w:tc>
          <w:tcPr>
            <w:tcW w:w="299"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0" w:type="dxa"/>
            <w:gridSpan w:val="3"/>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color w:val="243782"/>
                <w:sz w:val="18"/>
              </w:rPr>
            </w:pPr>
            <w:r>
              <w:rPr>
                <w:rFonts w:ascii="Helvetica;sans-serif" w:hAnsi="Helvetica;sans-serif"/>
                <w:b/>
                <w:color w:val="243782"/>
                <w:sz w:val="18"/>
              </w:rPr>
              <w:t>Net cash and cash equivalents at end of the period</w:t>
            </w:r>
          </w:p>
        </w:tc>
        <w:tc>
          <w:tcPr>
            <w:tcW w:w="511" w:type="dxa"/>
            <w:gridSpan w:val="3"/>
            <w:tcBorders>
              <w:top w:val="single" w:sz="2" w:space="0" w:color="8E939F"/>
              <w:bottom w:val="single" w:sz="2" w:space="0" w:color="8E939F"/>
            </w:tcBorders>
            <w:shd w:fill="E6E7F4"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bottom w:val="single" w:sz="2" w:space="0" w:color="8E939F"/>
            </w:tcBorders>
            <w:shd w:fill="E6E7F4" w:val="clear"/>
            <w:tcMar>
              <w:left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8"/>
              </w:rPr>
              <w:t>33,697</w:t>
            </w:r>
            <w:r>
              <w:rPr>
                <w:color w:val="243782"/>
              </w:rPr>
              <w:t> </w:t>
            </w:r>
          </w:p>
        </w:tc>
        <w:tc>
          <w:tcPr>
            <w:tcW w:w="209" w:type="dxa"/>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op w:val="single" w:sz="2" w:space="0" w:color="8E939F"/>
              <w:bottom w:val="single" w:sz="2" w:space="0" w:color="8E939F"/>
            </w:tcBorders>
            <w:shd w:fill="E6E7F4" w:val="clear"/>
            <w:tcMar>
              <w:left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8"/>
              </w:rPr>
              <w:t>30,660</w:t>
            </w:r>
            <w:r>
              <w:rPr>
                <w:color w:val="243782"/>
              </w:rPr>
              <w:t> </w:t>
            </w:r>
          </w:p>
        </w:tc>
        <w:tc>
          <w:tcPr>
            <w:tcW w:w="299" w:type="dxa"/>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3" w:before="0" w:after="240"/>
        <w:jc w:val="center"/>
        <w:rPr>
          <w:rFonts w:ascii="Helvetica Light;sans-serif" w:hAnsi="Helvetica Light;sans-serif"/>
          <w:b w:val="false"/>
          <w:color w:val="000000"/>
          <w:sz w:val="16"/>
        </w:rPr>
      </w:pPr>
      <w:r>
        <w:rPr>
          <w:rFonts w:ascii="Helvetica Light;sans-serif" w:hAnsi="Helvetica Light;sans-serif"/>
          <w:b w:val="false"/>
          <w:color w:val="000000"/>
          <w:sz w:val="16"/>
        </w:rPr>
        <w:t>The accompanying notes are an integral part of the Interim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503555"/>
                <wp:effectExtent l="0" t="0" r="0" b="0"/>
                <wp:wrapNone/>
                <wp:docPr id="77" name="Frame62"/>
                <a:graphic xmlns:a="http://schemas.openxmlformats.org/drawingml/2006/main">
                  <a:graphicData uri="http://schemas.microsoft.com/office/word/2010/wordprocessingShape">
                    <wps:wsp>
                      <wps:cNvSpPr txBox="1"/>
                      <wps:spPr>
                        <a:xfrm>
                          <a:off x="0" y="0"/>
                          <a:ext cx="6480175" cy="5035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58</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58</w:t>
                      </w:r>
                    </w:p>
                    <w:p>
                      <w:pPr>
                        <w:pStyle w:val="TextBody"/>
                        <w:bidi w:val="0"/>
                        <w:spacing w:before="0" w:after="24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88" w:before="0" w:after="40"/>
        <w:jc w:val="left"/>
        <w:rPr>
          <w:rFonts w:ascii="Helvetica;sans-serif" w:hAnsi="Helvetica;sans-serif"/>
          <w:b/>
          <w:color w:val="143A84"/>
          <w:sz w:val="18"/>
        </w:rPr>
      </w:pPr>
      <w:r>
        <w:rPr>
          <w:rFonts w:ascii="Helvetica;sans-serif" w:hAnsi="Helvetica;sans-serif"/>
          <w:b/>
          <w:color w:val="143A84"/>
          <w:sz w:val="18"/>
        </w:rPr>
        <w:t>STELLANTIS N.V. AND SUBSIDIARIES</w:t>
      </w:r>
    </w:p>
    <w:p>
      <w:pPr>
        <w:pStyle w:val="TextBody"/>
        <w:bidi w:val="0"/>
        <w:spacing w:lineRule="auto" w:line="288" w:before="0" w:after="40"/>
        <w:jc w:val="left"/>
        <w:rPr>
          <w:rFonts w:ascii="Helvetica;sans-serif" w:hAnsi="Helvetica;sans-serif"/>
          <w:b/>
          <w:color w:val="143A84"/>
          <w:sz w:val="18"/>
        </w:rPr>
      </w:pPr>
      <w:r>
        <w:rPr>
          <w:rFonts w:ascii="Helvetica;sans-serif" w:hAnsi="Helvetica;sans-serif"/>
          <w:b/>
          <w:color w:val="143A84"/>
          <w:sz w:val="18"/>
        </w:rPr>
        <w:t>INTERIM CONDENSED CONSOLIDATED STATEMENT OF CHANGES IN EQUITY</w:t>
      </w:r>
    </w:p>
    <w:p>
      <w:pPr>
        <w:pStyle w:val="TextBody"/>
        <w:bidi w:val="0"/>
        <w:spacing w:lineRule="auto" w:line="288" w:before="0" w:after="40"/>
        <w:jc w:val="left"/>
        <w:rPr>
          <w:rFonts w:ascii="Helvetica;sans-serif" w:hAnsi="Helvetica;sans-serif"/>
          <w:b/>
          <w:color w:val="143A84"/>
          <w:sz w:val="18"/>
        </w:rPr>
      </w:pPr>
      <w:r>
        <w:rPr>
          <w:rFonts w:ascii="Helvetica;sans-serif" w:hAnsi="Helvetica;sans-serif"/>
          <w:b/>
          <w:color w:val="143A84"/>
          <w:sz w:val="18"/>
        </w:rPr>
        <w:t>(Unaudited)</w:t>
      </w:r>
    </w:p>
    <w:tbl>
      <w:tblPr>
        <w:tblW w:w="12961" w:type="dxa"/>
        <w:jc w:val="left"/>
        <w:tblInd w:w="0" w:type="dxa"/>
        <w:tblLayout w:type="fixed"/>
        <w:tblCellMar>
          <w:top w:w="28" w:type="dxa"/>
          <w:left w:w="28" w:type="dxa"/>
          <w:bottom w:w="28" w:type="dxa"/>
          <w:right w:w="28" w:type="dxa"/>
        </w:tblCellMar>
      </w:tblPr>
      <w:tblGrid>
        <w:gridCol w:w="746"/>
        <w:gridCol w:w="296"/>
        <w:gridCol w:w="294"/>
        <w:gridCol w:w="254"/>
        <w:gridCol w:w="152"/>
        <w:gridCol w:w="146"/>
        <w:gridCol w:w="109"/>
        <w:gridCol w:w="109"/>
        <w:gridCol w:w="109"/>
        <w:gridCol w:w="218"/>
        <w:gridCol w:w="218"/>
        <w:gridCol w:w="186"/>
        <w:gridCol w:w="109"/>
        <w:gridCol w:w="109"/>
        <w:gridCol w:w="109"/>
        <w:gridCol w:w="476"/>
        <w:gridCol w:w="185"/>
        <w:gridCol w:w="186"/>
        <w:gridCol w:w="109"/>
        <w:gridCol w:w="109"/>
        <w:gridCol w:w="109"/>
        <w:gridCol w:w="281"/>
        <w:gridCol w:w="155"/>
        <w:gridCol w:w="156"/>
        <w:gridCol w:w="109"/>
        <w:gridCol w:w="109"/>
        <w:gridCol w:w="109"/>
        <w:gridCol w:w="305"/>
        <w:gridCol w:w="305"/>
        <w:gridCol w:w="306"/>
        <w:gridCol w:w="109"/>
        <w:gridCol w:w="109"/>
        <w:gridCol w:w="109"/>
        <w:gridCol w:w="356"/>
        <w:gridCol w:w="215"/>
        <w:gridCol w:w="216"/>
        <w:gridCol w:w="109"/>
        <w:gridCol w:w="109"/>
        <w:gridCol w:w="109"/>
        <w:gridCol w:w="376"/>
        <w:gridCol w:w="195"/>
        <w:gridCol w:w="196"/>
        <w:gridCol w:w="109"/>
        <w:gridCol w:w="109"/>
        <w:gridCol w:w="109"/>
        <w:gridCol w:w="220"/>
        <w:gridCol w:w="220"/>
        <w:gridCol w:w="221"/>
        <w:gridCol w:w="109"/>
        <w:gridCol w:w="109"/>
        <w:gridCol w:w="109"/>
        <w:gridCol w:w="416"/>
        <w:gridCol w:w="245"/>
        <w:gridCol w:w="246"/>
        <w:gridCol w:w="109"/>
        <w:gridCol w:w="109"/>
        <w:gridCol w:w="109"/>
        <w:gridCol w:w="285"/>
        <w:gridCol w:w="285"/>
        <w:gridCol w:w="286"/>
        <w:gridCol w:w="109"/>
        <w:gridCol w:w="109"/>
        <w:gridCol w:w="109"/>
        <w:gridCol w:w="661"/>
        <w:gridCol w:w="187"/>
      </w:tblGrid>
      <w:tr>
        <w:trPr/>
        <w:tc>
          <w:tcPr>
            <w:tcW w:w="7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7" w:type="dxa"/>
            <w:gridSpan w:val="51"/>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143A84"/>
                <w:sz w:val="16"/>
              </w:rPr>
            </w:pPr>
            <w:r>
              <w:rPr>
                <w:rFonts w:ascii="Helvetica;sans-serif" w:hAnsi="Helvetica;sans-serif"/>
                <w:b/>
                <w:color w:val="143A84"/>
                <w:sz w:val="16"/>
              </w:rPr>
              <w:t>Attributable to the Owners of the parent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Helvetica;sans-serif" w:hAnsi="Helvetica;sans-serif"/>
                <w:b w:val="false"/>
                <w:i/>
                <w:color w:val="000000"/>
                <w:sz w:val="14"/>
              </w:rPr>
            </w:pPr>
            <w:r>
              <w:rPr>
                <w:rFonts w:ascii="Helvetica;sans-serif" w:hAnsi="Helvetica;sans-serif"/>
                <w:b w:val="false"/>
                <w:i/>
                <w:color w:val="000000"/>
                <w:sz w:val="14"/>
              </w:rPr>
              <w:t>(€ million)</w:t>
            </w:r>
          </w:p>
        </w:tc>
        <w:tc>
          <w:tcPr>
            <w:tcW w:w="552"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143A84"/>
                <w:sz w:val="11"/>
              </w:rPr>
            </w:pPr>
            <w:r>
              <w:rPr>
                <w:rFonts w:ascii="Helvetica;sans-serif" w:hAnsi="Helvetica;sans-serif"/>
                <w:b/>
                <w:color w:val="143A84"/>
                <w:sz w:val="11"/>
              </w:rPr>
              <w:t>Share capital</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143A84"/>
                <w:sz w:val="11"/>
              </w:rPr>
            </w:pPr>
            <w:r>
              <w:rPr>
                <w:rFonts w:ascii="Helvetica;sans-serif" w:hAnsi="Helvetica;sans-serif"/>
                <w:b/>
                <w:color w:val="143A84"/>
                <w:sz w:val="11"/>
              </w:rPr>
              <w:t>Treasury</w:t>
              <w:br/>
              <w:t>shares</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143A84"/>
                <w:sz w:val="11"/>
              </w:rPr>
            </w:pPr>
            <w:r>
              <w:rPr>
                <w:rFonts w:ascii="Helvetica;sans-serif" w:hAnsi="Helvetica;sans-serif"/>
                <w:b/>
                <w:color w:val="143A84"/>
                <w:sz w:val="11"/>
              </w:rPr>
              <w:t>Retained earnings and other reserves</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143A84"/>
                <w:sz w:val="11"/>
              </w:rPr>
            </w:pPr>
            <w:r>
              <w:rPr>
                <w:rFonts w:ascii="Helvetica;sans-serif" w:hAnsi="Helvetica;sans-serif"/>
                <w:b/>
                <w:color w:val="143A84"/>
                <w:sz w:val="11"/>
              </w:rPr>
              <w:t>Cash flow hedges</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143A84"/>
                <w:sz w:val="11"/>
              </w:rPr>
            </w:pPr>
            <w:r>
              <w:rPr>
                <w:rFonts w:ascii="Helvetica;sans-serif" w:hAnsi="Helvetica;sans-serif"/>
                <w:b/>
                <w:color w:val="143A84"/>
                <w:sz w:val="11"/>
              </w:rPr>
              <w:t xml:space="preserve">Remeasurement </w:t>
              <w:br/>
              <w:t>of the fair value of financial assets</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143A84"/>
                <w:sz w:val="11"/>
              </w:rPr>
            </w:pPr>
            <w:r>
              <w:rPr>
                <w:rFonts w:ascii="Helvetica;sans-serif" w:hAnsi="Helvetica;sans-serif"/>
                <w:b/>
                <w:color w:val="143A84"/>
                <w:sz w:val="11"/>
              </w:rPr>
              <w:t>Actuarial gains and losses on pension obligations plans</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143A84"/>
                <w:sz w:val="11"/>
              </w:rPr>
            </w:pPr>
            <w:r>
              <w:rPr>
                <w:rFonts w:ascii="Helvetica;sans-serif" w:hAnsi="Helvetica;sans-serif"/>
                <w:b/>
                <w:color w:val="143A84"/>
                <w:sz w:val="11"/>
              </w:rPr>
              <w:t>Effect of change in exchange rates</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143A84"/>
                <w:sz w:val="11"/>
              </w:rPr>
            </w:pPr>
            <w:r>
              <w:rPr>
                <w:rFonts w:ascii="Helvetica;sans-serif" w:hAnsi="Helvetica;sans-serif"/>
                <w:b/>
                <w:color w:val="143A84"/>
                <w:sz w:val="11"/>
              </w:rPr>
              <w:t xml:space="preserve">Cumulative </w:t>
              <w:br/>
              <w:t>share of OCI of equity method investees</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143A84"/>
                <w:sz w:val="11"/>
              </w:rPr>
            </w:pPr>
            <w:r>
              <w:rPr>
                <w:rFonts w:ascii="Helvetica;sans-serif" w:hAnsi="Helvetica;sans-serif"/>
                <w:b/>
                <w:color w:val="143A84"/>
                <w:sz w:val="11"/>
              </w:rPr>
              <w:t>Equity - Attributable</w:t>
              <w:br/>
              <w:t> to Owners of the parent</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143A84"/>
                <w:sz w:val="11"/>
              </w:rPr>
            </w:pPr>
            <w:r>
              <w:rPr>
                <w:rFonts w:ascii="Helvetica;sans-serif" w:hAnsi="Helvetica;sans-serif"/>
                <w:b/>
                <w:color w:val="143A84"/>
                <w:sz w:val="11"/>
              </w:rPr>
              <w:t>Non-controlling interests</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143A84"/>
                <w:sz w:val="11"/>
              </w:rPr>
            </w:pPr>
            <w:r>
              <w:rPr>
                <w:rFonts w:ascii="Helvetica;sans-serif" w:hAnsi="Helvetica;sans-serif"/>
                <w:b/>
                <w:color w:val="143A84"/>
                <w:sz w:val="11"/>
              </w:rPr>
              <w:t>Total equity</w:t>
            </w:r>
          </w:p>
        </w:tc>
      </w:tr>
      <w:tr>
        <w:trPr/>
        <w:tc>
          <w:tcPr>
            <w:tcW w:w="1336"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143A84"/>
                <w:sz w:val="16"/>
              </w:rPr>
            </w:pPr>
            <w:r>
              <w:rPr>
                <w:rFonts w:ascii="Helvetica;sans-serif" w:hAnsi="Helvetica;sans-serif"/>
                <w:b/>
                <w:color w:val="143A84"/>
                <w:sz w:val="16"/>
              </w:rPr>
              <w:t>At December 31, 2024</w:t>
            </w:r>
          </w:p>
        </w:tc>
        <w:tc>
          <w:tcPr>
            <w:tcW w:w="406"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143A84"/>
                <w:sz w:val="16"/>
              </w:rPr>
              <w:t>37</w:t>
            </w:r>
            <w:r>
              <w:rPr>
                <w:color w:val="143A84"/>
              </w:rPr>
              <w:t> </w:t>
            </w:r>
          </w:p>
        </w:tc>
        <w:tc>
          <w:tcPr>
            <w:tcW w:w="146"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143A84"/>
                <w:sz w:val="16"/>
              </w:rPr>
            </w:pPr>
            <w:r>
              <w:rPr>
                <w:rFonts w:ascii="Helvetica;sans-serif" w:hAnsi="Helvetica;sans-serif"/>
                <w:b/>
                <w:color w:val="143A84"/>
                <w:sz w:val="16"/>
              </w:rPr>
              <w:t>(285)</w:t>
            </w:r>
          </w:p>
        </w:tc>
        <w:tc>
          <w:tcPr>
            <w:tcW w:w="186"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143A84"/>
                <w:sz w:val="16"/>
              </w:rPr>
              <w:t>77,316</w:t>
            </w:r>
            <w:r>
              <w:rPr>
                <w:color w:val="143A84"/>
              </w:rPr>
              <w:t> </w:t>
            </w:r>
          </w:p>
        </w:tc>
        <w:tc>
          <w:tcPr>
            <w:tcW w:w="186"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143A84"/>
                <w:sz w:val="16"/>
              </w:rPr>
            </w:pPr>
            <w:r>
              <w:rPr>
                <w:rFonts w:ascii="Helvetica;sans-serif" w:hAnsi="Helvetica;sans-serif"/>
                <w:b/>
                <w:color w:val="143A84"/>
                <w:sz w:val="16"/>
              </w:rPr>
              <w:t>(359)</w:t>
            </w:r>
          </w:p>
        </w:tc>
        <w:tc>
          <w:tcPr>
            <w:tcW w:w="156"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143A84"/>
                <w:sz w:val="16"/>
              </w:rPr>
              <w:t>74</w:t>
            </w:r>
            <w:r>
              <w:rPr>
                <w:color w:val="143A84"/>
              </w:rPr>
              <w:t> </w:t>
            </w:r>
          </w:p>
        </w:tc>
        <w:tc>
          <w:tcPr>
            <w:tcW w:w="306"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143A84"/>
                <w:sz w:val="16"/>
              </w:rPr>
              <w:t>3,129</w:t>
            </w:r>
            <w:r>
              <w:rPr>
                <w:color w:val="143A84"/>
              </w:rPr>
              <w:t> </w:t>
            </w:r>
          </w:p>
        </w:tc>
        <w:tc>
          <w:tcPr>
            <w:tcW w:w="216"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143A84"/>
                <w:sz w:val="16"/>
              </w:rPr>
              <w:t>2,048</w:t>
            </w:r>
            <w:r>
              <w:rPr>
                <w:color w:val="143A84"/>
              </w:rPr>
              <w:t> </w:t>
            </w:r>
          </w:p>
        </w:tc>
        <w:tc>
          <w:tcPr>
            <w:tcW w:w="196"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143A84"/>
                <w:sz w:val="16"/>
              </w:rPr>
            </w:pPr>
            <w:r>
              <w:rPr>
                <w:rFonts w:ascii="Helvetica;sans-serif" w:hAnsi="Helvetica;sans-serif"/>
                <w:b/>
                <w:color w:val="143A84"/>
                <w:sz w:val="16"/>
              </w:rPr>
              <w:t>(268)</w:t>
            </w:r>
          </w:p>
        </w:tc>
        <w:tc>
          <w:tcPr>
            <w:tcW w:w="221"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143A84"/>
                <w:sz w:val="16"/>
              </w:rPr>
              <w:t>81,692</w:t>
            </w:r>
            <w:r>
              <w:rPr>
                <w:color w:val="143A84"/>
              </w:rPr>
              <w:t> </w:t>
            </w:r>
          </w:p>
        </w:tc>
        <w:tc>
          <w:tcPr>
            <w:tcW w:w="246"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143A84"/>
                <w:sz w:val="16"/>
              </w:rPr>
              <w:t>423</w:t>
            </w:r>
            <w:r>
              <w:rPr>
                <w:color w:val="143A84"/>
              </w:rPr>
              <w:t> </w:t>
            </w:r>
          </w:p>
        </w:tc>
        <w:tc>
          <w:tcPr>
            <w:tcW w:w="286"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143A84"/>
                <w:sz w:val="16"/>
              </w:rPr>
              <w:t>82,115</w:t>
            </w:r>
            <w:r>
              <w:rPr>
                <w:color w:val="143A84"/>
              </w:rPr>
              <w:t> </w:t>
            </w:r>
          </w:p>
        </w:tc>
        <w:tc>
          <w:tcPr>
            <w:tcW w:w="187"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Other comprehensive income</w:t>
            </w:r>
          </w:p>
        </w:tc>
        <w:tc>
          <w:tcPr>
            <w:tcW w:w="40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176 </w:t>
            </w:r>
          </w:p>
        </w:tc>
        <w:tc>
          <w:tcPr>
            <w:tcW w:w="15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62 </w:t>
            </w:r>
          </w:p>
        </w:tc>
        <w:tc>
          <w:tcPr>
            <w:tcW w:w="30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(87)</w:t>
            </w:r>
          </w:p>
        </w:tc>
        <w:tc>
          <w:tcPr>
            <w:tcW w:w="21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(4,329)</w:t>
            </w:r>
          </w:p>
        </w:tc>
        <w:tc>
          <w:tcPr>
            <w:tcW w:w="19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(295)</w:t>
            </w:r>
          </w:p>
        </w:tc>
        <w:tc>
          <w:tcPr>
            <w:tcW w:w="221"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(4,473)</w:t>
            </w:r>
          </w:p>
        </w:tc>
        <w:tc>
          <w:tcPr>
            <w:tcW w:w="24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(11)</w:t>
            </w:r>
          </w:p>
        </w:tc>
        <w:tc>
          <w:tcPr>
            <w:tcW w:w="28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(4,484)</w:t>
            </w:r>
          </w:p>
        </w:tc>
        <w:tc>
          <w:tcPr>
            <w:tcW w:w="187"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Net profit/(loss)</w:t>
            </w:r>
          </w:p>
        </w:tc>
        <w:tc>
          <w:tcPr>
            <w:tcW w:w="40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(2,240)</w:t>
            </w:r>
          </w:p>
        </w:tc>
        <w:tc>
          <w:tcPr>
            <w:tcW w:w="18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1"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(2,240)</w:t>
            </w:r>
          </w:p>
        </w:tc>
        <w:tc>
          <w:tcPr>
            <w:tcW w:w="24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(16)</w:t>
            </w:r>
          </w:p>
        </w:tc>
        <w:tc>
          <w:tcPr>
            <w:tcW w:w="28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(2,256)</w:t>
            </w:r>
          </w:p>
        </w:tc>
        <w:tc>
          <w:tcPr>
            <w:tcW w:w="187"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143A84"/>
                <w:sz w:val="16"/>
              </w:rPr>
            </w:pPr>
            <w:r>
              <w:rPr>
                <w:rFonts w:ascii="Helvetica;sans-serif" w:hAnsi="Helvetica;sans-serif"/>
                <w:b/>
                <w:color w:val="143A84"/>
                <w:sz w:val="16"/>
              </w:rPr>
              <w:t>Total Other comprehensive income</w:t>
            </w:r>
          </w:p>
        </w:tc>
        <w:tc>
          <w:tcPr>
            <w:tcW w:w="406"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color w:val="143A84"/>
              </w:rPr>
            </w:pPr>
            <w:r>
              <w:rPr>
                <w:color w:val="143A84"/>
              </w:rPr>
              <w:t>— </w:t>
            </w:r>
          </w:p>
        </w:tc>
        <w:tc>
          <w:tcPr>
            <w:tcW w:w="146"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color w:val="143A84"/>
              </w:rPr>
            </w:pPr>
            <w:r>
              <w:rPr>
                <w:color w:val="143A84"/>
              </w:rPr>
              <w:t>— </w:t>
            </w:r>
          </w:p>
        </w:tc>
        <w:tc>
          <w:tcPr>
            <w:tcW w:w="186"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143A84"/>
                <w:sz w:val="16"/>
              </w:rPr>
            </w:pPr>
            <w:r>
              <w:rPr>
                <w:rFonts w:ascii="Helvetica;sans-serif" w:hAnsi="Helvetica;sans-serif"/>
                <w:b/>
                <w:color w:val="143A84"/>
                <w:sz w:val="16"/>
              </w:rPr>
              <w:t>(2,240)</w:t>
            </w:r>
          </w:p>
        </w:tc>
        <w:tc>
          <w:tcPr>
            <w:tcW w:w="186"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143A84"/>
                <w:sz w:val="16"/>
              </w:rPr>
              <w:t>176</w:t>
            </w:r>
            <w:r>
              <w:rPr>
                <w:color w:val="143A84"/>
              </w:rPr>
              <w:t> </w:t>
            </w:r>
          </w:p>
        </w:tc>
        <w:tc>
          <w:tcPr>
            <w:tcW w:w="156"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143A84"/>
                <w:sz w:val="16"/>
              </w:rPr>
              <w:t>62</w:t>
            </w:r>
            <w:r>
              <w:rPr>
                <w:color w:val="143A84"/>
              </w:rPr>
              <w:t> </w:t>
            </w:r>
          </w:p>
        </w:tc>
        <w:tc>
          <w:tcPr>
            <w:tcW w:w="306"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143A84"/>
                <w:sz w:val="16"/>
              </w:rPr>
            </w:pPr>
            <w:r>
              <w:rPr>
                <w:rFonts w:ascii="Helvetica;sans-serif" w:hAnsi="Helvetica;sans-serif"/>
                <w:b/>
                <w:color w:val="143A84"/>
                <w:sz w:val="16"/>
              </w:rPr>
              <w:t>(87)</w:t>
            </w:r>
          </w:p>
        </w:tc>
        <w:tc>
          <w:tcPr>
            <w:tcW w:w="216"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143A84"/>
                <w:sz w:val="16"/>
              </w:rPr>
            </w:pPr>
            <w:r>
              <w:rPr>
                <w:rFonts w:ascii="Helvetica;sans-serif" w:hAnsi="Helvetica;sans-serif"/>
                <w:b/>
                <w:color w:val="143A84"/>
                <w:sz w:val="16"/>
              </w:rPr>
              <w:t>(4,329)</w:t>
            </w:r>
          </w:p>
        </w:tc>
        <w:tc>
          <w:tcPr>
            <w:tcW w:w="196"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143A84"/>
                <w:sz w:val="16"/>
              </w:rPr>
            </w:pPr>
            <w:r>
              <w:rPr>
                <w:rFonts w:ascii="Helvetica;sans-serif" w:hAnsi="Helvetica;sans-serif"/>
                <w:b/>
                <w:color w:val="143A84"/>
                <w:sz w:val="16"/>
              </w:rPr>
              <w:t>(295)</w:t>
            </w:r>
          </w:p>
        </w:tc>
        <w:tc>
          <w:tcPr>
            <w:tcW w:w="221"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143A84"/>
                <w:sz w:val="16"/>
              </w:rPr>
            </w:pPr>
            <w:r>
              <w:rPr>
                <w:rFonts w:ascii="Helvetica;sans-serif" w:hAnsi="Helvetica;sans-serif"/>
                <w:b/>
                <w:color w:val="143A84"/>
                <w:sz w:val="16"/>
              </w:rPr>
              <w:t>(6,713)</w:t>
            </w:r>
          </w:p>
        </w:tc>
        <w:tc>
          <w:tcPr>
            <w:tcW w:w="246"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143A84"/>
                <w:sz w:val="16"/>
              </w:rPr>
            </w:pPr>
            <w:r>
              <w:rPr>
                <w:rFonts w:ascii="Helvetica;sans-serif" w:hAnsi="Helvetica;sans-serif"/>
                <w:b/>
                <w:color w:val="143A84"/>
                <w:sz w:val="16"/>
              </w:rPr>
              <w:t>(27)</w:t>
            </w:r>
          </w:p>
        </w:tc>
        <w:tc>
          <w:tcPr>
            <w:tcW w:w="286"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143A84"/>
                <w:sz w:val="16"/>
              </w:rPr>
            </w:pPr>
            <w:r>
              <w:rPr>
                <w:rFonts w:ascii="Helvetica;sans-serif" w:hAnsi="Helvetica;sans-serif"/>
                <w:b/>
                <w:color w:val="143A84"/>
                <w:sz w:val="16"/>
              </w:rPr>
              <w:t>(6,740)</w:t>
            </w:r>
          </w:p>
        </w:tc>
        <w:tc>
          <w:tcPr>
            <w:tcW w:w="187"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 xml:space="preserve">Distributions </w:t>
            </w:r>
          </w:p>
        </w:tc>
        <w:tc>
          <w:tcPr>
            <w:tcW w:w="40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(1,959)</w:t>
            </w:r>
          </w:p>
        </w:tc>
        <w:tc>
          <w:tcPr>
            <w:tcW w:w="18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1"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(1,959)</w:t>
            </w:r>
          </w:p>
        </w:tc>
        <w:tc>
          <w:tcPr>
            <w:tcW w:w="24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(3)</w:t>
            </w:r>
          </w:p>
        </w:tc>
        <w:tc>
          <w:tcPr>
            <w:tcW w:w="28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(1,962)</w:t>
            </w:r>
          </w:p>
        </w:tc>
        <w:tc>
          <w:tcPr>
            <w:tcW w:w="187"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Share-based compensation</w:t>
            </w:r>
          </w:p>
        </w:tc>
        <w:tc>
          <w:tcPr>
            <w:tcW w:w="40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26 </w:t>
            </w:r>
          </w:p>
        </w:tc>
        <w:tc>
          <w:tcPr>
            <w:tcW w:w="18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1"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26 </w:t>
            </w:r>
          </w:p>
        </w:tc>
        <w:tc>
          <w:tcPr>
            <w:tcW w:w="24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26 </w:t>
            </w:r>
          </w:p>
        </w:tc>
        <w:tc>
          <w:tcPr>
            <w:tcW w:w="187"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0"/>
              <w:jc w:val="left"/>
              <w:rPr/>
            </w:pPr>
            <w:r>
              <w:rPr>
                <w:rFonts w:ascii="Helvetica;sans-serif" w:hAnsi="Helvetica;sans-serif"/>
                <w:b w:val="false"/>
                <w:color w:val="000000"/>
                <w:sz w:val="16"/>
              </w:rPr>
              <w:t>Other changes</w:t>
            </w:r>
            <w:r>
              <w:rPr>
                <w:rFonts w:ascii="Helvetica;sans-serif" w:hAnsi="Helvetica;sans-serif"/>
                <w:b w:val="false"/>
                <w:color w:val="000000"/>
                <w:sz w:val="10"/>
              </w:rPr>
              <w:t>(1)</w:t>
            </w:r>
          </w:p>
        </w:tc>
        <w:tc>
          <w:tcPr>
            <w:tcW w:w="40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72 </w:t>
            </w:r>
          </w:p>
        </w:tc>
        <w:tc>
          <w:tcPr>
            <w:tcW w:w="18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w:t>
            </w:r>
          </w:p>
        </w:tc>
        <w:tc>
          <w:tcPr>
            <w:tcW w:w="15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1"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71 </w:t>
            </w:r>
          </w:p>
        </w:tc>
        <w:tc>
          <w:tcPr>
            <w:tcW w:w="24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13 </w:t>
            </w:r>
          </w:p>
        </w:tc>
        <w:tc>
          <w:tcPr>
            <w:tcW w:w="28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84 </w:t>
            </w:r>
          </w:p>
        </w:tc>
        <w:tc>
          <w:tcPr>
            <w:tcW w:w="187"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color w:val="143A84"/>
                <w:sz w:val="16"/>
              </w:rPr>
            </w:pPr>
            <w:r>
              <w:rPr>
                <w:rFonts w:ascii="Helvetica;sans-serif" w:hAnsi="Helvetica;sans-serif"/>
                <w:b/>
                <w:color w:val="143A84"/>
                <w:sz w:val="16"/>
              </w:rPr>
              <w:t>At June 30, 2025</w:t>
            </w:r>
          </w:p>
        </w:tc>
        <w:tc>
          <w:tcPr>
            <w:tcW w:w="406" w:type="dxa"/>
            <w:gridSpan w:val="2"/>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right"/>
              <w:rPr/>
            </w:pPr>
            <w:r>
              <w:rPr>
                <w:rFonts w:ascii="Helvetica;sans-serif" w:hAnsi="Helvetica;sans-serif"/>
                <w:b/>
                <w:color w:val="143A84"/>
                <w:sz w:val="16"/>
              </w:rPr>
              <w:t>37</w:t>
            </w:r>
            <w:r>
              <w:rPr>
                <w:color w:val="143A84"/>
              </w:rPr>
              <w:t> </w:t>
            </w:r>
          </w:p>
        </w:tc>
        <w:tc>
          <w:tcPr>
            <w:tcW w:w="146" w:type="dxa"/>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bottom w:val="single" w:sz="2" w:space="0" w:color="8E939F"/>
            </w:tcBorders>
            <w:shd w:fill="E6E7F4" w:val="clear"/>
            <w:tcMar>
              <w:left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color w:val="143A84"/>
                <w:sz w:val="16"/>
              </w:rPr>
            </w:pPr>
            <w:r>
              <w:rPr>
                <w:rFonts w:ascii="Helvetica;sans-serif" w:hAnsi="Helvetica;sans-serif"/>
                <w:b/>
                <w:color w:val="143A84"/>
                <w:sz w:val="16"/>
              </w:rPr>
              <w:t>(285)</w:t>
            </w:r>
          </w:p>
        </w:tc>
        <w:tc>
          <w:tcPr>
            <w:tcW w:w="186" w:type="dxa"/>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bottom w:val="single" w:sz="2" w:space="0" w:color="8E939F"/>
            </w:tcBorders>
            <w:shd w:fill="E6E7F4" w:val="clear"/>
            <w:tcMar>
              <w:left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right"/>
              <w:rPr/>
            </w:pPr>
            <w:r>
              <w:rPr>
                <w:rFonts w:ascii="Helvetica;sans-serif" w:hAnsi="Helvetica;sans-serif"/>
                <w:b/>
                <w:color w:val="143A84"/>
                <w:sz w:val="16"/>
              </w:rPr>
              <w:t>73,215</w:t>
            </w:r>
            <w:r>
              <w:rPr>
                <w:color w:val="143A84"/>
              </w:rPr>
              <w:t> </w:t>
            </w:r>
          </w:p>
        </w:tc>
        <w:tc>
          <w:tcPr>
            <w:tcW w:w="186" w:type="dxa"/>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bottom w:val="single" w:sz="2" w:space="0" w:color="8E939F"/>
            </w:tcBorders>
            <w:shd w:fill="E6E7F4" w:val="clear"/>
            <w:tcMar>
              <w:left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color w:val="143A84"/>
                <w:sz w:val="16"/>
              </w:rPr>
            </w:pPr>
            <w:r>
              <w:rPr>
                <w:rFonts w:ascii="Helvetica;sans-serif" w:hAnsi="Helvetica;sans-serif"/>
                <w:b/>
                <w:color w:val="143A84"/>
                <w:sz w:val="16"/>
              </w:rPr>
              <w:t>(184)</w:t>
            </w:r>
          </w:p>
        </w:tc>
        <w:tc>
          <w:tcPr>
            <w:tcW w:w="156" w:type="dxa"/>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bottom w:val="single" w:sz="2" w:space="0" w:color="8E939F"/>
            </w:tcBorders>
            <w:shd w:fill="E6E7F4" w:val="clear"/>
            <w:tcMar>
              <w:left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right"/>
              <w:rPr/>
            </w:pPr>
            <w:r>
              <w:rPr>
                <w:rFonts w:ascii="Helvetica;sans-serif" w:hAnsi="Helvetica;sans-serif"/>
                <w:b/>
                <w:color w:val="143A84"/>
                <w:sz w:val="16"/>
              </w:rPr>
              <w:t>136</w:t>
            </w:r>
            <w:r>
              <w:rPr>
                <w:color w:val="143A84"/>
              </w:rPr>
              <w:t> </w:t>
            </w:r>
          </w:p>
        </w:tc>
        <w:tc>
          <w:tcPr>
            <w:tcW w:w="306" w:type="dxa"/>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bottom w:val="single" w:sz="2" w:space="0" w:color="8E939F"/>
            </w:tcBorders>
            <w:shd w:fill="E6E7F4" w:val="clear"/>
            <w:tcMar>
              <w:left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right"/>
              <w:rPr/>
            </w:pPr>
            <w:r>
              <w:rPr>
                <w:rFonts w:ascii="Helvetica;sans-serif" w:hAnsi="Helvetica;sans-serif"/>
                <w:b/>
                <w:color w:val="143A84"/>
                <w:sz w:val="16"/>
              </w:rPr>
              <w:t>3,042</w:t>
            </w:r>
            <w:r>
              <w:rPr>
                <w:color w:val="143A84"/>
              </w:rPr>
              <w:t> </w:t>
            </w:r>
          </w:p>
        </w:tc>
        <w:tc>
          <w:tcPr>
            <w:tcW w:w="216" w:type="dxa"/>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bottom w:val="single" w:sz="2" w:space="0" w:color="8E939F"/>
            </w:tcBorders>
            <w:shd w:fill="E6E7F4" w:val="clear"/>
            <w:tcMar>
              <w:left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color w:val="143A84"/>
                <w:sz w:val="16"/>
              </w:rPr>
            </w:pPr>
            <w:r>
              <w:rPr>
                <w:rFonts w:ascii="Helvetica;sans-serif" w:hAnsi="Helvetica;sans-serif"/>
                <w:b/>
                <w:color w:val="143A84"/>
                <w:sz w:val="16"/>
              </w:rPr>
              <w:t>(2,281)</w:t>
            </w:r>
          </w:p>
        </w:tc>
        <w:tc>
          <w:tcPr>
            <w:tcW w:w="196" w:type="dxa"/>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bottom w:val="single" w:sz="2" w:space="0" w:color="8E939F"/>
            </w:tcBorders>
            <w:shd w:fill="E6E7F4" w:val="clear"/>
            <w:tcMar>
              <w:left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color w:val="143A84"/>
                <w:sz w:val="16"/>
              </w:rPr>
            </w:pPr>
            <w:r>
              <w:rPr>
                <w:rFonts w:ascii="Helvetica;sans-serif" w:hAnsi="Helvetica;sans-serif"/>
                <w:b/>
                <w:color w:val="143A84"/>
                <w:sz w:val="16"/>
              </w:rPr>
              <w:t>(563)</w:t>
            </w:r>
          </w:p>
        </w:tc>
        <w:tc>
          <w:tcPr>
            <w:tcW w:w="221" w:type="dxa"/>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bottom w:val="single" w:sz="2" w:space="0" w:color="8E939F"/>
            </w:tcBorders>
            <w:shd w:fill="E6E7F4" w:val="clear"/>
            <w:tcMar>
              <w:left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right"/>
              <w:rPr/>
            </w:pPr>
            <w:r>
              <w:rPr>
                <w:rFonts w:ascii="Helvetica;sans-serif" w:hAnsi="Helvetica;sans-serif"/>
                <w:b/>
                <w:color w:val="143A84"/>
                <w:sz w:val="16"/>
              </w:rPr>
              <w:t>73,117</w:t>
            </w:r>
            <w:r>
              <w:rPr>
                <w:color w:val="143A84"/>
              </w:rPr>
              <w:t> </w:t>
            </w:r>
          </w:p>
        </w:tc>
        <w:tc>
          <w:tcPr>
            <w:tcW w:w="246" w:type="dxa"/>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bottom w:val="single" w:sz="2" w:space="0" w:color="8E939F"/>
            </w:tcBorders>
            <w:shd w:fill="E6E7F4" w:val="clear"/>
            <w:tcMar>
              <w:left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right"/>
              <w:rPr/>
            </w:pPr>
            <w:r>
              <w:rPr>
                <w:rFonts w:ascii="Helvetica;sans-serif" w:hAnsi="Helvetica;sans-serif"/>
                <w:b/>
                <w:color w:val="143A84"/>
                <w:sz w:val="16"/>
              </w:rPr>
              <w:t>406</w:t>
            </w:r>
            <w:r>
              <w:rPr>
                <w:color w:val="143A84"/>
              </w:rPr>
              <w:t> </w:t>
            </w:r>
          </w:p>
        </w:tc>
        <w:tc>
          <w:tcPr>
            <w:tcW w:w="286" w:type="dxa"/>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bottom w:val="single" w:sz="2" w:space="0" w:color="8E939F"/>
            </w:tcBorders>
            <w:shd w:fill="E6E7F4" w:val="clear"/>
            <w:tcMar>
              <w:left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right"/>
              <w:rPr/>
            </w:pPr>
            <w:r>
              <w:rPr>
                <w:rFonts w:ascii="Helvetica;sans-serif" w:hAnsi="Helvetica;sans-serif"/>
                <w:b/>
                <w:color w:val="143A84"/>
                <w:sz w:val="16"/>
              </w:rPr>
              <w:t>73,523</w:t>
            </w:r>
            <w:r>
              <w:rPr>
                <w:color w:val="143A84"/>
              </w:rPr>
              <w:t> </w:t>
            </w:r>
          </w:p>
        </w:tc>
        <w:tc>
          <w:tcPr>
            <w:tcW w:w="187" w:type="dxa"/>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Helvetica Light;sans-serif" w:hAnsi="Helvetica Light;sans-serif"/>
          <w:b w:val="false"/>
          <w:color w:val="000000"/>
          <w:sz w:val="16"/>
        </w:rPr>
      </w:pPr>
      <w:r>
        <w:rPr>
          <w:rFonts w:ascii="Helvetica Light;sans-serif" w:hAnsi="Helvetica Light;sans-serif"/>
          <w:b w:val="false"/>
          <w:color w:val="000000"/>
          <w:sz w:val="16"/>
        </w:rPr>
        <w:t xml:space="preserve">(1) Includes the effect of hyperinflation for entities whose functional currency is the Turkish Lira, beginning from January 1, 2022, and the Argentine Peso, from July 1, 2018 of €117 million at June 30, 2025. Also includes €1 million deferred net hedging gains/(losses) transferred to inventory, net of tax </w:t>
      </w:r>
    </w:p>
    <w:tbl>
      <w:tblPr>
        <w:tblW w:w="13345" w:type="dxa"/>
        <w:jc w:val="left"/>
        <w:tblInd w:w="0" w:type="dxa"/>
        <w:tblLayout w:type="fixed"/>
        <w:tblCellMar>
          <w:top w:w="28" w:type="dxa"/>
          <w:left w:w="28" w:type="dxa"/>
          <w:bottom w:w="28" w:type="dxa"/>
          <w:right w:w="28" w:type="dxa"/>
        </w:tblCellMar>
      </w:tblPr>
      <w:tblGrid>
        <w:gridCol w:w="596"/>
        <w:gridCol w:w="253"/>
        <w:gridCol w:w="247"/>
        <w:gridCol w:w="254"/>
        <w:gridCol w:w="152"/>
        <w:gridCol w:w="146"/>
        <w:gridCol w:w="109"/>
        <w:gridCol w:w="109"/>
        <w:gridCol w:w="109"/>
        <w:gridCol w:w="210"/>
        <w:gridCol w:w="196"/>
        <w:gridCol w:w="186"/>
        <w:gridCol w:w="109"/>
        <w:gridCol w:w="109"/>
        <w:gridCol w:w="109"/>
        <w:gridCol w:w="321"/>
        <w:gridCol w:w="190"/>
        <w:gridCol w:w="191"/>
        <w:gridCol w:w="109"/>
        <w:gridCol w:w="109"/>
        <w:gridCol w:w="109"/>
        <w:gridCol w:w="401"/>
        <w:gridCol w:w="185"/>
        <w:gridCol w:w="186"/>
        <w:gridCol w:w="109"/>
        <w:gridCol w:w="109"/>
        <w:gridCol w:w="109"/>
        <w:gridCol w:w="251"/>
        <w:gridCol w:w="155"/>
        <w:gridCol w:w="156"/>
        <w:gridCol w:w="109"/>
        <w:gridCol w:w="109"/>
        <w:gridCol w:w="109"/>
        <w:gridCol w:w="305"/>
        <w:gridCol w:w="305"/>
        <w:gridCol w:w="306"/>
        <w:gridCol w:w="109"/>
        <w:gridCol w:w="109"/>
        <w:gridCol w:w="109"/>
        <w:gridCol w:w="296"/>
        <w:gridCol w:w="215"/>
        <w:gridCol w:w="216"/>
        <w:gridCol w:w="109"/>
        <w:gridCol w:w="109"/>
        <w:gridCol w:w="109"/>
        <w:gridCol w:w="316"/>
        <w:gridCol w:w="195"/>
        <w:gridCol w:w="196"/>
        <w:gridCol w:w="109"/>
        <w:gridCol w:w="109"/>
        <w:gridCol w:w="109"/>
        <w:gridCol w:w="220"/>
        <w:gridCol w:w="220"/>
        <w:gridCol w:w="221"/>
        <w:gridCol w:w="109"/>
        <w:gridCol w:w="109"/>
        <w:gridCol w:w="109"/>
        <w:gridCol w:w="341"/>
        <w:gridCol w:w="245"/>
        <w:gridCol w:w="246"/>
        <w:gridCol w:w="109"/>
        <w:gridCol w:w="109"/>
        <w:gridCol w:w="109"/>
        <w:gridCol w:w="570"/>
        <w:gridCol w:w="286"/>
        <w:gridCol w:w="327"/>
        <w:gridCol w:w="586"/>
        <w:gridCol w:w="187"/>
      </w:tblGrid>
      <w:tr>
        <w:trPr/>
        <w:tc>
          <w:tcPr>
            <w:tcW w:w="59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6" w:type="dxa"/>
            <w:gridSpan w:val="57"/>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143A84"/>
                <w:sz w:val="14"/>
              </w:rPr>
            </w:pPr>
            <w:r>
              <w:rPr>
                <w:rFonts w:ascii="Helvetica;sans-serif" w:hAnsi="Helvetica;sans-serif"/>
                <w:b/>
                <w:color w:val="143A84"/>
                <w:sz w:val="14"/>
              </w:rPr>
              <w:t>Attributable to the Owners of the parent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Helvetica;sans-serif" w:hAnsi="Helvetica;sans-serif"/>
                <w:b w:val="false"/>
                <w:i/>
                <w:color w:val="000000"/>
                <w:sz w:val="12"/>
              </w:rPr>
            </w:pPr>
            <w:r>
              <w:rPr>
                <w:rFonts w:ascii="Helvetica;sans-serif" w:hAnsi="Helvetica;sans-serif"/>
                <w:b w:val="false"/>
                <w:i/>
                <w:color w:val="000000"/>
                <w:sz w:val="12"/>
              </w:rPr>
              <w:t>(€ million)</w:t>
            </w:r>
          </w:p>
        </w:tc>
        <w:tc>
          <w:tcPr>
            <w:tcW w:w="552"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143A84"/>
                <w:sz w:val="11"/>
              </w:rPr>
            </w:pPr>
            <w:r>
              <w:rPr>
                <w:rFonts w:ascii="Helvetica;sans-serif" w:hAnsi="Helvetica;sans-serif"/>
                <w:b/>
                <w:color w:val="143A84"/>
                <w:sz w:val="11"/>
              </w:rPr>
              <w:t>Share capital</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143A84"/>
                <w:sz w:val="11"/>
              </w:rPr>
            </w:pPr>
            <w:r>
              <w:rPr>
                <w:rFonts w:ascii="Helvetica;sans-serif" w:hAnsi="Helvetica;sans-serif"/>
                <w:b/>
                <w:color w:val="143A84"/>
                <w:sz w:val="11"/>
              </w:rPr>
              <w:t>Treasury</w:t>
              <w:br/>
              <w:t>shares</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143A84"/>
                <w:sz w:val="11"/>
              </w:rPr>
            </w:pPr>
            <w:r>
              <w:rPr>
                <w:rFonts w:ascii="Helvetica;sans-serif" w:hAnsi="Helvetica;sans-serif"/>
                <w:b/>
                <w:color w:val="143A84"/>
                <w:sz w:val="11"/>
              </w:rPr>
              <w:t>Hybrid perpetual notes</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143A84"/>
                <w:sz w:val="11"/>
              </w:rPr>
            </w:pPr>
            <w:r>
              <w:rPr>
                <w:rFonts w:ascii="Helvetica;sans-serif" w:hAnsi="Helvetica;sans-serif"/>
                <w:b/>
                <w:color w:val="143A84"/>
                <w:sz w:val="11"/>
              </w:rPr>
              <w:t>Retained earnings and other reserves</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143A84"/>
                <w:sz w:val="11"/>
              </w:rPr>
            </w:pPr>
            <w:r>
              <w:rPr>
                <w:rFonts w:ascii="Helvetica;sans-serif" w:hAnsi="Helvetica;sans-serif"/>
                <w:b/>
                <w:color w:val="143A84"/>
                <w:sz w:val="11"/>
              </w:rPr>
              <w:t>Cash flow hedges</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143A84"/>
                <w:sz w:val="11"/>
              </w:rPr>
            </w:pPr>
            <w:r>
              <w:rPr>
                <w:rFonts w:ascii="Helvetica;sans-serif" w:hAnsi="Helvetica;sans-serif"/>
                <w:b/>
                <w:color w:val="143A84"/>
                <w:sz w:val="11"/>
              </w:rPr>
              <w:t xml:space="preserve">Remeasurement </w:t>
              <w:br/>
              <w:t>of the fair value of financial assets</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143A84"/>
                <w:sz w:val="11"/>
              </w:rPr>
            </w:pPr>
            <w:r>
              <w:rPr>
                <w:rFonts w:ascii="Helvetica;sans-serif" w:hAnsi="Helvetica;sans-serif"/>
                <w:b/>
                <w:color w:val="143A84"/>
                <w:sz w:val="11"/>
              </w:rPr>
              <w:t>Actuarial gains and losses on pension obligations plans</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143A84"/>
                <w:sz w:val="11"/>
              </w:rPr>
            </w:pPr>
            <w:r>
              <w:rPr>
                <w:rFonts w:ascii="Helvetica;sans-serif" w:hAnsi="Helvetica;sans-serif"/>
                <w:b/>
                <w:color w:val="143A84"/>
                <w:sz w:val="11"/>
              </w:rPr>
              <w:t>Effect of change in exchange rates</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143A84"/>
                <w:sz w:val="11"/>
              </w:rPr>
            </w:pPr>
            <w:r>
              <w:rPr>
                <w:rFonts w:ascii="Helvetica;sans-serif" w:hAnsi="Helvetica;sans-serif"/>
                <w:b/>
                <w:color w:val="143A84"/>
                <w:sz w:val="11"/>
              </w:rPr>
              <w:t xml:space="preserve">Cumulative </w:t>
              <w:br/>
              <w:t>share of OCI of equity method investees</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143A84"/>
                <w:sz w:val="11"/>
              </w:rPr>
            </w:pPr>
            <w:r>
              <w:rPr>
                <w:rFonts w:ascii="Helvetica;sans-serif" w:hAnsi="Helvetica;sans-serif"/>
                <w:b/>
                <w:color w:val="143A84"/>
                <w:sz w:val="11"/>
              </w:rPr>
              <w:t>Equity - Attributable</w:t>
              <w:br/>
              <w:t> to Owners of the parent</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143A84"/>
                <w:sz w:val="11"/>
              </w:rPr>
            </w:pPr>
            <w:r>
              <w:rPr>
                <w:rFonts w:ascii="Helvetica;sans-serif" w:hAnsi="Helvetica;sans-serif"/>
                <w:b/>
                <w:color w:val="143A84"/>
                <w:sz w:val="11"/>
              </w:rPr>
              <w:t>Non-controlling interests</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143A84"/>
                <w:sz w:val="11"/>
              </w:rPr>
            </w:pPr>
            <w:r>
              <w:rPr>
                <w:rFonts w:ascii="Helvetica;sans-serif" w:hAnsi="Helvetica;sans-serif"/>
                <w:b/>
                <w:color w:val="143A84"/>
                <w:sz w:val="11"/>
              </w:rPr>
              <w:t>Total equity</w:t>
            </w:r>
          </w:p>
        </w:tc>
      </w:tr>
      <w:tr>
        <w:trPr/>
        <w:tc>
          <w:tcPr>
            <w:tcW w:w="1096"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143A84"/>
                <w:sz w:val="14"/>
              </w:rPr>
            </w:pPr>
            <w:r>
              <w:rPr>
                <w:rFonts w:ascii="Helvetica;sans-serif" w:hAnsi="Helvetica;sans-serif"/>
                <w:b/>
                <w:color w:val="143A84"/>
                <w:sz w:val="14"/>
              </w:rPr>
              <w:t>At December 31, 2025</w:t>
            </w:r>
          </w:p>
        </w:tc>
        <w:tc>
          <w:tcPr>
            <w:tcW w:w="406"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143A84"/>
                <w:sz w:val="14"/>
              </w:rPr>
              <w:t>37</w:t>
            </w:r>
            <w:r>
              <w:rPr>
                <w:color w:val="143A84"/>
              </w:rPr>
              <w:t> </w:t>
            </w:r>
          </w:p>
        </w:tc>
        <w:tc>
          <w:tcPr>
            <w:tcW w:w="146"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143A84"/>
                <w:sz w:val="14"/>
              </w:rPr>
            </w:pPr>
            <w:r>
              <w:rPr>
                <w:rFonts w:ascii="Helvetica;sans-serif" w:hAnsi="Helvetica;sans-serif"/>
                <w:b/>
                <w:color w:val="143A84"/>
                <w:sz w:val="14"/>
              </w:rPr>
              <w:t>(285)</w:t>
            </w:r>
          </w:p>
        </w:tc>
        <w:tc>
          <w:tcPr>
            <w:tcW w:w="186"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color w:val="143A84"/>
              </w:rPr>
            </w:pPr>
            <w:r>
              <w:rPr>
                <w:color w:val="143A84"/>
              </w:rPr>
              <w:t>— </w:t>
            </w:r>
          </w:p>
        </w:tc>
        <w:tc>
          <w:tcPr>
            <w:tcW w:w="191"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143A84"/>
                <w:sz w:val="14"/>
              </w:rPr>
              <w:t>53,267</w:t>
            </w:r>
            <w:r>
              <w:rPr>
                <w:color w:val="143A84"/>
              </w:rPr>
              <w:t> </w:t>
            </w:r>
          </w:p>
        </w:tc>
        <w:tc>
          <w:tcPr>
            <w:tcW w:w="186"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143A84"/>
                <w:sz w:val="14"/>
              </w:rPr>
              <w:t>106</w:t>
            </w:r>
            <w:r>
              <w:rPr>
                <w:color w:val="143A84"/>
              </w:rPr>
              <w:t> </w:t>
            </w:r>
          </w:p>
        </w:tc>
        <w:tc>
          <w:tcPr>
            <w:tcW w:w="156"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143A84"/>
                <w:sz w:val="14"/>
              </w:rPr>
              <w:t>64</w:t>
            </w:r>
            <w:r>
              <w:rPr>
                <w:color w:val="143A84"/>
              </w:rPr>
              <w:t> </w:t>
            </w:r>
          </w:p>
        </w:tc>
        <w:tc>
          <w:tcPr>
            <w:tcW w:w="306"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143A84"/>
                <w:sz w:val="14"/>
              </w:rPr>
              <w:t>3,442</w:t>
            </w:r>
            <w:r>
              <w:rPr>
                <w:color w:val="143A84"/>
              </w:rPr>
              <w:t> </w:t>
            </w:r>
          </w:p>
        </w:tc>
        <w:tc>
          <w:tcPr>
            <w:tcW w:w="216"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143A84"/>
                <w:sz w:val="14"/>
              </w:rPr>
            </w:pPr>
            <w:r>
              <w:rPr>
                <w:rFonts w:ascii="Helvetica;sans-serif" w:hAnsi="Helvetica;sans-serif"/>
                <w:b/>
                <w:color w:val="143A84"/>
                <w:sz w:val="14"/>
              </w:rPr>
              <w:t>(2,489)</w:t>
            </w:r>
          </w:p>
        </w:tc>
        <w:tc>
          <w:tcPr>
            <w:tcW w:w="196"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143A84"/>
                <w:sz w:val="14"/>
              </w:rPr>
            </w:pPr>
            <w:r>
              <w:rPr>
                <w:rFonts w:ascii="Helvetica;sans-serif" w:hAnsi="Helvetica;sans-serif"/>
                <w:b/>
                <w:color w:val="143A84"/>
                <w:sz w:val="14"/>
              </w:rPr>
              <w:t>(591)</w:t>
            </w:r>
          </w:p>
        </w:tc>
        <w:tc>
          <w:tcPr>
            <w:tcW w:w="221"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143A84"/>
                <w:sz w:val="14"/>
              </w:rPr>
              <w:t>53,551</w:t>
            </w:r>
            <w:r>
              <w:rPr>
                <w:color w:val="143A84"/>
              </w:rPr>
              <w:t> </w:t>
            </w:r>
          </w:p>
        </w:tc>
        <w:tc>
          <w:tcPr>
            <w:tcW w:w="246"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143A84"/>
                <w:sz w:val="14"/>
              </w:rPr>
              <w:t>450</w:t>
            </w:r>
            <w:r>
              <w:rPr>
                <w:color w:val="143A84"/>
              </w:rPr>
              <w:t> </w:t>
            </w:r>
          </w:p>
        </w:tc>
        <w:tc>
          <w:tcPr>
            <w:tcW w:w="286"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143A84"/>
                <w:sz w:val="14"/>
              </w:rPr>
              <w:t>54,001</w:t>
            </w:r>
            <w:r>
              <w:rPr>
                <w:color w:val="143A84"/>
              </w:rPr>
              <w:t> </w:t>
            </w:r>
          </w:p>
        </w:tc>
        <w:tc>
          <w:tcPr>
            <w:tcW w:w="187"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4"/>
              </w:rPr>
            </w:pPr>
            <w:r>
              <w:rPr>
                <w:rFonts w:ascii="Helvetica;sans-serif" w:hAnsi="Helvetica;sans-serif"/>
                <w:b w:val="false"/>
                <w:color w:val="000000"/>
                <w:sz w:val="14"/>
              </w:rPr>
              <w:t>Other comprehensive income</w:t>
            </w:r>
          </w:p>
        </w:tc>
        <w:tc>
          <w:tcPr>
            <w:tcW w:w="40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104 </w:t>
            </w:r>
          </w:p>
        </w:tc>
        <w:tc>
          <w:tcPr>
            <w:tcW w:w="15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(11)</w:t>
            </w:r>
          </w:p>
        </w:tc>
        <w:tc>
          <w:tcPr>
            <w:tcW w:w="30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258 </w:t>
            </w:r>
          </w:p>
        </w:tc>
        <w:tc>
          <w:tcPr>
            <w:tcW w:w="21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1,651 </w:t>
            </w:r>
          </w:p>
        </w:tc>
        <w:tc>
          <w:tcPr>
            <w:tcW w:w="19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4 </w:t>
            </w:r>
          </w:p>
        </w:tc>
        <w:tc>
          <w:tcPr>
            <w:tcW w:w="221"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2,006 </w:t>
            </w:r>
          </w:p>
        </w:tc>
        <w:tc>
          <w:tcPr>
            <w:tcW w:w="24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4 </w:t>
            </w:r>
          </w:p>
        </w:tc>
        <w:tc>
          <w:tcPr>
            <w:tcW w:w="28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2,010 </w:t>
            </w:r>
          </w:p>
        </w:tc>
        <w:tc>
          <w:tcPr>
            <w:tcW w:w="187"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4"/>
              </w:rPr>
            </w:pPr>
            <w:r>
              <w:rPr>
                <w:rFonts w:ascii="Helvetica;sans-serif" w:hAnsi="Helvetica;sans-serif"/>
                <w:b w:val="false"/>
                <w:color w:val="000000"/>
                <w:sz w:val="14"/>
              </w:rPr>
              <w:t>Net profit/(loss)</w:t>
            </w:r>
          </w:p>
        </w:tc>
        <w:tc>
          <w:tcPr>
            <w:tcW w:w="40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656 </w:t>
            </w:r>
          </w:p>
        </w:tc>
        <w:tc>
          <w:tcPr>
            <w:tcW w:w="18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1"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656 </w:t>
            </w:r>
          </w:p>
        </w:tc>
        <w:tc>
          <w:tcPr>
            <w:tcW w:w="24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14 </w:t>
            </w:r>
          </w:p>
        </w:tc>
        <w:tc>
          <w:tcPr>
            <w:tcW w:w="28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670 </w:t>
            </w:r>
          </w:p>
        </w:tc>
        <w:tc>
          <w:tcPr>
            <w:tcW w:w="187"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143A84"/>
                <w:sz w:val="14"/>
              </w:rPr>
            </w:pPr>
            <w:r>
              <w:rPr>
                <w:rFonts w:ascii="Helvetica;sans-serif" w:hAnsi="Helvetica;sans-serif"/>
                <w:b/>
                <w:color w:val="143A84"/>
                <w:sz w:val="14"/>
              </w:rPr>
              <w:t>Total Other comprehensive income</w:t>
            </w:r>
          </w:p>
        </w:tc>
        <w:tc>
          <w:tcPr>
            <w:tcW w:w="406"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color w:val="143A84"/>
              </w:rPr>
            </w:pPr>
            <w:r>
              <w:rPr>
                <w:color w:val="143A84"/>
              </w:rPr>
              <w:t>— </w:t>
            </w:r>
          </w:p>
        </w:tc>
        <w:tc>
          <w:tcPr>
            <w:tcW w:w="146"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color w:val="143A84"/>
              </w:rPr>
            </w:pPr>
            <w:r>
              <w:rPr>
                <w:color w:val="143A84"/>
              </w:rPr>
              <w:t>— </w:t>
            </w:r>
          </w:p>
        </w:tc>
        <w:tc>
          <w:tcPr>
            <w:tcW w:w="186"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color w:val="143A84"/>
              </w:rPr>
            </w:pPr>
            <w:r>
              <w:rPr>
                <w:color w:val="143A84"/>
              </w:rPr>
              <w:t>— </w:t>
            </w:r>
          </w:p>
        </w:tc>
        <w:tc>
          <w:tcPr>
            <w:tcW w:w="191"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143A84"/>
                <w:sz w:val="14"/>
              </w:rPr>
              <w:t>656</w:t>
            </w:r>
            <w:r>
              <w:rPr>
                <w:color w:val="143A84"/>
              </w:rPr>
              <w:t> </w:t>
            </w:r>
          </w:p>
        </w:tc>
        <w:tc>
          <w:tcPr>
            <w:tcW w:w="186"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143A84"/>
                <w:sz w:val="14"/>
              </w:rPr>
              <w:t>104</w:t>
            </w:r>
            <w:r>
              <w:rPr>
                <w:color w:val="143A84"/>
              </w:rPr>
              <w:t> </w:t>
            </w:r>
          </w:p>
        </w:tc>
        <w:tc>
          <w:tcPr>
            <w:tcW w:w="156"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143A84"/>
                <w:sz w:val="14"/>
              </w:rPr>
            </w:pPr>
            <w:r>
              <w:rPr>
                <w:rFonts w:ascii="Helvetica;sans-serif" w:hAnsi="Helvetica;sans-serif"/>
                <w:b/>
                <w:color w:val="143A84"/>
                <w:sz w:val="14"/>
              </w:rPr>
              <w:t>(11)</w:t>
            </w:r>
          </w:p>
        </w:tc>
        <w:tc>
          <w:tcPr>
            <w:tcW w:w="306"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143A84"/>
                <w:sz w:val="14"/>
              </w:rPr>
              <w:t>258</w:t>
            </w:r>
            <w:r>
              <w:rPr>
                <w:color w:val="143A84"/>
              </w:rPr>
              <w:t> </w:t>
            </w:r>
          </w:p>
        </w:tc>
        <w:tc>
          <w:tcPr>
            <w:tcW w:w="216"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143A84"/>
                <w:sz w:val="14"/>
              </w:rPr>
              <w:t>1,651</w:t>
            </w:r>
            <w:r>
              <w:rPr>
                <w:color w:val="143A84"/>
              </w:rPr>
              <w:t> </w:t>
            </w:r>
          </w:p>
        </w:tc>
        <w:tc>
          <w:tcPr>
            <w:tcW w:w="196"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143A84"/>
                <w:sz w:val="14"/>
              </w:rPr>
              <w:t>4</w:t>
            </w:r>
            <w:r>
              <w:rPr>
                <w:color w:val="143A84"/>
              </w:rPr>
              <w:t> </w:t>
            </w:r>
          </w:p>
        </w:tc>
        <w:tc>
          <w:tcPr>
            <w:tcW w:w="221"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143A84"/>
                <w:sz w:val="14"/>
              </w:rPr>
              <w:t>2,662</w:t>
            </w:r>
            <w:r>
              <w:rPr>
                <w:color w:val="143A84"/>
              </w:rPr>
              <w:t> </w:t>
            </w:r>
          </w:p>
        </w:tc>
        <w:tc>
          <w:tcPr>
            <w:tcW w:w="246"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143A84"/>
                <w:sz w:val="14"/>
              </w:rPr>
              <w:t>18</w:t>
            </w:r>
            <w:r>
              <w:rPr>
                <w:color w:val="143A84"/>
              </w:rPr>
              <w:t> </w:t>
            </w:r>
          </w:p>
        </w:tc>
        <w:tc>
          <w:tcPr>
            <w:tcW w:w="286"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143A84"/>
                <w:sz w:val="14"/>
              </w:rPr>
              <w:t>2,680</w:t>
            </w:r>
            <w:r>
              <w:rPr>
                <w:color w:val="143A84"/>
              </w:rPr>
              <w:t> </w:t>
            </w:r>
          </w:p>
        </w:tc>
        <w:tc>
          <w:tcPr>
            <w:tcW w:w="187"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4"/>
              </w:rPr>
            </w:pPr>
            <w:r>
              <w:rPr>
                <w:rFonts w:ascii="Helvetica;sans-serif" w:hAnsi="Helvetica;sans-serif"/>
                <w:b w:val="false"/>
                <w:color w:val="000000"/>
                <w:sz w:val="14"/>
              </w:rPr>
              <w:t xml:space="preserve">Distributions </w:t>
            </w:r>
          </w:p>
        </w:tc>
        <w:tc>
          <w:tcPr>
            <w:tcW w:w="40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1"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(2)</w:t>
            </w:r>
          </w:p>
        </w:tc>
        <w:tc>
          <w:tcPr>
            <w:tcW w:w="28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(2)</w:t>
            </w:r>
          </w:p>
        </w:tc>
        <w:tc>
          <w:tcPr>
            <w:tcW w:w="187"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4"/>
              </w:rPr>
            </w:pPr>
            <w:r>
              <w:rPr>
                <w:rFonts w:ascii="Helvetica;sans-serif" w:hAnsi="Helvetica;sans-serif"/>
                <w:b w:val="false"/>
                <w:color w:val="000000"/>
                <w:sz w:val="14"/>
              </w:rPr>
              <w:t>Share-based compensation</w:t>
            </w:r>
          </w:p>
        </w:tc>
        <w:tc>
          <w:tcPr>
            <w:tcW w:w="40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58 </w:t>
            </w:r>
          </w:p>
        </w:tc>
        <w:tc>
          <w:tcPr>
            <w:tcW w:w="18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1"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58 </w:t>
            </w:r>
          </w:p>
        </w:tc>
        <w:tc>
          <w:tcPr>
            <w:tcW w:w="24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58 </w:t>
            </w:r>
          </w:p>
        </w:tc>
        <w:tc>
          <w:tcPr>
            <w:tcW w:w="187"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4"/>
              </w:rPr>
            </w:pPr>
            <w:r>
              <w:rPr>
                <w:rFonts w:ascii="Helvetica;sans-serif" w:hAnsi="Helvetica;sans-serif"/>
                <w:b w:val="false"/>
                <w:color w:val="000000"/>
                <w:sz w:val="14"/>
              </w:rPr>
              <w:t>Hybrid perpetual notes</w:t>
            </w:r>
          </w:p>
        </w:tc>
        <w:tc>
          <w:tcPr>
            <w:tcW w:w="40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5,000 </w:t>
            </w:r>
          </w:p>
        </w:tc>
        <w:tc>
          <w:tcPr>
            <w:tcW w:w="191"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(73)</w:t>
            </w:r>
          </w:p>
        </w:tc>
        <w:tc>
          <w:tcPr>
            <w:tcW w:w="18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1"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4,927 </w:t>
            </w:r>
          </w:p>
        </w:tc>
        <w:tc>
          <w:tcPr>
            <w:tcW w:w="24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4,927 </w:t>
            </w:r>
          </w:p>
        </w:tc>
        <w:tc>
          <w:tcPr>
            <w:tcW w:w="187"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4"/>
              </w:rPr>
            </w:pPr>
            <w:r>
              <w:rPr>
                <w:rFonts w:ascii="Helvetica;sans-serif" w:hAnsi="Helvetica;sans-serif"/>
                <w:b w:val="false"/>
                <w:color w:val="000000"/>
                <w:sz w:val="14"/>
              </w:rPr>
              <w:t>Coupons on Hybrid perpetual notes</w:t>
            </w:r>
          </w:p>
        </w:tc>
        <w:tc>
          <w:tcPr>
            <w:tcW w:w="40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65 </w:t>
            </w:r>
          </w:p>
        </w:tc>
        <w:tc>
          <w:tcPr>
            <w:tcW w:w="191"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(100)</w:t>
            </w:r>
          </w:p>
        </w:tc>
        <w:tc>
          <w:tcPr>
            <w:tcW w:w="18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1"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(35)</w:t>
            </w:r>
          </w:p>
        </w:tc>
        <w:tc>
          <w:tcPr>
            <w:tcW w:w="24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(35)</w:t>
            </w:r>
          </w:p>
        </w:tc>
        <w:tc>
          <w:tcPr>
            <w:tcW w:w="187"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0"/>
              <w:jc w:val="left"/>
              <w:rPr/>
            </w:pPr>
            <w:r>
              <w:rPr>
                <w:rFonts w:ascii="Helvetica;sans-serif" w:hAnsi="Helvetica;sans-serif"/>
                <w:b w:val="false"/>
                <w:color w:val="000000"/>
                <w:sz w:val="14"/>
              </w:rPr>
              <w:t>Other changes</w:t>
            </w:r>
            <w:r>
              <w:rPr>
                <w:rFonts w:ascii="Helvetica;sans-serif" w:hAnsi="Helvetica;sans-serif"/>
                <w:b w:val="false"/>
                <w:color w:val="000000"/>
                <w:sz w:val="9"/>
              </w:rPr>
              <w:t>(1)</w:t>
            </w:r>
          </w:p>
        </w:tc>
        <w:tc>
          <w:tcPr>
            <w:tcW w:w="40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120 </w:t>
            </w:r>
          </w:p>
        </w:tc>
        <w:tc>
          <w:tcPr>
            <w:tcW w:w="18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(4)</w:t>
            </w:r>
          </w:p>
        </w:tc>
        <w:tc>
          <w:tcPr>
            <w:tcW w:w="15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1"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116 </w:t>
            </w:r>
          </w:p>
        </w:tc>
        <w:tc>
          <w:tcPr>
            <w:tcW w:w="24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(8)</w:t>
            </w:r>
          </w:p>
        </w:tc>
        <w:tc>
          <w:tcPr>
            <w:tcW w:w="28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108 </w:t>
            </w:r>
          </w:p>
        </w:tc>
        <w:tc>
          <w:tcPr>
            <w:tcW w:w="187"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color w:val="143A84"/>
                <w:sz w:val="14"/>
              </w:rPr>
            </w:pPr>
            <w:r>
              <w:rPr>
                <w:rFonts w:ascii="Helvetica;sans-serif" w:hAnsi="Helvetica;sans-serif"/>
                <w:b/>
                <w:color w:val="143A84"/>
                <w:sz w:val="14"/>
              </w:rPr>
              <w:t>At June 30, 2026</w:t>
            </w:r>
          </w:p>
        </w:tc>
        <w:tc>
          <w:tcPr>
            <w:tcW w:w="406" w:type="dxa"/>
            <w:gridSpan w:val="2"/>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right"/>
              <w:rPr/>
            </w:pPr>
            <w:r>
              <w:rPr>
                <w:rFonts w:ascii="Helvetica;sans-serif" w:hAnsi="Helvetica;sans-serif"/>
                <w:b/>
                <w:color w:val="143A84"/>
                <w:sz w:val="14"/>
              </w:rPr>
              <w:t>37</w:t>
            </w:r>
            <w:r>
              <w:rPr>
                <w:color w:val="143A84"/>
              </w:rPr>
              <w:t> </w:t>
            </w:r>
          </w:p>
        </w:tc>
        <w:tc>
          <w:tcPr>
            <w:tcW w:w="146" w:type="dxa"/>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bottom w:val="single" w:sz="2" w:space="0" w:color="8E939F"/>
            </w:tcBorders>
            <w:shd w:fill="E6E7F4" w:val="clear"/>
            <w:tcMar>
              <w:left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color w:val="143A84"/>
                <w:sz w:val="14"/>
              </w:rPr>
            </w:pPr>
            <w:r>
              <w:rPr>
                <w:rFonts w:ascii="Helvetica;sans-serif" w:hAnsi="Helvetica;sans-serif"/>
                <w:b/>
                <w:color w:val="143A84"/>
                <w:sz w:val="14"/>
              </w:rPr>
              <w:t>(285)</w:t>
            </w:r>
          </w:p>
        </w:tc>
        <w:tc>
          <w:tcPr>
            <w:tcW w:w="186" w:type="dxa"/>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bottom w:val="single" w:sz="2" w:space="0" w:color="8E939F"/>
            </w:tcBorders>
            <w:shd w:fill="E6E7F4" w:val="clear"/>
            <w:tcMar>
              <w:left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right"/>
              <w:rPr/>
            </w:pPr>
            <w:r>
              <w:rPr>
                <w:rFonts w:ascii="Helvetica;sans-serif" w:hAnsi="Helvetica;sans-serif"/>
                <w:b/>
                <w:color w:val="143A84"/>
                <w:sz w:val="14"/>
              </w:rPr>
              <w:t>5,065</w:t>
            </w:r>
            <w:r>
              <w:rPr>
                <w:color w:val="143A84"/>
              </w:rPr>
              <w:t> </w:t>
            </w:r>
          </w:p>
        </w:tc>
        <w:tc>
          <w:tcPr>
            <w:tcW w:w="191" w:type="dxa"/>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bottom w:val="single" w:sz="2" w:space="0" w:color="8E939F"/>
            </w:tcBorders>
            <w:shd w:fill="E6E7F4" w:val="clear"/>
            <w:tcMar>
              <w:left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right"/>
              <w:rPr/>
            </w:pPr>
            <w:r>
              <w:rPr>
                <w:rFonts w:ascii="Helvetica;sans-serif" w:hAnsi="Helvetica;sans-serif"/>
                <w:b/>
                <w:color w:val="143A84"/>
                <w:sz w:val="14"/>
              </w:rPr>
              <w:t>53,928</w:t>
            </w:r>
            <w:r>
              <w:rPr>
                <w:color w:val="143A84"/>
              </w:rPr>
              <w:t> </w:t>
            </w:r>
          </w:p>
        </w:tc>
        <w:tc>
          <w:tcPr>
            <w:tcW w:w="186" w:type="dxa"/>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bottom w:val="single" w:sz="2" w:space="0" w:color="8E939F"/>
            </w:tcBorders>
            <w:shd w:fill="E6E7F4" w:val="clear"/>
            <w:tcMar>
              <w:left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right"/>
              <w:rPr/>
            </w:pPr>
            <w:r>
              <w:rPr>
                <w:rFonts w:ascii="Helvetica;sans-serif" w:hAnsi="Helvetica;sans-serif"/>
                <w:b/>
                <w:color w:val="143A84"/>
                <w:sz w:val="14"/>
              </w:rPr>
              <w:t>206</w:t>
            </w:r>
            <w:r>
              <w:rPr>
                <w:color w:val="143A84"/>
              </w:rPr>
              <w:t> </w:t>
            </w:r>
          </w:p>
        </w:tc>
        <w:tc>
          <w:tcPr>
            <w:tcW w:w="156" w:type="dxa"/>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bottom w:val="single" w:sz="2" w:space="0" w:color="8E939F"/>
            </w:tcBorders>
            <w:shd w:fill="E6E7F4" w:val="clear"/>
            <w:tcMar>
              <w:left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right"/>
              <w:rPr/>
            </w:pPr>
            <w:r>
              <w:rPr>
                <w:rFonts w:ascii="Helvetica;sans-serif" w:hAnsi="Helvetica;sans-serif"/>
                <w:b/>
                <w:color w:val="143A84"/>
                <w:sz w:val="14"/>
              </w:rPr>
              <w:t>53</w:t>
            </w:r>
            <w:r>
              <w:rPr>
                <w:color w:val="143A84"/>
              </w:rPr>
              <w:t> </w:t>
            </w:r>
          </w:p>
        </w:tc>
        <w:tc>
          <w:tcPr>
            <w:tcW w:w="306" w:type="dxa"/>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bottom w:val="single" w:sz="2" w:space="0" w:color="8E939F"/>
            </w:tcBorders>
            <w:shd w:fill="E6E7F4" w:val="clear"/>
            <w:tcMar>
              <w:left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right"/>
              <w:rPr/>
            </w:pPr>
            <w:r>
              <w:rPr>
                <w:rFonts w:ascii="Helvetica;sans-serif" w:hAnsi="Helvetica;sans-serif"/>
                <w:b/>
                <w:color w:val="143A84"/>
                <w:sz w:val="14"/>
              </w:rPr>
              <w:t>3,700</w:t>
            </w:r>
            <w:r>
              <w:rPr>
                <w:color w:val="143A84"/>
              </w:rPr>
              <w:t> </w:t>
            </w:r>
          </w:p>
        </w:tc>
        <w:tc>
          <w:tcPr>
            <w:tcW w:w="216" w:type="dxa"/>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bottom w:val="single" w:sz="2" w:space="0" w:color="8E939F"/>
            </w:tcBorders>
            <w:shd w:fill="E6E7F4" w:val="clear"/>
            <w:tcMar>
              <w:left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color w:val="143A84"/>
                <w:sz w:val="14"/>
              </w:rPr>
            </w:pPr>
            <w:r>
              <w:rPr>
                <w:rFonts w:ascii="Helvetica;sans-serif" w:hAnsi="Helvetica;sans-serif"/>
                <w:b/>
                <w:color w:val="143A84"/>
                <w:sz w:val="14"/>
              </w:rPr>
              <w:t>(838)</w:t>
            </w:r>
          </w:p>
        </w:tc>
        <w:tc>
          <w:tcPr>
            <w:tcW w:w="196" w:type="dxa"/>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bottom w:val="single" w:sz="2" w:space="0" w:color="8E939F"/>
            </w:tcBorders>
            <w:shd w:fill="E6E7F4" w:val="clear"/>
            <w:tcMar>
              <w:left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color w:val="143A84"/>
                <w:sz w:val="14"/>
              </w:rPr>
            </w:pPr>
            <w:r>
              <w:rPr>
                <w:rFonts w:ascii="Helvetica;sans-serif" w:hAnsi="Helvetica;sans-serif"/>
                <w:b/>
                <w:color w:val="143A84"/>
                <w:sz w:val="14"/>
              </w:rPr>
              <w:t>(587)</w:t>
            </w:r>
          </w:p>
        </w:tc>
        <w:tc>
          <w:tcPr>
            <w:tcW w:w="221" w:type="dxa"/>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bottom w:val="single" w:sz="2" w:space="0" w:color="8E939F"/>
            </w:tcBorders>
            <w:shd w:fill="E6E7F4" w:val="clear"/>
            <w:tcMar>
              <w:left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right"/>
              <w:rPr/>
            </w:pPr>
            <w:r>
              <w:rPr>
                <w:rFonts w:ascii="Helvetica;sans-serif" w:hAnsi="Helvetica;sans-serif"/>
                <w:b/>
                <w:color w:val="143A84"/>
                <w:sz w:val="14"/>
              </w:rPr>
              <w:t>61,279</w:t>
            </w:r>
            <w:r>
              <w:rPr>
                <w:color w:val="143A84"/>
              </w:rPr>
              <w:t> </w:t>
            </w:r>
          </w:p>
        </w:tc>
        <w:tc>
          <w:tcPr>
            <w:tcW w:w="246" w:type="dxa"/>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bottom w:val="single" w:sz="2" w:space="0" w:color="8E939F"/>
            </w:tcBorders>
            <w:shd w:fill="E6E7F4" w:val="clear"/>
            <w:tcMar>
              <w:left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right"/>
              <w:rPr/>
            </w:pPr>
            <w:r>
              <w:rPr>
                <w:rFonts w:ascii="Helvetica;sans-serif" w:hAnsi="Helvetica;sans-serif"/>
                <w:b/>
                <w:color w:val="143A84"/>
                <w:sz w:val="14"/>
              </w:rPr>
              <w:t>458</w:t>
            </w:r>
            <w:r>
              <w:rPr>
                <w:color w:val="143A84"/>
              </w:rPr>
              <w:t> </w:t>
            </w:r>
          </w:p>
        </w:tc>
        <w:tc>
          <w:tcPr>
            <w:tcW w:w="286" w:type="dxa"/>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bottom w:val="single" w:sz="2" w:space="0" w:color="8E939F"/>
            </w:tcBorders>
            <w:shd w:fill="E6E7F4" w:val="clear"/>
            <w:tcMar>
              <w:left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right"/>
              <w:rPr/>
            </w:pPr>
            <w:r>
              <w:rPr>
                <w:rFonts w:ascii="Helvetica;sans-serif" w:hAnsi="Helvetica;sans-serif"/>
                <w:b/>
                <w:color w:val="143A84"/>
                <w:sz w:val="14"/>
              </w:rPr>
              <w:t>61,737</w:t>
            </w:r>
            <w:r>
              <w:rPr>
                <w:color w:val="143A84"/>
              </w:rPr>
              <w:t> </w:t>
            </w:r>
          </w:p>
        </w:tc>
        <w:tc>
          <w:tcPr>
            <w:tcW w:w="187" w:type="dxa"/>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Helvetica Light;sans-serif" w:hAnsi="Helvetica Light;sans-serif"/>
          <w:b w:val="false"/>
          <w:color w:val="000000"/>
          <w:sz w:val="16"/>
        </w:rPr>
      </w:pPr>
      <w:r>
        <w:rPr>
          <w:rFonts w:ascii="Helvetica Light;sans-serif" w:hAnsi="Helvetica Light;sans-serif"/>
          <w:b w:val="false"/>
          <w:color w:val="000000"/>
          <w:sz w:val="16"/>
        </w:rPr>
        <w:t xml:space="preserve">(1) Includes the effect of hyperinflation for entities whose functional currency is the Turkish Lira, beginning from January 1, 2022, and the Argentine Peso, from July 1, 2018 of €108 million at June 30, 2026. Also includes €(4) million deferred net hedging gains/(losses) transferred to inventory, net of tax </w:t>
      </w:r>
    </w:p>
    <w:p>
      <w:pPr>
        <w:pStyle w:val="TextBody"/>
        <w:bidi w:val="0"/>
        <w:spacing w:before="0" w:after="240"/>
        <w:ind w:left="0" w:right="0" w:firstLine="187"/>
        <w:jc w:val="left"/>
        <w:rPr/>
      </w:pPr>
      <w:r>
        <w:rPr/>
      </w:r>
    </w:p>
    <w:p>
      <w:pPr>
        <w:pStyle w:val="TextBody"/>
        <w:bidi w:val="0"/>
        <w:spacing w:before="0" w:after="240"/>
        <w:ind w:left="0" w:right="0" w:firstLine="187"/>
        <w:jc w:val="left"/>
        <w:rPr/>
      </w:pPr>
      <w:r>
        <w:rPr/>
      </w:r>
    </w:p>
    <w:p>
      <w:pPr>
        <w:pStyle w:val="TextBody"/>
        <w:bidi w:val="0"/>
        <w:spacing w:lineRule="auto" w:line="343" w:before="0" w:after="240"/>
        <w:jc w:val="center"/>
        <w:rPr>
          <w:rFonts w:ascii="Helvetica Light;sans-serif" w:hAnsi="Helvetica Light;sans-serif"/>
          <w:b w:val="false"/>
          <w:color w:val="000000"/>
          <w:sz w:val="16"/>
        </w:rPr>
      </w:pPr>
      <w:r>
        <w:rPr>
          <w:rFonts w:ascii="Helvetica Light;sans-serif" w:hAnsi="Helvetica Light;sans-serif"/>
          <w:b w:val="false"/>
          <w:color w:val="000000"/>
          <w:sz w:val="16"/>
        </w:rPr>
        <w:t>The accompanying notes are an integral part of the Interim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503555"/>
                <wp:effectExtent l="0" t="0" r="0" b="0"/>
                <wp:wrapNone/>
                <wp:docPr id="78" name="Frame63"/>
                <a:graphic xmlns:a="http://schemas.openxmlformats.org/drawingml/2006/main">
                  <a:graphicData uri="http://schemas.microsoft.com/office/word/2010/wordprocessingShape">
                    <wps:wsp>
                      <wps:cNvSpPr txBox="1"/>
                      <wps:spPr>
                        <a:xfrm>
                          <a:off x="0" y="0"/>
                          <a:ext cx="6480175" cy="5035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59</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59</w:t>
                      </w:r>
                    </w:p>
                    <w:p>
                      <w:pPr>
                        <w:pStyle w:val="TextBody"/>
                        <w:bidi w:val="0"/>
                        <w:spacing w:before="0" w:after="24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88" w:before="0" w:after="240"/>
        <w:jc w:val="left"/>
        <w:rPr>
          <w:rFonts w:ascii="Helvetica;sans-serif" w:hAnsi="Helvetica;sans-serif"/>
          <w:b/>
          <w:color w:val="143A84"/>
          <w:sz w:val="20"/>
        </w:rPr>
      </w:pPr>
      <w:r>
        <w:rPr>
          <w:rFonts w:ascii="Helvetica;sans-serif" w:hAnsi="Helvetica;sans-serif"/>
          <w:b/>
          <w:color w:val="143A84"/>
          <w:sz w:val="20"/>
        </w:rPr>
        <w:t>STELLANTIS N.V. AND SUBSIDIARIES</w:t>
      </w:r>
    </w:p>
    <w:p>
      <w:pPr>
        <w:pStyle w:val="TextBody"/>
        <w:bidi w:val="0"/>
        <w:spacing w:lineRule="auto" w:line="288" w:before="0" w:after="240"/>
        <w:jc w:val="left"/>
        <w:rPr>
          <w:rFonts w:ascii="Helvetica;sans-serif" w:hAnsi="Helvetica;sans-serif"/>
          <w:b/>
          <w:color w:val="143A84"/>
          <w:sz w:val="20"/>
        </w:rPr>
      </w:pPr>
      <w:r>
        <w:rPr>
          <w:rFonts w:ascii="Helvetica;sans-serif" w:hAnsi="Helvetica;sans-serif"/>
          <w:b/>
          <w:color w:val="143A84"/>
          <w:sz w:val="20"/>
        </w:rPr>
        <w:t>NOTES TO THE INTERIM CONDENSED CONSOLIDATED FINANCIAL STATEMENTS</w:t>
      </w:r>
    </w:p>
    <w:p>
      <w:pPr>
        <w:pStyle w:val="TextBody"/>
        <w:bidi w:val="0"/>
        <w:spacing w:lineRule="auto" w:line="288" w:before="0" w:after="240"/>
        <w:jc w:val="left"/>
        <w:rPr/>
      </w:pPr>
      <w:r>
        <w:rPr>
          <w:rFonts w:ascii="Helvetica;sans-serif" w:hAnsi="Helvetica;sans-serif"/>
          <w:b/>
          <w:color w:val="143A84"/>
          <w:sz w:val="20"/>
        </w:rPr>
        <w:t>(Unaudited)</w:t>
      </w: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Helvetica;sans-serif" w:hAnsi="Helvetica;sans-serif"/>
          <w:b/>
          <w:color w:val="143A84"/>
          <w:sz w:val="20"/>
        </w:rPr>
      </w:pPr>
      <w:r>
        <w:rPr>
          <w:rFonts w:ascii="Helvetica;sans-serif" w:hAnsi="Helvetica;sans-serif"/>
          <w:b/>
          <w:color w:val="143A84"/>
          <w:sz w:val="20"/>
        </w:rPr>
        <w:t xml:space="preserve">1. Basis of preparation </w:t>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The accompanying Interim Condensed Consolidated Financial Statements together with the notes thereto (the “Interim Condensed Consolidated Financial Statements”) were authorized for issuance on July 30, 2026.</w:t>
      </w:r>
    </w:p>
    <w:p>
      <w:pPr>
        <w:pStyle w:val="TextBody"/>
        <w:bidi w:val="0"/>
        <w:spacing w:lineRule="auto" w:line="343" w:before="0" w:after="240"/>
        <w:jc w:val="left"/>
        <w:rPr/>
      </w:pPr>
      <w:r>
        <w:rPr>
          <w:rFonts w:ascii="Helvetica Light;sans-serif" w:hAnsi="Helvetica Light;sans-serif"/>
          <w:b w:val="false"/>
          <w:color w:val="000000"/>
          <w:sz w:val="20"/>
        </w:rPr>
        <w:t xml:space="preserve">The Interim Condensed Consolidated Financial Statements, which have been prepared in accordance with IAS 34 – </w:t>
      </w:r>
      <w:r>
        <w:rPr>
          <w:rFonts w:ascii="Helvetica Light;sans-serif" w:hAnsi="Helvetica Light;sans-serif"/>
          <w:b w:val="false"/>
          <w:i/>
          <w:color w:val="000000"/>
          <w:sz w:val="20"/>
        </w:rPr>
        <w:t>Interim Financial Reporting</w:t>
      </w:r>
      <w:r>
        <w:rPr>
          <w:rFonts w:ascii="Helvetica Light;sans-serif" w:hAnsi="Helvetica Light;sans-serif"/>
          <w:b w:val="false"/>
          <w:color w:val="000000"/>
          <w:sz w:val="20"/>
        </w:rPr>
        <w:t xml:space="preserve">, do not include all of the information and notes required for complete financial statements and should be read in conjunction with the audited annual consolidated financial statements as of and for the year ended December 31, 2025 filed with the AFM and with the SEC on February 26, 2026 (the “Consolidated Financial Statements at December 31, 2025”), which are available on the Company’s corporate website at www.stellantis.com. The accounting policies are consistent with those used at December 31, 2025, except as described in the section — </w:t>
      </w:r>
      <w:r>
        <w:rPr>
          <w:rFonts w:ascii="Helvetica Light;sans-serif" w:hAnsi="Helvetica Light;sans-serif"/>
          <w:b w:val="false"/>
          <w:i/>
          <w:color w:val="000000"/>
          <w:sz w:val="20"/>
        </w:rPr>
        <w:t>New standards and amendments effective from January 1, 2026</w:t>
      </w:r>
      <w:r>
        <w:rPr>
          <w:color w:val="000000"/>
        </w:rPr>
        <w:t xml:space="preserve"> </w:t>
      </w:r>
      <w:r>
        <w:rPr>
          <w:rFonts w:ascii="Helvetica Light;sans-serif" w:hAnsi="Helvetica Light;sans-serif"/>
          <w:b w:val="false"/>
          <w:color w:val="000000"/>
          <w:sz w:val="20"/>
        </w:rPr>
        <w:t>below. There is no effect on these Interim Condensed Consolidated Financial Statements resulting from differences between IFRS as issued by the IASB and IFRS as adopted by the European Union.</w:t>
      </w:r>
    </w:p>
    <w:p>
      <w:pPr>
        <w:pStyle w:val="TextBody"/>
        <w:bidi w:val="0"/>
        <w:spacing w:lineRule="auto" w:line="343" w:before="0" w:after="240"/>
        <w:jc w:val="left"/>
        <w:rPr/>
      </w:pPr>
      <w:r>
        <w:rPr>
          <w:rFonts w:ascii="Helvetica Light;sans-serif" w:hAnsi="Helvetica Light;sans-serif"/>
          <w:b w:val="false"/>
          <w:color w:val="000000"/>
          <w:sz w:val="20"/>
        </w:rPr>
        <w:t xml:space="preserve">The Interim Condensed Consolidated Financial Statements are prepared under the historical cost method, modified for the measurement of certain financial instruments as required, as well as on a going concern basis. In this respect, the Company’s assessment is that no material uncertainties (as defined in IAS 1 - </w:t>
      </w:r>
      <w:r>
        <w:rPr>
          <w:rFonts w:ascii="Helvetica Light;sans-serif" w:hAnsi="Helvetica Light;sans-serif"/>
          <w:b w:val="false"/>
          <w:i/>
          <w:color w:val="000000"/>
          <w:sz w:val="20"/>
        </w:rPr>
        <w:t>Presentation of Financial Statements</w:t>
      </w:r>
      <w:r>
        <w:rPr>
          <w:rFonts w:ascii="Helvetica Light;sans-serif" w:hAnsi="Helvetica Light;sans-serif"/>
          <w:b w:val="false"/>
          <w:color w:val="000000"/>
          <w:sz w:val="20"/>
        </w:rPr>
        <w:t>) exist about its ability to continue as a going concern.</w:t>
      </w:r>
    </w:p>
    <w:p>
      <w:pPr>
        <w:pStyle w:val="TextBody"/>
        <w:bidi w:val="0"/>
        <w:spacing w:lineRule="auto" w:line="343" w:before="0" w:after="240"/>
        <w:jc w:val="left"/>
        <w:rPr/>
      </w:pPr>
      <w:r>
        <w:rPr>
          <w:rFonts w:ascii="Helvetica Light;sans-serif" w:hAnsi="Helvetica Light;sans-serif"/>
          <w:b w:val="false"/>
          <w:color w:val="000000"/>
          <w:sz w:val="20"/>
        </w:rPr>
        <w:t xml:space="preserve">The preparation of the Interim Condensed Consolidated Financial Statements requires management to make estimates and assumptions that affect the reported amounts of revenues, expenses, assets, liabilities and disclosure of contingent liabilities. If in the future such estimates and assumptions, which are based on management’s best judgment at the date of the Interim Condensed Consolidated Financial Statements, deviate from the actual circumstances, the original estimates and assumptions will be modified as appropriate in the period in which the circumstances change. The Interim Condensed Consolidated Financial Statements include all adjustments considered necessary by management to fairly state the Company's results of operations, financial position and cash flows. For a description of the significant estimates, judgments and assumptions of the Company, refer to Note 2, </w:t>
      </w:r>
      <w:r>
        <w:rPr>
          <w:rFonts w:ascii="Helvetica Light;sans-serif" w:hAnsi="Helvetica Light;sans-serif"/>
          <w:b w:val="false"/>
          <w:i/>
          <w:color w:val="000000"/>
          <w:sz w:val="20"/>
        </w:rPr>
        <w:t>Basis of preparation - Critical judgments and use of estimates</w:t>
      </w:r>
      <w:r>
        <w:rPr>
          <w:color w:val="000000"/>
        </w:rPr>
        <w:t xml:space="preserve"> </w:t>
      </w:r>
      <w:r>
        <w:rPr>
          <w:rFonts w:ascii="Helvetica Light;sans-serif" w:hAnsi="Helvetica Light;sans-serif"/>
          <w:b w:val="false"/>
          <w:color w:val="000000"/>
          <w:sz w:val="20"/>
        </w:rPr>
        <w:t>in the Consolidated Financial Statements at December 31, 2025.</w:t>
      </w:r>
    </w:p>
    <w:p>
      <w:pPr>
        <w:pStyle w:val="TextBody"/>
        <w:bidi w:val="0"/>
        <w:spacing w:lineRule="auto" w:line="288" w:before="0" w:after="240"/>
        <w:jc w:val="left"/>
        <w:rPr>
          <w:rFonts w:ascii="Helvetica;sans-serif" w:hAnsi="Helvetica;sans-serif"/>
          <w:b/>
          <w:color w:val="143A84"/>
          <w:sz w:val="20"/>
        </w:rPr>
      </w:pPr>
      <w:r>
        <w:rPr>
          <w:rFonts w:ascii="Helvetica;sans-serif" w:hAnsi="Helvetica;sans-serif"/>
          <w:b/>
          <w:color w:val="143A84"/>
          <w:sz w:val="20"/>
        </w:rPr>
        <w:t>Segment reporting changes</w:t>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Effective January 2026, the Company’s segment structure was updated to align with how the Chief Operating Decision Maker (“CODM”) reviews performance and allocates resources. Under the revised structure, the CODM reviews the business through the following operating and reportable segments: North America; Enlarged Europe; Middle East &amp; Africa; South America; and Asia Pacific.</w:t>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 xml:space="preserve">The changes in our segment reporting are summarized below: </w:t>
      </w:r>
    </w:p>
    <w:p>
      <w:pPr>
        <w:pStyle w:val="TextBody"/>
        <w:bidi w:val="0"/>
        <w:spacing w:lineRule="auto" w:line="343" w:before="0" w:after="240"/>
        <w:ind w:left="0" w:right="0" w:hanging="173"/>
        <w:jc w:val="left"/>
        <w:rPr/>
      </w:pPr>
      <w:r>
        <w:rPr>
          <w:color w:val="143A84"/>
        </w:rPr>
        <w:t>•</w:t>
      </w:r>
      <w:r>
        <w:rPr>
          <w:rFonts w:ascii="Helvetica Light;sans-serif" w:hAnsi="Helvetica Light;sans-serif"/>
          <w:b w:val="false"/>
          <w:color w:val="000000"/>
          <w:sz w:val="20"/>
        </w:rPr>
        <w:t>Maserati is no longer presented as a separate reportable segment as it is managed consistently with the other brands within the regions (and is therefore presented on a “where sold” basis);</w:t>
      </w:r>
    </w:p>
    <w:p>
      <w:pPr>
        <w:pStyle w:val="TextBody"/>
        <w:bidi w:val="0"/>
        <w:spacing w:before="0" w:after="24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503555"/>
                <wp:effectExtent l="0" t="0" r="0" b="0"/>
                <wp:wrapNone/>
                <wp:docPr id="79" name="Frame64"/>
                <a:graphic xmlns:a="http://schemas.openxmlformats.org/drawingml/2006/main">
                  <a:graphicData uri="http://schemas.microsoft.com/office/word/2010/wordprocessingShape">
                    <wps:wsp>
                      <wps:cNvSpPr txBox="1"/>
                      <wps:spPr>
                        <a:xfrm>
                          <a:off x="0" y="0"/>
                          <a:ext cx="6480175" cy="5035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60</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60</w:t>
                      </w:r>
                    </w:p>
                    <w:p>
                      <w:pPr>
                        <w:pStyle w:val="TextBody"/>
                        <w:bidi w:val="0"/>
                        <w:spacing w:before="0" w:after="24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343" w:before="0" w:after="240"/>
        <w:ind w:left="0" w:right="0" w:hanging="173"/>
        <w:jc w:val="left"/>
        <w:rPr/>
      </w:pPr>
      <w:r>
        <w:rPr>
          <w:color w:val="143A84"/>
        </w:rPr>
        <w:t>•</w:t>
      </w:r>
      <w:r>
        <w:rPr>
          <w:rFonts w:ascii="Helvetica Light;sans-serif" w:hAnsi="Helvetica Light;sans-serif"/>
          <w:b w:val="false"/>
          <w:color w:val="000000"/>
          <w:sz w:val="20"/>
        </w:rPr>
        <w:t>The Asia Pacific region is now managed as a single operating segment. Previously, the CODM reviewed two operating segments: (i) China and (ii) India &amp; Asia Pacific, which were reported as one reportable segment under IFRS 8. From 2026, these activities are reviewed together, resulting in one operating and reportable segment: Asia Pacific. There is no impact on previously reported numbers as a result of this change; and</w:t>
      </w:r>
    </w:p>
    <w:p>
      <w:pPr>
        <w:pStyle w:val="TextBody"/>
        <w:bidi w:val="0"/>
        <w:spacing w:lineRule="auto" w:line="343" w:before="0" w:after="240"/>
        <w:ind w:left="0" w:right="0" w:hanging="173"/>
        <w:jc w:val="left"/>
        <w:rPr/>
      </w:pPr>
      <w:r>
        <w:rPr>
          <w:color w:val="143A84"/>
        </w:rPr>
        <w:t>•</w:t>
      </w:r>
      <w:r>
        <w:rPr>
          <w:rFonts w:ascii="Helvetica Light;sans-serif" w:hAnsi="Helvetica Light;sans-serif"/>
          <w:b w:val="false"/>
          <w:color w:val="000000"/>
          <w:sz w:val="20"/>
        </w:rPr>
        <w:t>European used car operations, previously included within Other activities, have been reclassified to the Enlarged Europe segment in line with the CODM’s oversight.</w:t>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Comparative information has been restated to reflect the revised segment structure. The impact of these changes is presented in the following tables:</w:t>
      </w:r>
    </w:p>
    <w:p>
      <w:pPr>
        <w:pStyle w:val="TextBody"/>
        <w:bidi w:val="0"/>
        <w:spacing w:lineRule="auto" w:line="288" w:before="0" w:after="120"/>
        <w:jc w:val="left"/>
        <w:rPr>
          <w:rFonts w:ascii="Helvetica;sans-serif" w:hAnsi="Helvetica;sans-serif"/>
          <w:b/>
          <w:color w:val="143A84"/>
          <w:sz w:val="18"/>
        </w:rPr>
      </w:pPr>
      <w:r>
        <w:rPr>
          <w:rFonts w:ascii="Helvetica;sans-serif" w:hAnsi="Helvetica;sans-serif"/>
          <w:b/>
          <w:color w:val="143A84"/>
          <w:sz w:val="18"/>
        </w:rPr>
        <w:t>Net revenues</w:t>
      </w:r>
    </w:p>
    <w:tbl>
      <w:tblPr>
        <w:tblW w:w="6741" w:type="dxa"/>
        <w:jc w:val="left"/>
        <w:tblInd w:w="0" w:type="dxa"/>
        <w:tblLayout w:type="fixed"/>
        <w:tblCellMar>
          <w:top w:w="28" w:type="dxa"/>
          <w:left w:w="28" w:type="dxa"/>
          <w:bottom w:w="28" w:type="dxa"/>
          <w:right w:w="28" w:type="dxa"/>
        </w:tblCellMar>
      </w:tblPr>
      <w:tblGrid>
        <w:gridCol w:w="635"/>
        <w:gridCol w:w="559"/>
        <w:gridCol w:w="560"/>
        <w:gridCol w:w="109"/>
        <w:gridCol w:w="109"/>
        <w:gridCol w:w="109"/>
        <w:gridCol w:w="374"/>
        <w:gridCol w:w="374"/>
        <w:gridCol w:w="376"/>
        <w:gridCol w:w="188"/>
        <w:gridCol w:w="188"/>
        <w:gridCol w:w="188"/>
        <w:gridCol w:w="400"/>
        <w:gridCol w:w="400"/>
        <w:gridCol w:w="401"/>
        <w:gridCol w:w="188"/>
        <w:gridCol w:w="188"/>
        <w:gridCol w:w="188"/>
        <w:gridCol w:w="360"/>
        <w:gridCol w:w="361"/>
        <w:gridCol w:w="486"/>
      </w:tblGrid>
      <w:tr>
        <w:trPr/>
        <w:tc>
          <w:tcPr>
            <w:tcW w:w="635"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0"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Six months ended June 30, 2025</w:t>
            </w:r>
          </w:p>
        </w:tc>
      </w:tr>
      <w:tr>
        <w:trPr/>
        <w:tc>
          <w:tcPr>
            <w:tcW w:w="1754"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40"/>
              <w:jc w:val="left"/>
              <w:rPr>
                <w:rFonts w:ascii="Helvetica;sans-serif" w:hAnsi="Helvetica;sans-serif"/>
                <w:b w:val="false"/>
                <w:i/>
                <w:color w:val="000000"/>
                <w:sz w:val="16"/>
              </w:rPr>
            </w:pPr>
            <w:r>
              <w:rPr>
                <w:rFonts w:ascii="Helvetica;sans-serif" w:hAnsi="Helvetica;sans-serif"/>
                <w:b w:val="false"/>
                <w:i/>
                <w:color w:val="000000"/>
                <w:sz w:val="16"/>
              </w:rPr>
              <w:t>(€ million)</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As reported</w:t>
            </w:r>
          </w:p>
        </w:tc>
        <w:tc>
          <w:tcPr>
            <w:tcW w:w="564"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Adjustments</w:t>
            </w:r>
          </w:p>
        </w:tc>
        <w:tc>
          <w:tcPr>
            <w:tcW w:w="564"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As adjusted</w:t>
            </w:r>
          </w:p>
        </w:tc>
      </w:tr>
      <w:tr>
        <w:trPr/>
        <w:tc>
          <w:tcPr>
            <w:tcW w:w="1754" w:type="dxa"/>
            <w:gridSpan w:val="3"/>
            <w:tcBorders>
              <w:top w:val="single" w:sz="2" w:space="0" w:color="143A84"/>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North America</w:t>
            </w:r>
          </w:p>
        </w:tc>
        <w:tc>
          <w:tcPr>
            <w:tcW w:w="327"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op w:val="single" w:sz="2" w:space="0" w:color="143A84"/>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28,198 </w:t>
            </w:r>
          </w:p>
        </w:tc>
        <w:tc>
          <w:tcPr>
            <w:tcW w:w="376" w:type="dxa"/>
            <w:tcBorders>
              <w:top w:val="single" w:sz="2" w:space="0" w:color="143A84"/>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2" w:space="0" w:color="143A84"/>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105 </w:t>
            </w:r>
          </w:p>
        </w:tc>
        <w:tc>
          <w:tcPr>
            <w:tcW w:w="401" w:type="dxa"/>
            <w:tcBorders>
              <w:top w:val="single" w:sz="2" w:space="0" w:color="143A84"/>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143A84"/>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28,303 </w:t>
            </w:r>
          </w:p>
        </w:tc>
        <w:tc>
          <w:tcPr>
            <w:tcW w:w="486" w:type="dxa"/>
            <w:tcBorders>
              <w:top w:val="single" w:sz="2" w:space="0" w:color="143A84"/>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Enlarged Europe</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29,241 </w:t>
            </w:r>
          </w:p>
        </w:tc>
        <w:tc>
          <w:tcPr>
            <w:tcW w:w="376"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1,316 </w:t>
            </w:r>
          </w:p>
        </w:tc>
        <w:tc>
          <w:tcPr>
            <w:tcW w:w="401"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30,557 </w:t>
            </w:r>
          </w:p>
        </w:tc>
        <w:tc>
          <w:tcPr>
            <w:tcW w:w="486"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Middle East &amp; Africa</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4,944 </w:t>
            </w:r>
          </w:p>
        </w:tc>
        <w:tc>
          <w:tcPr>
            <w:tcW w:w="376"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18 </w:t>
            </w:r>
          </w:p>
        </w:tc>
        <w:tc>
          <w:tcPr>
            <w:tcW w:w="401"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4,962 </w:t>
            </w:r>
          </w:p>
        </w:tc>
        <w:tc>
          <w:tcPr>
            <w:tcW w:w="486"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South America</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7,769 </w:t>
            </w:r>
          </w:p>
        </w:tc>
        <w:tc>
          <w:tcPr>
            <w:tcW w:w="376"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2 </w:t>
            </w:r>
          </w:p>
        </w:tc>
        <w:tc>
          <w:tcPr>
            <w:tcW w:w="401"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7,771 </w:t>
            </w:r>
          </w:p>
        </w:tc>
        <w:tc>
          <w:tcPr>
            <w:tcW w:w="486"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0"/>
              <w:jc w:val="left"/>
              <w:rPr>
                <w:rFonts w:ascii="Helvetica;sans-serif" w:hAnsi="Helvetica;sans-serif"/>
                <w:b w:val="false"/>
                <w:color w:val="000000"/>
                <w:sz w:val="18"/>
              </w:rPr>
            </w:pPr>
            <w:r>
              <w:rPr>
                <w:rFonts w:ascii="Helvetica;sans-serif" w:hAnsi="Helvetica;sans-serif"/>
                <w:b w:val="false"/>
                <w:color w:val="000000"/>
                <w:sz w:val="18"/>
              </w:rPr>
              <w:t>Asia Pacific</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923 </w:t>
            </w:r>
          </w:p>
        </w:tc>
        <w:tc>
          <w:tcPr>
            <w:tcW w:w="376"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87 </w:t>
            </w:r>
          </w:p>
        </w:tc>
        <w:tc>
          <w:tcPr>
            <w:tcW w:w="401"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1,010 </w:t>
            </w:r>
          </w:p>
        </w:tc>
        <w:tc>
          <w:tcPr>
            <w:tcW w:w="486"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Maserati</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369 </w:t>
            </w:r>
          </w:p>
        </w:tc>
        <w:tc>
          <w:tcPr>
            <w:tcW w:w="376"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(369)</w:t>
            </w:r>
          </w:p>
        </w:tc>
        <w:tc>
          <w:tcPr>
            <w:tcW w:w="401"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86"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Others</w:t>
            </w:r>
          </w:p>
        </w:tc>
        <w:tc>
          <w:tcPr>
            <w:tcW w:w="327" w:type="dxa"/>
            <w:gridSpan w:val="3"/>
            <w:tcBorders>
              <w:top w:val="single" w:sz="2" w:space="0" w:color="8E939F"/>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op w:val="single" w:sz="2" w:space="0" w:color="8E939F"/>
              <w:bottom w:val="single" w:sz="2" w:space="0" w:color="8E939F"/>
            </w:tcBorders>
            <w:shd w:fill="F3F3F9" w:val="clear"/>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2,817 </w:t>
            </w:r>
          </w:p>
        </w:tc>
        <w:tc>
          <w:tcPr>
            <w:tcW w:w="376" w:type="dxa"/>
            <w:tcBorders>
              <w:top w:val="single" w:sz="2" w:space="0" w:color="8E939F"/>
              <w:bottom w:val="single" w:sz="2" w:space="0" w:color="8E939F"/>
            </w:tcBorders>
            <w:shd w:fill="F3F3F9"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op w:val="single" w:sz="2" w:space="0" w:color="8E939F"/>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(1,159)</w:t>
            </w:r>
          </w:p>
        </w:tc>
        <w:tc>
          <w:tcPr>
            <w:tcW w:w="401" w:type="dxa"/>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op w:val="single" w:sz="2" w:space="0" w:color="8E939F"/>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8E939F"/>
              <w:bottom w:val="single" w:sz="2" w:space="0" w:color="8E939F"/>
            </w:tcBorders>
            <w:shd w:fill="F3F3F9" w:val="clear"/>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1,658 </w:t>
            </w:r>
          </w:p>
        </w:tc>
        <w:tc>
          <w:tcPr>
            <w:tcW w:w="486" w:type="dxa"/>
            <w:tcBorders>
              <w:top w:val="single" w:sz="2" w:space="0" w:color="8E939F"/>
              <w:bottom w:val="single" w:sz="2" w:space="0" w:color="8E939F"/>
            </w:tcBorders>
            <w:shd w:fill="F3F3F9"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831" w:type="dxa"/>
        <w:jc w:val="left"/>
        <w:tblInd w:w="0" w:type="dxa"/>
        <w:tblLayout w:type="fixed"/>
        <w:tblCellMar>
          <w:top w:w="28" w:type="dxa"/>
          <w:left w:w="28" w:type="dxa"/>
          <w:bottom w:w="28" w:type="dxa"/>
          <w:right w:w="28" w:type="dxa"/>
        </w:tblCellMar>
      </w:tblPr>
      <w:tblGrid>
        <w:gridCol w:w="635"/>
        <w:gridCol w:w="559"/>
        <w:gridCol w:w="560"/>
        <w:gridCol w:w="109"/>
        <w:gridCol w:w="109"/>
        <w:gridCol w:w="109"/>
        <w:gridCol w:w="374"/>
        <w:gridCol w:w="374"/>
        <w:gridCol w:w="376"/>
        <w:gridCol w:w="203"/>
        <w:gridCol w:w="203"/>
        <w:gridCol w:w="203"/>
        <w:gridCol w:w="400"/>
        <w:gridCol w:w="400"/>
        <w:gridCol w:w="401"/>
        <w:gridCol w:w="203"/>
        <w:gridCol w:w="203"/>
        <w:gridCol w:w="203"/>
        <w:gridCol w:w="360"/>
        <w:gridCol w:w="361"/>
        <w:gridCol w:w="486"/>
      </w:tblGrid>
      <w:tr>
        <w:trPr/>
        <w:tc>
          <w:tcPr>
            <w:tcW w:w="635"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0"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Three months ended June 30, 2025</w:t>
            </w:r>
          </w:p>
        </w:tc>
      </w:tr>
      <w:tr>
        <w:trPr/>
        <w:tc>
          <w:tcPr>
            <w:tcW w:w="1754"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40"/>
              <w:jc w:val="left"/>
              <w:rPr>
                <w:rFonts w:ascii="Helvetica;sans-serif" w:hAnsi="Helvetica;sans-serif"/>
                <w:b w:val="false"/>
                <w:i/>
                <w:color w:val="000000"/>
                <w:sz w:val="16"/>
              </w:rPr>
            </w:pPr>
            <w:r>
              <w:rPr>
                <w:rFonts w:ascii="Helvetica;sans-serif" w:hAnsi="Helvetica;sans-serif"/>
                <w:b w:val="false"/>
                <w:i/>
                <w:color w:val="000000"/>
                <w:sz w:val="16"/>
              </w:rPr>
              <w:t>(€ million)</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As reported</w:t>
            </w:r>
          </w:p>
        </w:tc>
        <w:tc>
          <w:tcPr>
            <w:tcW w:w="609"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Adjustments</w:t>
            </w:r>
          </w:p>
        </w:tc>
        <w:tc>
          <w:tcPr>
            <w:tcW w:w="609"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As adjusted</w:t>
            </w:r>
          </w:p>
        </w:tc>
      </w:tr>
      <w:tr>
        <w:trPr/>
        <w:tc>
          <w:tcPr>
            <w:tcW w:w="1754" w:type="dxa"/>
            <w:gridSpan w:val="3"/>
            <w:tcBorders>
              <w:top w:val="single" w:sz="2" w:space="0" w:color="143A84"/>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North America</w:t>
            </w:r>
          </w:p>
        </w:tc>
        <w:tc>
          <w:tcPr>
            <w:tcW w:w="327"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op w:val="single" w:sz="2" w:space="0" w:color="143A84"/>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13,782 </w:t>
            </w:r>
          </w:p>
        </w:tc>
        <w:tc>
          <w:tcPr>
            <w:tcW w:w="376" w:type="dxa"/>
            <w:tcBorders>
              <w:top w:val="single" w:sz="2" w:space="0" w:color="143A84"/>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2" w:space="0" w:color="143A84"/>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52 </w:t>
            </w:r>
          </w:p>
        </w:tc>
        <w:tc>
          <w:tcPr>
            <w:tcW w:w="401" w:type="dxa"/>
            <w:tcBorders>
              <w:top w:val="single" w:sz="2" w:space="0" w:color="143A84"/>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143A84"/>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13,834 </w:t>
            </w:r>
          </w:p>
        </w:tc>
        <w:tc>
          <w:tcPr>
            <w:tcW w:w="486" w:type="dxa"/>
            <w:tcBorders>
              <w:top w:val="single" w:sz="2" w:space="0" w:color="143A84"/>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Enlarged Europe</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15,676 </w:t>
            </w:r>
          </w:p>
        </w:tc>
        <w:tc>
          <w:tcPr>
            <w:tcW w:w="376"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711 </w:t>
            </w:r>
          </w:p>
        </w:tc>
        <w:tc>
          <w:tcPr>
            <w:tcW w:w="401"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16,387 </w:t>
            </w:r>
          </w:p>
        </w:tc>
        <w:tc>
          <w:tcPr>
            <w:tcW w:w="486"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Middle East &amp; Africa</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2,664 </w:t>
            </w:r>
          </w:p>
        </w:tc>
        <w:tc>
          <w:tcPr>
            <w:tcW w:w="376"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10 </w:t>
            </w:r>
          </w:p>
        </w:tc>
        <w:tc>
          <w:tcPr>
            <w:tcW w:w="401"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2,674 </w:t>
            </w:r>
          </w:p>
        </w:tc>
        <w:tc>
          <w:tcPr>
            <w:tcW w:w="486"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South America</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4,091 </w:t>
            </w:r>
          </w:p>
        </w:tc>
        <w:tc>
          <w:tcPr>
            <w:tcW w:w="376"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1 </w:t>
            </w:r>
          </w:p>
        </w:tc>
        <w:tc>
          <w:tcPr>
            <w:tcW w:w="401"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4,092 </w:t>
            </w:r>
          </w:p>
        </w:tc>
        <w:tc>
          <w:tcPr>
            <w:tcW w:w="486"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0"/>
              <w:jc w:val="left"/>
              <w:rPr>
                <w:rFonts w:ascii="Helvetica;sans-serif" w:hAnsi="Helvetica;sans-serif"/>
                <w:b w:val="false"/>
                <w:color w:val="000000"/>
                <w:sz w:val="18"/>
              </w:rPr>
            </w:pPr>
            <w:r>
              <w:rPr>
                <w:rFonts w:ascii="Helvetica;sans-serif" w:hAnsi="Helvetica;sans-serif"/>
                <w:b w:val="false"/>
                <w:color w:val="000000"/>
                <w:sz w:val="18"/>
              </w:rPr>
              <w:t>Asia Pacific</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476 </w:t>
            </w:r>
          </w:p>
        </w:tc>
        <w:tc>
          <w:tcPr>
            <w:tcW w:w="376"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48 </w:t>
            </w:r>
          </w:p>
        </w:tc>
        <w:tc>
          <w:tcPr>
            <w:tcW w:w="401"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524 </w:t>
            </w:r>
          </w:p>
        </w:tc>
        <w:tc>
          <w:tcPr>
            <w:tcW w:w="486"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Maserati</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212 </w:t>
            </w:r>
          </w:p>
        </w:tc>
        <w:tc>
          <w:tcPr>
            <w:tcW w:w="376"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(212)</w:t>
            </w:r>
          </w:p>
        </w:tc>
        <w:tc>
          <w:tcPr>
            <w:tcW w:w="401"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86"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Others</w:t>
            </w:r>
          </w:p>
        </w:tc>
        <w:tc>
          <w:tcPr>
            <w:tcW w:w="327" w:type="dxa"/>
            <w:gridSpan w:val="3"/>
            <w:tcBorders>
              <w:top w:val="single" w:sz="2" w:space="0" w:color="8E939F"/>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op w:val="single" w:sz="2" w:space="0" w:color="8E939F"/>
              <w:bottom w:val="single" w:sz="2" w:space="0" w:color="8E939F"/>
            </w:tcBorders>
            <w:shd w:fill="F3F3F9" w:val="clear"/>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1,547 </w:t>
            </w:r>
          </w:p>
        </w:tc>
        <w:tc>
          <w:tcPr>
            <w:tcW w:w="376" w:type="dxa"/>
            <w:tcBorders>
              <w:top w:val="single" w:sz="2" w:space="0" w:color="8E939F"/>
              <w:bottom w:val="single" w:sz="2" w:space="0" w:color="8E939F"/>
            </w:tcBorders>
            <w:shd w:fill="F3F3F9"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top w:val="single" w:sz="2" w:space="0" w:color="8E939F"/>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(610)</w:t>
            </w:r>
          </w:p>
        </w:tc>
        <w:tc>
          <w:tcPr>
            <w:tcW w:w="401" w:type="dxa"/>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top w:val="single" w:sz="2" w:space="0" w:color="8E939F"/>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8E939F"/>
              <w:bottom w:val="single" w:sz="2" w:space="0" w:color="8E939F"/>
            </w:tcBorders>
            <w:shd w:fill="F3F3F9" w:val="clear"/>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937 </w:t>
            </w:r>
          </w:p>
        </w:tc>
        <w:tc>
          <w:tcPr>
            <w:tcW w:w="486" w:type="dxa"/>
            <w:tcBorders>
              <w:top w:val="single" w:sz="2" w:space="0" w:color="8E939F"/>
              <w:bottom w:val="single" w:sz="2" w:space="0" w:color="8E939F"/>
            </w:tcBorders>
            <w:shd w:fill="F3F3F9"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Helvetica;sans-serif" w:hAnsi="Helvetica;sans-serif"/>
          <w:b/>
          <w:color w:val="143A84"/>
          <w:sz w:val="18"/>
        </w:rPr>
      </w:pPr>
      <w:r>
        <w:rPr>
          <w:rFonts w:ascii="Helvetica;sans-serif" w:hAnsi="Helvetica;sans-serif"/>
          <w:b/>
          <w:color w:val="143A84"/>
          <w:sz w:val="18"/>
        </w:rPr>
        <w:t>Adjusted operating income</w:t>
      </w:r>
    </w:p>
    <w:tbl>
      <w:tblPr>
        <w:tblW w:w="6704" w:type="dxa"/>
        <w:jc w:val="left"/>
        <w:tblInd w:w="0" w:type="dxa"/>
        <w:tblLayout w:type="fixed"/>
        <w:tblCellMar>
          <w:top w:w="28" w:type="dxa"/>
          <w:left w:w="28" w:type="dxa"/>
          <w:bottom w:w="28" w:type="dxa"/>
          <w:right w:w="28" w:type="dxa"/>
        </w:tblCellMar>
      </w:tblPr>
      <w:tblGrid>
        <w:gridCol w:w="635"/>
        <w:gridCol w:w="559"/>
        <w:gridCol w:w="560"/>
        <w:gridCol w:w="109"/>
        <w:gridCol w:w="109"/>
        <w:gridCol w:w="109"/>
        <w:gridCol w:w="374"/>
        <w:gridCol w:w="374"/>
        <w:gridCol w:w="376"/>
        <w:gridCol w:w="188"/>
        <w:gridCol w:w="188"/>
        <w:gridCol w:w="188"/>
        <w:gridCol w:w="400"/>
        <w:gridCol w:w="400"/>
        <w:gridCol w:w="401"/>
        <w:gridCol w:w="188"/>
        <w:gridCol w:w="188"/>
        <w:gridCol w:w="188"/>
        <w:gridCol w:w="342"/>
        <w:gridCol w:w="342"/>
        <w:gridCol w:w="486"/>
      </w:tblGrid>
      <w:tr>
        <w:trPr/>
        <w:tc>
          <w:tcPr>
            <w:tcW w:w="635"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3"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Six months ended June 30, 2025</w:t>
            </w:r>
          </w:p>
        </w:tc>
      </w:tr>
      <w:tr>
        <w:trPr/>
        <w:tc>
          <w:tcPr>
            <w:tcW w:w="1754"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40"/>
              <w:jc w:val="left"/>
              <w:rPr>
                <w:rFonts w:ascii="Helvetica;sans-serif" w:hAnsi="Helvetica;sans-serif"/>
                <w:b w:val="false"/>
                <w:i/>
                <w:color w:val="000000"/>
                <w:sz w:val="16"/>
              </w:rPr>
            </w:pPr>
            <w:r>
              <w:rPr>
                <w:rFonts w:ascii="Helvetica;sans-serif" w:hAnsi="Helvetica;sans-serif"/>
                <w:b w:val="false"/>
                <w:i/>
                <w:color w:val="000000"/>
                <w:sz w:val="16"/>
              </w:rPr>
              <w:t>(€ million)</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As reported</w:t>
            </w:r>
          </w:p>
        </w:tc>
        <w:tc>
          <w:tcPr>
            <w:tcW w:w="564"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Adjustments</w:t>
            </w:r>
          </w:p>
        </w:tc>
        <w:tc>
          <w:tcPr>
            <w:tcW w:w="564"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As adjusted</w:t>
            </w:r>
          </w:p>
        </w:tc>
      </w:tr>
      <w:tr>
        <w:trPr/>
        <w:tc>
          <w:tcPr>
            <w:tcW w:w="1754" w:type="dxa"/>
            <w:gridSpan w:val="3"/>
            <w:tcBorders>
              <w:top w:val="single" w:sz="2" w:space="0" w:color="143A84"/>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North America</w:t>
            </w:r>
          </w:p>
        </w:tc>
        <w:tc>
          <w:tcPr>
            <w:tcW w:w="327"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op w:val="single" w:sz="2" w:space="0" w:color="143A84"/>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(951)</w:t>
            </w:r>
          </w:p>
        </w:tc>
        <w:tc>
          <w:tcPr>
            <w:tcW w:w="376" w:type="dxa"/>
            <w:tcBorders>
              <w:top w:val="single" w:sz="2" w:space="0" w:color="143A84"/>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2" w:space="0" w:color="143A84"/>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(31)</w:t>
            </w:r>
          </w:p>
        </w:tc>
        <w:tc>
          <w:tcPr>
            <w:tcW w:w="401" w:type="dxa"/>
            <w:tcBorders>
              <w:top w:val="single" w:sz="2" w:space="0" w:color="143A84"/>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top w:val="single" w:sz="2" w:space="0" w:color="143A84"/>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(982)</w:t>
            </w:r>
          </w:p>
        </w:tc>
        <w:tc>
          <w:tcPr>
            <w:tcW w:w="486" w:type="dxa"/>
            <w:tcBorders>
              <w:top w:val="single" w:sz="2" w:space="0" w:color="143A84"/>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Enlarged Europe</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9 </w:t>
            </w:r>
          </w:p>
        </w:tc>
        <w:tc>
          <w:tcPr>
            <w:tcW w:w="376"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(76)</w:t>
            </w:r>
          </w:p>
        </w:tc>
        <w:tc>
          <w:tcPr>
            <w:tcW w:w="401"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(67)</w:t>
            </w:r>
          </w:p>
        </w:tc>
        <w:tc>
          <w:tcPr>
            <w:tcW w:w="486"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Middle East &amp; Africa</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768 </w:t>
            </w:r>
          </w:p>
        </w:tc>
        <w:tc>
          <w:tcPr>
            <w:tcW w:w="376"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1"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768 </w:t>
            </w:r>
          </w:p>
        </w:tc>
        <w:tc>
          <w:tcPr>
            <w:tcW w:w="486"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South America</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1,188 </w:t>
            </w:r>
          </w:p>
        </w:tc>
        <w:tc>
          <w:tcPr>
            <w:tcW w:w="376"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1 </w:t>
            </w:r>
          </w:p>
        </w:tc>
        <w:tc>
          <w:tcPr>
            <w:tcW w:w="401"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1,189 </w:t>
            </w:r>
          </w:p>
        </w:tc>
        <w:tc>
          <w:tcPr>
            <w:tcW w:w="486"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0"/>
              <w:jc w:val="left"/>
              <w:rPr>
                <w:rFonts w:ascii="Helvetica;sans-serif" w:hAnsi="Helvetica;sans-serif"/>
                <w:b w:val="false"/>
                <w:color w:val="000000"/>
                <w:sz w:val="18"/>
              </w:rPr>
            </w:pPr>
            <w:r>
              <w:rPr>
                <w:rFonts w:ascii="Helvetica;sans-serif" w:hAnsi="Helvetica;sans-serif"/>
                <w:b w:val="false"/>
                <w:color w:val="000000"/>
                <w:sz w:val="18"/>
              </w:rPr>
              <w:t>Asia Pacific</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19 </w:t>
            </w:r>
          </w:p>
        </w:tc>
        <w:tc>
          <w:tcPr>
            <w:tcW w:w="376"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(19)</w:t>
            </w:r>
          </w:p>
        </w:tc>
        <w:tc>
          <w:tcPr>
            <w:tcW w:w="401"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86"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Maserati</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(139)</w:t>
            </w:r>
          </w:p>
        </w:tc>
        <w:tc>
          <w:tcPr>
            <w:tcW w:w="376"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139 </w:t>
            </w:r>
          </w:p>
        </w:tc>
        <w:tc>
          <w:tcPr>
            <w:tcW w:w="401"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86"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Others</w:t>
            </w:r>
          </w:p>
        </w:tc>
        <w:tc>
          <w:tcPr>
            <w:tcW w:w="327" w:type="dxa"/>
            <w:gridSpan w:val="3"/>
            <w:tcBorders>
              <w:top w:val="single" w:sz="2" w:space="0" w:color="8E939F"/>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op w:val="single" w:sz="2" w:space="0" w:color="8E939F"/>
              <w:bottom w:val="single" w:sz="2" w:space="0" w:color="8E939F"/>
            </w:tcBorders>
            <w:shd w:fill="F3F3F9" w:val="clear"/>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(354)</w:t>
            </w:r>
          </w:p>
        </w:tc>
        <w:tc>
          <w:tcPr>
            <w:tcW w:w="376" w:type="dxa"/>
            <w:tcBorders>
              <w:top w:val="single" w:sz="2" w:space="0" w:color="8E939F"/>
              <w:bottom w:val="single" w:sz="2" w:space="0" w:color="8E939F"/>
            </w:tcBorders>
            <w:shd w:fill="F3F3F9"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op w:val="single" w:sz="2" w:space="0" w:color="8E939F"/>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(14)</w:t>
            </w:r>
          </w:p>
        </w:tc>
        <w:tc>
          <w:tcPr>
            <w:tcW w:w="401" w:type="dxa"/>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op w:val="single" w:sz="2" w:space="0" w:color="8E939F"/>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top w:val="single" w:sz="2" w:space="0" w:color="8E939F"/>
              <w:bottom w:val="single" w:sz="2" w:space="0" w:color="8E939F"/>
            </w:tcBorders>
            <w:shd w:fill="F3F3F9" w:val="clear"/>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(368)</w:t>
            </w:r>
          </w:p>
        </w:tc>
        <w:tc>
          <w:tcPr>
            <w:tcW w:w="486" w:type="dxa"/>
            <w:tcBorders>
              <w:top w:val="single" w:sz="2" w:space="0" w:color="8E939F"/>
              <w:bottom w:val="single" w:sz="2" w:space="0" w:color="8E939F"/>
            </w:tcBorders>
            <w:shd w:fill="F3F3F9"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left"/>
        <w:rPr/>
      </w:pPr>
      <w:r>
        <w:rPr/>
      </w:r>
    </w:p>
    <w:p>
      <w:pPr>
        <w:pStyle w:val="TextBody"/>
        <w:bidi w:val="0"/>
        <w:spacing w:before="0" w:after="24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503555"/>
                <wp:effectExtent l="0" t="0" r="0" b="0"/>
                <wp:wrapNone/>
                <wp:docPr id="80" name="Frame65"/>
                <a:graphic xmlns:a="http://schemas.openxmlformats.org/drawingml/2006/main">
                  <a:graphicData uri="http://schemas.microsoft.com/office/word/2010/wordprocessingShape">
                    <wps:wsp>
                      <wps:cNvSpPr txBox="1"/>
                      <wps:spPr>
                        <a:xfrm>
                          <a:off x="0" y="0"/>
                          <a:ext cx="6480175" cy="5035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61</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61</w:t>
                      </w:r>
                    </w:p>
                    <w:p>
                      <w:pPr>
                        <w:pStyle w:val="TextBody"/>
                        <w:bidi w:val="0"/>
                        <w:spacing w:before="0" w:after="24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88" w:before="0" w:after="240"/>
        <w:jc w:val="left"/>
        <w:rPr>
          <w:rFonts w:ascii="Helvetica;sans-serif" w:hAnsi="Helvetica;sans-serif"/>
          <w:b/>
          <w:color w:val="143A84"/>
          <w:sz w:val="20"/>
        </w:rPr>
      </w:pPr>
      <w:r>
        <w:rPr>
          <w:rFonts w:ascii="Helvetica;sans-serif" w:hAnsi="Helvetica;sans-serif"/>
          <w:b/>
          <w:color w:val="143A84"/>
          <w:sz w:val="20"/>
        </w:rPr>
        <w:t>New standards and amendments effective from January 1, 2026</w:t>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The following new standards, amendments and interpretations, which were effective from January 1, 2026, were adopted by the Company. The adoption of these amendments did not have a material impact on the Interim Condensed Consolidated Financial Statements.</w:t>
      </w:r>
    </w:p>
    <w:p>
      <w:pPr>
        <w:pStyle w:val="TextBody"/>
        <w:bidi w:val="0"/>
        <w:spacing w:lineRule="auto" w:line="343" w:before="0" w:after="120"/>
        <w:ind w:left="0" w:right="0" w:hanging="173"/>
        <w:jc w:val="left"/>
        <w:rPr/>
      </w:pPr>
      <w:r>
        <w:rPr>
          <w:color w:val="143A84"/>
        </w:rPr>
        <w:t>•</w:t>
      </w:r>
      <w:r>
        <w:rPr>
          <w:rFonts w:ascii="Helvetica Light;sans-serif" w:hAnsi="Helvetica Light;sans-serif"/>
          <w:b w:val="false"/>
          <w:color w:val="000000"/>
          <w:sz w:val="20"/>
        </w:rPr>
        <w:t xml:space="preserve">In May 2024, the IASB issued amendments to IFRS 9 and IFRS 7 regarding the classification and measurement of financial instruments. The amendments relate to the settling of financial liabilities using an electronic payment system, as well as assessing contractual cash flow characteristics of financial assets, including those with environmental, social and governance linked features. </w:t>
      </w:r>
    </w:p>
    <w:p>
      <w:pPr>
        <w:pStyle w:val="TextBody"/>
        <w:bidi w:val="0"/>
        <w:spacing w:lineRule="auto" w:line="343" w:before="0" w:after="120"/>
        <w:ind w:left="0" w:right="0" w:hanging="173"/>
        <w:jc w:val="left"/>
        <w:rPr/>
      </w:pPr>
      <w:r>
        <w:rPr>
          <w:color w:val="143A84"/>
        </w:rPr>
        <w:t>•</w:t>
      </w:r>
      <w:r>
        <w:rPr>
          <w:rFonts w:ascii="Helvetica Light;sans-serif" w:hAnsi="Helvetica Light;sans-serif"/>
          <w:b w:val="false"/>
          <w:color w:val="000000"/>
          <w:sz w:val="20"/>
        </w:rPr>
        <w:t xml:space="preserve">In July 2024, the IASB issued Annual Improvements to IFRS Accounting Standards – Volume 11, which included amendments to the following standards: updated wording regarding hedge accounting in IFRS 1 - First-time Adoption of IFRS, to address potential confusion from an inconsistency with the hedge accounting requirements of IFRS 9 Financial Instruments; replaced an obsolete reference in IFRS 7 – Financial Instruments: Disclosures, to IFRS 13 – Fair Value Measurement, and made other minor revisions regarding inconsistencies with IFRS 13; amended IFRS 9 Financial Instruments, to clarify how a lessee accounts for the derecognition of a lease liability and removed a potentially confusing cross reference to the term “transaction price” in IFRS 15 – Revenue from Contracts with Customers, as the term is used elsewhere in IFRS 9 and is not necessarily consistent with the definition in IFRS 15; revised the wording in IFRS 10 - Consolidated Financial Statements, to addresses a potential confusion arising from an inconsistency between two paragraphs related to an investor determining whether another party is acting on its behalf by aligning the language in both paragraphs; amended IAS 7 – Statement of Cash Flows, to remove a reference to the term “cost method” that is no longer defined in IFRS. </w:t>
      </w:r>
    </w:p>
    <w:p>
      <w:pPr>
        <w:pStyle w:val="TextBody"/>
        <w:bidi w:val="0"/>
        <w:spacing w:lineRule="auto" w:line="288" w:before="0" w:after="240"/>
        <w:jc w:val="left"/>
        <w:rPr>
          <w:rFonts w:ascii="Helvetica;sans-serif" w:hAnsi="Helvetica;sans-serif"/>
          <w:b/>
          <w:color w:val="143A84"/>
          <w:sz w:val="20"/>
        </w:rPr>
      </w:pPr>
      <w:r>
        <w:rPr>
          <w:rFonts w:ascii="Helvetica;sans-serif" w:hAnsi="Helvetica;sans-serif"/>
          <w:b/>
          <w:color w:val="143A84"/>
          <w:sz w:val="20"/>
        </w:rPr>
        <w:t>Exchange rates</w:t>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The principal exchange rates used to translate other currencies into Euro were as follows:</w:t>
      </w:r>
    </w:p>
    <w:tbl>
      <w:tblPr>
        <w:tblW w:w="10205" w:type="dxa"/>
        <w:jc w:val="left"/>
        <w:tblInd w:w="0" w:type="dxa"/>
        <w:tblLayout w:type="fixed"/>
        <w:tblCellMar>
          <w:top w:w="28" w:type="dxa"/>
          <w:left w:w="28" w:type="dxa"/>
          <w:bottom w:w="28" w:type="dxa"/>
          <w:right w:w="28" w:type="dxa"/>
        </w:tblCellMar>
      </w:tblPr>
      <w:tblGrid>
        <w:gridCol w:w="663"/>
        <w:gridCol w:w="439"/>
        <w:gridCol w:w="441"/>
        <w:gridCol w:w="669"/>
        <w:gridCol w:w="599"/>
        <w:gridCol w:w="602"/>
        <w:gridCol w:w="109"/>
        <w:gridCol w:w="109"/>
        <w:gridCol w:w="109"/>
        <w:gridCol w:w="444"/>
        <w:gridCol w:w="385"/>
        <w:gridCol w:w="296"/>
        <w:gridCol w:w="109"/>
        <w:gridCol w:w="109"/>
        <w:gridCol w:w="109"/>
        <w:gridCol w:w="463"/>
        <w:gridCol w:w="424"/>
        <w:gridCol w:w="425"/>
        <w:gridCol w:w="109"/>
        <w:gridCol w:w="109"/>
        <w:gridCol w:w="109"/>
        <w:gridCol w:w="669"/>
        <w:gridCol w:w="599"/>
        <w:gridCol w:w="602"/>
        <w:gridCol w:w="109"/>
        <w:gridCol w:w="109"/>
        <w:gridCol w:w="109"/>
        <w:gridCol w:w="402"/>
        <w:gridCol w:w="380"/>
        <w:gridCol w:w="395"/>
      </w:tblGrid>
      <w:tr>
        <w:trPr/>
        <w:tc>
          <w:tcPr>
            <w:tcW w:w="663"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1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0" w:type="dxa"/>
            <w:gridSpan w:val="3"/>
            <w:tcBorders/>
            <w:shd w:fill="F3F3F9"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5"/>
              </w:rPr>
            </w:pPr>
            <w:r>
              <w:rPr>
                <w:rFonts w:ascii="Helvetica;sans-serif" w:hAnsi="Helvetica;sans-serif"/>
                <w:b/>
                <w:color w:val="243782"/>
                <w:sz w:val="15"/>
              </w:rPr>
              <w:t>For the six months ended June 30, 2026</w:t>
            </w:r>
          </w:p>
        </w:tc>
        <w:tc>
          <w:tcPr>
            <w:tcW w:w="327" w:type="dxa"/>
            <w:gridSpan w:val="3"/>
            <w:tcBorders/>
            <w:shd w:fill="F3F3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3F3F9"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5"/>
              </w:rPr>
            </w:pPr>
            <w:r>
              <w:rPr>
                <w:rFonts w:ascii="Helvetica;sans-serif" w:hAnsi="Helvetica;sans-serif"/>
                <w:b/>
                <w:color w:val="243782"/>
                <w:sz w:val="15"/>
              </w:rPr>
              <w:t>At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5"/>
              </w:rPr>
            </w:pPr>
            <w:r>
              <w:rPr>
                <w:rFonts w:ascii="Helvetica;sans-serif" w:hAnsi="Helvetica;sans-serif"/>
                <w:b/>
                <w:color w:val="243782"/>
                <w:sz w:val="15"/>
              </w:rPr>
              <w:t>At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5"/>
              </w:rPr>
            </w:pPr>
            <w:r>
              <w:rPr>
                <w:rFonts w:ascii="Helvetica;sans-serif" w:hAnsi="Helvetica;sans-serif"/>
                <w:b/>
                <w:color w:val="243782"/>
                <w:sz w:val="15"/>
              </w:rPr>
              <w:t>For the six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5"/>
              </w:rPr>
            </w:pPr>
            <w:r>
              <w:rPr>
                <w:rFonts w:ascii="Helvetica;sans-serif" w:hAnsi="Helvetica;sans-serif"/>
                <w:b/>
                <w:color w:val="243782"/>
                <w:sz w:val="15"/>
              </w:rPr>
              <w:t>At June 30, 2025</w:t>
            </w:r>
          </w:p>
        </w:tc>
      </w:tr>
      <w:tr>
        <w:trPr/>
        <w:tc>
          <w:tcPr>
            <w:tcW w:w="1543" w:type="dxa"/>
            <w:gridSpan w:val="3"/>
            <w:tcBorders>
              <w:top w:val="single" w:sz="2" w:space="0" w:color="143A84"/>
              <w:bottom w:val="single" w:sz="2" w:space="0" w:color="8E939F"/>
            </w:tcBorders>
            <w:tcMar>
              <w:top w:w="52"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U.S. Dollar (USD)</w:t>
            </w:r>
          </w:p>
        </w:tc>
        <w:tc>
          <w:tcPr>
            <w:tcW w:w="1870" w:type="dxa"/>
            <w:gridSpan w:val="3"/>
            <w:tcBorders>
              <w:top w:val="single" w:sz="2" w:space="0" w:color="143A84"/>
              <w:bottom w:val="single" w:sz="2" w:space="0" w:color="8E939F"/>
            </w:tcBorders>
            <w:shd w:fill="F3F3F9" w:val="clear"/>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1.166</w:t>
            </w:r>
          </w:p>
        </w:tc>
        <w:tc>
          <w:tcPr>
            <w:tcW w:w="327" w:type="dxa"/>
            <w:gridSpan w:val="3"/>
            <w:tcBorders>
              <w:top w:val="single" w:sz="2" w:space="0" w:color="143A84"/>
              <w:bottom w:val="single" w:sz="2" w:space="0" w:color="8E939F"/>
            </w:tcBorders>
            <w:shd w:fill="F3F3F9" w:val="clear"/>
            <w:tcMar>
              <w:left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2" w:space="0" w:color="143A84"/>
              <w:bottom w:val="single" w:sz="2" w:space="0" w:color="8E939F"/>
            </w:tcBorders>
            <w:shd w:fill="F3F3F9" w:val="clear"/>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1.139</w:t>
            </w:r>
          </w:p>
        </w:tc>
        <w:tc>
          <w:tcPr>
            <w:tcW w:w="327" w:type="dxa"/>
            <w:gridSpan w:val="3"/>
            <w:tcBorders>
              <w:top w:val="single" w:sz="2" w:space="0" w:color="143A84"/>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2" w:space="0" w:color="143A84"/>
              <w:bottom w:val="single" w:sz="2" w:space="0" w:color="8E939F"/>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1.175</w:t>
            </w:r>
          </w:p>
        </w:tc>
        <w:tc>
          <w:tcPr>
            <w:tcW w:w="327" w:type="dxa"/>
            <w:gridSpan w:val="3"/>
            <w:tcBorders>
              <w:top w:val="single" w:sz="2" w:space="0" w:color="143A84"/>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1870" w:type="dxa"/>
            <w:gridSpan w:val="3"/>
            <w:tcBorders>
              <w:top w:val="single" w:sz="2" w:space="0" w:color="143A84"/>
              <w:bottom w:val="single" w:sz="2" w:space="0" w:color="8E939F"/>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1.093</w:t>
            </w:r>
          </w:p>
        </w:tc>
        <w:tc>
          <w:tcPr>
            <w:tcW w:w="327" w:type="dxa"/>
            <w:gridSpan w:val="3"/>
            <w:tcBorders>
              <w:top w:val="single" w:sz="2" w:space="0" w:color="143A84"/>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2" w:space="0" w:color="143A84"/>
              <w:bottom w:val="single" w:sz="2" w:space="0" w:color="8E939F"/>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1.172</w:t>
            </w:r>
          </w:p>
        </w:tc>
      </w:tr>
      <w:tr>
        <w:trPr/>
        <w:tc>
          <w:tcPr>
            <w:tcW w:w="1543"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Canadian Dollar (CAD)</w:t>
            </w:r>
          </w:p>
        </w:tc>
        <w:tc>
          <w:tcPr>
            <w:tcW w:w="1870"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1.607</w:t>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1.622</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1.609</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0"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1.540</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1.603</w:t>
            </w:r>
          </w:p>
        </w:tc>
      </w:tr>
      <w:tr>
        <w:trPr/>
        <w:tc>
          <w:tcPr>
            <w:tcW w:w="1543"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Mexican Peso (MXN)</w:t>
            </w:r>
          </w:p>
        </w:tc>
        <w:tc>
          <w:tcPr>
            <w:tcW w:w="1870"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20.388</w:t>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19.903</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21.118</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0"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21.815</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22.090</w:t>
            </w:r>
          </w:p>
        </w:tc>
      </w:tr>
      <w:tr>
        <w:trPr/>
        <w:tc>
          <w:tcPr>
            <w:tcW w:w="1543"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Pound Sterling (GBP)</w:t>
            </w:r>
          </w:p>
        </w:tc>
        <w:tc>
          <w:tcPr>
            <w:tcW w:w="1870"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0.868</w:t>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0.862</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0.873</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0"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0.843</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0.856</w:t>
            </w:r>
          </w:p>
        </w:tc>
      </w:tr>
      <w:tr>
        <w:trPr/>
        <w:tc>
          <w:tcPr>
            <w:tcW w:w="1543"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Polish Zloty (PLN)</w:t>
            </w:r>
          </w:p>
        </w:tc>
        <w:tc>
          <w:tcPr>
            <w:tcW w:w="1870"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4.243</w:t>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4.296</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4.227</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0"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4.233</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4.242</w:t>
            </w:r>
          </w:p>
        </w:tc>
      </w:tr>
      <w:tr>
        <w:trPr/>
        <w:tc>
          <w:tcPr>
            <w:tcW w:w="1543"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Swiss Franc (CHF)</w:t>
            </w:r>
          </w:p>
        </w:tc>
        <w:tc>
          <w:tcPr>
            <w:tcW w:w="1870"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0.918</w:t>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0.922</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0.931</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0"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0.941</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0.935</w:t>
            </w:r>
          </w:p>
        </w:tc>
      </w:tr>
      <w:tr>
        <w:trPr/>
        <w:tc>
          <w:tcPr>
            <w:tcW w:w="1543"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0"/>
              <w:jc w:val="left"/>
              <w:rPr/>
            </w:pPr>
            <w:r>
              <w:rPr>
                <w:rFonts w:ascii="Helvetica;sans-serif" w:hAnsi="Helvetica;sans-serif"/>
                <w:b w:val="false"/>
                <w:color w:val="000000"/>
                <w:sz w:val="18"/>
              </w:rPr>
              <w:t>Turkish Lira (TRY)</w:t>
            </w:r>
            <w:r>
              <w:rPr>
                <w:rFonts w:ascii="Helvetica;sans-serif" w:hAnsi="Helvetica;sans-serif"/>
                <w:b w:val="false"/>
                <w:color w:val="000000"/>
                <w:sz w:val="12"/>
              </w:rPr>
              <w:t>(1)</w:t>
            </w:r>
          </w:p>
        </w:tc>
        <w:tc>
          <w:tcPr>
            <w:tcW w:w="1870"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n.a.</w:t>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53.134</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50.331</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0"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n.a.</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46.649</w:t>
            </w:r>
          </w:p>
        </w:tc>
      </w:tr>
      <w:tr>
        <w:trPr/>
        <w:tc>
          <w:tcPr>
            <w:tcW w:w="1543"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Brazilian Real (BRL)</w:t>
            </w:r>
          </w:p>
        </w:tc>
        <w:tc>
          <w:tcPr>
            <w:tcW w:w="1870"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6.016</w:t>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5.910</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6.469</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0"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6.294</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6.422</w:t>
            </w:r>
          </w:p>
        </w:tc>
      </w:tr>
      <w:tr>
        <w:trPr/>
        <w:tc>
          <w:tcPr>
            <w:tcW w:w="1543"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0"/>
              <w:jc w:val="left"/>
              <w:rPr/>
            </w:pPr>
            <w:r>
              <w:rPr>
                <w:rFonts w:ascii="Helvetica;sans-serif" w:hAnsi="Helvetica;sans-serif"/>
                <w:b w:val="false"/>
                <w:color w:val="000000"/>
                <w:sz w:val="18"/>
              </w:rPr>
              <w:t>Argentine Peso (ARS)</w:t>
            </w:r>
            <w:r>
              <w:rPr>
                <w:rFonts w:ascii="Helvetica;sans-serif" w:hAnsi="Helvetica;sans-serif"/>
                <w:b w:val="false"/>
                <w:color w:val="000000"/>
                <w:sz w:val="12"/>
              </w:rPr>
              <w:t>(2)</w:t>
            </w:r>
          </w:p>
        </w:tc>
        <w:tc>
          <w:tcPr>
            <w:tcW w:w="1870"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n.a.</w:t>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1,683.464</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1,707.560</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0"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n.a.</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1,397.610</w:t>
            </w:r>
          </w:p>
        </w:tc>
      </w:tr>
      <w:tr>
        <w:trPr/>
        <w:tc>
          <w:tcPr>
            <w:tcW w:w="1543"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Chinese Renminbi (CNY)</w:t>
            </w:r>
          </w:p>
        </w:tc>
        <w:tc>
          <w:tcPr>
            <w:tcW w:w="1870"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8.009</w:t>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7.731</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8.226</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0"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7.929</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8.397</w:t>
            </w:r>
          </w:p>
        </w:tc>
      </w:tr>
      <w:tr>
        <w:trPr/>
        <w:tc>
          <w:tcPr>
            <w:tcW w:w="1543" w:type="dxa"/>
            <w:gridSpan w:val="3"/>
            <w:tcBorders/>
            <w:vAlign w:val="center"/>
          </w:tcPr>
          <w:p>
            <w:pPr>
              <w:pStyle w:val="TableContents"/>
              <w:bidi w:val="0"/>
              <w:spacing w:before="0" w:after="283"/>
              <w:jc w:val="left"/>
              <w:rPr>
                <w:sz w:val="4"/>
                <w:szCs w:val="4"/>
              </w:rPr>
            </w:pPr>
            <w:r>
              <w:rPr>
                <w:sz w:val="4"/>
                <w:szCs w:val="4"/>
              </w:rPr>
            </w:r>
          </w:p>
        </w:tc>
        <w:tc>
          <w:tcPr>
            <w:tcW w:w="1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r>
      <w:tr>
        <w:trPr/>
        <w:tc>
          <w:tcPr>
            <w:tcW w:w="1543" w:type="dxa"/>
            <w:gridSpan w:val="3"/>
            <w:tcBorders/>
            <w:vAlign w:val="center"/>
          </w:tcPr>
          <w:p>
            <w:pPr>
              <w:pStyle w:val="TableContents"/>
              <w:bidi w:val="0"/>
              <w:spacing w:before="0" w:after="283"/>
              <w:jc w:val="left"/>
              <w:rPr>
                <w:sz w:val="4"/>
                <w:szCs w:val="4"/>
              </w:rPr>
            </w:pPr>
            <w:r>
              <w:rPr>
                <w:sz w:val="4"/>
                <w:szCs w:val="4"/>
              </w:rPr>
            </w:r>
          </w:p>
        </w:tc>
        <w:tc>
          <w:tcPr>
            <w:tcW w:w="1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r>
      <w:tr>
        <w:trPr/>
        <w:tc>
          <w:tcPr>
            <w:tcW w:w="1543" w:type="dxa"/>
            <w:gridSpan w:val="3"/>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Japanese Yen (JPY)</w:t>
            </w:r>
          </w:p>
        </w:tc>
        <w:tc>
          <w:tcPr>
            <w:tcW w:w="1870" w:type="dxa"/>
            <w:gridSpan w:val="3"/>
            <w:tcBorders>
              <w:top w:val="single" w:sz="2" w:space="0" w:color="8E939F"/>
              <w:bottom w:val="single" w:sz="2" w:space="0" w:color="8E939F"/>
            </w:tcBorders>
            <w:shd w:fill="F3F3F9" w:val="clear"/>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184.426</w:t>
            </w:r>
          </w:p>
        </w:tc>
        <w:tc>
          <w:tcPr>
            <w:tcW w:w="327" w:type="dxa"/>
            <w:gridSpan w:val="3"/>
            <w:tcBorders>
              <w:top w:val="single" w:sz="2" w:space="0" w:color="8E939F"/>
              <w:bottom w:val="single" w:sz="2" w:space="0" w:color="8E939F"/>
            </w:tcBorders>
            <w:shd w:fill="F3F3F9" w:val="clear"/>
            <w:tcMar>
              <w:left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2" w:space="0" w:color="8E939F"/>
              <w:bottom w:val="single" w:sz="2" w:space="0" w:color="8E939F"/>
            </w:tcBorders>
            <w:shd w:fill="F3F3F9" w:val="clear"/>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185.080</w:t>
            </w:r>
          </w:p>
        </w:tc>
        <w:tc>
          <w:tcPr>
            <w:tcW w:w="327" w:type="dxa"/>
            <w:gridSpan w:val="3"/>
            <w:tcBorders>
              <w:top w:val="single" w:sz="2" w:space="0" w:color="8E939F"/>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184.090</w:t>
            </w:r>
          </w:p>
        </w:tc>
        <w:tc>
          <w:tcPr>
            <w:tcW w:w="327" w:type="dxa"/>
            <w:gridSpan w:val="3"/>
            <w:tcBorders>
              <w:top w:val="single" w:sz="2" w:space="0" w:color="8E939F"/>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1870" w:type="dxa"/>
            <w:gridSpan w:val="3"/>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162.110</w:t>
            </w:r>
          </w:p>
        </w:tc>
        <w:tc>
          <w:tcPr>
            <w:tcW w:w="327" w:type="dxa"/>
            <w:gridSpan w:val="3"/>
            <w:tcBorders>
              <w:top w:val="single" w:sz="2" w:space="0" w:color="8E939F"/>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169.170</w:t>
            </w:r>
          </w:p>
        </w:tc>
      </w:tr>
    </w:tbl>
    <w:p>
      <w:pPr>
        <w:pStyle w:val="TextBody"/>
        <w:bidi w:val="0"/>
        <w:spacing w:lineRule="auto" w:line="288" w:before="0" w:after="0"/>
        <w:jc w:val="left"/>
        <w:rPr>
          <w:rFonts w:ascii="Helvetica Light;sans-serif" w:hAnsi="Helvetica Light;sans-serif"/>
          <w:b w:val="false"/>
          <w:color w:val="000000"/>
          <w:sz w:val="16"/>
        </w:rPr>
      </w:pPr>
      <w:r>
        <w:rPr>
          <w:rFonts w:ascii="Helvetica Light;sans-serif" w:hAnsi="Helvetica Light;sans-serif"/>
          <w:b w:val="false"/>
          <w:color w:val="000000"/>
          <w:sz w:val="16"/>
        </w:rPr>
        <w:t>n.a. = not applicable</w:t>
      </w:r>
    </w:p>
    <w:p>
      <w:pPr>
        <w:pStyle w:val="TextBody"/>
        <w:bidi w:val="0"/>
        <w:spacing w:lineRule="auto" w:line="288" w:before="0" w:after="0"/>
        <w:jc w:val="left"/>
        <w:rPr>
          <w:rFonts w:ascii="Helvetica Light;sans-serif" w:hAnsi="Helvetica Light;sans-serif"/>
          <w:b w:val="false"/>
          <w:color w:val="000000"/>
          <w:sz w:val="16"/>
        </w:rPr>
      </w:pPr>
      <w:r>
        <w:rPr>
          <w:rFonts w:ascii="Helvetica Light;sans-serif" w:hAnsi="Helvetica Light;sans-serif"/>
          <w:b w:val="false"/>
          <w:color w:val="000000"/>
          <w:sz w:val="16"/>
        </w:rPr>
        <w:t xml:space="preserve">(1) From April 1, 2022, Türkiye’s economy was considered to be hyperinflationary. Transactions after January 1, 2022 for entities with the Turkish Lira as the functional currency were translated using the spot rate at the end of the period. The price indices used are published by the Turkish Statistical Institute </w:t>
      </w:r>
    </w:p>
    <w:p>
      <w:pPr>
        <w:pStyle w:val="TextBody"/>
        <w:bidi w:val="0"/>
        <w:spacing w:lineRule="auto" w:line="288" w:before="0" w:after="0"/>
        <w:jc w:val="left"/>
        <w:rPr>
          <w:rFonts w:ascii="Helvetica Light;sans-serif" w:hAnsi="Helvetica Light;sans-serif"/>
          <w:b w:val="false"/>
          <w:color w:val="000000"/>
          <w:sz w:val="16"/>
        </w:rPr>
      </w:pPr>
      <w:r>
        <w:rPr>
          <w:rFonts w:ascii="Helvetica Light;sans-serif" w:hAnsi="Helvetica Light;sans-serif"/>
          <w:b w:val="false"/>
          <w:color w:val="000000"/>
          <w:sz w:val="16"/>
        </w:rPr>
        <w:t>(2) From July 1, 2018, Argentina’s economy was considered to be hyperinflationary. Transactions after July 1, 2018 for entities with the Argentine Peso as the functional currency were translated using the spot rate at the end of the period. The price indices used are published by the Instituto Nacional de Estadistica y Censos de la Republica Argentina</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503555"/>
                <wp:effectExtent l="0" t="0" r="0" b="0"/>
                <wp:wrapNone/>
                <wp:docPr id="81" name="Frame66"/>
                <a:graphic xmlns:a="http://schemas.openxmlformats.org/drawingml/2006/main">
                  <a:graphicData uri="http://schemas.microsoft.com/office/word/2010/wordprocessingShape">
                    <wps:wsp>
                      <wps:cNvSpPr txBox="1"/>
                      <wps:spPr>
                        <a:xfrm>
                          <a:off x="0" y="0"/>
                          <a:ext cx="6480175" cy="5035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62</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62</w:t>
                      </w:r>
                    </w:p>
                    <w:p>
                      <w:pPr>
                        <w:pStyle w:val="TextBody"/>
                        <w:bidi w:val="0"/>
                        <w:spacing w:before="0" w:after="24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88" w:before="0" w:after="240"/>
        <w:jc w:val="left"/>
        <w:rPr/>
      </w:pPr>
      <w:r>
        <w:rPr>
          <w:rFonts w:ascii="Helvetica;sans-serif" w:hAnsi="Helvetica;sans-serif"/>
          <w:b/>
          <w:color w:val="143A84"/>
          <w:sz w:val="20"/>
        </w:rPr>
        <w:t>2. Scope of consolidation</w:t>
      </w:r>
      <w:r>
        <w:rPr>
          <w:color w:val="000000"/>
        </w:rPr>
        <w:t xml:space="preserve"> </w:t>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During the six months ended June 30, 2026, the effects of minor business disposals and minor business combinations were not material.</w:t>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On March 31, 2026, Stellantis exited its joint venture with NextStar Energy Inc (“NextStar”). The investment had been classified as held for sale and fully written down in 2025, and the exit had no material financial impact in 2026.</w:t>
      </w:r>
    </w:p>
    <w:p>
      <w:pPr>
        <w:pStyle w:val="TextBody"/>
        <w:bidi w:val="0"/>
        <w:spacing w:lineRule="auto" w:line="343" w:before="0" w:after="240"/>
        <w:jc w:val="left"/>
        <w:rPr/>
      </w:pPr>
      <w:r>
        <w:rPr>
          <w:rFonts w:ascii="Helvetica Light;sans-serif" w:hAnsi="Helvetica Light;sans-serif"/>
          <w:b w:val="false"/>
          <w:color w:val="000000"/>
          <w:sz w:val="20"/>
        </w:rPr>
        <w:t xml:space="preserve">In June 2026, Stellantis concluded, in accordance with IAS 28 - </w:t>
      </w:r>
      <w:r>
        <w:rPr>
          <w:rFonts w:ascii="Helvetica Light;sans-serif" w:hAnsi="Helvetica Light;sans-serif"/>
          <w:b w:val="false"/>
          <w:i/>
          <w:color w:val="000000"/>
          <w:sz w:val="20"/>
        </w:rPr>
        <w:t xml:space="preserve">Investments in Associates and Joint Ventures, </w:t>
      </w:r>
      <w:r>
        <w:rPr>
          <w:rFonts w:ascii="Helvetica Light;sans-serif" w:hAnsi="Helvetica Light;sans-serif"/>
          <w:b w:val="false"/>
          <w:color w:val="000000"/>
          <w:sz w:val="20"/>
        </w:rPr>
        <w:t>that it ceased to have significant influence over Archer Aviation Inc. (“Archer”) due to the loss of board representation rights, as Stellantis’ shareholding was no longer sufficient to nominate a director at the June 2026 shareholder meeting.</w:t>
      </w:r>
    </w:p>
    <w:p>
      <w:pPr>
        <w:pStyle w:val="TextBody"/>
        <w:bidi w:val="0"/>
        <w:spacing w:lineRule="auto" w:line="343" w:before="0" w:after="240"/>
        <w:jc w:val="left"/>
        <w:rPr/>
      </w:pPr>
      <w:r>
        <w:rPr>
          <w:rFonts w:ascii="Helvetica Light;sans-serif" w:hAnsi="Helvetica Light;sans-serif"/>
          <w:b w:val="false"/>
          <w:color w:val="000000"/>
          <w:sz w:val="20"/>
        </w:rPr>
        <w:t>Following the loss of significant influence, Stellantis discontinued the application of the equity method and derecognized its investment in Archer as an associate at that date. The retained interest was remeasured at fair value on the date significant influence was lost, and this amount was recognized as the initial carrying value of a financial asset in accordance with IFRS 9</w:t>
      </w:r>
      <w:r>
        <w:rPr>
          <w:color w:val="000000"/>
        </w:rPr>
        <w:t xml:space="preserve"> </w:t>
      </w:r>
      <w:r>
        <w:rPr>
          <w:rFonts w:ascii="Helvetica Light;sans-serif" w:hAnsi="Helvetica Light;sans-serif"/>
          <w:b w:val="false"/>
          <w:i/>
          <w:color w:val="000000"/>
          <w:sz w:val="20"/>
        </w:rPr>
        <w:t>- Financial Instruments</w:t>
      </w:r>
      <w:r>
        <w:rPr>
          <w:rFonts w:ascii="Helvetica Light;sans-serif" w:hAnsi="Helvetica Light;sans-serif"/>
          <w:b w:val="false"/>
          <w:color w:val="000000"/>
          <w:sz w:val="20"/>
        </w:rPr>
        <w:t>.</w:t>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The resulting gain of €49 million, representing the difference between (i) the carrying amount of the equity-accounted investment and (ii) the fair value of the retained interest, together with the reclassification of amounts previously recognized in other comprehensive income, was recognized in the Interim Condensed Consolidated Income Statement within Gains/(losses) on disposal of investments for the six months ended June 30, 2026.</w:t>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Stellantis has elected to present subsequent changes in the fair value of the retained interest in Archer in Other comprehensive income. Archer shares are accounted for as equity instruments and presented as non-current financial assets in the Condensed Consolidated Statement of Financial Position.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Helvetica;sans-serif" w:hAnsi="Helvetica;sans-serif"/>
          <w:b/>
          <w:color w:val="143A84"/>
          <w:sz w:val="20"/>
        </w:rPr>
      </w:pPr>
      <w:r>
        <w:rPr>
          <w:rFonts w:ascii="Helvetica;sans-serif" w:hAnsi="Helvetica;sans-serif"/>
          <w:b/>
          <w:color w:val="143A84"/>
          <w:sz w:val="20"/>
        </w:rPr>
        <w:t xml:space="preserve">3. Net revenues </w:t>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Net revenues were as follows:</w:t>
      </w:r>
    </w:p>
    <w:tbl>
      <w:tblPr>
        <w:tblW w:w="10205" w:type="dxa"/>
        <w:jc w:val="left"/>
        <w:tblInd w:w="0" w:type="dxa"/>
        <w:tblLayout w:type="fixed"/>
        <w:tblCellMar>
          <w:top w:w="28" w:type="dxa"/>
          <w:left w:w="28" w:type="dxa"/>
          <w:bottom w:w="28" w:type="dxa"/>
          <w:right w:w="28" w:type="dxa"/>
        </w:tblCellMar>
      </w:tblPr>
      <w:tblGrid>
        <w:gridCol w:w="1603"/>
        <w:gridCol w:w="1375"/>
        <w:gridCol w:w="1391"/>
        <w:gridCol w:w="503"/>
        <w:gridCol w:w="278"/>
        <w:gridCol w:w="250"/>
        <w:gridCol w:w="250"/>
        <w:gridCol w:w="250"/>
        <w:gridCol w:w="250"/>
        <w:gridCol w:w="503"/>
        <w:gridCol w:w="278"/>
        <w:gridCol w:w="250"/>
        <w:gridCol w:w="109"/>
        <w:gridCol w:w="109"/>
        <w:gridCol w:w="109"/>
        <w:gridCol w:w="456"/>
        <w:gridCol w:w="280"/>
        <w:gridCol w:w="225"/>
        <w:gridCol w:w="225"/>
        <w:gridCol w:w="225"/>
        <w:gridCol w:w="225"/>
        <w:gridCol w:w="456"/>
        <w:gridCol w:w="280"/>
        <w:gridCol w:w="325"/>
      </w:tblGrid>
      <w:tr>
        <w:trPr/>
        <w:tc>
          <w:tcPr>
            <w:tcW w:w="1603"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r>
      <w:tr>
        <w:trPr/>
        <w:tc>
          <w:tcPr>
            <w:tcW w:w="4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Six months ended June 30,</w:t>
            </w:r>
          </w:p>
        </w:tc>
      </w:tr>
      <w:tr>
        <w:trPr/>
        <w:tc>
          <w:tcPr>
            <w:tcW w:w="4369"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Helvetica;sans-serif" w:hAnsi="Helvetica;sans-serif"/>
                <w:b w:val="false"/>
                <w:i/>
                <w:color w:val="000000"/>
                <w:sz w:val="16"/>
              </w:rPr>
            </w:pPr>
            <w:r>
              <w:rPr>
                <w:rFonts w:ascii="Helvetica;sans-serif" w:hAnsi="Helvetica;sans-serif"/>
                <w:b w:val="false"/>
                <w:i/>
                <w:color w:val="000000"/>
                <w:sz w:val="16"/>
              </w:rPr>
              <w:t>(€ million)</w:t>
            </w:r>
          </w:p>
        </w:tc>
        <w:tc>
          <w:tcPr>
            <w:tcW w:w="1031"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2026</w:t>
            </w:r>
          </w:p>
        </w:tc>
        <w:tc>
          <w:tcPr>
            <w:tcW w:w="750"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2025</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2026</w:t>
            </w:r>
          </w:p>
        </w:tc>
        <w:tc>
          <w:tcPr>
            <w:tcW w:w="675"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2025</w:t>
            </w:r>
          </w:p>
        </w:tc>
      </w:tr>
      <w:tr>
        <w:trPr/>
        <w:tc>
          <w:tcPr>
            <w:tcW w:w="4369" w:type="dxa"/>
            <w:gridSpan w:val="3"/>
            <w:tcBorders>
              <w:top w:val="single" w:sz="2" w:space="0" w:color="143A84"/>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Revenues from:</w:t>
            </w:r>
          </w:p>
        </w:tc>
        <w:tc>
          <w:tcPr>
            <w:tcW w:w="1031" w:type="dxa"/>
            <w:gridSpan w:val="3"/>
            <w:tcBorders>
              <w:top w:val="single" w:sz="2" w:space="0" w:color="143A84"/>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2" w:space="0" w:color="143A84"/>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9"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Shipments of vehicles and sales of other goods</w:t>
            </w:r>
          </w:p>
        </w:tc>
        <w:tc>
          <w:tcPr>
            <w:tcW w:w="781"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41,101 </w:t>
            </w:r>
          </w:p>
        </w:tc>
        <w:tc>
          <w:tcPr>
            <w:tcW w:w="250"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36,473 </w:t>
            </w:r>
          </w:p>
        </w:tc>
        <w:tc>
          <w:tcPr>
            <w:tcW w:w="250"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77,165 </w:t>
            </w:r>
          </w:p>
        </w:tc>
        <w:tc>
          <w:tcPr>
            <w:tcW w:w="225"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70,590 </w:t>
            </w:r>
          </w:p>
        </w:tc>
        <w:tc>
          <w:tcPr>
            <w:tcW w:w="325"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9"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Other services provided</w:t>
            </w:r>
          </w:p>
        </w:tc>
        <w:tc>
          <w:tcPr>
            <w:tcW w:w="781"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1,398 </w:t>
            </w:r>
          </w:p>
        </w:tc>
        <w:tc>
          <w:tcPr>
            <w:tcW w:w="250"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1,247 </w:t>
            </w:r>
          </w:p>
        </w:tc>
        <w:tc>
          <w:tcPr>
            <w:tcW w:w="250"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2,705 </w:t>
            </w:r>
          </w:p>
        </w:tc>
        <w:tc>
          <w:tcPr>
            <w:tcW w:w="225"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2,426 </w:t>
            </w:r>
          </w:p>
        </w:tc>
        <w:tc>
          <w:tcPr>
            <w:tcW w:w="325"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9"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c>
          <w:tcPr>
            <w:tcW w:w="750"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675"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r>
      <w:tr>
        <w:trPr/>
        <w:tc>
          <w:tcPr>
            <w:tcW w:w="4369"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Lease installments from assets sold with a buyback commitment</w:t>
            </w:r>
          </w:p>
        </w:tc>
        <w:tc>
          <w:tcPr>
            <w:tcW w:w="781"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167 </w:t>
            </w:r>
          </w:p>
        </w:tc>
        <w:tc>
          <w:tcPr>
            <w:tcW w:w="250"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185 </w:t>
            </w:r>
          </w:p>
        </w:tc>
        <w:tc>
          <w:tcPr>
            <w:tcW w:w="250"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311 </w:t>
            </w:r>
          </w:p>
        </w:tc>
        <w:tc>
          <w:tcPr>
            <w:tcW w:w="225"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359 </w:t>
            </w:r>
          </w:p>
        </w:tc>
        <w:tc>
          <w:tcPr>
            <w:tcW w:w="325"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9"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Interest income of financial services activities</w:t>
            </w:r>
          </w:p>
        </w:tc>
        <w:tc>
          <w:tcPr>
            <w:tcW w:w="781"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816 </w:t>
            </w:r>
          </w:p>
        </w:tc>
        <w:tc>
          <w:tcPr>
            <w:tcW w:w="250"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543 </w:t>
            </w:r>
          </w:p>
        </w:tc>
        <w:tc>
          <w:tcPr>
            <w:tcW w:w="250"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1,433 </w:t>
            </w:r>
          </w:p>
        </w:tc>
        <w:tc>
          <w:tcPr>
            <w:tcW w:w="225"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886 </w:t>
            </w:r>
          </w:p>
        </w:tc>
        <w:tc>
          <w:tcPr>
            <w:tcW w:w="325"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9" w:type="dxa"/>
            <w:gridSpan w:val="3"/>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color w:val="243782"/>
                <w:sz w:val="18"/>
              </w:rPr>
            </w:pPr>
            <w:r>
              <w:rPr>
                <w:rFonts w:ascii="Helvetica;sans-serif" w:hAnsi="Helvetica;sans-serif"/>
                <w:b/>
                <w:color w:val="243782"/>
                <w:sz w:val="18"/>
              </w:rPr>
              <w:t>Total Net revenues</w:t>
            </w:r>
          </w:p>
        </w:tc>
        <w:tc>
          <w:tcPr>
            <w:tcW w:w="781" w:type="dxa"/>
            <w:gridSpan w:val="2"/>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8"/>
              </w:rPr>
              <w:t>43,482</w:t>
            </w:r>
            <w:r>
              <w:rPr>
                <w:color w:val="243782"/>
              </w:rPr>
              <w:t> </w:t>
            </w:r>
          </w:p>
        </w:tc>
        <w:tc>
          <w:tcPr>
            <w:tcW w:w="250" w:type="dxa"/>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op w:val="single" w:sz="2" w:space="0" w:color="8E939F"/>
              <w:bottom w:val="single" w:sz="2" w:space="0" w:color="8E939F"/>
            </w:tcBorders>
            <w:shd w:fill="E6E7F4" w:val="clear"/>
            <w:tcMar>
              <w:left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8"/>
              </w:rPr>
              <w:t>38,448</w:t>
            </w:r>
            <w:r>
              <w:rPr>
                <w:color w:val="243782"/>
              </w:rPr>
              <w:t> </w:t>
            </w:r>
          </w:p>
        </w:tc>
        <w:tc>
          <w:tcPr>
            <w:tcW w:w="250" w:type="dxa"/>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bottom w:val="single" w:sz="2" w:space="0" w:color="8E939F"/>
            </w:tcBorders>
            <w:shd w:fill="E6E7F4" w:val="clear"/>
            <w:tcMar>
              <w:left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8"/>
              </w:rPr>
              <w:t>81,614</w:t>
            </w:r>
            <w:r>
              <w:rPr>
                <w:color w:val="243782"/>
              </w:rPr>
              <w:t> </w:t>
            </w:r>
          </w:p>
        </w:tc>
        <w:tc>
          <w:tcPr>
            <w:tcW w:w="225" w:type="dxa"/>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op w:val="single" w:sz="2" w:space="0" w:color="8E939F"/>
              <w:bottom w:val="single" w:sz="2" w:space="0" w:color="8E939F"/>
            </w:tcBorders>
            <w:shd w:fill="E6E7F4" w:val="clear"/>
            <w:tcMar>
              <w:left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8"/>
              </w:rPr>
              <w:t>74,261</w:t>
            </w:r>
            <w:r>
              <w:rPr>
                <w:color w:val="243782"/>
              </w:rPr>
              <w:t> </w:t>
            </w:r>
          </w:p>
        </w:tc>
        <w:tc>
          <w:tcPr>
            <w:tcW w:w="325" w:type="dxa"/>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503555"/>
                <wp:effectExtent l="0" t="0" r="0" b="0"/>
                <wp:wrapNone/>
                <wp:docPr id="82" name="Frame67"/>
                <a:graphic xmlns:a="http://schemas.openxmlformats.org/drawingml/2006/main">
                  <a:graphicData uri="http://schemas.microsoft.com/office/word/2010/wordprocessingShape">
                    <wps:wsp>
                      <wps:cNvSpPr txBox="1"/>
                      <wps:spPr>
                        <a:xfrm>
                          <a:off x="0" y="0"/>
                          <a:ext cx="6480175" cy="5035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63</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63</w:t>
                      </w:r>
                    </w:p>
                    <w:p>
                      <w:pPr>
                        <w:pStyle w:val="TextBody"/>
                        <w:bidi w:val="0"/>
                        <w:spacing w:before="0" w:after="24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tbl>
      <w:tblPr>
        <w:tblW w:w="10205" w:type="dxa"/>
        <w:jc w:val="center"/>
        <w:tblInd w:w="0" w:type="dxa"/>
        <w:tblLayout w:type="fixed"/>
        <w:tblCellMar>
          <w:top w:w="28" w:type="dxa"/>
          <w:left w:w="28" w:type="dxa"/>
          <w:bottom w:w="28" w:type="dxa"/>
          <w:right w:w="28" w:type="dxa"/>
        </w:tblCellMar>
      </w:tblPr>
      <w:tblGrid>
        <w:gridCol w:w="722"/>
        <w:gridCol w:w="434"/>
        <w:gridCol w:w="437"/>
        <w:gridCol w:w="109"/>
        <w:gridCol w:w="109"/>
        <w:gridCol w:w="109"/>
        <w:gridCol w:w="411"/>
        <w:gridCol w:w="275"/>
        <w:gridCol w:w="276"/>
        <w:gridCol w:w="109"/>
        <w:gridCol w:w="109"/>
        <w:gridCol w:w="109"/>
        <w:gridCol w:w="403"/>
        <w:gridCol w:w="301"/>
        <w:gridCol w:w="302"/>
        <w:gridCol w:w="109"/>
        <w:gridCol w:w="109"/>
        <w:gridCol w:w="109"/>
        <w:gridCol w:w="362"/>
        <w:gridCol w:w="293"/>
        <w:gridCol w:w="294"/>
        <w:gridCol w:w="109"/>
        <w:gridCol w:w="109"/>
        <w:gridCol w:w="109"/>
        <w:gridCol w:w="336"/>
        <w:gridCol w:w="276"/>
        <w:gridCol w:w="277"/>
        <w:gridCol w:w="109"/>
        <w:gridCol w:w="109"/>
        <w:gridCol w:w="109"/>
        <w:gridCol w:w="243"/>
        <w:gridCol w:w="229"/>
        <w:gridCol w:w="230"/>
        <w:gridCol w:w="109"/>
        <w:gridCol w:w="109"/>
        <w:gridCol w:w="109"/>
        <w:gridCol w:w="321"/>
        <w:gridCol w:w="295"/>
        <w:gridCol w:w="296"/>
        <w:gridCol w:w="109"/>
        <w:gridCol w:w="109"/>
        <w:gridCol w:w="109"/>
        <w:gridCol w:w="330"/>
        <w:gridCol w:w="331"/>
        <w:gridCol w:w="242"/>
      </w:tblGrid>
      <w:tr>
        <w:trPr/>
        <w:tc>
          <w:tcPr>
            <w:tcW w:w="722"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159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6"/>
              </w:rPr>
            </w:pPr>
            <w:r>
              <w:rPr>
                <w:rFonts w:ascii="Helvetica;sans-serif" w:hAnsi="Helvetica;sans-serif"/>
                <w:b/>
                <w:color w:val="243782"/>
                <w:sz w:val="16"/>
              </w:rPr>
              <w:t>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6"/>
              </w:rPr>
            </w:pPr>
            <w:r>
              <w:rPr>
                <w:rFonts w:ascii="Helvetica;sans-serif" w:hAnsi="Helvetica;sans-serif"/>
                <w:b/>
                <w:color w:val="243782"/>
                <w:sz w:val="16"/>
              </w:rPr>
              <w:t>North America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6"/>
              </w:rPr>
            </w:pPr>
            <w:r>
              <w:rPr>
                <w:rFonts w:ascii="Helvetica;sans-serif" w:hAnsi="Helvetica;sans-serif"/>
                <w:b/>
                <w:color w:val="243782"/>
                <w:sz w:val="16"/>
              </w:rPr>
              <w:t>Enlarged Europe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6"/>
              </w:rPr>
            </w:pPr>
            <w:r>
              <w:rPr>
                <w:rFonts w:ascii="Helvetica;sans-serif" w:hAnsi="Helvetica;sans-serif"/>
                <w:b/>
                <w:color w:val="243782"/>
                <w:sz w:val="16"/>
              </w:rPr>
              <w:t>Middle East &amp; Africa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6"/>
              </w:rPr>
            </w:pPr>
            <w:r>
              <w:rPr>
                <w:rFonts w:ascii="Helvetica;sans-serif" w:hAnsi="Helvetica;sans-serif"/>
                <w:b/>
                <w:color w:val="243782"/>
                <w:sz w:val="16"/>
              </w:rPr>
              <w:t>South America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243782"/>
                <w:sz w:val="16"/>
              </w:rPr>
            </w:pPr>
            <w:r>
              <w:rPr>
                <w:rFonts w:ascii="Helvetica;sans-serif" w:hAnsi="Helvetica;sans-serif"/>
                <w:b/>
                <w:color w:val="243782"/>
                <w:sz w:val="16"/>
              </w:rPr>
              <w:t>Asia Pacific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6"/>
              </w:rPr>
            </w:pPr>
            <w:r>
              <w:rPr>
                <w:rFonts w:ascii="Helvetica;sans-serif" w:hAnsi="Helvetica;sans-serif"/>
                <w:b/>
                <w:color w:val="243782"/>
                <w:sz w:val="16"/>
              </w:rPr>
              <w:t>Other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6"/>
              </w:rPr>
            </w:pPr>
            <w:r>
              <w:rPr>
                <w:rFonts w:ascii="Helvetica;sans-serif" w:hAnsi="Helvetica;sans-serif"/>
                <w:b/>
                <w:color w:val="243782"/>
                <w:sz w:val="16"/>
              </w:rPr>
              <w:t>Total</w:t>
            </w:r>
          </w:p>
        </w:tc>
      </w:tr>
      <w:tr>
        <w:trPr/>
        <w:tc>
          <w:tcPr>
            <w:tcW w:w="1593" w:type="dxa"/>
            <w:gridSpan w:val="3"/>
            <w:tcBorders>
              <w:top w:val="single" w:sz="2" w:space="0" w:color="143A84"/>
            </w:tcBorders>
            <w:tcMar>
              <w:top w:w="52" w:type="dxa"/>
              <w:left w:w="0" w:type="dxa"/>
              <w:bottom w:w="0" w:type="dxa"/>
              <w:right w:w="0" w:type="dxa"/>
            </w:tcMar>
            <w:vAlign w:val="center"/>
          </w:tcPr>
          <w:p>
            <w:pPr>
              <w:pStyle w:val="TableContents"/>
              <w:bidi w:val="0"/>
              <w:spacing w:lineRule="auto" w:line="288" w:before="0" w:after="240"/>
              <w:jc w:val="left"/>
              <w:rPr>
                <w:rFonts w:ascii="Helvetica;sans-serif" w:hAnsi="Helvetica;sans-serif"/>
                <w:b w:val="false"/>
                <w:i/>
                <w:color w:val="000000"/>
                <w:sz w:val="14"/>
              </w:rPr>
            </w:pPr>
            <w:r>
              <w:rPr>
                <w:rFonts w:ascii="Helvetica;sans-serif" w:hAnsi="Helvetica;sans-serif"/>
                <w:b w:val="false"/>
                <w:i/>
                <w:color w:val="000000"/>
                <w:sz w:val="14"/>
              </w:rPr>
              <w:t>(€ million)</w:t>
            </w:r>
          </w:p>
        </w:tc>
        <w:tc>
          <w:tcPr>
            <w:tcW w:w="327"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3"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Revenues from:</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3"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Shipments of vehicles and sales of other goods</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17,866 </w:t>
            </w:r>
          </w:p>
        </w:tc>
        <w:tc>
          <w:tcPr>
            <w:tcW w:w="27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15,916 </w:t>
            </w:r>
          </w:p>
        </w:tc>
        <w:tc>
          <w:tcPr>
            <w:tcW w:w="302"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2,545 </w:t>
            </w:r>
          </w:p>
        </w:tc>
        <w:tc>
          <w:tcPr>
            <w:tcW w:w="294"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4,209 </w:t>
            </w:r>
          </w:p>
        </w:tc>
        <w:tc>
          <w:tcPr>
            <w:tcW w:w="277"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486 </w:t>
            </w:r>
          </w:p>
        </w:tc>
        <w:tc>
          <w:tcPr>
            <w:tcW w:w="230"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79 </w:t>
            </w:r>
          </w:p>
        </w:tc>
        <w:tc>
          <w:tcPr>
            <w:tcW w:w="29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4" w:space="0" w:color="B6B6B6"/>
            </w:tcBorders>
            <w:shd w:fill="E6E7F4"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6"/>
              </w:rPr>
              <w:t>41,101</w:t>
            </w:r>
            <w:r>
              <w:rPr>
                <w:color w:val="243782"/>
              </w:rPr>
              <w:t> </w:t>
            </w:r>
          </w:p>
        </w:tc>
        <w:tc>
          <w:tcPr>
            <w:tcW w:w="242" w:type="dxa"/>
            <w:tcBorders>
              <w:top w:val="single" w:sz="4" w:space="0" w:color="B6B6B6"/>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3"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Other services provided</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327 </w:t>
            </w:r>
          </w:p>
        </w:tc>
        <w:tc>
          <w:tcPr>
            <w:tcW w:w="27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340 </w:t>
            </w:r>
          </w:p>
        </w:tc>
        <w:tc>
          <w:tcPr>
            <w:tcW w:w="302"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21 </w:t>
            </w:r>
          </w:p>
        </w:tc>
        <w:tc>
          <w:tcPr>
            <w:tcW w:w="294"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85 </w:t>
            </w:r>
          </w:p>
        </w:tc>
        <w:tc>
          <w:tcPr>
            <w:tcW w:w="277"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13 </w:t>
            </w:r>
          </w:p>
        </w:tc>
        <w:tc>
          <w:tcPr>
            <w:tcW w:w="230"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612 </w:t>
            </w:r>
          </w:p>
        </w:tc>
        <w:tc>
          <w:tcPr>
            <w:tcW w:w="29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6"/>
              </w:rPr>
              <w:t>1,398</w:t>
            </w:r>
            <w:r>
              <w:rPr>
                <w:color w:val="243782"/>
              </w:rPr>
              <w:t> </w:t>
            </w:r>
          </w:p>
        </w:tc>
        <w:tc>
          <w:tcPr>
            <w:tcW w:w="242"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r>
      <w:tr>
        <w:trPr/>
        <w:tc>
          <w:tcPr>
            <w:tcW w:w="1593" w:type="dxa"/>
            <w:gridSpan w:val="3"/>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243782"/>
                <w:sz w:val="16"/>
              </w:rPr>
            </w:pPr>
            <w:r>
              <w:rPr>
                <w:rFonts w:ascii="Helvetica;sans-serif" w:hAnsi="Helvetica;sans-serif"/>
                <w:b/>
                <w:color w:val="243782"/>
                <w:sz w:val="16"/>
              </w:rPr>
              <w:t>Revenues from goods and services</w:t>
            </w:r>
          </w:p>
        </w:tc>
        <w:tc>
          <w:tcPr>
            <w:tcW w:w="327" w:type="dxa"/>
            <w:gridSpan w:val="3"/>
            <w:tcBorders>
              <w:top w:val="single" w:sz="2" w:space="0" w:color="8E939F"/>
            </w:tcBorders>
            <w:shd w:fill="E6E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6"/>
              </w:rPr>
              <w:t>18,193</w:t>
            </w:r>
            <w:r>
              <w:rPr>
                <w:color w:val="243782"/>
              </w:rPr>
              <w:t> </w:t>
            </w:r>
          </w:p>
        </w:tc>
        <w:tc>
          <w:tcPr>
            <w:tcW w:w="276"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E6E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6"/>
              </w:rPr>
              <w:t>16,256</w:t>
            </w:r>
            <w:r>
              <w:rPr>
                <w:color w:val="243782"/>
              </w:rPr>
              <w:t> </w:t>
            </w:r>
          </w:p>
        </w:tc>
        <w:tc>
          <w:tcPr>
            <w:tcW w:w="302"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E6E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6"/>
              </w:rPr>
              <w:t>2,566</w:t>
            </w:r>
            <w:r>
              <w:rPr>
                <w:color w:val="243782"/>
              </w:rPr>
              <w:t> </w:t>
            </w:r>
          </w:p>
        </w:tc>
        <w:tc>
          <w:tcPr>
            <w:tcW w:w="294"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E6E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6"/>
              </w:rPr>
              <w:t>4,294</w:t>
            </w:r>
            <w:r>
              <w:rPr>
                <w:color w:val="243782"/>
              </w:rPr>
              <w:t> </w:t>
            </w:r>
          </w:p>
        </w:tc>
        <w:tc>
          <w:tcPr>
            <w:tcW w:w="277"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E6E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6"/>
              </w:rPr>
              <w:t>499</w:t>
            </w:r>
            <w:r>
              <w:rPr>
                <w:color w:val="243782"/>
              </w:rPr>
              <w:t> </w:t>
            </w:r>
          </w:p>
        </w:tc>
        <w:tc>
          <w:tcPr>
            <w:tcW w:w="230"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E6E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6"/>
              </w:rPr>
              <w:t>691</w:t>
            </w:r>
            <w:r>
              <w:rPr>
                <w:color w:val="243782"/>
              </w:rPr>
              <w:t> </w:t>
            </w:r>
          </w:p>
        </w:tc>
        <w:tc>
          <w:tcPr>
            <w:tcW w:w="296"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E6E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6"/>
              </w:rPr>
              <w:t>42,499</w:t>
            </w:r>
            <w:r>
              <w:rPr>
                <w:color w:val="243782"/>
              </w:rPr>
              <w:t> </w:t>
            </w:r>
          </w:p>
        </w:tc>
        <w:tc>
          <w:tcPr>
            <w:tcW w:w="242"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3"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2" w:space="0" w:color="8E939F"/>
            </w:tcBorders>
            <w:shd w:fill="E6E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3"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Lease installments from assets sold with a buy-back commitment</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167 </w:t>
            </w:r>
          </w:p>
        </w:tc>
        <w:tc>
          <w:tcPr>
            <w:tcW w:w="302"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4"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7"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0"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6"/>
              </w:rPr>
              <w:t>167</w:t>
            </w:r>
            <w:r>
              <w:rPr>
                <w:color w:val="243782"/>
              </w:rPr>
              <w:t> </w:t>
            </w:r>
          </w:p>
        </w:tc>
        <w:tc>
          <w:tcPr>
            <w:tcW w:w="242"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3"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Interest income from financial services activities</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2"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4"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7"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0"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816 </w:t>
            </w:r>
          </w:p>
        </w:tc>
        <w:tc>
          <w:tcPr>
            <w:tcW w:w="29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6"/>
              </w:rPr>
              <w:t>816</w:t>
            </w:r>
            <w:r>
              <w:rPr>
                <w:color w:val="243782"/>
              </w:rPr>
              <w:t> </w:t>
            </w:r>
          </w:p>
        </w:tc>
        <w:tc>
          <w:tcPr>
            <w:tcW w:w="242"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3" w:type="dxa"/>
            <w:gridSpan w:val="3"/>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color w:val="243782"/>
                <w:sz w:val="16"/>
              </w:rPr>
            </w:pPr>
            <w:r>
              <w:rPr>
                <w:rFonts w:ascii="Helvetica;sans-serif" w:hAnsi="Helvetica;sans-serif"/>
                <w:b/>
                <w:color w:val="243782"/>
                <w:sz w:val="16"/>
              </w:rPr>
              <w:t>Total Net revenues</w:t>
            </w:r>
          </w:p>
        </w:tc>
        <w:tc>
          <w:tcPr>
            <w:tcW w:w="327" w:type="dxa"/>
            <w:gridSpan w:val="3"/>
            <w:tcBorders>
              <w:top w:val="single" w:sz="2" w:space="0" w:color="8E939F"/>
              <w:bottom w:val="single" w:sz="2" w:space="0" w:color="8E939F"/>
            </w:tcBorders>
            <w:shd w:fill="E6E7F4" w:val="clear"/>
            <w:tcMar>
              <w:left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6"/>
              </w:rPr>
              <w:t>18,193</w:t>
            </w:r>
            <w:r>
              <w:rPr>
                <w:color w:val="243782"/>
              </w:rPr>
              <w:t> </w:t>
            </w:r>
          </w:p>
        </w:tc>
        <w:tc>
          <w:tcPr>
            <w:tcW w:w="276" w:type="dxa"/>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bottom w:val="single" w:sz="2" w:space="0" w:color="8E939F"/>
            </w:tcBorders>
            <w:shd w:fill="E6E7F4" w:val="clear"/>
            <w:tcMar>
              <w:left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6"/>
              </w:rPr>
              <w:t>16,423</w:t>
            </w:r>
            <w:r>
              <w:rPr>
                <w:color w:val="243782"/>
              </w:rPr>
              <w:t> </w:t>
            </w:r>
          </w:p>
        </w:tc>
        <w:tc>
          <w:tcPr>
            <w:tcW w:w="302" w:type="dxa"/>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bottom w:val="single" w:sz="2" w:space="0" w:color="8E939F"/>
            </w:tcBorders>
            <w:shd w:fill="E6E7F4" w:val="clear"/>
            <w:tcMar>
              <w:left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6"/>
              </w:rPr>
              <w:t>2,566</w:t>
            </w:r>
            <w:r>
              <w:rPr>
                <w:color w:val="243782"/>
              </w:rPr>
              <w:t> </w:t>
            </w:r>
          </w:p>
        </w:tc>
        <w:tc>
          <w:tcPr>
            <w:tcW w:w="294" w:type="dxa"/>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bottom w:val="single" w:sz="2" w:space="0" w:color="8E939F"/>
            </w:tcBorders>
            <w:shd w:fill="E6E7F4" w:val="clear"/>
            <w:tcMar>
              <w:left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6"/>
              </w:rPr>
              <w:t>4,294</w:t>
            </w:r>
            <w:r>
              <w:rPr>
                <w:color w:val="243782"/>
              </w:rPr>
              <w:t> </w:t>
            </w:r>
          </w:p>
        </w:tc>
        <w:tc>
          <w:tcPr>
            <w:tcW w:w="277" w:type="dxa"/>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bottom w:val="single" w:sz="2" w:space="0" w:color="8E939F"/>
            </w:tcBorders>
            <w:shd w:fill="E6E7F4" w:val="clear"/>
            <w:tcMar>
              <w:left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6"/>
              </w:rPr>
              <w:t>499</w:t>
            </w:r>
            <w:r>
              <w:rPr>
                <w:color w:val="243782"/>
              </w:rPr>
              <w:t> </w:t>
            </w:r>
          </w:p>
        </w:tc>
        <w:tc>
          <w:tcPr>
            <w:tcW w:w="230" w:type="dxa"/>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bottom w:val="single" w:sz="2" w:space="0" w:color="8E939F"/>
            </w:tcBorders>
            <w:shd w:fill="E6E7F4" w:val="clear"/>
            <w:tcMar>
              <w:left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6"/>
              </w:rPr>
              <w:t>1,507</w:t>
            </w:r>
            <w:r>
              <w:rPr>
                <w:color w:val="243782"/>
              </w:rPr>
              <w:t> </w:t>
            </w:r>
          </w:p>
        </w:tc>
        <w:tc>
          <w:tcPr>
            <w:tcW w:w="296" w:type="dxa"/>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bottom w:val="single" w:sz="2" w:space="0" w:color="8E939F"/>
            </w:tcBorders>
            <w:shd w:fill="E6E7F4" w:val="clear"/>
            <w:tcMar>
              <w:left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6"/>
              </w:rPr>
              <w:t>43,482</w:t>
            </w:r>
            <w:r>
              <w:rPr>
                <w:color w:val="243782"/>
              </w:rPr>
              <w:t> </w:t>
            </w:r>
          </w:p>
        </w:tc>
        <w:tc>
          <w:tcPr>
            <w:tcW w:w="242" w:type="dxa"/>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722"/>
        <w:gridCol w:w="434"/>
        <w:gridCol w:w="437"/>
        <w:gridCol w:w="109"/>
        <w:gridCol w:w="109"/>
        <w:gridCol w:w="109"/>
        <w:gridCol w:w="411"/>
        <w:gridCol w:w="275"/>
        <w:gridCol w:w="276"/>
        <w:gridCol w:w="109"/>
        <w:gridCol w:w="109"/>
        <w:gridCol w:w="109"/>
        <w:gridCol w:w="403"/>
        <w:gridCol w:w="301"/>
        <w:gridCol w:w="302"/>
        <w:gridCol w:w="109"/>
        <w:gridCol w:w="109"/>
        <w:gridCol w:w="109"/>
        <w:gridCol w:w="362"/>
        <w:gridCol w:w="293"/>
        <w:gridCol w:w="294"/>
        <w:gridCol w:w="109"/>
        <w:gridCol w:w="109"/>
        <w:gridCol w:w="109"/>
        <w:gridCol w:w="336"/>
        <w:gridCol w:w="276"/>
        <w:gridCol w:w="277"/>
        <w:gridCol w:w="109"/>
        <w:gridCol w:w="109"/>
        <w:gridCol w:w="109"/>
        <w:gridCol w:w="243"/>
        <w:gridCol w:w="229"/>
        <w:gridCol w:w="230"/>
        <w:gridCol w:w="109"/>
        <w:gridCol w:w="109"/>
        <w:gridCol w:w="109"/>
        <w:gridCol w:w="321"/>
        <w:gridCol w:w="295"/>
        <w:gridCol w:w="296"/>
        <w:gridCol w:w="109"/>
        <w:gridCol w:w="109"/>
        <w:gridCol w:w="109"/>
        <w:gridCol w:w="330"/>
        <w:gridCol w:w="331"/>
        <w:gridCol w:w="242"/>
      </w:tblGrid>
      <w:tr>
        <w:trPr/>
        <w:tc>
          <w:tcPr>
            <w:tcW w:w="722"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159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6"/>
              </w:rPr>
            </w:pPr>
            <w:r>
              <w:rPr>
                <w:rFonts w:ascii="Helvetica;sans-serif" w:hAnsi="Helvetica;sans-serif"/>
                <w:b/>
                <w:color w:val="243782"/>
                <w:sz w:val="16"/>
              </w:rPr>
              <w:t>Three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6"/>
              </w:rPr>
            </w:pPr>
            <w:r>
              <w:rPr>
                <w:rFonts w:ascii="Helvetica;sans-serif" w:hAnsi="Helvetica;sans-serif"/>
                <w:b/>
                <w:color w:val="243782"/>
                <w:sz w:val="16"/>
              </w:rPr>
              <w:t>North America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6"/>
              </w:rPr>
            </w:pPr>
            <w:r>
              <w:rPr>
                <w:rFonts w:ascii="Helvetica;sans-serif" w:hAnsi="Helvetica;sans-serif"/>
                <w:b/>
                <w:color w:val="243782"/>
                <w:sz w:val="16"/>
              </w:rPr>
              <w:t>Enlarged Europe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6"/>
              </w:rPr>
            </w:pPr>
            <w:r>
              <w:rPr>
                <w:rFonts w:ascii="Helvetica;sans-serif" w:hAnsi="Helvetica;sans-serif"/>
                <w:b/>
                <w:color w:val="243782"/>
                <w:sz w:val="16"/>
              </w:rPr>
              <w:t>Middle East &amp; Africa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6"/>
              </w:rPr>
            </w:pPr>
            <w:r>
              <w:rPr>
                <w:rFonts w:ascii="Helvetica;sans-serif" w:hAnsi="Helvetica;sans-serif"/>
                <w:b/>
                <w:color w:val="243782"/>
                <w:sz w:val="16"/>
              </w:rPr>
              <w:t>South America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243782"/>
                <w:sz w:val="16"/>
              </w:rPr>
            </w:pPr>
            <w:r>
              <w:rPr>
                <w:rFonts w:ascii="Helvetica;sans-serif" w:hAnsi="Helvetica;sans-serif"/>
                <w:b/>
                <w:color w:val="243782"/>
                <w:sz w:val="16"/>
              </w:rPr>
              <w:t>Asia Pacific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6"/>
              </w:rPr>
            </w:pPr>
            <w:r>
              <w:rPr>
                <w:rFonts w:ascii="Helvetica;sans-serif" w:hAnsi="Helvetica;sans-serif"/>
                <w:b/>
                <w:color w:val="243782"/>
                <w:sz w:val="16"/>
              </w:rPr>
              <w:t>Other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6"/>
              </w:rPr>
            </w:pPr>
            <w:r>
              <w:rPr>
                <w:rFonts w:ascii="Helvetica;sans-serif" w:hAnsi="Helvetica;sans-serif"/>
                <w:b/>
                <w:color w:val="243782"/>
                <w:sz w:val="16"/>
              </w:rPr>
              <w:t>Total</w:t>
            </w:r>
          </w:p>
        </w:tc>
      </w:tr>
      <w:tr>
        <w:trPr/>
        <w:tc>
          <w:tcPr>
            <w:tcW w:w="1593" w:type="dxa"/>
            <w:gridSpan w:val="3"/>
            <w:tcBorders>
              <w:top w:val="single" w:sz="2" w:space="0" w:color="143A84"/>
            </w:tcBorders>
            <w:tcMar>
              <w:top w:w="52" w:type="dxa"/>
              <w:left w:w="0" w:type="dxa"/>
              <w:bottom w:w="0" w:type="dxa"/>
              <w:right w:w="0" w:type="dxa"/>
            </w:tcMar>
            <w:vAlign w:val="center"/>
          </w:tcPr>
          <w:p>
            <w:pPr>
              <w:pStyle w:val="TableContents"/>
              <w:bidi w:val="0"/>
              <w:spacing w:lineRule="auto" w:line="288" w:before="0" w:after="240"/>
              <w:jc w:val="left"/>
              <w:rPr>
                <w:rFonts w:ascii="Helvetica;sans-serif" w:hAnsi="Helvetica;sans-serif"/>
                <w:b w:val="false"/>
                <w:i/>
                <w:color w:val="000000"/>
                <w:sz w:val="14"/>
              </w:rPr>
            </w:pPr>
            <w:r>
              <w:rPr>
                <w:rFonts w:ascii="Helvetica;sans-serif" w:hAnsi="Helvetica;sans-serif"/>
                <w:b w:val="false"/>
                <w:i/>
                <w:color w:val="000000"/>
                <w:sz w:val="14"/>
              </w:rPr>
              <w:t>(€ million)</w:t>
            </w:r>
          </w:p>
        </w:tc>
        <w:tc>
          <w:tcPr>
            <w:tcW w:w="327"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3"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Revenues from:</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3"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Shipments of vehicles and sales of other goods</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13,509 </w:t>
            </w:r>
          </w:p>
        </w:tc>
        <w:tc>
          <w:tcPr>
            <w:tcW w:w="27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15,703 </w:t>
            </w:r>
          </w:p>
        </w:tc>
        <w:tc>
          <w:tcPr>
            <w:tcW w:w="302"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2,678 </w:t>
            </w:r>
          </w:p>
        </w:tc>
        <w:tc>
          <w:tcPr>
            <w:tcW w:w="294"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3,964 </w:t>
            </w:r>
          </w:p>
        </w:tc>
        <w:tc>
          <w:tcPr>
            <w:tcW w:w="277"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507 </w:t>
            </w:r>
          </w:p>
        </w:tc>
        <w:tc>
          <w:tcPr>
            <w:tcW w:w="230"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112 </w:t>
            </w:r>
          </w:p>
        </w:tc>
        <w:tc>
          <w:tcPr>
            <w:tcW w:w="29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4" w:space="0" w:color="B6B6B6"/>
            </w:tcBorders>
            <w:shd w:fill="E6E7F4"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6"/>
              </w:rPr>
              <w:t>36,473</w:t>
            </w:r>
            <w:r>
              <w:rPr>
                <w:color w:val="243782"/>
              </w:rPr>
              <w:t> </w:t>
            </w:r>
          </w:p>
        </w:tc>
        <w:tc>
          <w:tcPr>
            <w:tcW w:w="242" w:type="dxa"/>
            <w:tcBorders>
              <w:top w:val="single" w:sz="4" w:space="0" w:color="B6B6B6"/>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3"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Other services provided</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325 </w:t>
            </w:r>
          </w:p>
        </w:tc>
        <w:tc>
          <w:tcPr>
            <w:tcW w:w="27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499 </w:t>
            </w:r>
          </w:p>
        </w:tc>
        <w:tc>
          <w:tcPr>
            <w:tcW w:w="302"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(4)</w:t>
            </w:r>
          </w:p>
        </w:tc>
        <w:tc>
          <w:tcPr>
            <w:tcW w:w="294"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66 </w:t>
            </w:r>
          </w:p>
        </w:tc>
        <w:tc>
          <w:tcPr>
            <w:tcW w:w="277"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14 </w:t>
            </w:r>
          </w:p>
        </w:tc>
        <w:tc>
          <w:tcPr>
            <w:tcW w:w="230"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347 </w:t>
            </w:r>
          </w:p>
        </w:tc>
        <w:tc>
          <w:tcPr>
            <w:tcW w:w="29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6"/>
              </w:rPr>
              <w:t>1,247</w:t>
            </w:r>
            <w:r>
              <w:rPr>
                <w:color w:val="243782"/>
              </w:rPr>
              <w:t> </w:t>
            </w:r>
          </w:p>
        </w:tc>
        <w:tc>
          <w:tcPr>
            <w:tcW w:w="242"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r>
      <w:tr>
        <w:trPr/>
        <w:tc>
          <w:tcPr>
            <w:tcW w:w="1593" w:type="dxa"/>
            <w:gridSpan w:val="3"/>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243782"/>
                <w:sz w:val="16"/>
              </w:rPr>
            </w:pPr>
            <w:r>
              <w:rPr>
                <w:rFonts w:ascii="Helvetica;sans-serif" w:hAnsi="Helvetica;sans-serif"/>
                <w:b/>
                <w:color w:val="243782"/>
                <w:sz w:val="16"/>
              </w:rPr>
              <w:t>Revenues from goods and services</w:t>
            </w:r>
          </w:p>
        </w:tc>
        <w:tc>
          <w:tcPr>
            <w:tcW w:w="327" w:type="dxa"/>
            <w:gridSpan w:val="3"/>
            <w:tcBorders>
              <w:top w:val="single" w:sz="2" w:space="0" w:color="8E939F"/>
            </w:tcBorders>
            <w:shd w:fill="E6E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6"/>
              </w:rPr>
              <w:t>13,834</w:t>
            </w:r>
            <w:r>
              <w:rPr>
                <w:color w:val="243782"/>
              </w:rPr>
              <w:t> </w:t>
            </w:r>
          </w:p>
        </w:tc>
        <w:tc>
          <w:tcPr>
            <w:tcW w:w="276"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E6E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6"/>
              </w:rPr>
              <w:t>16,202</w:t>
            </w:r>
            <w:r>
              <w:rPr>
                <w:color w:val="243782"/>
              </w:rPr>
              <w:t> </w:t>
            </w:r>
          </w:p>
        </w:tc>
        <w:tc>
          <w:tcPr>
            <w:tcW w:w="302"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E6E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6"/>
              </w:rPr>
              <w:t>2,674</w:t>
            </w:r>
            <w:r>
              <w:rPr>
                <w:color w:val="243782"/>
              </w:rPr>
              <w:t> </w:t>
            </w:r>
          </w:p>
        </w:tc>
        <w:tc>
          <w:tcPr>
            <w:tcW w:w="294"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E6E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6"/>
              </w:rPr>
              <w:t>4,030</w:t>
            </w:r>
            <w:r>
              <w:rPr>
                <w:color w:val="243782"/>
              </w:rPr>
              <w:t> </w:t>
            </w:r>
          </w:p>
        </w:tc>
        <w:tc>
          <w:tcPr>
            <w:tcW w:w="277"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E6E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6"/>
              </w:rPr>
              <w:t>521</w:t>
            </w:r>
            <w:r>
              <w:rPr>
                <w:color w:val="243782"/>
              </w:rPr>
              <w:t> </w:t>
            </w:r>
          </w:p>
        </w:tc>
        <w:tc>
          <w:tcPr>
            <w:tcW w:w="230"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E6E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6"/>
              </w:rPr>
              <w:t>459</w:t>
            </w:r>
            <w:r>
              <w:rPr>
                <w:color w:val="243782"/>
              </w:rPr>
              <w:t> </w:t>
            </w:r>
          </w:p>
        </w:tc>
        <w:tc>
          <w:tcPr>
            <w:tcW w:w="296"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E6E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6"/>
              </w:rPr>
              <w:t>37,720</w:t>
            </w:r>
            <w:r>
              <w:rPr>
                <w:color w:val="243782"/>
              </w:rPr>
              <w:t> </w:t>
            </w:r>
          </w:p>
        </w:tc>
        <w:tc>
          <w:tcPr>
            <w:tcW w:w="242"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3"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2" w:space="0" w:color="8E939F"/>
            </w:tcBorders>
            <w:shd w:fill="E6E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3"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Lease installments from assets sold with a buy-back commitment</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185 </w:t>
            </w:r>
          </w:p>
        </w:tc>
        <w:tc>
          <w:tcPr>
            <w:tcW w:w="302"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4"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7"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0"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6"/>
              </w:rPr>
              <w:t>185</w:t>
            </w:r>
            <w:r>
              <w:rPr>
                <w:color w:val="243782"/>
              </w:rPr>
              <w:t> </w:t>
            </w:r>
          </w:p>
        </w:tc>
        <w:tc>
          <w:tcPr>
            <w:tcW w:w="242"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3"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Interest income from financial services activities</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2"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4"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7"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0"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543 </w:t>
            </w:r>
          </w:p>
        </w:tc>
        <w:tc>
          <w:tcPr>
            <w:tcW w:w="29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6"/>
              </w:rPr>
              <w:t>543</w:t>
            </w:r>
            <w:r>
              <w:rPr>
                <w:color w:val="243782"/>
              </w:rPr>
              <w:t> </w:t>
            </w:r>
          </w:p>
        </w:tc>
        <w:tc>
          <w:tcPr>
            <w:tcW w:w="242"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3" w:type="dxa"/>
            <w:gridSpan w:val="3"/>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color w:val="243782"/>
                <w:sz w:val="16"/>
              </w:rPr>
            </w:pPr>
            <w:r>
              <w:rPr>
                <w:rFonts w:ascii="Helvetica;sans-serif" w:hAnsi="Helvetica;sans-serif"/>
                <w:b/>
                <w:color w:val="243782"/>
                <w:sz w:val="16"/>
              </w:rPr>
              <w:t>Total Net revenues</w:t>
            </w:r>
          </w:p>
        </w:tc>
        <w:tc>
          <w:tcPr>
            <w:tcW w:w="327" w:type="dxa"/>
            <w:gridSpan w:val="3"/>
            <w:tcBorders>
              <w:top w:val="single" w:sz="2" w:space="0" w:color="8E939F"/>
              <w:bottom w:val="single" w:sz="2" w:space="0" w:color="8E939F"/>
            </w:tcBorders>
            <w:shd w:fill="E6E7F4" w:val="clear"/>
            <w:tcMar>
              <w:left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6"/>
              </w:rPr>
              <w:t>13,834</w:t>
            </w:r>
            <w:r>
              <w:rPr>
                <w:color w:val="243782"/>
              </w:rPr>
              <w:t> </w:t>
            </w:r>
          </w:p>
        </w:tc>
        <w:tc>
          <w:tcPr>
            <w:tcW w:w="276" w:type="dxa"/>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bottom w:val="single" w:sz="2" w:space="0" w:color="8E939F"/>
            </w:tcBorders>
            <w:shd w:fill="E6E7F4" w:val="clear"/>
            <w:tcMar>
              <w:left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6"/>
              </w:rPr>
              <w:t>16,387</w:t>
            </w:r>
            <w:r>
              <w:rPr>
                <w:color w:val="243782"/>
              </w:rPr>
              <w:t> </w:t>
            </w:r>
          </w:p>
        </w:tc>
        <w:tc>
          <w:tcPr>
            <w:tcW w:w="302" w:type="dxa"/>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bottom w:val="single" w:sz="2" w:space="0" w:color="8E939F"/>
            </w:tcBorders>
            <w:shd w:fill="E6E7F4" w:val="clear"/>
            <w:tcMar>
              <w:left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6"/>
              </w:rPr>
              <w:t>2,674</w:t>
            </w:r>
            <w:r>
              <w:rPr>
                <w:color w:val="243782"/>
              </w:rPr>
              <w:t> </w:t>
            </w:r>
          </w:p>
        </w:tc>
        <w:tc>
          <w:tcPr>
            <w:tcW w:w="294" w:type="dxa"/>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bottom w:val="single" w:sz="2" w:space="0" w:color="8E939F"/>
            </w:tcBorders>
            <w:shd w:fill="E6E7F4" w:val="clear"/>
            <w:tcMar>
              <w:left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6"/>
              </w:rPr>
              <w:t>4,030</w:t>
            </w:r>
            <w:r>
              <w:rPr>
                <w:color w:val="243782"/>
              </w:rPr>
              <w:t> </w:t>
            </w:r>
          </w:p>
        </w:tc>
        <w:tc>
          <w:tcPr>
            <w:tcW w:w="277" w:type="dxa"/>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bottom w:val="single" w:sz="2" w:space="0" w:color="8E939F"/>
            </w:tcBorders>
            <w:shd w:fill="E6E7F4" w:val="clear"/>
            <w:tcMar>
              <w:left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6"/>
              </w:rPr>
              <w:t>521</w:t>
            </w:r>
            <w:r>
              <w:rPr>
                <w:color w:val="243782"/>
              </w:rPr>
              <w:t> </w:t>
            </w:r>
          </w:p>
        </w:tc>
        <w:tc>
          <w:tcPr>
            <w:tcW w:w="230" w:type="dxa"/>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bottom w:val="single" w:sz="2" w:space="0" w:color="8E939F"/>
            </w:tcBorders>
            <w:shd w:fill="E6E7F4" w:val="clear"/>
            <w:tcMar>
              <w:left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6"/>
              </w:rPr>
              <w:t>1,002</w:t>
            </w:r>
            <w:r>
              <w:rPr>
                <w:color w:val="243782"/>
              </w:rPr>
              <w:t> </w:t>
            </w:r>
          </w:p>
        </w:tc>
        <w:tc>
          <w:tcPr>
            <w:tcW w:w="296" w:type="dxa"/>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bottom w:val="single" w:sz="2" w:space="0" w:color="8E939F"/>
            </w:tcBorders>
            <w:shd w:fill="E6E7F4" w:val="clear"/>
            <w:tcMar>
              <w:left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6"/>
              </w:rPr>
              <w:t>38,448</w:t>
            </w:r>
            <w:r>
              <w:rPr>
                <w:color w:val="243782"/>
              </w:rPr>
              <w:t> </w:t>
            </w:r>
          </w:p>
        </w:tc>
        <w:tc>
          <w:tcPr>
            <w:tcW w:w="242" w:type="dxa"/>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722"/>
        <w:gridCol w:w="434"/>
        <w:gridCol w:w="437"/>
        <w:gridCol w:w="109"/>
        <w:gridCol w:w="109"/>
        <w:gridCol w:w="109"/>
        <w:gridCol w:w="411"/>
        <w:gridCol w:w="275"/>
        <w:gridCol w:w="276"/>
        <w:gridCol w:w="109"/>
        <w:gridCol w:w="109"/>
        <w:gridCol w:w="109"/>
        <w:gridCol w:w="403"/>
        <w:gridCol w:w="301"/>
        <w:gridCol w:w="302"/>
        <w:gridCol w:w="109"/>
        <w:gridCol w:w="109"/>
        <w:gridCol w:w="109"/>
        <w:gridCol w:w="362"/>
        <w:gridCol w:w="293"/>
        <w:gridCol w:w="294"/>
        <w:gridCol w:w="109"/>
        <w:gridCol w:w="109"/>
        <w:gridCol w:w="109"/>
        <w:gridCol w:w="336"/>
        <w:gridCol w:w="276"/>
        <w:gridCol w:w="277"/>
        <w:gridCol w:w="109"/>
        <w:gridCol w:w="109"/>
        <w:gridCol w:w="109"/>
        <w:gridCol w:w="243"/>
        <w:gridCol w:w="229"/>
        <w:gridCol w:w="230"/>
        <w:gridCol w:w="109"/>
        <w:gridCol w:w="109"/>
        <w:gridCol w:w="109"/>
        <w:gridCol w:w="321"/>
        <w:gridCol w:w="295"/>
        <w:gridCol w:w="296"/>
        <w:gridCol w:w="109"/>
        <w:gridCol w:w="109"/>
        <w:gridCol w:w="109"/>
        <w:gridCol w:w="330"/>
        <w:gridCol w:w="331"/>
        <w:gridCol w:w="242"/>
      </w:tblGrid>
      <w:tr>
        <w:trPr/>
        <w:tc>
          <w:tcPr>
            <w:tcW w:w="722"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15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243782"/>
                <w:sz w:val="16"/>
              </w:rPr>
            </w:pPr>
            <w:r>
              <w:rPr>
                <w:rFonts w:ascii="Helvetica;sans-serif" w:hAnsi="Helvetica;sans-serif"/>
                <w:b/>
                <w:color w:val="243782"/>
                <w:sz w:val="16"/>
              </w:rPr>
              <w:t>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6"/>
              </w:rPr>
            </w:pPr>
            <w:r>
              <w:rPr>
                <w:rFonts w:ascii="Helvetica;sans-serif" w:hAnsi="Helvetica;sans-serif"/>
                <w:b/>
                <w:color w:val="243782"/>
                <w:sz w:val="16"/>
              </w:rPr>
              <w:t>North America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6"/>
              </w:rPr>
            </w:pPr>
            <w:r>
              <w:rPr>
                <w:rFonts w:ascii="Helvetica;sans-serif" w:hAnsi="Helvetica;sans-serif"/>
                <w:b/>
                <w:color w:val="243782"/>
                <w:sz w:val="16"/>
              </w:rPr>
              <w:t>Enlarged Europe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6"/>
              </w:rPr>
            </w:pPr>
            <w:r>
              <w:rPr>
                <w:rFonts w:ascii="Helvetica;sans-serif" w:hAnsi="Helvetica;sans-serif"/>
                <w:b/>
                <w:color w:val="243782"/>
                <w:sz w:val="16"/>
              </w:rPr>
              <w:t>Middle East &amp; Africa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6"/>
              </w:rPr>
            </w:pPr>
            <w:r>
              <w:rPr>
                <w:rFonts w:ascii="Helvetica;sans-serif" w:hAnsi="Helvetica;sans-serif"/>
                <w:b/>
                <w:color w:val="243782"/>
                <w:sz w:val="16"/>
              </w:rPr>
              <w:t>South America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243782"/>
                <w:sz w:val="16"/>
              </w:rPr>
            </w:pPr>
            <w:r>
              <w:rPr>
                <w:rFonts w:ascii="Helvetica;sans-serif" w:hAnsi="Helvetica;sans-serif"/>
                <w:b/>
                <w:color w:val="243782"/>
                <w:sz w:val="16"/>
              </w:rPr>
              <w:t>Asia Pacific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6"/>
              </w:rPr>
            </w:pPr>
            <w:r>
              <w:rPr>
                <w:rFonts w:ascii="Helvetica;sans-serif" w:hAnsi="Helvetica;sans-serif"/>
                <w:b/>
                <w:color w:val="243782"/>
                <w:sz w:val="16"/>
              </w:rPr>
              <w:t>Other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6"/>
              </w:rPr>
            </w:pPr>
            <w:r>
              <w:rPr>
                <w:rFonts w:ascii="Helvetica;sans-serif" w:hAnsi="Helvetica;sans-serif"/>
                <w:b/>
                <w:color w:val="243782"/>
                <w:sz w:val="16"/>
              </w:rPr>
              <w:t>Total</w:t>
            </w:r>
          </w:p>
        </w:tc>
      </w:tr>
      <w:tr>
        <w:trPr/>
        <w:tc>
          <w:tcPr>
            <w:tcW w:w="1593" w:type="dxa"/>
            <w:gridSpan w:val="3"/>
            <w:tcBorders>
              <w:top w:val="single" w:sz="2" w:space="0" w:color="143A84"/>
            </w:tcBorders>
            <w:tcMar>
              <w:top w:w="52" w:type="dxa"/>
              <w:left w:w="0" w:type="dxa"/>
              <w:bottom w:w="0" w:type="dxa"/>
              <w:right w:w="0" w:type="dxa"/>
            </w:tcMar>
            <w:vAlign w:val="center"/>
          </w:tcPr>
          <w:p>
            <w:pPr>
              <w:pStyle w:val="TableContents"/>
              <w:bidi w:val="0"/>
              <w:spacing w:lineRule="auto" w:line="288" w:before="0" w:after="240"/>
              <w:jc w:val="left"/>
              <w:rPr>
                <w:rFonts w:ascii="Helvetica;sans-serif" w:hAnsi="Helvetica;sans-serif"/>
                <w:b w:val="false"/>
                <w:i/>
                <w:color w:val="000000"/>
                <w:sz w:val="14"/>
              </w:rPr>
            </w:pPr>
            <w:r>
              <w:rPr>
                <w:rFonts w:ascii="Helvetica;sans-serif" w:hAnsi="Helvetica;sans-serif"/>
                <w:b w:val="false"/>
                <w:i/>
                <w:color w:val="000000"/>
                <w:sz w:val="14"/>
              </w:rPr>
              <w:t>(€ million)</w:t>
            </w:r>
          </w:p>
        </w:tc>
        <w:tc>
          <w:tcPr>
            <w:tcW w:w="327"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3"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Revenues from:</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3"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Shipments of vehicles and sales of other goods</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33,656 </w:t>
            </w:r>
          </w:p>
        </w:tc>
        <w:tc>
          <w:tcPr>
            <w:tcW w:w="27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29,801 </w:t>
            </w:r>
          </w:p>
        </w:tc>
        <w:tc>
          <w:tcPr>
            <w:tcW w:w="302"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4,918 </w:t>
            </w:r>
          </w:p>
        </w:tc>
        <w:tc>
          <w:tcPr>
            <w:tcW w:w="294"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7,728 </w:t>
            </w:r>
          </w:p>
        </w:tc>
        <w:tc>
          <w:tcPr>
            <w:tcW w:w="277"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910 </w:t>
            </w:r>
          </w:p>
        </w:tc>
        <w:tc>
          <w:tcPr>
            <w:tcW w:w="230"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152 </w:t>
            </w:r>
          </w:p>
        </w:tc>
        <w:tc>
          <w:tcPr>
            <w:tcW w:w="29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4" w:space="0" w:color="B6B6B6"/>
            </w:tcBorders>
            <w:shd w:fill="E6E7F4"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6"/>
              </w:rPr>
              <w:t>77,165</w:t>
            </w:r>
            <w:r>
              <w:rPr>
                <w:color w:val="243782"/>
              </w:rPr>
              <w:t> </w:t>
            </w:r>
          </w:p>
        </w:tc>
        <w:tc>
          <w:tcPr>
            <w:tcW w:w="242" w:type="dxa"/>
            <w:tcBorders>
              <w:top w:val="single" w:sz="4" w:space="0" w:color="B6B6B6"/>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3"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Other services provided</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651 </w:t>
            </w:r>
          </w:p>
        </w:tc>
        <w:tc>
          <w:tcPr>
            <w:tcW w:w="27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685 </w:t>
            </w:r>
          </w:p>
        </w:tc>
        <w:tc>
          <w:tcPr>
            <w:tcW w:w="302"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35 </w:t>
            </w:r>
          </w:p>
        </w:tc>
        <w:tc>
          <w:tcPr>
            <w:tcW w:w="294"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149 </w:t>
            </w:r>
          </w:p>
        </w:tc>
        <w:tc>
          <w:tcPr>
            <w:tcW w:w="277"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24 </w:t>
            </w:r>
          </w:p>
        </w:tc>
        <w:tc>
          <w:tcPr>
            <w:tcW w:w="230"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1,161 </w:t>
            </w:r>
          </w:p>
        </w:tc>
        <w:tc>
          <w:tcPr>
            <w:tcW w:w="29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6"/>
              </w:rPr>
              <w:t>2,705</w:t>
            </w:r>
            <w:r>
              <w:rPr>
                <w:color w:val="243782"/>
              </w:rPr>
              <w:t> </w:t>
            </w:r>
          </w:p>
        </w:tc>
        <w:tc>
          <w:tcPr>
            <w:tcW w:w="242"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r>
      <w:tr>
        <w:trPr/>
        <w:tc>
          <w:tcPr>
            <w:tcW w:w="1593" w:type="dxa"/>
            <w:gridSpan w:val="3"/>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243782"/>
                <w:sz w:val="16"/>
              </w:rPr>
            </w:pPr>
            <w:r>
              <w:rPr>
                <w:rFonts w:ascii="Helvetica;sans-serif" w:hAnsi="Helvetica;sans-serif"/>
                <w:b/>
                <w:color w:val="243782"/>
                <w:sz w:val="16"/>
              </w:rPr>
              <w:t>Revenues from goods and services</w:t>
            </w:r>
          </w:p>
        </w:tc>
        <w:tc>
          <w:tcPr>
            <w:tcW w:w="327" w:type="dxa"/>
            <w:gridSpan w:val="3"/>
            <w:tcBorders>
              <w:top w:val="single" w:sz="2" w:space="0" w:color="8E939F"/>
            </w:tcBorders>
            <w:shd w:fill="E6E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6"/>
              </w:rPr>
              <w:t>34,307</w:t>
            </w:r>
            <w:r>
              <w:rPr>
                <w:color w:val="243782"/>
              </w:rPr>
              <w:t> </w:t>
            </w:r>
          </w:p>
        </w:tc>
        <w:tc>
          <w:tcPr>
            <w:tcW w:w="276"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E6E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6"/>
              </w:rPr>
              <w:t>30,486</w:t>
            </w:r>
            <w:r>
              <w:rPr>
                <w:color w:val="243782"/>
              </w:rPr>
              <w:t> </w:t>
            </w:r>
          </w:p>
        </w:tc>
        <w:tc>
          <w:tcPr>
            <w:tcW w:w="302"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E6E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6"/>
              </w:rPr>
              <w:t>4,953</w:t>
            </w:r>
            <w:r>
              <w:rPr>
                <w:color w:val="243782"/>
              </w:rPr>
              <w:t> </w:t>
            </w:r>
          </w:p>
        </w:tc>
        <w:tc>
          <w:tcPr>
            <w:tcW w:w="294"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E6E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6"/>
              </w:rPr>
              <w:t>7,877</w:t>
            </w:r>
            <w:r>
              <w:rPr>
                <w:color w:val="243782"/>
              </w:rPr>
              <w:t> </w:t>
            </w:r>
          </w:p>
        </w:tc>
        <w:tc>
          <w:tcPr>
            <w:tcW w:w="277"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E6E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6"/>
              </w:rPr>
              <w:t>934</w:t>
            </w:r>
            <w:r>
              <w:rPr>
                <w:color w:val="243782"/>
              </w:rPr>
              <w:t> </w:t>
            </w:r>
          </w:p>
        </w:tc>
        <w:tc>
          <w:tcPr>
            <w:tcW w:w="230"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E6E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6"/>
              </w:rPr>
              <w:t>1,313</w:t>
            </w:r>
            <w:r>
              <w:rPr>
                <w:color w:val="243782"/>
              </w:rPr>
              <w:t> </w:t>
            </w:r>
          </w:p>
        </w:tc>
        <w:tc>
          <w:tcPr>
            <w:tcW w:w="296"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E6E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6"/>
              </w:rPr>
              <w:t>79,870</w:t>
            </w:r>
            <w:r>
              <w:rPr>
                <w:color w:val="243782"/>
              </w:rPr>
              <w:t> </w:t>
            </w:r>
          </w:p>
        </w:tc>
        <w:tc>
          <w:tcPr>
            <w:tcW w:w="242"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3"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2" w:space="0" w:color="8E939F"/>
            </w:tcBorders>
            <w:shd w:fill="E6E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3"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Lease installments from assets sold with a buy-back commitment</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311 </w:t>
            </w:r>
          </w:p>
        </w:tc>
        <w:tc>
          <w:tcPr>
            <w:tcW w:w="302"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4"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7"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0"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6"/>
              </w:rPr>
              <w:t>311</w:t>
            </w:r>
            <w:r>
              <w:rPr>
                <w:color w:val="243782"/>
              </w:rPr>
              <w:t> </w:t>
            </w:r>
          </w:p>
        </w:tc>
        <w:tc>
          <w:tcPr>
            <w:tcW w:w="242"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3"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Interest income from financial services activities</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2"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4"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7"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0"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1,433 </w:t>
            </w:r>
          </w:p>
        </w:tc>
        <w:tc>
          <w:tcPr>
            <w:tcW w:w="29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6"/>
              </w:rPr>
              <w:t>1,433</w:t>
            </w:r>
            <w:r>
              <w:rPr>
                <w:color w:val="243782"/>
              </w:rPr>
              <w:t> </w:t>
            </w:r>
          </w:p>
        </w:tc>
        <w:tc>
          <w:tcPr>
            <w:tcW w:w="242"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3" w:type="dxa"/>
            <w:gridSpan w:val="3"/>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color w:val="243782"/>
                <w:sz w:val="16"/>
              </w:rPr>
            </w:pPr>
            <w:r>
              <w:rPr>
                <w:rFonts w:ascii="Helvetica;sans-serif" w:hAnsi="Helvetica;sans-serif"/>
                <w:b/>
                <w:color w:val="243782"/>
                <w:sz w:val="16"/>
              </w:rPr>
              <w:t>Total Net revenues</w:t>
            </w:r>
          </w:p>
        </w:tc>
        <w:tc>
          <w:tcPr>
            <w:tcW w:w="327" w:type="dxa"/>
            <w:gridSpan w:val="3"/>
            <w:tcBorders>
              <w:top w:val="single" w:sz="2" w:space="0" w:color="8E939F"/>
              <w:bottom w:val="single" w:sz="2" w:space="0" w:color="8E939F"/>
            </w:tcBorders>
            <w:shd w:fill="E6E7F4" w:val="clear"/>
            <w:tcMar>
              <w:left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6"/>
              </w:rPr>
              <w:t>34,307</w:t>
            </w:r>
            <w:r>
              <w:rPr>
                <w:color w:val="243782"/>
              </w:rPr>
              <w:t> </w:t>
            </w:r>
          </w:p>
        </w:tc>
        <w:tc>
          <w:tcPr>
            <w:tcW w:w="276" w:type="dxa"/>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bottom w:val="single" w:sz="2" w:space="0" w:color="8E939F"/>
            </w:tcBorders>
            <w:shd w:fill="E6E7F4" w:val="clear"/>
            <w:tcMar>
              <w:left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6"/>
              </w:rPr>
              <w:t>30,797</w:t>
            </w:r>
            <w:r>
              <w:rPr>
                <w:color w:val="243782"/>
              </w:rPr>
              <w:t> </w:t>
            </w:r>
          </w:p>
        </w:tc>
        <w:tc>
          <w:tcPr>
            <w:tcW w:w="302" w:type="dxa"/>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bottom w:val="single" w:sz="2" w:space="0" w:color="8E939F"/>
            </w:tcBorders>
            <w:shd w:fill="E6E7F4" w:val="clear"/>
            <w:tcMar>
              <w:left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6"/>
              </w:rPr>
              <w:t>4,953</w:t>
            </w:r>
            <w:r>
              <w:rPr>
                <w:color w:val="243782"/>
              </w:rPr>
              <w:t> </w:t>
            </w:r>
          </w:p>
        </w:tc>
        <w:tc>
          <w:tcPr>
            <w:tcW w:w="294" w:type="dxa"/>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bottom w:val="single" w:sz="2" w:space="0" w:color="8E939F"/>
            </w:tcBorders>
            <w:shd w:fill="E6E7F4" w:val="clear"/>
            <w:tcMar>
              <w:left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6"/>
              </w:rPr>
              <w:t>7,877</w:t>
            </w:r>
            <w:r>
              <w:rPr>
                <w:color w:val="243782"/>
              </w:rPr>
              <w:t> </w:t>
            </w:r>
          </w:p>
        </w:tc>
        <w:tc>
          <w:tcPr>
            <w:tcW w:w="277" w:type="dxa"/>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bottom w:val="single" w:sz="2" w:space="0" w:color="8E939F"/>
            </w:tcBorders>
            <w:shd w:fill="E6E7F4" w:val="clear"/>
            <w:tcMar>
              <w:left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6"/>
              </w:rPr>
              <w:t>934</w:t>
            </w:r>
            <w:r>
              <w:rPr>
                <w:color w:val="243782"/>
              </w:rPr>
              <w:t> </w:t>
            </w:r>
          </w:p>
        </w:tc>
        <w:tc>
          <w:tcPr>
            <w:tcW w:w="230" w:type="dxa"/>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bottom w:val="single" w:sz="2" w:space="0" w:color="8E939F"/>
            </w:tcBorders>
            <w:shd w:fill="E6E7F4" w:val="clear"/>
            <w:tcMar>
              <w:left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6"/>
              </w:rPr>
              <w:t>2,746</w:t>
            </w:r>
            <w:r>
              <w:rPr>
                <w:color w:val="243782"/>
              </w:rPr>
              <w:t> </w:t>
            </w:r>
          </w:p>
        </w:tc>
        <w:tc>
          <w:tcPr>
            <w:tcW w:w="296" w:type="dxa"/>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bottom w:val="single" w:sz="2" w:space="0" w:color="8E939F"/>
            </w:tcBorders>
            <w:shd w:fill="E6E7F4" w:val="clear"/>
            <w:tcMar>
              <w:left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6"/>
              </w:rPr>
              <w:t>81,614</w:t>
            </w:r>
            <w:r>
              <w:rPr>
                <w:color w:val="243782"/>
              </w:rPr>
              <w:t> </w:t>
            </w:r>
          </w:p>
        </w:tc>
        <w:tc>
          <w:tcPr>
            <w:tcW w:w="242" w:type="dxa"/>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503555"/>
                <wp:effectExtent l="0" t="0" r="0" b="0"/>
                <wp:wrapNone/>
                <wp:docPr id="83" name="Frame68"/>
                <a:graphic xmlns:a="http://schemas.openxmlformats.org/drawingml/2006/main">
                  <a:graphicData uri="http://schemas.microsoft.com/office/word/2010/wordprocessingShape">
                    <wps:wsp>
                      <wps:cNvSpPr txBox="1"/>
                      <wps:spPr>
                        <a:xfrm>
                          <a:off x="0" y="0"/>
                          <a:ext cx="6480175" cy="5035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64</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64</w:t>
                      </w:r>
                    </w:p>
                    <w:p>
                      <w:pPr>
                        <w:pStyle w:val="TextBody"/>
                        <w:bidi w:val="0"/>
                        <w:spacing w:before="0" w:after="24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tbl>
      <w:tblPr>
        <w:tblW w:w="10205" w:type="dxa"/>
        <w:jc w:val="right"/>
        <w:tblInd w:w="0" w:type="dxa"/>
        <w:tblLayout w:type="fixed"/>
        <w:tblCellMar>
          <w:top w:w="28" w:type="dxa"/>
          <w:left w:w="28" w:type="dxa"/>
          <w:bottom w:w="28" w:type="dxa"/>
          <w:right w:w="28" w:type="dxa"/>
        </w:tblCellMar>
      </w:tblPr>
      <w:tblGrid>
        <w:gridCol w:w="700"/>
        <w:gridCol w:w="410"/>
        <w:gridCol w:w="414"/>
        <w:gridCol w:w="109"/>
        <w:gridCol w:w="109"/>
        <w:gridCol w:w="109"/>
        <w:gridCol w:w="411"/>
        <w:gridCol w:w="272"/>
        <w:gridCol w:w="273"/>
        <w:gridCol w:w="109"/>
        <w:gridCol w:w="109"/>
        <w:gridCol w:w="109"/>
        <w:gridCol w:w="402"/>
        <w:gridCol w:w="297"/>
        <w:gridCol w:w="299"/>
        <w:gridCol w:w="109"/>
        <w:gridCol w:w="109"/>
        <w:gridCol w:w="109"/>
        <w:gridCol w:w="358"/>
        <w:gridCol w:w="288"/>
        <w:gridCol w:w="289"/>
        <w:gridCol w:w="109"/>
        <w:gridCol w:w="109"/>
        <w:gridCol w:w="109"/>
        <w:gridCol w:w="335"/>
        <w:gridCol w:w="273"/>
        <w:gridCol w:w="274"/>
        <w:gridCol w:w="109"/>
        <w:gridCol w:w="109"/>
        <w:gridCol w:w="109"/>
        <w:gridCol w:w="339"/>
        <w:gridCol w:w="246"/>
        <w:gridCol w:w="228"/>
        <w:gridCol w:w="109"/>
        <w:gridCol w:w="109"/>
        <w:gridCol w:w="109"/>
        <w:gridCol w:w="319"/>
        <w:gridCol w:w="292"/>
        <w:gridCol w:w="293"/>
        <w:gridCol w:w="109"/>
        <w:gridCol w:w="109"/>
        <w:gridCol w:w="109"/>
        <w:gridCol w:w="330"/>
        <w:gridCol w:w="331"/>
        <w:gridCol w:w="243"/>
      </w:tblGrid>
      <w:tr>
        <w:trPr/>
        <w:tc>
          <w:tcPr>
            <w:tcW w:w="70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r>
      <w:tr>
        <w:trPr/>
        <w:tc>
          <w:tcPr>
            <w:tcW w:w="15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243782"/>
                <w:sz w:val="16"/>
              </w:rPr>
            </w:pPr>
            <w:r>
              <w:rPr>
                <w:rFonts w:ascii="Helvetica;sans-serif" w:hAnsi="Helvetica;sans-serif"/>
                <w:b/>
                <w:color w:val="243782"/>
                <w:sz w:val="16"/>
              </w:rPr>
              <w:t>Six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6"/>
              </w:rPr>
            </w:pPr>
            <w:r>
              <w:rPr>
                <w:rFonts w:ascii="Helvetica;sans-serif" w:hAnsi="Helvetica;sans-serif"/>
                <w:b/>
                <w:color w:val="243782"/>
                <w:sz w:val="16"/>
              </w:rPr>
              <w:t>North America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6"/>
              </w:rPr>
            </w:pPr>
            <w:r>
              <w:rPr>
                <w:rFonts w:ascii="Helvetica;sans-serif" w:hAnsi="Helvetica;sans-serif"/>
                <w:b/>
                <w:color w:val="243782"/>
                <w:sz w:val="16"/>
              </w:rPr>
              <w:t>Enlarged Europe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6"/>
              </w:rPr>
            </w:pPr>
            <w:r>
              <w:rPr>
                <w:rFonts w:ascii="Helvetica;sans-serif" w:hAnsi="Helvetica;sans-serif"/>
                <w:b/>
                <w:color w:val="243782"/>
                <w:sz w:val="16"/>
              </w:rPr>
              <w:t>Middle East &amp; Africa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6"/>
              </w:rPr>
            </w:pPr>
            <w:r>
              <w:rPr>
                <w:rFonts w:ascii="Helvetica;sans-serif" w:hAnsi="Helvetica;sans-serif"/>
                <w:b/>
                <w:color w:val="243782"/>
                <w:sz w:val="16"/>
              </w:rPr>
              <w:t>South America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243782"/>
                <w:sz w:val="16"/>
              </w:rPr>
            </w:pPr>
            <w:r>
              <w:rPr>
                <w:rFonts w:ascii="Helvetica;sans-serif" w:hAnsi="Helvetica;sans-serif"/>
                <w:b/>
                <w:color w:val="243782"/>
                <w:sz w:val="16"/>
              </w:rPr>
              <w:t>Asia Pacific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6"/>
              </w:rPr>
            </w:pPr>
            <w:r>
              <w:rPr>
                <w:rFonts w:ascii="Helvetica;sans-serif" w:hAnsi="Helvetica;sans-serif"/>
                <w:b/>
                <w:color w:val="243782"/>
                <w:sz w:val="16"/>
              </w:rPr>
              <w:t>Other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6"/>
              </w:rPr>
            </w:pPr>
            <w:r>
              <w:rPr>
                <w:rFonts w:ascii="Helvetica;sans-serif" w:hAnsi="Helvetica;sans-serif"/>
                <w:b/>
                <w:color w:val="243782"/>
                <w:sz w:val="16"/>
              </w:rPr>
              <w:t>Total</w:t>
            </w:r>
          </w:p>
        </w:tc>
      </w:tr>
      <w:tr>
        <w:trPr/>
        <w:tc>
          <w:tcPr>
            <w:tcW w:w="1524" w:type="dxa"/>
            <w:gridSpan w:val="3"/>
            <w:tcBorders>
              <w:top w:val="single" w:sz="2" w:space="0" w:color="143A84"/>
            </w:tcBorders>
            <w:tcMar>
              <w:top w:w="52" w:type="dxa"/>
              <w:left w:w="0" w:type="dxa"/>
              <w:bottom w:w="0" w:type="dxa"/>
              <w:right w:w="0" w:type="dxa"/>
            </w:tcMar>
            <w:vAlign w:val="center"/>
          </w:tcPr>
          <w:p>
            <w:pPr>
              <w:pStyle w:val="TableContents"/>
              <w:bidi w:val="0"/>
              <w:spacing w:lineRule="auto" w:line="288" w:before="0" w:after="240"/>
              <w:jc w:val="left"/>
              <w:rPr>
                <w:rFonts w:ascii="Helvetica;sans-serif" w:hAnsi="Helvetica;sans-serif"/>
                <w:b w:val="false"/>
                <w:i/>
                <w:color w:val="000000"/>
                <w:sz w:val="16"/>
              </w:rPr>
            </w:pPr>
            <w:r>
              <w:rPr>
                <w:rFonts w:ascii="Helvetica;sans-serif" w:hAnsi="Helvetica;sans-serif"/>
                <w:b w:val="false"/>
                <w:i/>
                <w:color w:val="000000"/>
                <w:sz w:val="16"/>
              </w:rPr>
              <w:t>(€ million)</w:t>
            </w:r>
          </w:p>
        </w:tc>
        <w:tc>
          <w:tcPr>
            <w:tcW w:w="327"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4"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Revenues from:</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4"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Shipments of vehicles and sales of other goods</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27,637 </w:t>
            </w:r>
          </w:p>
        </w:tc>
        <w:tc>
          <w:tcPr>
            <w:tcW w:w="273"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29,326 </w:t>
            </w:r>
          </w:p>
        </w:tc>
        <w:tc>
          <w:tcPr>
            <w:tcW w:w="299"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4,945 </w:t>
            </w:r>
          </w:p>
        </w:tc>
        <w:tc>
          <w:tcPr>
            <w:tcW w:w="289"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7,565 </w:t>
            </w:r>
          </w:p>
        </w:tc>
        <w:tc>
          <w:tcPr>
            <w:tcW w:w="274"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981 </w:t>
            </w:r>
          </w:p>
        </w:tc>
        <w:tc>
          <w:tcPr>
            <w:tcW w:w="228"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136 </w:t>
            </w:r>
          </w:p>
        </w:tc>
        <w:tc>
          <w:tcPr>
            <w:tcW w:w="293"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4" w:space="0" w:color="B6B6B6"/>
            </w:tcBorders>
            <w:shd w:fill="E6E7F4"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6"/>
              </w:rPr>
              <w:t>70,590</w:t>
            </w:r>
            <w:r>
              <w:rPr>
                <w:color w:val="243782"/>
              </w:rPr>
              <w:t> </w:t>
            </w:r>
          </w:p>
        </w:tc>
        <w:tc>
          <w:tcPr>
            <w:tcW w:w="243" w:type="dxa"/>
            <w:tcBorders>
              <w:top w:val="single" w:sz="4" w:space="0" w:color="B6B6B6"/>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4"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Other services provided</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666 </w:t>
            </w:r>
          </w:p>
        </w:tc>
        <w:tc>
          <w:tcPr>
            <w:tcW w:w="273"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870 </w:t>
            </w:r>
          </w:p>
        </w:tc>
        <w:tc>
          <w:tcPr>
            <w:tcW w:w="299"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11 </w:t>
            </w:r>
          </w:p>
        </w:tc>
        <w:tc>
          <w:tcPr>
            <w:tcW w:w="289"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133 </w:t>
            </w:r>
          </w:p>
        </w:tc>
        <w:tc>
          <w:tcPr>
            <w:tcW w:w="274"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25 </w:t>
            </w:r>
          </w:p>
        </w:tc>
        <w:tc>
          <w:tcPr>
            <w:tcW w:w="228"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721 </w:t>
            </w:r>
          </w:p>
        </w:tc>
        <w:tc>
          <w:tcPr>
            <w:tcW w:w="293"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6"/>
              </w:rPr>
              <w:t>2,426</w:t>
            </w:r>
            <w:r>
              <w:rPr>
                <w:color w:val="243782"/>
              </w:rPr>
              <w:t> </w:t>
            </w:r>
          </w:p>
        </w:tc>
        <w:tc>
          <w:tcPr>
            <w:tcW w:w="243"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r>
      <w:tr>
        <w:trPr/>
        <w:tc>
          <w:tcPr>
            <w:tcW w:w="1524" w:type="dxa"/>
            <w:gridSpan w:val="3"/>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243782"/>
                <w:sz w:val="16"/>
              </w:rPr>
            </w:pPr>
            <w:r>
              <w:rPr>
                <w:rFonts w:ascii="Helvetica;sans-serif" w:hAnsi="Helvetica;sans-serif"/>
                <w:b/>
                <w:color w:val="243782"/>
                <w:sz w:val="16"/>
              </w:rPr>
              <w:t>Revenues from goods and services</w:t>
            </w:r>
          </w:p>
        </w:tc>
        <w:tc>
          <w:tcPr>
            <w:tcW w:w="327" w:type="dxa"/>
            <w:gridSpan w:val="3"/>
            <w:tcBorders>
              <w:top w:val="single" w:sz="2" w:space="0" w:color="8E939F"/>
            </w:tcBorders>
            <w:shd w:fill="E6E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6"/>
              </w:rPr>
              <w:t>28,303</w:t>
            </w:r>
            <w:r>
              <w:rPr>
                <w:color w:val="243782"/>
              </w:rPr>
              <w:t> </w:t>
            </w:r>
          </w:p>
        </w:tc>
        <w:tc>
          <w:tcPr>
            <w:tcW w:w="273"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E6E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6"/>
              </w:rPr>
              <w:t>30,196</w:t>
            </w:r>
            <w:r>
              <w:rPr>
                <w:color w:val="243782"/>
              </w:rPr>
              <w:t> </w:t>
            </w:r>
          </w:p>
        </w:tc>
        <w:tc>
          <w:tcPr>
            <w:tcW w:w="299"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E6E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6"/>
              </w:rPr>
              <w:t>4,956</w:t>
            </w:r>
            <w:r>
              <w:rPr>
                <w:color w:val="243782"/>
              </w:rPr>
              <w:t> </w:t>
            </w:r>
          </w:p>
        </w:tc>
        <w:tc>
          <w:tcPr>
            <w:tcW w:w="289"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E6E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6"/>
              </w:rPr>
              <w:t>7,698</w:t>
            </w:r>
            <w:r>
              <w:rPr>
                <w:color w:val="243782"/>
              </w:rPr>
              <w:t> </w:t>
            </w:r>
          </w:p>
        </w:tc>
        <w:tc>
          <w:tcPr>
            <w:tcW w:w="274"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E6E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6"/>
              </w:rPr>
              <w:t>1,006</w:t>
            </w:r>
            <w:r>
              <w:rPr>
                <w:color w:val="243782"/>
              </w:rPr>
              <w:t> </w:t>
            </w:r>
          </w:p>
        </w:tc>
        <w:tc>
          <w:tcPr>
            <w:tcW w:w="228"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E6E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6"/>
              </w:rPr>
              <w:t>857</w:t>
            </w:r>
            <w:r>
              <w:rPr>
                <w:color w:val="243782"/>
              </w:rPr>
              <w:t> </w:t>
            </w:r>
          </w:p>
        </w:tc>
        <w:tc>
          <w:tcPr>
            <w:tcW w:w="293"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E6E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6"/>
              </w:rPr>
              <w:t>73,016</w:t>
            </w:r>
            <w:r>
              <w:rPr>
                <w:color w:val="243782"/>
              </w:rPr>
              <w:t> </w:t>
            </w:r>
          </w:p>
        </w:tc>
        <w:tc>
          <w:tcPr>
            <w:tcW w:w="243"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4"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2" w:space="0" w:color="8E939F"/>
            </w:tcBorders>
            <w:shd w:fill="E6E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4"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Lease installments from assets sold with a buyback commitment</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3"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359 </w:t>
            </w:r>
          </w:p>
        </w:tc>
        <w:tc>
          <w:tcPr>
            <w:tcW w:w="299"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9"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4"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8"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3"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6"/>
              </w:rPr>
              <w:t>359</w:t>
            </w:r>
            <w:r>
              <w:rPr>
                <w:color w:val="243782"/>
              </w:rPr>
              <w:t> </w:t>
            </w:r>
          </w:p>
        </w:tc>
        <w:tc>
          <w:tcPr>
            <w:tcW w:w="243"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4"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Interest income from financial services activities</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3"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9"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4"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886 </w:t>
            </w:r>
          </w:p>
        </w:tc>
        <w:tc>
          <w:tcPr>
            <w:tcW w:w="293"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6"/>
              </w:rPr>
              <w:t>886</w:t>
            </w:r>
            <w:r>
              <w:rPr>
                <w:color w:val="243782"/>
              </w:rPr>
              <w:t> </w:t>
            </w:r>
          </w:p>
        </w:tc>
        <w:tc>
          <w:tcPr>
            <w:tcW w:w="243"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4" w:type="dxa"/>
            <w:gridSpan w:val="3"/>
            <w:tcBorders/>
            <w:shd w:fill="E6E7F4"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243782"/>
                <w:sz w:val="16"/>
              </w:rPr>
            </w:pPr>
            <w:r>
              <w:rPr>
                <w:rFonts w:ascii="Helvetica;sans-serif" w:hAnsi="Helvetica;sans-serif"/>
                <w:b/>
                <w:color w:val="243782"/>
                <w:sz w:val="16"/>
              </w:rPr>
              <w:t>Total Net revenues</w:t>
            </w:r>
          </w:p>
        </w:tc>
        <w:tc>
          <w:tcPr>
            <w:tcW w:w="327" w:type="dxa"/>
            <w:gridSpan w:val="3"/>
            <w:tcBorders/>
            <w:shd w:fill="E6E7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E6E7F4" w:val="clear"/>
            <w:tcMar>
              <w:top w:w="0"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6"/>
              </w:rPr>
              <w:t>28,303</w:t>
            </w:r>
            <w:r>
              <w:rPr>
                <w:color w:val="243782"/>
              </w:rPr>
              <w:t> </w:t>
            </w:r>
          </w:p>
        </w:tc>
        <w:tc>
          <w:tcPr>
            <w:tcW w:w="273" w:type="dxa"/>
            <w:tcBorders/>
            <w:shd w:fill="E6E7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7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E6E7F4" w:val="clear"/>
            <w:tcMar>
              <w:top w:w="0"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6"/>
              </w:rPr>
              <w:t>30,555</w:t>
            </w:r>
            <w:r>
              <w:rPr>
                <w:color w:val="243782"/>
              </w:rPr>
              <w:t> </w:t>
            </w:r>
          </w:p>
        </w:tc>
        <w:tc>
          <w:tcPr>
            <w:tcW w:w="299" w:type="dxa"/>
            <w:tcBorders/>
            <w:shd w:fill="E6E7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7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E6E7F4" w:val="clear"/>
            <w:tcMar>
              <w:top w:w="0"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6"/>
              </w:rPr>
              <w:t>4,956</w:t>
            </w:r>
            <w:r>
              <w:rPr>
                <w:color w:val="243782"/>
              </w:rPr>
              <w:t> </w:t>
            </w:r>
          </w:p>
        </w:tc>
        <w:tc>
          <w:tcPr>
            <w:tcW w:w="289" w:type="dxa"/>
            <w:tcBorders/>
            <w:shd w:fill="E6E7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7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E6E7F4" w:val="clear"/>
            <w:tcMar>
              <w:top w:w="0"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6"/>
              </w:rPr>
              <w:t>7,698</w:t>
            </w:r>
            <w:r>
              <w:rPr>
                <w:color w:val="243782"/>
              </w:rPr>
              <w:t> </w:t>
            </w:r>
          </w:p>
        </w:tc>
        <w:tc>
          <w:tcPr>
            <w:tcW w:w="274" w:type="dxa"/>
            <w:tcBorders/>
            <w:shd w:fill="E6E7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7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E6E7F4" w:val="clear"/>
            <w:tcMar>
              <w:top w:w="0"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6"/>
              </w:rPr>
              <w:t>1,006</w:t>
            </w:r>
            <w:r>
              <w:rPr>
                <w:color w:val="243782"/>
              </w:rPr>
              <w:t> </w:t>
            </w:r>
          </w:p>
        </w:tc>
        <w:tc>
          <w:tcPr>
            <w:tcW w:w="228" w:type="dxa"/>
            <w:tcBorders/>
            <w:shd w:fill="E6E7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7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2"/>
            <w:tcBorders/>
            <w:shd w:fill="E6E7F4" w:val="clear"/>
            <w:tcMar>
              <w:top w:w="0"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6"/>
              </w:rPr>
              <w:t>1,743</w:t>
            </w:r>
            <w:r>
              <w:rPr>
                <w:color w:val="243782"/>
              </w:rPr>
              <w:t> </w:t>
            </w:r>
          </w:p>
        </w:tc>
        <w:tc>
          <w:tcPr>
            <w:tcW w:w="293" w:type="dxa"/>
            <w:tcBorders/>
            <w:shd w:fill="E6E7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7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E6E7F4" w:val="clear"/>
            <w:tcMar>
              <w:top w:w="0"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6"/>
              </w:rPr>
              <w:t>74,261</w:t>
            </w:r>
            <w:r>
              <w:rPr>
                <w:color w:val="243782"/>
              </w:rPr>
              <w:t> </w:t>
            </w:r>
          </w:p>
        </w:tc>
        <w:tc>
          <w:tcPr>
            <w:tcW w:w="243" w:type="dxa"/>
            <w:tcBorders/>
            <w:shd w:fill="E6E7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Helvetica;sans-serif" w:hAnsi="Helvetica;sans-serif"/>
          <w:b/>
          <w:color w:val="143A84"/>
          <w:sz w:val="20"/>
        </w:rPr>
      </w:pPr>
      <w:r>
        <w:rPr>
          <w:rFonts w:ascii="Helvetica;sans-serif" w:hAnsi="Helvetica;sans-serif"/>
          <w:b/>
          <w:color w:val="143A84"/>
          <w:sz w:val="20"/>
        </w:rPr>
        <w:t>4. Net financial expenses/(income)</w:t>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The following table summarizes the Company’s financial income and expenses included within Net financial expenses/(income):</w:t>
      </w:r>
    </w:p>
    <w:tbl>
      <w:tblPr>
        <w:tblW w:w="10205" w:type="dxa"/>
        <w:jc w:val="left"/>
        <w:tblInd w:w="0" w:type="dxa"/>
        <w:tblLayout w:type="fixed"/>
        <w:tblCellMar>
          <w:top w:w="28" w:type="dxa"/>
          <w:left w:w="28" w:type="dxa"/>
          <w:bottom w:w="28" w:type="dxa"/>
          <w:right w:w="28" w:type="dxa"/>
        </w:tblCellMar>
      </w:tblPr>
      <w:tblGrid>
        <w:gridCol w:w="2173"/>
        <w:gridCol w:w="1774"/>
        <w:gridCol w:w="1795"/>
        <w:gridCol w:w="291"/>
        <w:gridCol w:w="244"/>
        <w:gridCol w:w="206"/>
        <w:gridCol w:w="206"/>
        <w:gridCol w:w="206"/>
        <w:gridCol w:w="206"/>
        <w:gridCol w:w="291"/>
        <w:gridCol w:w="244"/>
        <w:gridCol w:w="206"/>
        <w:gridCol w:w="109"/>
        <w:gridCol w:w="109"/>
        <w:gridCol w:w="109"/>
        <w:gridCol w:w="259"/>
        <w:gridCol w:w="241"/>
        <w:gridCol w:w="189"/>
        <w:gridCol w:w="189"/>
        <w:gridCol w:w="189"/>
        <w:gridCol w:w="189"/>
        <w:gridCol w:w="259"/>
        <w:gridCol w:w="241"/>
        <w:gridCol w:w="280"/>
      </w:tblGrid>
      <w:tr>
        <w:trPr/>
        <w:tc>
          <w:tcPr>
            <w:tcW w:w="2173" w:type="dxa"/>
            <w:tcBorders/>
            <w:vAlign w:val="center"/>
          </w:tcPr>
          <w:p>
            <w:pPr>
              <w:pStyle w:val="TableContents"/>
              <w:bidi w:val="0"/>
              <w:spacing w:before="0" w:after="283"/>
              <w:jc w:val="left"/>
              <w:rPr>
                <w:sz w:val="4"/>
                <w:szCs w:val="4"/>
              </w:rPr>
            </w:pPr>
            <w:r>
              <w:rPr>
                <w:sz w:val="4"/>
                <w:szCs w:val="4"/>
              </w:rPr>
            </w:r>
          </w:p>
        </w:tc>
        <w:tc>
          <w:tcPr>
            <w:tcW w:w="1774" w:type="dxa"/>
            <w:tcBorders/>
            <w:vAlign w:val="center"/>
          </w:tcPr>
          <w:p>
            <w:pPr>
              <w:pStyle w:val="TableContents"/>
              <w:bidi w:val="0"/>
              <w:spacing w:before="0" w:after="283"/>
              <w:jc w:val="left"/>
              <w:rPr>
                <w:sz w:val="4"/>
                <w:szCs w:val="4"/>
              </w:rPr>
            </w:pPr>
            <w:r>
              <w:rPr>
                <w:sz w:val="4"/>
                <w:szCs w:val="4"/>
              </w:rPr>
            </w:r>
          </w:p>
        </w:tc>
        <w:tc>
          <w:tcPr>
            <w:tcW w:w="179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5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Six months ended June 30,</w:t>
            </w:r>
          </w:p>
        </w:tc>
      </w:tr>
      <w:tr>
        <w:trPr/>
        <w:tc>
          <w:tcPr>
            <w:tcW w:w="5742" w:type="dxa"/>
            <w:gridSpan w:val="3"/>
            <w:tcBorders>
              <w:top w:val="single" w:sz="2" w:space="0" w:color="FFFFFF"/>
            </w:tcBorders>
            <w:tcMar>
              <w:top w:w="52" w:type="dxa"/>
              <w:left w:w="0" w:type="dxa"/>
              <w:bottom w:w="0" w:type="dxa"/>
              <w:right w:w="0" w:type="dxa"/>
            </w:tcMar>
            <w:vAlign w:val="center"/>
          </w:tcPr>
          <w:p>
            <w:pPr>
              <w:pStyle w:val="TableContents"/>
              <w:bidi w:val="0"/>
              <w:spacing w:lineRule="auto" w:line="288" w:before="0" w:after="240"/>
              <w:jc w:val="left"/>
              <w:rPr>
                <w:rFonts w:ascii="Helvetica;sans-serif" w:hAnsi="Helvetica;sans-serif"/>
                <w:b w:val="false"/>
                <w:i/>
                <w:color w:val="000000"/>
                <w:sz w:val="16"/>
              </w:rPr>
            </w:pPr>
            <w:r>
              <w:rPr>
                <w:rFonts w:ascii="Helvetica;sans-serif" w:hAnsi="Helvetica;sans-serif"/>
                <w:b w:val="false"/>
                <w:i/>
                <w:color w:val="000000"/>
                <w:sz w:val="16"/>
              </w:rPr>
              <w:t>(€ million)</w:t>
            </w:r>
          </w:p>
        </w:tc>
        <w:tc>
          <w:tcPr>
            <w:tcW w:w="741"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2026</w:t>
            </w:r>
          </w:p>
        </w:tc>
        <w:tc>
          <w:tcPr>
            <w:tcW w:w="618"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2025</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2026</w:t>
            </w:r>
          </w:p>
        </w:tc>
        <w:tc>
          <w:tcPr>
            <w:tcW w:w="56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2025</w:t>
            </w:r>
          </w:p>
        </w:tc>
      </w:tr>
      <w:tr>
        <w:trPr/>
        <w:tc>
          <w:tcPr>
            <w:tcW w:w="5742" w:type="dxa"/>
            <w:gridSpan w:val="3"/>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color w:val="243782"/>
                <w:sz w:val="18"/>
              </w:rPr>
            </w:pPr>
            <w:r>
              <w:rPr>
                <w:rFonts w:ascii="Helvetica;sans-serif" w:hAnsi="Helvetica;sans-serif"/>
                <w:b/>
                <w:color w:val="243782"/>
                <w:sz w:val="18"/>
              </w:rPr>
              <w:t>Interest income and other financial income</w:t>
            </w:r>
          </w:p>
        </w:tc>
        <w:tc>
          <w:tcPr>
            <w:tcW w:w="535" w:type="dxa"/>
            <w:gridSpan w:val="2"/>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8"/>
              </w:rPr>
              <w:t>255</w:t>
            </w:r>
            <w:r>
              <w:rPr>
                <w:color w:val="243782"/>
              </w:rPr>
              <w:t> </w:t>
            </w:r>
          </w:p>
        </w:tc>
        <w:tc>
          <w:tcPr>
            <w:tcW w:w="206" w:type="dxa"/>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op w:val="single" w:sz="2" w:space="0" w:color="8E939F"/>
              <w:bottom w:val="single" w:sz="2" w:space="0" w:color="8E939F"/>
            </w:tcBorders>
            <w:shd w:fill="E6E7F4" w:val="clear"/>
            <w:tcMar>
              <w:left w:w="0" w:type="dxa"/>
              <w:right w:w="0" w:type="dxa"/>
            </w:tcMar>
            <w:vAlign w:val="center"/>
          </w:tcPr>
          <w:p>
            <w:pPr>
              <w:pStyle w:val="TableContents"/>
              <w:bidi w:val="0"/>
              <w:spacing w:before="0" w:after="283"/>
              <w:jc w:val="left"/>
              <w:rPr>
                <w:sz w:val="4"/>
                <w:szCs w:val="4"/>
              </w:rPr>
            </w:pPr>
            <w:r>
              <w:rPr>
                <w:sz w:val="4"/>
                <w:szCs w:val="4"/>
              </w:rPr>
            </w:r>
          </w:p>
        </w:tc>
        <w:tc>
          <w:tcPr>
            <w:tcW w:w="535" w:type="dxa"/>
            <w:gridSpan w:val="2"/>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8"/>
              </w:rPr>
              <w:t>274</w:t>
            </w:r>
            <w:r>
              <w:rPr>
                <w:color w:val="243782"/>
              </w:rPr>
              <w:t> </w:t>
            </w:r>
          </w:p>
        </w:tc>
        <w:tc>
          <w:tcPr>
            <w:tcW w:w="206" w:type="dxa"/>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bottom w:val="single" w:sz="2" w:space="0" w:color="8E939F"/>
            </w:tcBorders>
            <w:shd w:fill="E6E7F4" w:val="clear"/>
            <w:tcMar>
              <w:left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8"/>
              </w:rPr>
              <w:t>470</w:t>
            </w:r>
            <w:r>
              <w:rPr>
                <w:color w:val="243782"/>
              </w:rPr>
              <w:t> </w:t>
            </w:r>
          </w:p>
        </w:tc>
        <w:tc>
          <w:tcPr>
            <w:tcW w:w="189" w:type="dxa"/>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top w:val="single" w:sz="2" w:space="0" w:color="8E939F"/>
              <w:bottom w:val="single" w:sz="2" w:space="0" w:color="8E939F"/>
            </w:tcBorders>
            <w:shd w:fill="E6E7F4" w:val="clear"/>
            <w:tcMar>
              <w:left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8"/>
              </w:rPr>
              <w:t>639</w:t>
            </w:r>
            <w:r>
              <w:rPr>
                <w:color w:val="243782"/>
              </w:rPr>
              <w:t> </w:t>
            </w:r>
          </w:p>
        </w:tc>
        <w:tc>
          <w:tcPr>
            <w:tcW w:w="280" w:type="dxa"/>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742"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2"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243782"/>
                <w:sz w:val="18"/>
              </w:rPr>
            </w:pPr>
            <w:r>
              <w:rPr>
                <w:rFonts w:ascii="Helvetica;sans-serif" w:hAnsi="Helvetica;sans-serif"/>
                <w:b/>
                <w:color w:val="243782"/>
                <w:sz w:val="18"/>
              </w:rPr>
              <w:t>Financial expenses:</w:t>
            </w:r>
          </w:p>
        </w:tc>
        <w:tc>
          <w:tcPr>
            <w:tcW w:w="741"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2"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 xml:space="preserve">Interest expense and other financial expenses </w:t>
            </w:r>
          </w:p>
        </w:tc>
        <w:tc>
          <w:tcPr>
            <w:tcW w:w="535"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395 </w:t>
            </w:r>
          </w:p>
        </w:tc>
        <w:tc>
          <w:tcPr>
            <w:tcW w:w="206"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262 </w:t>
            </w:r>
          </w:p>
        </w:tc>
        <w:tc>
          <w:tcPr>
            <w:tcW w:w="20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724 </w:t>
            </w:r>
          </w:p>
        </w:tc>
        <w:tc>
          <w:tcPr>
            <w:tcW w:w="189"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547 </w:t>
            </w:r>
          </w:p>
        </w:tc>
        <w:tc>
          <w:tcPr>
            <w:tcW w:w="280"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2"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Interest on lease liabilities</w:t>
            </w:r>
          </w:p>
        </w:tc>
        <w:tc>
          <w:tcPr>
            <w:tcW w:w="535"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20 </w:t>
            </w:r>
          </w:p>
        </w:tc>
        <w:tc>
          <w:tcPr>
            <w:tcW w:w="206"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17 </w:t>
            </w:r>
          </w:p>
        </w:tc>
        <w:tc>
          <w:tcPr>
            <w:tcW w:w="20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40 </w:t>
            </w:r>
          </w:p>
        </w:tc>
        <w:tc>
          <w:tcPr>
            <w:tcW w:w="189"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34 </w:t>
            </w:r>
          </w:p>
        </w:tc>
        <w:tc>
          <w:tcPr>
            <w:tcW w:w="280"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2"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Write-down/(reversals of write-downs) of financial assets</w:t>
            </w:r>
          </w:p>
        </w:tc>
        <w:tc>
          <w:tcPr>
            <w:tcW w:w="535"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2 </w:t>
            </w:r>
          </w:p>
        </w:tc>
        <w:tc>
          <w:tcPr>
            <w:tcW w:w="206"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4 </w:t>
            </w:r>
          </w:p>
        </w:tc>
        <w:tc>
          <w:tcPr>
            <w:tcW w:w="20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4 </w:t>
            </w:r>
          </w:p>
        </w:tc>
        <w:tc>
          <w:tcPr>
            <w:tcW w:w="189"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3 </w:t>
            </w:r>
          </w:p>
        </w:tc>
        <w:tc>
          <w:tcPr>
            <w:tcW w:w="280"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2"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9"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r>
      <w:tr>
        <w:trPr/>
        <w:tc>
          <w:tcPr>
            <w:tcW w:w="5742"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Net interest expense on employee benefits provisions</w:t>
            </w:r>
          </w:p>
        </w:tc>
        <w:tc>
          <w:tcPr>
            <w:tcW w:w="535"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50 </w:t>
            </w:r>
          </w:p>
        </w:tc>
        <w:tc>
          <w:tcPr>
            <w:tcW w:w="206"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53 </w:t>
            </w:r>
          </w:p>
        </w:tc>
        <w:tc>
          <w:tcPr>
            <w:tcW w:w="20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99 </w:t>
            </w:r>
          </w:p>
        </w:tc>
        <w:tc>
          <w:tcPr>
            <w:tcW w:w="189"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109 </w:t>
            </w:r>
          </w:p>
        </w:tc>
        <w:tc>
          <w:tcPr>
            <w:tcW w:w="280"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2" w:type="dxa"/>
            <w:gridSpan w:val="3"/>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243782"/>
                <w:sz w:val="18"/>
              </w:rPr>
            </w:pPr>
            <w:r>
              <w:rPr>
                <w:rFonts w:ascii="Helvetica;sans-serif" w:hAnsi="Helvetica;sans-serif"/>
                <w:b/>
                <w:color w:val="243782"/>
                <w:sz w:val="18"/>
              </w:rPr>
              <w:t>Total Financial expenses</w:t>
            </w:r>
          </w:p>
        </w:tc>
        <w:tc>
          <w:tcPr>
            <w:tcW w:w="535"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8"/>
              </w:rPr>
              <w:t>467</w:t>
            </w:r>
            <w:r>
              <w:rPr>
                <w:color w:val="243782"/>
              </w:rPr>
              <w:t> </w:t>
            </w:r>
          </w:p>
        </w:tc>
        <w:tc>
          <w:tcPr>
            <w:tcW w:w="206"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op w:val="single" w:sz="2" w:space="0" w:color="8E939F"/>
            </w:tcBorders>
            <w:shd w:fill="E6E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8"/>
              </w:rPr>
              <w:t>336</w:t>
            </w:r>
            <w:r>
              <w:rPr>
                <w:color w:val="243782"/>
              </w:rPr>
              <w:t> </w:t>
            </w:r>
          </w:p>
        </w:tc>
        <w:tc>
          <w:tcPr>
            <w:tcW w:w="206"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E6E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8"/>
              </w:rPr>
              <w:t>867</w:t>
            </w:r>
            <w:r>
              <w:rPr>
                <w:color w:val="243782"/>
              </w:rPr>
              <w:t> </w:t>
            </w:r>
          </w:p>
        </w:tc>
        <w:tc>
          <w:tcPr>
            <w:tcW w:w="189"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top w:val="single" w:sz="2" w:space="0" w:color="8E939F"/>
            </w:tcBorders>
            <w:shd w:fill="E6E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8"/>
              </w:rPr>
              <w:t>693</w:t>
            </w:r>
            <w:r>
              <w:rPr>
                <w:color w:val="243782"/>
              </w:rPr>
              <w:t> </w:t>
            </w:r>
          </w:p>
        </w:tc>
        <w:tc>
          <w:tcPr>
            <w:tcW w:w="280"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2"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Net expenses/(income) from derivative financial instruments and exchange rate differences</w:t>
            </w:r>
          </w:p>
        </w:tc>
        <w:tc>
          <w:tcPr>
            <w:tcW w:w="535"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(10)</w:t>
            </w:r>
          </w:p>
        </w:tc>
        <w:tc>
          <w:tcPr>
            <w:tcW w:w="206"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1 </w:t>
            </w:r>
          </w:p>
        </w:tc>
        <w:tc>
          <w:tcPr>
            <w:tcW w:w="20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(45)</w:t>
            </w:r>
          </w:p>
        </w:tc>
        <w:tc>
          <w:tcPr>
            <w:tcW w:w="189"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106 </w:t>
            </w:r>
          </w:p>
        </w:tc>
        <w:tc>
          <w:tcPr>
            <w:tcW w:w="280"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2"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2" w:type="dxa"/>
            <w:gridSpan w:val="3"/>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243782"/>
                <w:sz w:val="18"/>
              </w:rPr>
            </w:pPr>
            <w:r>
              <w:rPr>
                <w:rFonts w:ascii="Helvetica;sans-serif" w:hAnsi="Helvetica;sans-serif"/>
                <w:b/>
                <w:color w:val="243782"/>
                <w:sz w:val="18"/>
              </w:rPr>
              <w:t>Total Financial expenses and Net expenses from derivative financial instruments and exchange rate differences</w:t>
            </w:r>
          </w:p>
        </w:tc>
        <w:tc>
          <w:tcPr>
            <w:tcW w:w="535"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8"/>
              </w:rPr>
              <w:t>457</w:t>
            </w:r>
            <w:r>
              <w:rPr>
                <w:color w:val="243782"/>
              </w:rPr>
              <w:t> </w:t>
            </w:r>
          </w:p>
        </w:tc>
        <w:tc>
          <w:tcPr>
            <w:tcW w:w="206"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op w:val="single" w:sz="2" w:space="0" w:color="8E939F"/>
            </w:tcBorders>
            <w:shd w:fill="E6E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8"/>
              </w:rPr>
              <w:t>337</w:t>
            </w:r>
            <w:r>
              <w:rPr>
                <w:color w:val="243782"/>
              </w:rPr>
              <w:t> </w:t>
            </w:r>
          </w:p>
        </w:tc>
        <w:tc>
          <w:tcPr>
            <w:tcW w:w="206"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E6E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8"/>
              </w:rPr>
              <w:t>822</w:t>
            </w:r>
            <w:r>
              <w:rPr>
                <w:color w:val="243782"/>
              </w:rPr>
              <w:t> </w:t>
            </w:r>
          </w:p>
        </w:tc>
        <w:tc>
          <w:tcPr>
            <w:tcW w:w="189"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top w:val="single" w:sz="2" w:space="0" w:color="8E939F"/>
            </w:tcBorders>
            <w:shd w:fill="E6E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8"/>
              </w:rPr>
              <w:t>799</w:t>
            </w:r>
            <w:r>
              <w:rPr>
                <w:color w:val="243782"/>
              </w:rPr>
              <w:t> </w:t>
            </w:r>
          </w:p>
        </w:tc>
        <w:tc>
          <w:tcPr>
            <w:tcW w:w="280"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2"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2" w:type="dxa"/>
            <w:gridSpan w:val="3"/>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color w:val="243782"/>
                <w:sz w:val="18"/>
              </w:rPr>
            </w:pPr>
            <w:r>
              <w:rPr>
                <w:rFonts w:ascii="Helvetica;sans-serif" w:hAnsi="Helvetica;sans-serif"/>
                <w:b/>
                <w:color w:val="243782"/>
                <w:sz w:val="18"/>
              </w:rPr>
              <w:t>Net financial expenses/(income)</w:t>
            </w:r>
          </w:p>
        </w:tc>
        <w:tc>
          <w:tcPr>
            <w:tcW w:w="535" w:type="dxa"/>
            <w:gridSpan w:val="2"/>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8"/>
              </w:rPr>
              <w:t>202</w:t>
            </w:r>
            <w:r>
              <w:rPr>
                <w:color w:val="243782"/>
              </w:rPr>
              <w:t> </w:t>
            </w:r>
          </w:p>
        </w:tc>
        <w:tc>
          <w:tcPr>
            <w:tcW w:w="206" w:type="dxa"/>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op w:val="single" w:sz="2" w:space="0" w:color="8E939F"/>
              <w:bottom w:val="single" w:sz="2" w:space="0" w:color="8E939F"/>
            </w:tcBorders>
            <w:shd w:fill="E6E7F4" w:val="clear"/>
            <w:tcMar>
              <w:left w:w="0" w:type="dxa"/>
              <w:right w:w="0" w:type="dxa"/>
            </w:tcMar>
            <w:vAlign w:val="center"/>
          </w:tcPr>
          <w:p>
            <w:pPr>
              <w:pStyle w:val="TableContents"/>
              <w:bidi w:val="0"/>
              <w:spacing w:before="0" w:after="283"/>
              <w:jc w:val="left"/>
              <w:rPr>
                <w:sz w:val="4"/>
                <w:szCs w:val="4"/>
              </w:rPr>
            </w:pPr>
            <w:r>
              <w:rPr>
                <w:sz w:val="4"/>
                <w:szCs w:val="4"/>
              </w:rPr>
            </w:r>
          </w:p>
        </w:tc>
        <w:tc>
          <w:tcPr>
            <w:tcW w:w="535" w:type="dxa"/>
            <w:gridSpan w:val="2"/>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8"/>
              </w:rPr>
              <w:t>63</w:t>
            </w:r>
            <w:r>
              <w:rPr>
                <w:color w:val="243782"/>
              </w:rPr>
              <w:t> </w:t>
            </w:r>
          </w:p>
        </w:tc>
        <w:tc>
          <w:tcPr>
            <w:tcW w:w="206" w:type="dxa"/>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bottom w:val="single" w:sz="2" w:space="0" w:color="8E939F"/>
            </w:tcBorders>
            <w:shd w:fill="E6E7F4" w:val="clear"/>
            <w:tcMar>
              <w:left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8"/>
              </w:rPr>
              <w:t>352</w:t>
            </w:r>
            <w:r>
              <w:rPr>
                <w:color w:val="243782"/>
              </w:rPr>
              <w:t> </w:t>
            </w:r>
          </w:p>
        </w:tc>
        <w:tc>
          <w:tcPr>
            <w:tcW w:w="189" w:type="dxa"/>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top w:val="single" w:sz="2" w:space="0" w:color="8E939F"/>
              <w:bottom w:val="single" w:sz="2" w:space="0" w:color="8E939F"/>
            </w:tcBorders>
            <w:shd w:fill="E6E7F4" w:val="clear"/>
            <w:tcMar>
              <w:left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8"/>
              </w:rPr>
              <w:t>160</w:t>
            </w:r>
            <w:r>
              <w:rPr>
                <w:color w:val="243782"/>
              </w:rPr>
              <w:t> </w:t>
            </w:r>
          </w:p>
        </w:tc>
        <w:tc>
          <w:tcPr>
            <w:tcW w:w="280" w:type="dxa"/>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For the three months ended June 30, 2026, the Company recorded Net financial expenses of €202 million compared to €63 million in the same period in 2025. The variance was primarily driven by higher interest on warranty provisions and lower capitalized interest.</w:t>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For the six months ended June 30, 2026, the Company recorded Net financial expenses of €352 million compared to €160 million in the same period in 2025. The increase was primarily driven by lower interest income from liquidity investments, reflecting both reduced liquidity levels and a decline in short-term market rates, higher interest on warranty provisions and lower capitalized interest, partially offset by expenses recognized during 2025 upon termination of commodity derivative contracts of €138 million, which did not recur in 2026.</w:t>
      </w:r>
    </w:p>
    <w:p>
      <w:pPr>
        <w:pStyle w:val="TextBody"/>
        <w:bidi w:val="0"/>
        <w:spacing w:before="0" w:after="24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503555"/>
                <wp:effectExtent l="0" t="0" r="0" b="0"/>
                <wp:wrapNone/>
                <wp:docPr id="84" name="Frame69"/>
                <a:graphic xmlns:a="http://schemas.openxmlformats.org/drawingml/2006/main">
                  <a:graphicData uri="http://schemas.microsoft.com/office/word/2010/wordprocessingShape">
                    <wps:wsp>
                      <wps:cNvSpPr txBox="1"/>
                      <wps:spPr>
                        <a:xfrm>
                          <a:off x="0" y="0"/>
                          <a:ext cx="6480175" cy="5035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65</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65</w:t>
                      </w:r>
                    </w:p>
                    <w:p>
                      <w:pPr>
                        <w:pStyle w:val="TextBody"/>
                        <w:bidi w:val="0"/>
                        <w:spacing w:before="0" w:after="24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Net financial expenses for the six months ended June 30, 2026 included €37 million of losses (€70 million of losses for the six months ended June 30, 2025) on the net monetary position of entities whose functional currency is the currency of hyperinflationary economies, relating to the Argentine Peso and to the Turkish Lira. The decrease primarily reflects the disposal of Stellantis Türkiye that occurred in Q2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Helvetica;sans-serif" w:hAnsi="Helvetica;sans-serif"/>
          <w:b/>
          <w:color w:val="143A84"/>
          <w:sz w:val="20"/>
        </w:rPr>
      </w:pPr>
      <w:r>
        <w:rPr>
          <w:rFonts w:ascii="Helvetica;sans-serif" w:hAnsi="Helvetica;sans-serif"/>
          <w:b/>
          <w:color w:val="143A84"/>
          <w:sz w:val="20"/>
        </w:rPr>
        <w:t>5. Tax expense/(benefit)</w:t>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Tax expense/(benefit) was as follows:</w:t>
      </w:r>
    </w:p>
    <w:tbl>
      <w:tblPr>
        <w:tblW w:w="9361" w:type="dxa"/>
        <w:jc w:val="left"/>
        <w:tblInd w:w="0" w:type="dxa"/>
        <w:tblLayout w:type="fixed"/>
        <w:tblCellMar>
          <w:top w:w="28" w:type="dxa"/>
          <w:left w:w="28" w:type="dxa"/>
          <w:bottom w:w="28" w:type="dxa"/>
          <w:right w:w="28" w:type="dxa"/>
        </w:tblCellMar>
      </w:tblPr>
      <w:tblGrid>
        <w:gridCol w:w="1382"/>
        <w:gridCol w:w="1217"/>
        <w:gridCol w:w="1225"/>
        <w:gridCol w:w="291"/>
        <w:gridCol w:w="291"/>
        <w:gridCol w:w="291"/>
        <w:gridCol w:w="291"/>
        <w:gridCol w:w="291"/>
        <w:gridCol w:w="291"/>
        <w:gridCol w:w="397"/>
        <w:gridCol w:w="293"/>
        <w:gridCol w:w="291"/>
        <w:gridCol w:w="109"/>
        <w:gridCol w:w="109"/>
        <w:gridCol w:w="109"/>
        <w:gridCol w:w="270"/>
        <w:gridCol w:w="270"/>
        <w:gridCol w:w="259"/>
        <w:gridCol w:w="259"/>
        <w:gridCol w:w="259"/>
        <w:gridCol w:w="259"/>
        <w:gridCol w:w="270"/>
        <w:gridCol w:w="270"/>
        <w:gridCol w:w="367"/>
      </w:tblGrid>
      <w:tr>
        <w:trPr/>
        <w:tc>
          <w:tcPr>
            <w:tcW w:w="1382"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Six months ended June 30,</w:t>
            </w:r>
          </w:p>
        </w:tc>
      </w:tr>
      <w:tr>
        <w:trPr/>
        <w:tc>
          <w:tcPr>
            <w:tcW w:w="3824"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Helvetica;sans-serif" w:hAnsi="Helvetica;sans-serif"/>
                <w:b w:val="false"/>
                <w:i/>
                <w:color w:val="000000"/>
                <w:sz w:val="16"/>
              </w:rPr>
            </w:pPr>
            <w:r>
              <w:rPr>
                <w:rFonts w:ascii="Helvetica;sans-serif" w:hAnsi="Helvetica;sans-serif"/>
                <w:b w:val="false"/>
                <w:i/>
                <w:color w:val="000000"/>
                <w:sz w:val="16"/>
              </w:rPr>
              <w:t>(€ million)</w:t>
            </w:r>
          </w:p>
        </w:tc>
        <w:tc>
          <w:tcPr>
            <w:tcW w:w="873"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2026</w:t>
            </w:r>
          </w:p>
        </w:tc>
        <w:tc>
          <w:tcPr>
            <w:tcW w:w="873"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2025</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2026</w:t>
            </w:r>
          </w:p>
        </w:tc>
        <w:tc>
          <w:tcPr>
            <w:tcW w:w="77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2025</w:t>
            </w:r>
          </w:p>
        </w:tc>
      </w:tr>
      <w:tr>
        <w:trPr/>
        <w:tc>
          <w:tcPr>
            <w:tcW w:w="3824" w:type="dxa"/>
            <w:gridSpan w:val="3"/>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lineRule="auto" w:line="288" w:before="0" w:after="0"/>
              <w:jc w:val="left"/>
              <w:rPr>
                <w:rFonts w:ascii="Helvetica;sans-serif" w:hAnsi="Helvetica;sans-serif"/>
                <w:b w:val="false"/>
                <w:color w:val="000000"/>
                <w:sz w:val="18"/>
              </w:rPr>
            </w:pPr>
            <w:r>
              <w:rPr>
                <w:rFonts w:ascii="Helvetica;sans-serif" w:hAnsi="Helvetica;sans-serif"/>
                <w:b w:val="false"/>
                <w:color w:val="000000"/>
                <w:sz w:val="18"/>
              </w:rPr>
              <w:t>Current tax expense/(benefit)</w:t>
            </w:r>
          </w:p>
        </w:tc>
        <w:tc>
          <w:tcPr>
            <w:tcW w:w="582" w:type="dxa"/>
            <w:gridSpan w:val="2"/>
            <w:tcBorders>
              <w:top w:val="single" w:sz="2" w:space="0" w:color="8E939F"/>
              <w:bottom w:val="single" w:sz="2" w:space="0" w:color="8E939F"/>
            </w:tcBorders>
            <w:shd w:fill="F3F3F9" w:val="clear"/>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272 </w:t>
            </w:r>
          </w:p>
        </w:tc>
        <w:tc>
          <w:tcPr>
            <w:tcW w:w="291" w:type="dxa"/>
            <w:tcBorders>
              <w:top w:val="single" w:sz="2" w:space="0" w:color="8E939F"/>
              <w:bottom w:val="single" w:sz="2" w:space="0" w:color="8E939F"/>
            </w:tcBorders>
            <w:shd w:fill="F3F3F9"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2" w:space="0" w:color="8E939F"/>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726 </w:t>
            </w:r>
          </w:p>
        </w:tc>
        <w:tc>
          <w:tcPr>
            <w:tcW w:w="291" w:type="dxa"/>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2" w:space="0" w:color="8E939F"/>
              <w:bottom w:val="single" w:sz="2" w:space="0" w:color="8E939F"/>
            </w:tcBorders>
            <w:shd w:fill="F3F3F9" w:val="clear"/>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461 </w:t>
            </w:r>
          </w:p>
        </w:tc>
        <w:tc>
          <w:tcPr>
            <w:tcW w:w="259" w:type="dxa"/>
            <w:tcBorders>
              <w:top w:val="single" w:sz="2" w:space="0" w:color="8E939F"/>
              <w:bottom w:val="single" w:sz="2" w:space="0" w:color="8E939F"/>
            </w:tcBorders>
            <w:shd w:fill="F3F3F9"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op w:val="single" w:sz="2" w:space="0" w:color="8E939F"/>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307 </w:t>
            </w:r>
          </w:p>
        </w:tc>
        <w:tc>
          <w:tcPr>
            <w:tcW w:w="367" w:type="dxa"/>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100" w:after="100"/>
              <w:jc w:val="left"/>
              <w:rPr>
                <w:rFonts w:ascii="Helvetica;sans-serif" w:hAnsi="Helvetica;sans-serif"/>
                <w:b w:val="false"/>
                <w:color w:val="000000"/>
                <w:sz w:val="18"/>
              </w:rPr>
            </w:pPr>
            <w:r>
              <w:rPr>
                <w:rFonts w:ascii="Helvetica;sans-serif" w:hAnsi="Helvetica;sans-serif"/>
                <w:b w:val="false"/>
                <w:color w:val="000000"/>
                <w:sz w:val="18"/>
              </w:rPr>
              <w:t>Deferred tax expense/(benefit)</w:t>
            </w:r>
          </w:p>
        </w:tc>
        <w:tc>
          <w:tcPr>
            <w:tcW w:w="582"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11 </w:t>
            </w:r>
          </w:p>
        </w:tc>
        <w:tc>
          <w:tcPr>
            <w:tcW w:w="291"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(1,256)</w:t>
            </w:r>
          </w:p>
        </w:tc>
        <w:tc>
          <w:tcPr>
            <w:tcW w:w="291"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21 </w:t>
            </w:r>
          </w:p>
        </w:tc>
        <w:tc>
          <w:tcPr>
            <w:tcW w:w="259"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(870)</w:t>
            </w:r>
          </w:p>
        </w:tc>
        <w:tc>
          <w:tcPr>
            <w:tcW w:w="367"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100" w:after="100"/>
              <w:jc w:val="left"/>
              <w:rPr>
                <w:rFonts w:ascii="Helvetica;sans-serif" w:hAnsi="Helvetica;sans-serif"/>
                <w:b w:val="false"/>
                <w:color w:val="000000"/>
                <w:sz w:val="18"/>
              </w:rPr>
            </w:pPr>
            <w:r>
              <w:rPr>
                <w:rFonts w:ascii="Helvetica;sans-serif" w:hAnsi="Helvetica;sans-serif"/>
                <w:b w:val="false"/>
                <w:color w:val="000000"/>
                <w:sz w:val="18"/>
              </w:rPr>
              <w:t>Tax expense/(benefit) relating to prior periods</w:t>
            </w:r>
          </w:p>
        </w:tc>
        <w:tc>
          <w:tcPr>
            <w:tcW w:w="582"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(76)</w:t>
            </w:r>
          </w:p>
        </w:tc>
        <w:tc>
          <w:tcPr>
            <w:tcW w:w="291"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(58)</w:t>
            </w:r>
          </w:p>
        </w:tc>
        <w:tc>
          <w:tcPr>
            <w:tcW w:w="291"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(114)</w:t>
            </w:r>
          </w:p>
        </w:tc>
        <w:tc>
          <w:tcPr>
            <w:tcW w:w="259"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(51)</w:t>
            </w:r>
          </w:p>
        </w:tc>
        <w:tc>
          <w:tcPr>
            <w:tcW w:w="367"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color w:val="243782"/>
                <w:sz w:val="18"/>
              </w:rPr>
            </w:pPr>
            <w:r>
              <w:rPr>
                <w:rFonts w:ascii="Helvetica;sans-serif" w:hAnsi="Helvetica;sans-serif"/>
                <w:b/>
                <w:color w:val="243782"/>
                <w:sz w:val="18"/>
              </w:rPr>
              <w:t>Total Tax expense/(benefit)</w:t>
            </w:r>
          </w:p>
        </w:tc>
        <w:tc>
          <w:tcPr>
            <w:tcW w:w="582" w:type="dxa"/>
            <w:gridSpan w:val="2"/>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8"/>
              </w:rPr>
              <w:t>207</w:t>
            </w:r>
            <w:r>
              <w:rPr>
                <w:color w:val="243782"/>
              </w:rPr>
              <w:t> </w:t>
            </w:r>
          </w:p>
        </w:tc>
        <w:tc>
          <w:tcPr>
            <w:tcW w:w="291" w:type="dxa"/>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2" w:space="0" w:color="8E939F"/>
              <w:bottom w:val="single" w:sz="2" w:space="0" w:color="8E939F"/>
            </w:tcBorders>
            <w:shd w:fill="E6E7F4" w:val="clear"/>
            <w:tcMar>
              <w:left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(588)</w:t>
            </w:r>
          </w:p>
        </w:tc>
        <w:tc>
          <w:tcPr>
            <w:tcW w:w="291" w:type="dxa"/>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bottom w:val="single" w:sz="2" w:space="0" w:color="8E939F"/>
            </w:tcBorders>
            <w:shd w:fill="E6E7F4" w:val="clear"/>
            <w:tcMar>
              <w:left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8"/>
              </w:rPr>
              <w:t>368</w:t>
            </w:r>
            <w:r>
              <w:rPr>
                <w:color w:val="243782"/>
              </w:rPr>
              <w:t> </w:t>
            </w:r>
          </w:p>
        </w:tc>
        <w:tc>
          <w:tcPr>
            <w:tcW w:w="259" w:type="dxa"/>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op w:val="single" w:sz="2" w:space="0" w:color="8E939F"/>
              <w:bottom w:val="single" w:sz="2" w:space="0" w:color="8E939F"/>
            </w:tcBorders>
            <w:shd w:fill="E6E7F4" w:val="clear"/>
            <w:tcMar>
              <w:left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(614)</w:t>
            </w:r>
          </w:p>
        </w:tc>
        <w:tc>
          <w:tcPr>
            <w:tcW w:w="367" w:type="dxa"/>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Tax expense was €207 million for the three months ended June 30, 2026, compared to a tax benefit of €588 million for the corresponding period in 2025. For the six months ended June 30, 2026, tax expense was €368 million, compared to a tax benefit of €614 million for the corresponding period in 2025. These variations primarily reflect the Company’s transition from pre-tax losses in the three and six month periods ended June 30, 2025 to pre-tax income in the corresponding periods of 2026.</w:t>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 xml:space="preserve">The Company has assessed the impact of the Pillar Two tax rules on its operations. Many countries, including the Netherlands, where the Company is tax resident, enacted these rules in 2024. As a result, the Pillar Two rules are effective for Stellantis from January 1, 2024. For these quarterly Condensed Consolidated Financial Statements, the impact of Pillar Two is immaterial and relates to the Company’s operations in the United Arab Emirates, where the Pillar Two transitional safe harbor does not apply and the Pillar Two effective rate is below 15 percent. The Company has applied the mandatory exception to recognizing and disclosing information about deferred tax assets and liabilities arising from Pillar Two income taxes.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Helvetica;sans-serif" w:hAnsi="Helvetica;sans-serif"/>
          <w:b/>
          <w:color w:val="143A84"/>
          <w:sz w:val="20"/>
        </w:rPr>
      </w:pPr>
      <w:r>
        <w:rPr>
          <w:rFonts w:ascii="Helvetica;sans-serif" w:hAnsi="Helvetica;sans-serif"/>
          <w:b/>
          <w:color w:val="143A84"/>
          <w:sz w:val="20"/>
        </w:rPr>
        <w:t>6. Goodwill and intangible assets with indefinite useful lives</w:t>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Goodwill and intangible assets with indefinite useful lives at June 30, 2026 and at December 31, 2025 are summarized below:</w:t>
      </w:r>
    </w:p>
    <w:tbl>
      <w:tblPr>
        <w:tblW w:w="9529" w:type="dxa"/>
        <w:jc w:val="left"/>
        <w:tblInd w:w="0" w:type="dxa"/>
        <w:tblLayout w:type="fixed"/>
        <w:tblCellMar>
          <w:top w:w="28" w:type="dxa"/>
          <w:left w:w="28" w:type="dxa"/>
          <w:bottom w:w="28" w:type="dxa"/>
          <w:right w:w="28" w:type="dxa"/>
        </w:tblCellMar>
      </w:tblPr>
      <w:tblGrid>
        <w:gridCol w:w="1949"/>
        <w:gridCol w:w="1711"/>
        <w:gridCol w:w="1740"/>
        <w:gridCol w:w="509"/>
        <w:gridCol w:w="509"/>
        <w:gridCol w:w="512"/>
        <w:gridCol w:w="109"/>
        <w:gridCol w:w="109"/>
        <w:gridCol w:w="109"/>
        <w:gridCol w:w="109"/>
        <w:gridCol w:w="109"/>
        <w:gridCol w:w="600"/>
        <w:gridCol w:w="600"/>
        <w:gridCol w:w="854"/>
      </w:tblGrid>
      <w:tr>
        <w:trPr/>
        <w:tc>
          <w:tcPr>
            <w:tcW w:w="1949"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c>
          <w:tcPr>
            <w:tcW w:w="1740"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bottom w:val="single" w:sz="2" w:space="0" w:color="8E939F"/>
            </w:tcBorders>
            <w:tcMar>
              <w:top w:w="0" w:type="dxa"/>
              <w:left w:w="0" w:type="dxa"/>
              <w:bottom w:w="30" w:type="dxa"/>
              <w:right w:w="0" w:type="dxa"/>
            </w:tcMar>
            <w:vAlign w:val="center"/>
          </w:tcPr>
          <w:p>
            <w:pPr>
              <w:pStyle w:val="TableContents"/>
              <w:bidi w:val="0"/>
              <w:spacing w:lineRule="auto" w:line="288" w:before="0" w:after="240"/>
              <w:jc w:val="left"/>
              <w:rPr>
                <w:rFonts w:ascii="Helvetica;sans-serif" w:hAnsi="Helvetica;sans-serif"/>
                <w:b w:val="false"/>
                <w:i/>
                <w:color w:val="000000"/>
                <w:sz w:val="16"/>
              </w:rPr>
            </w:pPr>
            <w:r>
              <w:rPr>
                <w:rFonts w:ascii="Helvetica;sans-serif" w:hAnsi="Helvetica;sans-serif"/>
                <w:b w:val="false"/>
                <w:i/>
                <w:color w:val="000000"/>
                <w:sz w:val="16"/>
              </w:rPr>
              <w:t>(€ million)</w:t>
            </w:r>
          </w:p>
        </w:tc>
        <w:tc>
          <w:tcPr>
            <w:tcW w:w="1530" w:type="dxa"/>
            <w:gridSpan w:val="3"/>
            <w:tcBorders>
              <w:bottom w:val="single" w:sz="2" w:space="0" w:color="143A84"/>
            </w:tcBorders>
            <w:tcMar>
              <w:top w:w="0" w:type="dxa"/>
              <w:left w:w="0" w:type="dxa"/>
              <w:bottom w:w="3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At June 30, 2026</w:t>
            </w:r>
          </w:p>
        </w:tc>
        <w:tc>
          <w:tcPr>
            <w:tcW w:w="327" w:type="dxa"/>
            <w:gridSpan w:val="3"/>
            <w:tcBorders>
              <w:bottom w:val="single" w:sz="2" w:space="0" w:color="143A8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4" w:type="dxa"/>
            <w:gridSpan w:val="3"/>
            <w:tcBorders>
              <w:bottom w:val="single" w:sz="2" w:space="0" w:color="143A84"/>
            </w:tcBorders>
            <w:tcMar>
              <w:top w:w="0" w:type="dxa"/>
              <w:left w:w="0" w:type="dxa"/>
              <w:bottom w:w="3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At December 31, 2025</w:t>
            </w:r>
          </w:p>
        </w:tc>
      </w:tr>
      <w:tr>
        <w:trPr/>
        <w:tc>
          <w:tcPr>
            <w:tcW w:w="5400"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Goodwill</w:t>
            </w:r>
          </w:p>
        </w:tc>
        <w:tc>
          <w:tcPr>
            <w:tcW w:w="1018" w:type="dxa"/>
            <w:gridSpan w:val="2"/>
            <w:tcBorders>
              <w:top w:val="single" w:sz="2" w:space="0" w:color="143A84"/>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14,466 </w:t>
            </w:r>
          </w:p>
        </w:tc>
        <w:tc>
          <w:tcPr>
            <w:tcW w:w="512" w:type="dxa"/>
            <w:tcBorders>
              <w:top w:val="single" w:sz="2" w:space="0" w:color="143A84"/>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0" w:type="dxa"/>
            <w:gridSpan w:val="2"/>
            <w:tcBorders>
              <w:top w:val="single" w:sz="2" w:space="0" w:color="143A84"/>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14,009 </w:t>
            </w:r>
          </w:p>
        </w:tc>
        <w:tc>
          <w:tcPr>
            <w:tcW w:w="854" w:type="dxa"/>
            <w:tcBorders>
              <w:top w:val="single" w:sz="2" w:space="0" w:color="143A84"/>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Other intangible assets with indefinite useful lives</w:t>
            </w:r>
          </w:p>
        </w:tc>
        <w:tc>
          <w:tcPr>
            <w:tcW w:w="1018"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15,511 </w:t>
            </w:r>
          </w:p>
        </w:tc>
        <w:tc>
          <w:tcPr>
            <w:tcW w:w="512"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0"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15,167 </w:t>
            </w:r>
          </w:p>
        </w:tc>
        <w:tc>
          <w:tcPr>
            <w:tcW w:w="854"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color w:val="243782"/>
                <w:sz w:val="18"/>
              </w:rPr>
            </w:pPr>
            <w:r>
              <w:rPr>
                <w:rFonts w:ascii="Helvetica;sans-serif" w:hAnsi="Helvetica;sans-serif"/>
                <w:b/>
                <w:color w:val="243782"/>
                <w:sz w:val="18"/>
              </w:rPr>
              <w:t>Total Goodwill and intangible assets with indefinite useful lives</w:t>
            </w:r>
          </w:p>
        </w:tc>
        <w:tc>
          <w:tcPr>
            <w:tcW w:w="1018" w:type="dxa"/>
            <w:gridSpan w:val="2"/>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8"/>
              </w:rPr>
              <w:t>29,977</w:t>
            </w:r>
            <w:r>
              <w:rPr>
                <w:color w:val="243782"/>
              </w:rPr>
              <w:t> </w:t>
            </w:r>
          </w:p>
        </w:tc>
        <w:tc>
          <w:tcPr>
            <w:tcW w:w="512" w:type="dxa"/>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bottom w:val="single" w:sz="2" w:space="0" w:color="8E939F"/>
            </w:tcBorders>
            <w:shd w:fill="E6E7F4"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0" w:type="dxa"/>
            <w:gridSpan w:val="2"/>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8"/>
              </w:rPr>
              <w:t>29,176</w:t>
            </w:r>
            <w:r>
              <w:rPr>
                <w:color w:val="243782"/>
              </w:rPr>
              <w:t> </w:t>
            </w:r>
          </w:p>
        </w:tc>
        <w:tc>
          <w:tcPr>
            <w:tcW w:w="854" w:type="dxa"/>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 xml:space="preserve">At June 30, 2026, Goodwill amounted to €14,466 million, with gross value of €15,104 million and accumulated impairment losses of €638 million. </w:t>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 xml:space="preserve">At December 31, 2025, Goodwill amounted to €14,009 million, with gross value of €14,647 million and accumulated impairment losses of €638 million. </w:t>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The increase in Goodwill and Other intangible assets with indefinite useful lives during the six months ended June 30, 2026 is primarily related to currency translation impacts driven by the strengthening of the U.S. Dollar against the Euro.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503555"/>
                <wp:effectExtent l="0" t="0" r="0" b="0"/>
                <wp:wrapNone/>
                <wp:docPr id="85" name="Frame70"/>
                <a:graphic xmlns:a="http://schemas.openxmlformats.org/drawingml/2006/main">
                  <a:graphicData uri="http://schemas.microsoft.com/office/word/2010/wordprocessingShape">
                    <wps:wsp>
                      <wps:cNvSpPr txBox="1"/>
                      <wps:spPr>
                        <a:xfrm>
                          <a:off x="0" y="0"/>
                          <a:ext cx="6480175" cy="5035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66</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66</w:t>
                      </w:r>
                    </w:p>
                    <w:p>
                      <w:pPr>
                        <w:pStyle w:val="TextBody"/>
                        <w:bidi w:val="0"/>
                        <w:spacing w:before="0" w:after="24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88" w:before="0" w:after="240"/>
        <w:jc w:val="left"/>
        <w:rPr>
          <w:rFonts w:ascii="Helvetica;sans-serif" w:hAnsi="Helvetica;sans-serif"/>
          <w:b/>
          <w:color w:val="143A84"/>
          <w:sz w:val="20"/>
        </w:rPr>
      </w:pPr>
      <w:r>
        <w:rPr>
          <w:rFonts w:ascii="Helvetica;sans-serif" w:hAnsi="Helvetica;sans-serif"/>
          <w:b/>
          <w:color w:val="143A84"/>
          <w:sz w:val="20"/>
        </w:rPr>
        <w:t>7. Other assets and prepaid expenses</w:t>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Other assets and prepaid expenses consisted of the following:</w:t>
      </w:r>
    </w:p>
    <w:tbl>
      <w:tblPr>
        <w:tblW w:w="10205" w:type="dxa"/>
        <w:jc w:val="left"/>
        <w:tblInd w:w="0" w:type="dxa"/>
        <w:tblLayout w:type="fixed"/>
        <w:tblCellMar>
          <w:top w:w="28" w:type="dxa"/>
          <w:left w:w="28" w:type="dxa"/>
          <w:bottom w:w="28" w:type="dxa"/>
          <w:right w:w="28" w:type="dxa"/>
        </w:tblCellMar>
      </w:tblPr>
      <w:tblGrid>
        <w:gridCol w:w="900"/>
        <w:gridCol w:w="791"/>
        <w:gridCol w:w="796"/>
        <w:gridCol w:w="368"/>
        <w:gridCol w:w="368"/>
        <w:gridCol w:w="236"/>
        <w:gridCol w:w="109"/>
        <w:gridCol w:w="109"/>
        <w:gridCol w:w="109"/>
        <w:gridCol w:w="367"/>
        <w:gridCol w:w="369"/>
        <w:gridCol w:w="356"/>
        <w:gridCol w:w="109"/>
        <w:gridCol w:w="109"/>
        <w:gridCol w:w="109"/>
        <w:gridCol w:w="367"/>
        <w:gridCol w:w="369"/>
        <w:gridCol w:w="171"/>
        <w:gridCol w:w="109"/>
        <w:gridCol w:w="109"/>
        <w:gridCol w:w="109"/>
        <w:gridCol w:w="368"/>
        <w:gridCol w:w="368"/>
        <w:gridCol w:w="236"/>
        <w:gridCol w:w="122"/>
        <w:gridCol w:w="122"/>
        <w:gridCol w:w="122"/>
        <w:gridCol w:w="368"/>
        <w:gridCol w:w="368"/>
        <w:gridCol w:w="356"/>
        <w:gridCol w:w="122"/>
        <w:gridCol w:w="122"/>
        <w:gridCol w:w="122"/>
        <w:gridCol w:w="367"/>
        <w:gridCol w:w="369"/>
        <w:gridCol w:w="234"/>
      </w:tblGrid>
      <w:tr>
        <w:trPr/>
        <w:tc>
          <w:tcPr>
            <w:tcW w:w="900"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r>
      <w:tr>
        <w:trPr/>
        <w:tc>
          <w:tcPr>
            <w:tcW w:w="24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5"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At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At December 31, 2025</w:t>
            </w:r>
          </w:p>
        </w:tc>
      </w:tr>
      <w:tr>
        <w:trPr/>
        <w:tc>
          <w:tcPr>
            <w:tcW w:w="2487"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Helvetica;sans-serif" w:hAnsi="Helvetica;sans-serif"/>
                <w:b w:val="false"/>
                <w:i/>
                <w:color w:val="000000"/>
                <w:sz w:val="16"/>
              </w:rPr>
            </w:pPr>
            <w:r>
              <w:rPr>
                <w:rFonts w:ascii="Helvetica;sans-serif" w:hAnsi="Helvetica;sans-serif"/>
                <w:b w:val="false"/>
                <w:i/>
                <w:color w:val="000000"/>
                <w:sz w:val="16"/>
              </w:rPr>
              <w:t>(€ million)</w:t>
            </w:r>
          </w:p>
        </w:tc>
        <w:tc>
          <w:tcPr>
            <w:tcW w:w="972"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6"/>
              </w:rPr>
            </w:pPr>
            <w:r>
              <w:rPr>
                <w:rFonts w:ascii="Helvetica;sans-serif" w:hAnsi="Helvetica;sans-serif"/>
                <w:b/>
                <w:color w:val="243782"/>
                <w:sz w:val="16"/>
              </w:rPr>
              <w:t>Current</w:t>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6"/>
              </w:rPr>
            </w:pPr>
            <w:r>
              <w:rPr>
                <w:rFonts w:ascii="Helvetica;sans-serif" w:hAnsi="Helvetica;sans-serif"/>
                <w:b/>
                <w:color w:val="243782"/>
                <w:sz w:val="16"/>
              </w:rPr>
              <w:t>Non-current</w:t>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6"/>
              </w:rPr>
            </w:pPr>
            <w:r>
              <w:rPr>
                <w:rFonts w:ascii="Helvetica;sans-serif" w:hAnsi="Helvetica;sans-serif"/>
                <w:b/>
                <w:color w:val="243782"/>
                <w:sz w:val="16"/>
              </w:rPr>
              <w:t>Total</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6"/>
              </w:rPr>
            </w:pPr>
            <w:r>
              <w:rPr>
                <w:rFonts w:ascii="Helvetica;sans-serif" w:hAnsi="Helvetica;sans-serif"/>
                <w:b/>
                <w:color w:val="243782"/>
                <w:sz w:val="16"/>
              </w:rPr>
              <w:t>Current</w:t>
            </w:r>
          </w:p>
        </w:tc>
        <w:tc>
          <w:tcPr>
            <w:tcW w:w="366"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6"/>
              </w:rPr>
            </w:pPr>
            <w:r>
              <w:rPr>
                <w:rFonts w:ascii="Helvetica;sans-serif" w:hAnsi="Helvetica;sans-serif"/>
                <w:b/>
                <w:color w:val="243782"/>
                <w:sz w:val="16"/>
              </w:rPr>
              <w:t>Non-current</w:t>
            </w:r>
          </w:p>
        </w:tc>
        <w:tc>
          <w:tcPr>
            <w:tcW w:w="366"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6"/>
              </w:rPr>
            </w:pPr>
            <w:r>
              <w:rPr>
                <w:rFonts w:ascii="Helvetica;sans-serif" w:hAnsi="Helvetica;sans-serif"/>
                <w:b/>
                <w:color w:val="243782"/>
                <w:sz w:val="16"/>
              </w:rPr>
              <w:t>Total</w:t>
            </w:r>
          </w:p>
        </w:tc>
      </w:tr>
      <w:tr>
        <w:trPr/>
        <w:tc>
          <w:tcPr>
            <w:tcW w:w="2487" w:type="dxa"/>
            <w:gridSpan w:val="3"/>
            <w:tcBorders>
              <w:top w:val="single" w:sz="2" w:space="0" w:color="143A84"/>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 xml:space="preserve">Receivables from financing activities </w:t>
            </w:r>
          </w:p>
        </w:tc>
        <w:tc>
          <w:tcPr>
            <w:tcW w:w="736" w:type="dxa"/>
            <w:gridSpan w:val="2"/>
            <w:tcBorders>
              <w:top w:val="single" w:sz="2" w:space="0" w:color="143A84"/>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8,222 </w:t>
            </w:r>
          </w:p>
        </w:tc>
        <w:tc>
          <w:tcPr>
            <w:tcW w:w="236" w:type="dxa"/>
            <w:tcBorders>
              <w:top w:val="single" w:sz="2" w:space="0" w:color="143A84"/>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143A84"/>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143A84"/>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11,260 </w:t>
            </w:r>
          </w:p>
        </w:tc>
        <w:tc>
          <w:tcPr>
            <w:tcW w:w="356" w:type="dxa"/>
            <w:tcBorders>
              <w:top w:val="single" w:sz="2" w:space="0" w:color="143A84"/>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143A84"/>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143A84"/>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19,482 </w:t>
            </w:r>
          </w:p>
        </w:tc>
        <w:tc>
          <w:tcPr>
            <w:tcW w:w="171" w:type="dxa"/>
            <w:tcBorders>
              <w:top w:val="single" w:sz="2" w:space="0" w:color="143A84"/>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143A84"/>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7,867 </w:t>
            </w:r>
          </w:p>
        </w:tc>
        <w:tc>
          <w:tcPr>
            <w:tcW w:w="236" w:type="dxa"/>
            <w:tcBorders>
              <w:top w:val="single" w:sz="2" w:space="0" w:color="143A84"/>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143A84"/>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7,864 </w:t>
            </w:r>
          </w:p>
        </w:tc>
        <w:tc>
          <w:tcPr>
            <w:tcW w:w="356" w:type="dxa"/>
            <w:tcBorders>
              <w:top w:val="single" w:sz="2" w:space="0" w:color="143A84"/>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143A84"/>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15,731 </w:t>
            </w:r>
          </w:p>
        </w:tc>
        <w:tc>
          <w:tcPr>
            <w:tcW w:w="234" w:type="dxa"/>
            <w:tcBorders>
              <w:top w:val="single" w:sz="2" w:space="0" w:color="143A84"/>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7"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Other receivables and other assets</w:t>
            </w:r>
          </w:p>
        </w:tc>
        <w:tc>
          <w:tcPr>
            <w:tcW w:w="736"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3,819 </w:t>
            </w:r>
          </w:p>
        </w:tc>
        <w:tc>
          <w:tcPr>
            <w:tcW w:w="236"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1,264 </w:t>
            </w:r>
          </w:p>
        </w:tc>
        <w:tc>
          <w:tcPr>
            <w:tcW w:w="356"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5,083 </w:t>
            </w:r>
          </w:p>
        </w:tc>
        <w:tc>
          <w:tcPr>
            <w:tcW w:w="171"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3,052 </w:t>
            </w:r>
          </w:p>
        </w:tc>
        <w:tc>
          <w:tcPr>
            <w:tcW w:w="23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884 </w:t>
            </w:r>
          </w:p>
        </w:tc>
        <w:tc>
          <w:tcPr>
            <w:tcW w:w="35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3,936 </w:t>
            </w:r>
          </w:p>
        </w:tc>
        <w:tc>
          <w:tcPr>
            <w:tcW w:w="234"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7"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Indirect tax receivables</w:t>
            </w:r>
          </w:p>
        </w:tc>
        <w:tc>
          <w:tcPr>
            <w:tcW w:w="736"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3,776 </w:t>
            </w:r>
          </w:p>
        </w:tc>
        <w:tc>
          <w:tcPr>
            <w:tcW w:w="236"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1,035 </w:t>
            </w:r>
          </w:p>
        </w:tc>
        <w:tc>
          <w:tcPr>
            <w:tcW w:w="356"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4,811 </w:t>
            </w:r>
          </w:p>
        </w:tc>
        <w:tc>
          <w:tcPr>
            <w:tcW w:w="171"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3,266 </w:t>
            </w:r>
          </w:p>
        </w:tc>
        <w:tc>
          <w:tcPr>
            <w:tcW w:w="23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958 </w:t>
            </w:r>
          </w:p>
        </w:tc>
        <w:tc>
          <w:tcPr>
            <w:tcW w:w="35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4,224 </w:t>
            </w:r>
          </w:p>
        </w:tc>
        <w:tc>
          <w:tcPr>
            <w:tcW w:w="234"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7"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Defined benefit plan assets</w:t>
            </w:r>
          </w:p>
        </w:tc>
        <w:tc>
          <w:tcPr>
            <w:tcW w:w="736"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6"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984 </w:t>
            </w:r>
          </w:p>
        </w:tc>
        <w:tc>
          <w:tcPr>
            <w:tcW w:w="356"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984 </w:t>
            </w:r>
          </w:p>
        </w:tc>
        <w:tc>
          <w:tcPr>
            <w:tcW w:w="171"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967 </w:t>
            </w:r>
          </w:p>
        </w:tc>
        <w:tc>
          <w:tcPr>
            <w:tcW w:w="35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967 </w:t>
            </w:r>
          </w:p>
        </w:tc>
        <w:tc>
          <w:tcPr>
            <w:tcW w:w="234"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7"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Derivative operating assets</w:t>
            </w:r>
          </w:p>
        </w:tc>
        <w:tc>
          <w:tcPr>
            <w:tcW w:w="736"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421 </w:t>
            </w:r>
          </w:p>
        </w:tc>
        <w:tc>
          <w:tcPr>
            <w:tcW w:w="236"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81 </w:t>
            </w:r>
          </w:p>
        </w:tc>
        <w:tc>
          <w:tcPr>
            <w:tcW w:w="356"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502 </w:t>
            </w:r>
          </w:p>
        </w:tc>
        <w:tc>
          <w:tcPr>
            <w:tcW w:w="171"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349 </w:t>
            </w:r>
          </w:p>
        </w:tc>
        <w:tc>
          <w:tcPr>
            <w:tcW w:w="23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57 </w:t>
            </w:r>
          </w:p>
        </w:tc>
        <w:tc>
          <w:tcPr>
            <w:tcW w:w="35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406 </w:t>
            </w:r>
          </w:p>
        </w:tc>
        <w:tc>
          <w:tcPr>
            <w:tcW w:w="234"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7"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 xml:space="preserve">Prepaid expenses </w:t>
            </w:r>
          </w:p>
        </w:tc>
        <w:tc>
          <w:tcPr>
            <w:tcW w:w="736"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1,348 </w:t>
            </w:r>
          </w:p>
        </w:tc>
        <w:tc>
          <w:tcPr>
            <w:tcW w:w="236"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479 </w:t>
            </w:r>
          </w:p>
        </w:tc>
        <w:tc>
          <w:tcPr>
            <w:tcW w:w="356"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1,827 </w:t>
            </w:r>
          </w:p>
        </w:tc>
        <w:tc>
          <w:tcPr>
            <w:tcW w:w="171"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1,236 </w:t>
            </w:r>
          </w:p>
        </w:tc>
        <w:tc>
          <w:tcPr>
            <w:tcW w:w="23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395 </w:t>
            </w:r>
          </w:p>
        </w:tc>
        <w:tc>
          <w:tcPr>
            <w:tcW w:w="35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1,631 </w:t>
            </w:r>
          </w:p>
        </w:tc>
        <w:tc>
          <w:tcPr>
            <w:tcW w:w="234"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7" w:type="dxa"/>
            <w:gridSpan w:val="3"/>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color w:val="243782"/>
                <w:sz w:val="18"/>
              </w:rPr>
            </w:pPr>
            <w:r>
              <w:rPr>
                <w:rFonts w:ascii="Helvetica;sans-serif" w:hAnsi="Helvetica;sans-serif"/>
                <w:b/>
                <w:color w:val="243782"/>
                <w:sz w:val="18"/>
              </w:rPr>
              <w:t>Total other assets and prepaid expenses</w:t>
            </w:r>
          </w:p>
        </w:tc>
        <w:tc>
          <w:tcPr>
            <w:tcW w:w="736" w:type="dxa"/>
            <w:gridSpan w:val="2"/>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8"/>
              </w:rPr>
              <w:t>17,586</w:t>
            </w:r>
            <w:r>
              <w:rPr>
                <w:color w:val="243782"/>
              </w:rPr>
              <w:t> </w:t>
            </w:r>
          </w:p>
        </w:tc>
        <w:tc>
          <w:tcPr>
            <w:tcW w:w="236" w:type="dxa"/>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bottom w:val="single" w:sz="2" w:space="0" w:color="8E939F"/>
            </w:tcBorders>
            <w:shd w:fill="E6E7F4" w:val="clear"/>
            <w:tcMar>
              <w:left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8"/>
              </w:rPr>
              <w:t>15,103</w:t>
            </w:r>
            <w:r>
              <w:rPr>
                <w:color w:val="243782"/>
              </w:rPr>
              <w:t> </w:t>
            </w:r>
          </w:p>
        </w:tc>
        <w:tc>
          <w:tcPr>
            <w:tcW w:w="356" w:type="dxa"/>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bottom w:val="single" w:sz="2" w:space="0" w:color="8E939F"/>
            </w:tcBorders>
            <w:shd w:fill="E6E7F4" w:val="clear"/>
            <w:tcMar>
              <w:left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8"/>
              </w:rPr>
              <w:t>32,689</w:t>
            </w:r>
            <w:r>
              <w:rPr>
                <w:color w:val="243782"/>
              </w:rPr>
              <w:t> </w:t>
            </w:r>
          </w:p>
        </w:tc>
        <w:tc>
          <w:tcPr>
            <w:tcW w:w="171" w:type="dxa"/>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bottom w:val="single" w:sz="2" w:space="0" w:color="8E939F"/>
            </w:tcBorders>
            <w:shd w:fill="E6E7F4" w:val="clear"/>
            <w:tcMar>
              <w:left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8"/>
              </w:rPr>
              <w:t>15,770</w:t>
            </w:r>
            <w:r>
              <w:rPr>
                <w:color w:val="243782"/>
              </w:rPr>
              <w:t> </w:t>
            </w:r>
          </w:p>
        </w:tc>
        <w:tc>
          <w:tcPr>
            <w:tcW w:w="236" w:type="dxa"/>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2" w:space="0" w:color="8E939F"/>
              <w:bottom w:val="single" w:sz="2" w:space="0" w:color="8E939F"/>
            </w:tcBorders>
            <w:shd w:fill="E6E7F4" w:val="clear"/>
            <w:tcMar>
              <w:left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8"/>
              </w:rPr>
              <w:t>11,125</w:t>
            </w:r>
            <w:r>
              <w:rPr>
                <w:color w:val="243782"/>
              </w:rPr>
              <w:t> </w:t>
            </w:r>
          </w:p>
        </w:tc>
        <w:tc>
          <w:tcPr>
            <w:tcW w:w="356" w:type="dxa"/>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2" w:space="0" w:color="8E939F"/>
              <w:bottom w:val="single" w:sz="2" w:space="0" w:color="8E939F"/>
            </w:tcBorders>
            <w:shd w:fill="E6E7F4" w:val="clear"/>
            <w:tcMar>
              <w:left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8"/>
              </w:rPr>
              <w:t>26,895</w:t>
            </w:r>
            <w:r>
              <w:rPr>
                <w:color w:val="243782"/>
              </w:rPr>
              <w:t> </w:t>
            </w:r>
          </w:p>
        </w:tc>
        <w:tc>
          <w:tcPr>
            <w:tcW w:w="234" w:type="dxa"/>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 xml:space="preserve">At June 30, 2026, Receivables from financing activities amounted to €19,482 million (€15,731 million at December 31, 2025). The increase is primarily due to growth in financing activities in SFS U.S. </w:t>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At June 30, 2026, Other receivables and other assets amounted to €5,083 million (€3,936 million at December 31, 2025). The increase is largely attributable to assets of approximately €0.5 billion recognized related to tariff-related receivables during the six months ended June 30, 2026.</w:t>
      </w:r>
    </w:p>
    <w:p>
      <w:pPr>
        <w:pStyle w:val="TextBody"/>
        <w:bidi w:val="0"/>
        <w:spacing w:lineRule="auto" w:line="343" w:before="0" w:after="240"/>
        <w:jc w:val="left"/>
        <w:rPr>
          <w:rFonts w:ascii="Helvetica;sans-serif" w:hAnsi="Helvetica;sans-serif"/>
          <w:b w:val="false"/>
          <w:i/>
          <w:color w:val="143A84"/>
          <w:sz w:val="20"/>
        </w:rPr>
      </w:pPr>
      <w:r>
        <w:rPr>
          <w:rFonts w:ascii="Helvetica;sans-serif" w:hAnsi="Helvetica;sans-serif"/>
          <w:b w:val="false"/>
          <w:i/>
          <w:color w:val="143A84"/>
          <w:sz w:val="20"/>
        </w:rPr>
        <w:t>Transfer of financial assets</w:t>
      </w:r>
    </w:p>
    <w:p>
      <w:pPr>
        <w:pStyle w:val="TextBody"/>
        <w:bidi w:val="0"/>
        <w:spacing w:lineRule="auto" w:line="343" w:before="0" w:after="240"/>
        <w:jc w:val="left"/>
        <w:rPr/>
      </w:pPr>
      <w:r>
        <w:rPr>
          <w:rFonts w:ascii="Helvetica Light;sans-serif" w:hAnsi="Helvetica Light;sans-serif"/>
          <w:b w:val="false"/>
          <w:color w:val="000000"/>
          <w:sz w:val="20"/>
        </w:rPr>
        <w:t xml:space="preserve">At June 30, 2026, the Company had receivables due after that date which had been transferred without recourse and which were derecognized in accordance with IFRS 9, </w:t>
      </w:r>
      <w:r>
        <w:rPr>
          <w:rFonts w:ascii="Helvetica Light;sans-serif" w:hAnsi="Helvetica Light;sans-serif"/>
          <w:b w:val="false"/>
          <w:i/>
          <w:color w:val="000000"/>
          <w:sz w:val="20"/>
        </w:rPr>
        <w:t>Financial Instruments</w:t>
      </w:r>
      <w:r>
        <w:rPr>
          <w:rFonts w:ascii="Helvetica Light;sans-serif" w:hAnsi="Helvetica Light;sans-serif"/>
          <w:b w:val="false"/>
          <w:color w:val="000000"/>
          <w:sz w:val="20"/>
        </w:rPr>
        <w:t>, amounting to €16,451 million (€16,074 million at December 31, 2025), of which 67 percent (69 percent at December 31, 2025) is mainly due from the sales network, were transferred to financing companies in partnership with Santander, BNP Paribas, Banco BBVA Argentina S.A. and Crédit Agricole.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Helvetica;sans-serif" w:hAnsi="Helvetica;sans-serif"/>
          <w:b/>
          <w:color w:val="143A84"/>
          <w:sz w:val="20"/>
        </w:rPr>
      </w:pPr>
      <w:r>
        <w:rPr>
          <w:rFonts w:ascii="Helvetica;sans-serif" w:hAnsi="Helvetica;sans-serif"/>
          <w:b/>
          <w:color w:val="143A84"/>
          <w:sz w:val="20"/>
        </w:rPr>
        <w:t>8. Financial assets</w:t>
      </w:r>
    </w:p>
    <w:tbl>
      <w:tblPr>
        <w:tblW w:w="10205" w:type="dxa"/>
        <w:jc w:val="left"/>
        <w:tblInd w:w="0" w:type="dxa"/>
        <w:tblLayout w:type="fixed"/>
        <w:tblCellMar>
          <w:top w:w="28" w:type="dxa"/>
          <w:left w:w="28" w:type="dxa"/>
          <w:bottom w:w="28" w:type="dxa"/>
          <w:right w:w="28" w:type="dxa"/>
        </w:tblCellMar>
      </w:tblPr>
      <w:tblGrid>
        <w:gridCol w:w="1111"/>
        <w:gridCol w:w="674"/>
        <w:gridCol w:w="678"/>
        <w:gridCol w:w="109"/>
        <w:gridCol w:w="109"/>
        <w:gridCol w:w="109"/>
        <w:gridCol w:w="109"/>
        <w:gridCol w:w="109"/>
        <w:gridCol w:w="315"/>
        <w:gridCol w:w="316"/>
        <w:gridCol w:w="236"/>
        <w:gridCol w:w="109"/>
        <w:gridCol w:w="109"/>
        <w:gridCol w:w="109"/>
        <w:gridCol w:w="355"/>
        <w:gridCol w:w="355"/>
        <w:gridCol w:w="356"/>
        <w:gridCol w:w="109"/>
        <w:gridCol w:w="109"/>
        <w:gridCol w:w="109"/>
        <w:gridCol w:w="315"/>
        <w:gridCol w:w="316"/>
        <w:gridCol w:w="171"/>
        <w:gridCol w:w="109"/>
        <w:gridCol w:w="109"/>
        <w:gridCol w:w="109"/>
        <w:gridCol w:w="315"/>
        <w:gridCol w:w="316"/>
        <w:gridCol w:w="236"/>
        <w:gridCol w:w="113"/>
        <w:gridCol w:w="113"/>
        <w:gridCol w:w="113"/>
        <w:gridCol w:w="355"/>
        <w:gridCol w:w="355"/>
        <w:gridCol w:w="356"/>
        <w:gridCol w:w="113"/>
        <w:gridCol w:w="113"/>
        <w:gridCol w:w="113"/>
        <w:gridCol w:w="315"/>
        <w:gridCol w:w="316"/>
        <w:gridCol w:w="239"/>
      </w:tblGrid>
      <w:tr>
        <w:trPr/>
        <w:tc>
          <w:tcPr>
            <w:tcW w:w="1111"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24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At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1"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At December 31, 2025</w:t>
            </w:r>
          </w:p>
        </w:tc>
      </w:tr>
      <w:tr>
        <w:trPr/>
        <w:tc>
          <w:tcPr>
            <w:tcW w:w="2463"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Helvetica;sans-serif" w:hAnsi="Helvetica;sans-serif"/>
                <w:b w:val="false"/>
                <w:i/>
                <w:color w:val="000000"/>
                <w:sz w:val="16"/>
              </w:rPr>
            </w:pPr>
            <w:r>
              <w:rPr>
                <w:rFonts w:ascii="Helvetica;sans-serif" w:hAnsi="Helvetica;sans-serif"/>
                <w:b w:val="false"/>
                <w:i/>
                <w:color w:val="000000"/>
                <w:sz w:val="16"/>
              </w:rPr>
              <w:t>(€ million)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6"/>
              </w:rPr>
            </w:pPr>
            <w:r>
              <w:rPr>
                <w:rFonts w:ascii="Helvetica;sans-serif" w:hAnsi="Helvetica;sans-serif"/>
                <w:b/>
                <w:color w:val="243782"/>
                <w:sz w:val="16"/>
              </w:rPr>
              <w:t>Current</w:t>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6"/>
              </w:rPr>
            </w:pPr>
            <w:r>
              <w:rPr>
                <w:rFonts w:ascii="Helvetica;sans-serif" w:hAnsi="Helvetica;sans-serif"/>
                <w:b/>
                <w:color w:val="243782"/>
                <w:sz w:val="16"/>
              </w:rPr>
              <w:t>Non-current</w:t>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6"/>
              </w:rPr>
            </w:pPr>
            <w:r>
              <w:rPr>
                <w:rFonts w:ascii="Helvetica;sans-serif" w:hAnsi="Helvetica;sans-serif"/>
                <w:b/>
                <w:color w:val="243782"/>
                <w:sz w:val="16"/>
              </w:rPr>
              <w:t>Total</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6"/>
              </w:rPr>
            </w:pPr>
            <w:r>
              <w:rPr>
                <w:rFonts w:ascii="Helvetica;sans-serif" w:hAnsi="Helvetica;sans-serif"/>
                <w:b/>
                <w:color w:val="243782"/>
                <w:sz w:val="16"/>
              </w:rPr>
              <w:t>Current</w:t>
            </w:r>
          </w:p>
        </w:tc>
        <w:tc>
          <w:tcPr>
            <w:tcW w:w="339"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6"/>
              </w:rPr>
            </w:pPr>
            <w:r>
              <w:rPr>
                <w:rFonts w:ascii="Helvetica;sans-serif" w:hAnsi="Helvetica;sans-serif"/>
                <w:b/>
                <w:color w:val="243782"/>
                <w:sz w:val="16"/>
              </w:rPr>
              <w:t>Non-current</w:t>
            </w:r>
          </w:p>
        </w:tc>
        <w:tc>
          <w:tcPr>
            <w:tcW w:w="339"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6"/>
              </w:rPr>
            </w:pPr>
            <w:r>
              <w:rPr>
                <w:rFonts w:ascii="Helvetica;sans-serif" w:hAnsi="Helvetica;sans-serif"/>
                <w:b/>
                <w:color w:val="243782"/>
                <w:sz w:val="16"/>
              </w:rPr>
              <w:t>Total</w:t>
            </w:r>
          </w:p>
        </w:tc>
      </w:tr>
      <w:tr>
        <w:trPr/>
        <w:tc>
          <w:tcPr>
            <w:tcW w:w="2463" w:type="dxa"/>
            <w:gridSpan w:val="3"/>
            <w:tcBorders>
              <w:top w:val="single" w:sz="2" w:space="0" w:color="143A84"/>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Derivative financial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2" w:space="0" w:color="143A84"/>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66 </w:t>
            </w:r>
          </w:p>
        </w:tc>
        <w:tc>
          <w:tcPr>
            <w:tcW w:w="236" w:type="dxa"/>
            <w:tcBorders>
              <w:top w:val="single" w:sz="2" w:space="0" w:color="143A84"/>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143A84"/>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single" w:sz="2" w:space="0" w:color="143A84"/>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94 </w:t>
            </w:r>
          </w:p>
        </w:tc>
        <w:tc>
          <w:tcPr>
            <w:tcW w:w="356" w:type="dxa"/>
            <w:tcBorders>
              <w:top w:val="single" w:sz="2" w:space="0" w:color="143A84"/>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143A84"/>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2" w:space="0" w:color="143A84"/>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160 </w:t>
            </w:r>
          </w:p>
        </w:tc>
        <w:tc>
          <w:tcPr>
            <w:tcW w:w="171" w:type="dxa"/>
            <w:tcBorders>
              <w:top w:val="single" w:sz="2" w:space="0" w:color="143A84"/>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2" w:space="0" w:color="143A84"/>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45 </w:t>
            </w:r>
          </w:p>
        </w:tc>
        <w:tc>
          <w:tcPr>
            <w:tcW w:w="236" w:type="dxa"/>
            <w:tcBorders>
              <w:top w:val="single" w:sz="2" w:space="0" w:color="143A84"/>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single" w:sz="2" w:space="0" w:color="143A84"/>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259 </w:t>
            </w:r>
          </w:p>
        </w:tc>
        <w:tc>
          <w:tcPr>
            <w:tcW w:w="356" w:type="dxa"/>
            <w:tcBorders>
              <w:top w:val="single" w:sz="2" w:space="0" w:color="143A84"/>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2" w:space="0" w:color="143A84"/>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304 </w:t>
            </w:r>
          </w:p>
        </w:tc>
        <w:tc>
          <w:tcPr>
            <w:tcW w:w="239" w:type="dxa"/>
            <w:tcBorders>
              <w:top w:val="single" w:sz="2" w:space="0" w:color="143A84"/>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3"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Financial securities measured at fair value through other 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39 </w:t>
            </w:r>
          </w:p>
        </w:tc>
        <w:tc>
          <w:tcPr>
            <w:tcW w:w="236"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584 </w:t>
            </w:r>
          </w:p>
        </w:tc>
        <w:tc>
          <w:tcPr>
            <w:tcW w:w="356"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623 </w:t>
            </w:r>
          </w:p>
        </w:tc>
        <w:tc>
          <w:tcPr>
            <w:tcW w:w="171"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62 </w:t>
            </w:r>
          </w:p>
        </w:tc>
        <w:tc>
          <w:tcPr>
            <w:tcW w:w="23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335 </w:t>
            </w:r>
          </w:p>
        </w:tc>
        <w:tc>
          <w:tcPr>
            <w:tcW w:w="35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397 </w:t>
            </w:r>
          </w:p>
        </w:tc>
        <w:tc>
          <w:tcPr>
            <w:tcW w:w="239"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3"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Financial securities measured at fair value through profit or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604 </w:t>
            </w:r>
          </w:p>
        </w:tc>
        <w:tc>
          <w:tcPr>
            <w:tcW w:w="236"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997 </w:t>
            </w:r>
          </w:p>
        </w:tc>
        <w:tc>
          <w:tcPr>
            <w:tcW w:w="356"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1,601 </w:t>
            </w:r>
          </w:p>
        </w:tc>
        <w:tc>
          <w:tcPr>
            <w:tcW w:w="171"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562 </w:t>
            </w:r>
          </w:p>
        </w:tc>
        <w:tc>
          <w:tcPr>
            <w:tcW w:w="23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903 </w:t>
            </w:r>
          </w:p>
        </w:tc>
        <w:tc>
          <w:tcPr>
            <w:tcW w:w="35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1,465 </w:t>
            </w:r>
          </w:p>
        </w:tc>
        <w:tc>
          <w:tcPr>
            <w:tcW w:w="239"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3"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Financial securities measured at amortized cost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91 </w:t>
            </w:r>
          </w:p>
        </w:tc>
        <w:tc>
          <w:tcPr>
            <w:tcW w:w="236"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48 </w:t>
            </w:r>
          </w:p>
        </w:tc>
        <w:tc>
          <w:tcPr>
            <w:tcW w:w="356"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139 </w:t>
            </w:r>
          </w:p>
        </w:tc>
        <w:tc>
          <w:tcPr>
            <w:tcW w:w="171"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553 </w:t>
            </w:r>
          </w:p>
        </w:tc>
        <w:tc>
          <w:tcPr>
            <w:tcW w:w="23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134 </w:t>
            </w:r>
          </w:p>
        </w:tc>
        <w:tc>
          <w:tcPr>
            <w:tcW w:w="35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687 </w:t>
            </w:r>
          </w:p>
        </w:tc>
        <w:tc>
          <w:tcPr>
            <w:tcW w:w="239"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3"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0"/>
              <w:jc w:val="left"/>
              <w:rPr/>
            </w:pPr>
            <w:r>
              <w:rPr>
                <w:rFonts w:ascii="Helvetica;sans-serif" w:hAnsi="Helvetica;sans-serif"/>
                <w:b w:val="false"/>
                <w:color w:val="000000"/>
                <w:sz w:val="18"/>
              </w:rPr>
              <w:t>Financial receivables</w:t>
            </w:r>
            <w:r>
              <w:rPr>
                <w:rFonts w:ascii="Helvetica;sans-serif" w:hAnsi="Helvetica;sans-serif"/>
                <w:b w:val="false"/>
                <w:color w:val="000000"/>
                <w:sz w:val="12"/>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1,169 </w:t>
            </w:r>
          </w:p>
        </w:tc>
        <w:tc>
          <w:tcPr>
            <w:tcW w:w="236"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155 </w:t>
            </w:r>
          </w:p>
        </w:tc>
        <w:tc>
          <w:tcPr>
            <w:tcW w:w="356"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1,324 </w:t>
            </w:r>
          </w:p>
        </w:tc>
        <w:tc>
          <w:tcPr>
            <w:tcW w:w="171"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763 </w:t>
            </w:r>
          </w:p>
        </w:tc>
        <w:tc>
          <w:tcPr>
            <w:tcW w:w="23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145 </w:t>
            </w:r>
          </w:p>
        </w:tc>
        <w:tc>
          <w:tcPr>
            <w:tcW w:w="35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908 </w:t>
            </w:r>
          </w:p>
        </w:tc>
        <w:tc>
          <w:tcPr>
            <w:tcW w:w="239"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3"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0"/>
              <w:jc w:val="left"/>
              <w:rPr/>
            </w:pPr>
            <w:r>
              <w:rPr>
                <w:rFonts w:ascii="Helvetica;sans-serif" w:hAnsi="Helvetica;sans-serif"/>
                <w:b w:val="false"/>
                <w:color w:val="000000"/>
                <w:sz w:val="18"/>
              </w:rPr>
              <w:t>Collateral deposits</w:t>
            </w:r>
            <w:r>
              <w:rPr>
                <w:rFonts w:ascii="Helvetica;sans-serif" w:hAnsi="Helvetica;sans-serif"/>
                <w:b w:val="false"/>
                <w:color w:val="000000"/>
                <w:sz w:val="12"/>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6"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17 </w:t>
            </w:r>
          </w:p>
        </w:tc>
        <w:tc>
          <w:tcPr>
            <w:tcW w:w="356"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17 </w:t>
            </w:r>
          </w:p>
        </w:tc>
        <w:tc>
          <w:tcPr>
            <w:tcW w:w="171"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2 </w:t>
            </w:r>
          </w:p>
        </w:tc>
        <w:tc>
          <w:tcPr>
            <w:tcW w:w="23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18 </w:t>
            </w:r>
          </w:p>
        </w:tc>
        <w:tc>
          <w:tcPr>
            <w:tcW w:w="35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20 </w:t>
            </w:r>
          </w:p>
        </w:tc>
        <w:tc>
          <w:tcPr>
            <w:tcW w:w="239"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3" w:type="dxa"/>
            <w:gridSpan w:val="3"/>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color w:val="243782"/>
                <w:sz w:val="18"/>
              </w:rPr>
            </w:pPr>
            <w:r>
              <w:rPr>
                <w:rFonts w:ascii="Helvetica;sans-serif" w:hAnsi="Helvetica;sans-serif"/>
                <w:b/>
                <w:color w:val="243782"/>
                <w:sz w:val="18"/>
              </w:rPr>
              <w:t>Total financial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bottom w:val="single" w:sz="2" w:space="0" w:color="8E939F"/>
            </w:tcBorders>
            <w:shd w:fill="E6E7F4" w:val="clear"/>
            <w:tcMar>
              <w:left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8"/>
              </w:rPr>
              <w:t>1,969</w:t>
            </w:r>
            <w:r>
              <w:rPr>
                <w:color w:val="243782"/>
              </w:rPr>
              <w:t> </w:t>
            </w:r>
          </w:p>
        </w:tc>
        <w:tc>
          <w:tcPr>
            <w:tcW w:w="236" w:type="dxa"/>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bottom w:val="single" w:sz="2" w:space="0" w:color="8E939F"/>
            </w:tcBorders>
            <w:shd w:fill="E6E7F4" w:val="clear"/>
            <w:tcMar>
              <w:left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8"/>
              </w:rPr>
              <w:t>1,895</w:t>
            </w:r>
            <w:r>
              <w:rPr>
                <w:color w:val="243782"/>
              </w:rPr>
              <w:t> </w:t>
            </w:r>
          </w:p>
        </w:tc>
        <w:tc>
          <w:tcPr>
            <w:tcW w:w="356" w:type="dxa"/>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bottom w:val="single" w:sz="2" w:space="0" w:color="8E939F"/>
            </w:tcBorders>
            <w:shd w:fill="E6E7F4" w:val="clear"/>
            <w:tcMar>
              <w:left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8"/>
              </w:rPr>
              <w:t>3,864</w:t>
            </w:r>
            <w:r>
              <w:rPr>
                <w:color w:val="243782"/>
              </w:rPr>
              <w:t> </w:t>
            </w:r>
          </w:p>
        </w:tc>
        <w:tc>
          <w:tcPr>
            <w:tcW w:w="171" w:type="dxa"/>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bottom w:val="single" w:sz="2" w:space="0" w:color="8E939F"/>
            </w:tcBorders>
            <w:shd w:fill="E6E7F4" w:val="clear"/>
            <w:tcMar>
              <w:left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8"/>
              </w:rPr>
              <w:t>1,987</w:t>
            </w:r>
            <w:r>
              <w:rPr>
                <w:color w:val="243782"/>
              </w:rPr>
              <w:t> </w:t>
            </w:r>
          </w:p>
        </w:tc>
        <w:tc>
          <w:tcPr>
            <w:tcW w:w="236" w:type="dxa"/>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2" w:space="0" w:color="8E939F"/>
              <w:bottom w:val="single" w:sz="2" w:space="0" w:color="8E939F"/>
            </w:tcBorders>
            <w:shd w:fill="E6E7F4" w:val="clear"/>
            <w:tcMar>
              <w:left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8"/>
              </w:rPr>
              <w:t>1,794</w:t>
            </w:r>
            <w:r>
              <w:rPr>
                <w:color w:val="243782"/>
              </w:rPr>
              <w:t> </w:t>
            </w:r>
          </w:p>
        </w:tc>
        <w:tc>
          <w:tcPr>
            <w:tcW w:w="356" w:type="dxa"/>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2" w:space="0" w:color="8E939F"/>
              <w:bottom w:val="single" w:sz="2" w:space="0" w:color="8E939F"/>
            </w:tcBorders>
            <w:shd w:fill="E6E7F4" w:val="clear"/>
            <w:tcMar>
              <w:left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8"/>
              </w:rPr>
              <w:t>3,781</w:t>
            </w:r>
            <w:r>
              <w:rPr>
                <w:color w:val="243782"/>
              </w:rPr>
              <w:t> </w:t>
            </w:r>
          </w:p>
        </w:tc>
        <w:tc>
          <w:tcPr>
            <w:tcW w:w="239" w:type="dxa"/>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Helvetica Light;sans-serif" w:hAnsi="Helvetica Light;sans-serif"/>
          <w:b w:val="false"/>
          <w:color w:val="000000"/>
          <w:sz w:val="16"/>
        </w:rPr>
      </w:pPr>
      <w:r>
        <w:rPr>
          <w:rFonts w:ascii="Helvetica Light;sans-serif" w:hAnsi="Helvetica Light;sans-serif"/>
          <w:b w:val="false"/>
          <w:color w:val="000000"/>
          <w:sz w:val="16"/>
        </w:rPr>
        <w:t>(1) Measured at amortized cost</w:t>
      </w:r>
    </w:p>
    <w:p>
      <w:pPr>
        <w:pStyle w:val="TextBody"/>
        <w:bidi w:val="0"/>
        <w:spacing w:lineRule="auto" w:line="288" w:before="0" w:after="240"/>
        <w:jc w:val="left"/>
        <w:rPr>
          <w:rFonts w:ascii="Helvetica Light;sans-serif" w:hAnsi="Helvetica Light;sans-serif"/>
          <w:b w:val="false"/>
          <w:color w:val="000000"/>
          <w:sz w:val="16"/>
        </w:rPr>
      </w:pPr>
      <w:r>
        <w:rPr>
          <w:rFonts w:ascii="Helvetica Light;sans-serif" w:hAnsi="Helvetica Light;sans-serif"/>
          <w:b w:val="false"/>
          <w:color w:val="000000"/>
          <w:sz w:val="16"/>
        </w:rPr>
        <w:t>(2) Collateral deposits are held in connection with derivative transactions and debt obligations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503555"/>
                <wp:effectExtent l="0" t="0" r="0" b="0"/>
                <wp:wrapNone/>
                <wp:docPr id="86" name="Frame71"/>
                <a:graphic xmlns:a="http://schemas.openxmlformats.org/drawingml/2006/main">
                  <a:graphicData uri="http://schemas.microsoft.com/office/word/2010/wordprocessingShape">
                    <wps:wsp>
                      <wps:cNvSpPr txBox="1"/>
                      <wps:spPr>
                        <a:xfrm>
                          <a:off x="0" y="0"/>
                          <a:ext cx="6480175" cy="5035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67</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67</w:t>
                      </w:r>
                    </w:p>
                    <w:p>
                      <w:pPr>
                        <w:pStyle w:val="TextBody"/>
                        <w:bidi w:val="0"/>
                        <w:spacing w:before="0" w:after="24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88" w:before="0" w:after="240"/>
        <w:jc w:val="left"/>
        <w:rPr>
          <w:rFonts w:ascii="Helvetica;sans-serif" w:hAnsi="Helvetica;sans-serif"/>
          <w:b/>
          <w:color w:val="143A84"/>
          <w:sz w:val="20"/>
        </w:rPr>
      </w:pPr>
      <w:r>
        <w:rPr>
          <w:rFonts w:ascii="Helvetica;sans-serif" w:hAnsi="Helvetica;sans-serif"/>
          <w:b/>
          <w:color w:val="143A84"/>
          <w:sz w:val="20"/>
        </w:rPr>
        <w:t>9. Inventories</w:t>
      </w:r>
    </w:p>
    <w:tbl>
      <w:tblPr>
        <w:tblW w:w="8936" w:type="dxa"/>
        <w:jc w:val="left"/>
        <w:tblInd w:w="0" w:type="dxa"/>
        <w:tblLayout w:type="fixed"/>
        <w:tblCellMar>
          <w:top w:w="28" w:type="dxa"/>
          <w:left w:w="28" w:type="dxa"/>
          <w:bottom w:w="28" w:type="dxa"/>
          <w:right w:w="28" w:type="dxa"/>
        </w:tblCellMar>
      </w:tblPr>
      <w:tblGrid>
        <w:gridCol w:w="1819"/>
        <w:gridCol w:w="1594"/>
        <w:gridCol w:w="1612"/>
        <w:gridCol w:w="509"/>
        <w:gridCol w:w="509"/>
        <w:gridCol w:w="512"/>
        <w:gridCol w:w="109"/>
        <w:gridCol w:w="109"/>
        <w:gridCol w:w="109"/>
        <w:gridCol w:w="600"/>
        <w:gridCol w:w="600"/>
        <w:gridCol w:w="854"/>
      </w:tblGrid>
      <w:tr>
        <w:trPr/>
        <w:tc>
          <w:tcPr>
            <w:tcW w:w="1819" w:type="dxa"/>
            <w:tcBorders/>
            <w:vAlign w:val="center"/>
          </w:tcPr>
          <w:p>
            <w:pPr>
              <w:pStyle w:val="TableContents"/>
              <w:bidi w:val="0"/>
              <w:spacing w:before="0" w:after="283"/>
              <w:jc w:val="left"/>
              <w:rPr>
                <w:sz w:val="4"/>
                <w:szCs w:val="4"/>
              </w:rPr>
            </w:pPr>
            <w:r>
              <w:rPr>
                <w:sz w:val="4"/>
                <w:szCs w:val="4"/>
              </w:rPr>
            </w:r>
          </w:p>
        </w:tc>
        <w:tc>
          <w:tcPr>
            <w:tcW w:w="1594" w:type="dxa"/>
            <w:tcBorders/>
            <w:vAlign w:val="center"/>
          </w:tcPr>
          <w:p>
            <w:pPr>
              <w:pStyle w:val="TableContents"/>
              <w:bidi w:val="0"/>
              <w:spacing w:before="0" w:after="283"/>
              <w:jc w:val="left"/>
              <w:rPr>
                <w:sz w:val="4"/>
                <w:szCs w:val="4"/>
              </w:rPr>
            </w:pPr>
            <w:r>
              <w:rPr>
                <w:sz w:val="4"/>
                <w:szCs w:val="4"/>
              </w:rPr>
            </w:r>
          </w:p>
        </w:tc>
        <w:tc>
          <w:tcPr>
            <w:tcW w:w="1612"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top w:val="single" w:sz="2" w:space="0" w:color="FFFFFF"/>
            </w:tcBorders>
            <w:tcMar>
              <w:top w:w="52" w:type="dxa"/>
              <w:left w:w="0" w:type="dxa"/>
              <w:bottom w:w="0" w:type="dxa"/>
              <w:right w:w="0" w:type="dxa"/>
            </w:tcMar>
            <w:vAlign w:val="center"/>
          </w:tcPr>
          <w:p>
            <w:pPr>
              <w:pStyle w:val="TableContents"/>
              <w:bidi w:val="0"/>
              <w:spacing w:lineRule="auto" w:line="288" w:before="0" w:after="240"/>
              <w:jc w:val="left"/>
              <w:rPr>
                <w:rFonts w:ascii="Helvetica;sans-serif" w:hAnsi="Helvetica;sans-serif"/>
                <w:b w:val="false"/>
                <w:i/>
                <w:color w:val="000000"/>
                <w:sz w:val="16"/>
              </w:rPr>
            </w:pPr>
            <w:r>
              <w:rPr>
                <w:rFonts w:ascii="Helvetica;sans-serif" w:hAnsi="Helvetica;sans-serif"/>
                <w:b w:val="false"/>
                <w:i/>
                <w:color w:val="000000"/>
                <w:sz w:val="16"/>
              </w:rPr>
              <w:t>(€ million)</w:t>
            </w:r>
          </w:p>
        </w:tc>
        <w:tc>
          <w:tcPr>
            <w:tcW w:w="15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At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At December 31, 2025</w:t>
            </w:r>
          </w:p>
        </w:tc>
      </w:tr>
      <w:tr>
        <w:trPr/>
        <w:tc>
          <w:tcPr>
            <w:tcW w:w="5025" w:type="dxa"/>
            <w:gridSpan w:val="3"/>
            <w:tcBorders>
              <w:top w:val="single" w:sz="2" w:space="0" w:color="143A84"/>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Finished goods and goods for resale</w:t>
            </w:r>
          </w:p>
        </w:tc>
        <w:tc>
          <w:tcPr>
            <w:tcW w:w="1018" w:type="dxa"/>
            <w:gridSpan w:val="2"/>
            <w:tcBorders>
              <w:top w:val="single" w:sz="2" w:space="0" w:color="143A84"/>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13,491 </w:t>
            </w:r>
          </w:p>
        </w:tc>
        <w:tc>
          <w:tcPr>
            <w:tcW w:w="512" w:type="dxa"/>
            <w:tcBorders>
              <w:top w:val="single" w:sz="2" w:space="0" w:color="143A84"/>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op w:val="single" w:sz="2" w:space="0" w:color="143A84"/>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12,161 </w:t>
            </w:r>
          </w:p>
        </w:tc>
        <w:tc>
          <w:tcPr>
            <w:tcW w:w="854" w:type="dxa"/>
            <w:tcBorders>
              <w:top w:val="single" w:sz="2" w:space="0" w:color="143A84"/>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Work-in-progress, raw materials and manufacturing supplies</w:t>
            </w:r>
          </w:p>
        </w:tc>
        <w:tc>
          <w:tcPr>
            <w:tcW w:w="1018"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10,496 </w:t>
            </w:r>
          </w:p>
        </w:tc>
        <w:tc>
          <w:tcPr>
            <w:tcW w:w="512"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9,992 </w:t>
            </w:r>
          </w:p>
        </w:tc>
        <w:tc>
          <w:tcPr>
            <w:tcW w:w="854"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4" w:type="dxa"/>
            <w:gridSpan w:val="3"/>
            <w:tcBorders/>
            <w:vAlign w:val="center"/>
          </w:tcPr>
          <w:p>
            <w:pPr>
              <w:pStyle w:val="TableContents"/>
              <w:bidi w:val="0"/>
              <w:spacing w:before="0" w:after="283"/>
              <w:jc w:val="left"/>
              <w:rPr>
                <w:sz w:val="4"/>
                <w:szCs w:val="4"/>
              </w:rPr>
            </w:pPr>
            <w:r>
              <w:rPr>
                <w:sz w:val="4"/>
                <w:szCs w:val="4"/>
              </w:rPr>
            </w:r>
          </w:p>
        </w:tc>
      </w:tr>
      <w:tr>
        <w:trPr/>
        <w:tc>
          <w:tcPr>
            <w:tcW w:w="5025" w:type="dxa"/>
            <w:gridSpan w:val="3"/>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color w:val="243782"/>
                <w:sz w:val="18"/>
              </w:rPr>
            </w:pPr>
            <w:r>
              <w:rPr>
                <w:rFonts w:ascii="Helvetica;sans-serif" w:hAnsi="Helvetica;sans-serif"/>
                <w:b/>
                <w:color w:val="243782"/>
                <w:sz w:val="18"/>
              </w:rPr>
              <w:t>Total Inventories</w:t>
            </w:r>
          </w:p>
        </w:tc>
        <w:tc>
          <w:tcPr>
            <w:tcW w:w="1018" w:type="dxa"/>
            <w:gridSpan w:val="2"/>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8"/>
              </w:rPr>
              <w:t>23,987</w:t>
            </w:r>
            <w:r>
              <w:rPr>
                <w:color w:val="243782"/>
              </w:rPr>
              <w:t> </w:t>
            </w:r>
          </w:p>
        </w:tc>
        <w:tc>
          <w:tcPr>
            <w:tcW w:w="512" w:type="dxa"/>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bottom w:val="single" w:sz="2" w:space="0" w:color="8E939F"/>
            </w:tcBorders>
            <w:shd w:fill="E6E7F4" w:val="clear"/>
            <w:tcMar>
              <w:left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8"/>
              </w:rPr>
              <w:t>22,153</w:t>
            </w:r>
            <w:r>
              <w:rPr>
                <w:color w:val="243782"/>
              </w:rPr>
              <w:t> </w:t>
            </w:r>
          </w:p>
        </w:tc>
        <w:tc>
          <w:tcPr>
            <w:tcW w:w="854" w:type="dxa"/>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3" w:before="0" w:after="140"/>
        <w:jc w:val="left"/>
        <w:rPr/>
      </w:pPr>
      <w:r>
        <w:rPr>
          <w:rFonts w:ascii="Helvetica Light;sans-serif" w:hAnsi="Helvetica Light;sans-serif"/>
          <w:b w:val="false"/>
          <w:color w:val="000000"/>
          <w:sz w:val="20"/>
        </w:rPr>
        <w:t xml:space="preserve">At June 30, 2026, Finished goods and goods for resale amounted to €13,491 million (€12,161 million at December 31, 2025). The increase is driven </w:t>
      </w:r>
      <w:r>
        <w:rPr>
          <w:rFonts w:ascii="Helvetica Light;sans-serif" w:hAnsi="Helvetica Light;sans-serif"/>
          <w:b w:val="false"/>
          <w:color w:val="000000"/>
          <w:sz w:val="20"/>
          <w:shd w:fill="FFFFFF" w:val="clear"/>
        </w:rPr>
        <w:t xml:space="preserve">by new vehicle stock build-up in Enlarged Europe and South America ahead of the planned summer production shutdown and to support </w:t>
      </w:r>
      <w:r>
        <w:rPr>
          <w:rFonts w:ascii="Helvetica Light;sans-serif" w:hAnsi="Helvetica Light;sans-serif"/>
          <w:b w:val="false"/>
          <w:color w:val="000000"/>
          <w:sz w:val="20"/>
        </w:rPr>
        <w:t xml:space="preserve">new product launches.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Helvetica;sans-serif" w:hAnsi="Helvetica;sans-serif"/>
          <w:b/>
          <w:color w:val="143A84"/>
          <w:sz w:val="20"/>
        </w:rPr>
      </w:pPr>
      <w:r>
        <w:rPr>
          <w:rFonts w:ascii="Helvetica;sans-serif" w:hAnsi="Helvetica;sans-serif"/>
          <w:b/>
          <w:color w:val="143A84"/>
          <w:sz w:val="20"/>
        </w:rPr>
        <w:t xml:space="preserve">10. Share-based compensation </w:t>
      </w:r>
    </w:p>
    <w:p>
      <w:pPr>
        <w:pStyle w:val="TextBody"/>
        <w:bidi w:val="0"/>
        <w:spacing w:lineRule="auto" w:line="288" w:before="0" w:after="240"/>
        <w:jc w:val="left"/>
        <w:rPr/>
      </w:pPr>
      <w:r>
        <w:rPr>
          <w:rFonts w:ascii="Helvetica;sans-serif" w:hAnsi="Helvetica;sans-serif"/>
          <w:b/>
          <w:color w:val="143A84"/>
          <w:sz w:val="20"/>
        </w:rPr>
        <w:t>Long-Term Incentive Plan</w:t>
      </w:r>
      <w:r>
        <w:rPr>
          <w:color w:val="000000"/>
        </w:rPr>
        <w:t xml:space="preserve"> </w:t>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The Company operates annual Long-Term Incentive Plans (“LTIPs”) approved by shareholders, granting Performance Share Units (“PSUs”), Restricted Share Units (“RSUs”), and Performance Restricted Share Units (“PRSUs”) to eligible employees. PSU awards are typically split across three performance metrics: Total Shareholder Return (TSR), Adjusted Operating Income (“AOI”), and either Electrification, Quality, or Compliance, each with independent payout scales. PSU, RSU and PRSUs have different vesting periods as summarized in the table below. Additionally, PRSUs vest subject to specific KPIs or multipliers. Fair values are determined using Monte Carlo simulations for TSR-based awards and for all other types of award the fair values are determined using the Stellantis share price on the grant date, adjusted for expected dividends at a constant yield as these awards do not have the right to receive ordinary dividends prior to vesting.</w:t>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 xml:space="preserve">A summary of grants awarded in 2026 is provided below. </w:t>
      </w:r>
    </w:p>
    <w:tbl>
      <w:tblPr>
        <w:tblW w:w="10205" w:type="dxa"/>
        <w:jc w:val="left"/>
        <w:tblInd w:w="0" w:type="dxa"/>
        <w:tblLayout w:type="fixed"/>
        <w:tblCellMar>
          <w:top w:w="28" w:type="dxa"/>
          <w:left w:w="28" w:type="dxa"/>
          <w:bottom w:w="28" w:type="dxa"/>
          <w:right w:w="28" w:type="dxa"/>
        </w:tblCellMar>
      </w:tblPr>
      <w:tblGrid>
        <w:gridCol w:w="259"/>
        <w:gridCol w:w="227"/>
        <w:gridCol w:w="228"/>
        <w:gridCol w:w="410"/>
        <w:gridCol w:w="410"/>
        <w:gridCol w:w="412"/>
        <w:gridCol w:w="402"/>
        <w:gridCol w:w="402"/>
        <w:gridCol w:w="403"/>
        <w:gridCol w:w="335"/>
        <w:gridCol w:w="335"/>
        <w:gridCol w:w="338"/>
        <w:gridCol w:w="274"/>
        <w:gridCol w:w="274"/>
        <w:gridCol w:w="275"/>
        <w:gridCol w:w="410"/>
        <w:gridCol w:w="410"/>
        <w:gridCol w:w="412"/>
        <w:gridCol w:w="274"/>
        <w:gridCol w:w="274"/>
        <w:gridCol w:w="275"/>
        <w:gridCol w:w="426"/>
        <w:gridCol w:w="426"/>
        <w:gridCol w:w="428"/>
        <w:gridCol w:w="335"/>
        <w:gridCol w:w="335"/>
        <w:gridCol w:w="338"/>
        <w:gridCol w:w="253"/>
        <w:gridCol w:w="253"/>
        <w:gridCol w:w="372"/>
      </w:tblGrid>
      <w:tr>
        <w:trPr/>
        <w:tc>
          <w:tcPr>
            <w:tcW w:w="25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r>
      <w:tr>
        <w:trPr/>
        <w:tc>
          <w:tcPr>
            <w:tcW w:w="714" w:type="dxa"/>
            <w:gridSpan w:val="3"/>
            <w:tcBorders>
              <w:right w:val="single" w:sz="4" w:space="0" w:color="CFD1D6"/>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4270" w:type="dxa"/>
            <w:gridSpan w:val="12"/>
            <w:tcBorders>
              <w:top w:val="single" w:sz="4" w:space="0" w:color="CFD1D6"/>
            </w:tcBorders>
            <w:shd w:fill="E6E7F4" w:val="clear"/>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4"/>
              </w:rPr>
            </w:pPr>
            <w:r>
              <w:rPr>
                <w:rFonts w:ascii="Helvetica;sans-serif" w:hAnsi="Helvetica;sans-serif"/>
                <w:b/>
                <w:color w:val="243782"/>
                <w:sz w:val="14"/>
              </w:rPr>
              <w:t>PSUs</w:t>
            </w:r>
          </w:p>
        </w:tc>
        <w:tc>
          <w:tcPr>
            <w:tcW w:w="2055" w:type="dxa"/>
            <w:gridSpan w:val="6"/>
            <w:tcBorders>
              <w:top w:val="single" w:sz="4" w:space="0" w:color="CFD1D6"/>
              <w:left w:val="single" w:sz="4" w:space="0" w:color="CFD1D6"/>
            </w:tcBorders>
            <w:shd w:fill="E6E7F4" w:val="clear"/>
            <w:tcMar>
              <w:top w:w="52"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4"/>
              </w:rPr>
            </w:pPr>
            <w:r>
              <w:rPr>
                <w:rFonts w:ascii="Helvetica;sans-serif" w:hAnsi="Helvetica;sans-serif"/>
                <w:b/>
                <w:color w:val="243782"/>
                <w:sz w:val="14"/>
              </w:rPr>
              <w:t>RSUs</w:t>
            </w:r>
          </w:p>
        </w:tc>
        <w:tc>
          <w:tcPr>
            <w:tcW w:w="3166" w:type="dxa"/>
            <w:gridSpan w:val="9"/>
            <w:tcBorders>
              <w:top w:val="single" w:sz="4" w:space="0" w:color="CFD1D6"/>
              <w:left w:val="single" w:sz="4" w:space="0" w:color="CFD1D6"/>
              <w:right w:val="single" w:sz="4" w:space="0" w:color="CFD1D6"/>
            </w:tcBorders>
            <w:shd w:fill="E6E7F4" w:val="clear"/>
            <w:tcMar>
              <w:top w:w="52" w:type="dxa"/>
              <w:bottom w:w="0" w:type="dxa"/>
            </w:tcMar>
            <w:vAlign w:val="center"/>
          </w:tcPr>
          <w:p>
            <w:pPr>
              <w:pStyle w:val="TableContents"/>
              <w:bidi w:val="0"/>
              <w:spacing w:lineRule="auto" w:line="288" w:before="0" w:after="283"/>
              <w:jc w:val="center"/>
              <w:rPr>
                <w:rFonts w:ascii="Helvetica;sans-serif" w:hAnsi="Helvetica;sans-serif"/>
                <w:b/>
                <w:color w:val="243782"/>
                <w:sz w:val="14"/>
              </w:rPr>
            </w:pPr>
            <w:r>
              <w:rPr>
                <w:rFonts w:ascii="Helvetica;sans-serif" w:hAnsi="Helvetica;sans-serif"/>
                <w:b/>
                <w:color w:val="243782"/>
                <w:sz w:val="14"/>
              </w:rPr>
              <w:t>PRSUs</w:t>
            </w:r>
          </w:p>
        </w:tc>
      </w:tr>
      <w:tr>
        <w:trPr/>
        <w:tc>
          <w:tcPr>
            <w:tcW w:w="714" w:type="dxa"/>
            <w:gridSpan w:val="3"/>
            <w:tcBorders>
              <w:top w:val="single" w:sz="4" w:space="0" w:color="CFD1D6"/>
              <w:left w:val="single" w:sz="4" w:space="0" w:color="CFD1D6"/>
            </w:tcBorders>
            <w:shd w:fill="E6E7F4" w:val="clear"/>
            <w:tcMar>
              <w:top w:w="52"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4"/>
              </w:rPr>
            </w:pPr>
            <w:r>
              <w:rPr>
                <w:rFonts w:ascii="Helvetica;sans-serif" w:hAnsi="Helvetica;sans-serif"/>
                <w:b/>
                <w:color w:val="243782"/>
                <w:sz w:val="14"/>
              </w:rPr>
              <w:t>LTIP Period</w:t>
            </w:r>
          </w:p>
        </w:tc>
        <w:tc>
          <w:tcPr>
            <w:tcW w:w="1232" w:type="dxa"/>
            <w:gridSpan w:val="3"/>
            <w:tcBorders>
              <w:top w:val="single" w:sz="4" w:space="0" w:color="CFD1D6"/>
              <w:left w:val="single" w:sz="4" w:space="0" w:color="CFD1D6"/>
            </w:tcBorders>
            <w:shd w:fill="E6E7F4" w:val="clear"/>
            <w:tcMar>
              <w:top w:w="52"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4"/>
              </w:rPr>
            </w:pPr>
            <w:r>
              <w:rPr>
                <w:rFonts w:ascii="Helvetica;sans-serif" w:hAnsi="Helvetica;sans-serif"/>
                <w:b/>
                <w:color w:val="243782"/>
                <w:sz w:val="14"/>
              </w:rPr>
              <w:t>PSUs Granted (millions)*</w:t>
            </w:r>
          </w:p>
        </w:tc>
        <w:tc>
          <w:tcPr>
            <w:tcW w:w="1207" w:type="dxa"/>
            <w:gridSpan w:val="3"/>
            <w:tcBorders>
              <w:top w:val="single" w:sz="4" w:space="0" w:color="CFD1D6"/>
            </w:tcBorders>
            <w:shd w:fill="E6E7F4" w:val="clear"/>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4"/>
              </w:rPr>
            </w:pPr>
            <w:r>
              <w:rPr>
                <w:rFonts w:ascii="Helvetica;sans-serif" w:hAnsi="Helvetica;sans-serif"/>
                <w:b/>
                <w:color w:val="243782"/>
                <w:sz w:val="14"/>
              </w:rPr>
              <w:t>Performance Metrics</w:t>
            </w:r>
          </w:p>
        </w:tc>
        <w:tc>
          <w:tcPr>
            <w:tcW w:w="1008" w:type="dxa"/>
            <w:gridSpan w:val="3"/>
            <w:tcBorders>
              <w:top w:val="single" w:sz="4" w:space="0" w:color="CFD1D6"/>
            </w:tcBorders>
            <w:shd w:fill="E6E7F4" w:val="clear"/>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4"/>
              </w:rPr>
            </w:pPr>
            <w:r>
              <w:rPr>
                <w:rFonts w:ascii="Helvetica;sans-serif" w:hAnsi="Helvetica;sans-serif"/>
                <w:b/>
                <w:color w:val="243782"/>
                <w:sz w:val="14"/>
              </w:rPr>
              <w:t>Metric Payout Range</w:t>
            </w:r>
          </w:p>
        </w:tc>
        <w:tc>
          <w:tcPr>
            <w:tcW w:w="823" w:type="dxa"/>
            <w:gridSpan w:val="3"/>
            <w:tcBorders>
              <w:top w:val="single" w:sz="4" w:space="0" w:color="CFD1D6"/>
            </w:tcBorders>
            <w:shd w:fill="E6E7F4" w:val="clear"/>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4"/>
              </w:rPr>
            </w:pPr>
            <w:r>
              <w:rPr>
                <w:rFonts w:ascii="Helvetica;sans-serif" w:hAnsi="Helvetica;sans-serif"/>
                <w:b/>
                <w:color w:val="243782"/>
                <w:sz w:val="14"/>
              </w:rPr>
              <w:t>Vesting period</w:t>
              <w:br/>
              <w:t>Vesting Date</w:t>
            </w:r>
          </w:p>
        </w:tc>
        <w:tc>
          <w:tcPr>
            <w:tcW w:w="1232" w:type="dxa"/>
            <w:gridSpan w:val="3"/>
            <w:tcBorders>
              <w:top w:val="single" w:sz="4" w:space="0" w:color="CFD1D6"/>
              <w:left w:val="single" w:sz="4" w:space="0" w:color="CFD1D6"/>
            </w:tcBorders>
            <w:shd w:fill="E6E7F4" w:val="clear"/>
            <w:tcMar>
              <w:top w:w="52"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4"/>
              </w:rPr>
            </w:pPr>
            <w:r>
              <w:rPr>
                <w:rFonts w:ascii="Helvetica;sans-serif" w:hAnsi="Helvetica;sans-serif"/>
                <w:b/>
                <w:color w:val="243782"/>
                <w:sz w:val="14"/>
              </w:rPr>
              <w:t>RSUs Granted (millions)*</w:t>
            </w:r>
          </w:p>
        </w:tc>
        <w:tc>
          <w:tcPr>
            <w:tcW w:w="823" w:type="dxa"/>
            <w:gridSpan w:val="3"/>
            <w:tcBorders>
              <w:top w:val="single" w:sz="4" w:space="0" w:color="CFD1D6"/>
            </w:tcBorders>
            <w:shd w:fill="E6E7F4" w:val="clear"/>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4"/>
              </w:rPr>
            </w:pPr>
            <w:r>
              <w:rPr>
                <w:rFonts w:ascii="Helvetica;sans-serif" w:hAnsi="Helvetica;sans-serif"/>
                <w:b/>
                <w:color w:val="243782"/>
                <w:sz w:val="14"/>
              </w:rPr>
              <w:t>Vesting period</w:t>
              <w:br/>
              <w:t>Vesting Date</w:t>
            </w:r>
          </w:p>
        </w:tc>
        <w:tc>
          <w:tcPr>
            <w:tcW w:w="1280" w:type="dxa"/>
            <w:gridSpan w:val="3"/>
            <w:tcBorders>
              <w:top w:val="single" w:sz="4" w:space="0" w:color="CFD1D6"/>
              <w:left w:val="single" w:sz="4" w:space="0" w:color="CFD1D6"/>
            </w:tcBorders>
            <w:shd w:fill="E6E7F4" w:val="clear"/>
            <w:tcMar>
              <w:top w:w="52"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4"/>
              </w:rPr>
            </w:pPr>
            <w:r>
              <w:rPr>
                <w:rFonts w:ascii="Helvetica;sans-serif" w:hAnsi="Helvetica;sans-serif"/>
                <w:b/>
                <w:color w:val="243782"/>
                <w:sz w:val="14"/>
              </w:rPr>
              <w:t>PRSUs Granted (millions)*</w:t>
            </w:r>
          </w:p>
        </w:tc>
        <w:tc>
          <w:tcPr>
            <w:tcW w:w="1008" w:type="dxa"/>
            <w:gridSpan w:val="3"/>
            <w:tcBorders>
              <w:top w:val="single" w:sz="4" w:space="0" w:color="CFD1D6"/>
            </w:tcBorders>
            <w:shd w:fill="E6E7F4" w:val="clear"/>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4"/>
              </w:rPr>
            </w:pPr>
            <w:r>
              <w:rPr>
                <w:rFonts w:ascii="Helvetica;sans-serif" w:hAnsi="Helvetica;sans-serif"/>
                <w:b/>
                <w:color w:val="243782"/>
                <w:sz w:val="14"/>
              </w:rPr>
              <w:t>Metric Payout Range</w:t>
            </w:r>
          </w:p>
        </w:tc>
        <w:tc>
          <w:tcPr>
            <w:tcW w:w="878" w:type="dxa"/>
            <w:gridSpan w:val="3"/>
            <w:tcBorders>
              <w:top w:val="single" w:sz="4" w:space="0" w:color="CFD1D6"/>
              <w:right w:val="single" w:sz="4" w:space="0" w:color="CFD1D6"/>
            </w:tcBorders>
            <w:shd w:fill="E6E7F4" w:val="clear"/>
            <w:tcMar>
              <w:top w:w="52" w:type="dxa"/>
              <w:left w:w="0" w:type="dxa"/>
              <w:bottom w:w="0" w:type="dxa"/>
            </w:tcMar>
            <w:vAlign w:val="center"/>
          </w:tcPr>
          <w:p>
            <w:pPr>
              <w:pStyle w:val="TableContents"/>
              <w:bidi w:val="0"/>
              <w:spacing w:lineRule="auto" w:line="288" w:before="0" w:after="283"/>
              <w:jc w:val="center"/>
              <w:rPr>
                <w:rFonts w:ascii="Helvetica;sans-serif" w:hAnsi="Helvetica;sans-serif"/>
                <w:b/>
                <w:color w:val="243782"/>
                <w:sz w:val="14"/>
              </w:rPr>
            </w:pPr>
            <w:r>
              <w:rPr>
                <w:rFonts w:ascii="Helvetica;sans-serif" w:hAnsi="Helvetica;sans-serif"/>
                <w:b/>
                <w:color w:val="243782"/>
                <w:sz w:val="14"/>
              </w:rPr>
              <w:t>Vesting period</w:t>
              <w:br/>
              <w:t>Vesting Date</w:t>
            </w:r>
          </w:p>
        </w:tc>
      </w:tr>
      <w:tr>
        <w:trPr/>
        <w:tc>
          <w:tcPr>
            <w:tcW w:w="714" w:type="dxa"/>
            <w:gridSpan w:val="3"/>
            <w:tcBorders>
              <w:top w:val="single" w:sz="4" w:space="0" w:color="CFD1D6"/>
              <w:bottom w:val="single" w:sz="4" w:space="0" w:color="CFD1D6"/>
            </w:tcBorders>
            <w:tcMar>
              <w:top w:w="52" w:type="dxa"/>
              <w:left w:w="0" w:type="dxa"/>
              <w:bottom w:w="30" w:type="dxa"/>
              <w:right w:w="0" w:type="dxa"/>
            </w:tcMar>
            <w:vAlign w:val="center"/>
          </w:tcPr>
          <w:p>
            <w:pPr>
              <w:pStyle w:val="TableContents"/>
              <w:bidi w:val="0"/>
              <w:spacing w:lineRule="auto" w:line="288" w:before="0" w:after="283"/>
              <w:jc w:val="center"/>
              <w:rPr>
                <w:rFonts w:ascii="Helvetica;sans-serif" w:hAnsi="Helvetica;sans-serif"/>
                <w:b w:val="false"/>
                <w:color w:val="000000"/>
                <w:sz w:val="13"/>
              </w:rPr>
            </w:pPr>
            <w:r>
              <w:rPr>
                <w:rFonts w:ascii="Helvetica;sans-serif" w:hAnsi="Helvetica;sans-serif"/>
                <w:b w:val="false"/>
                <w:color w:val="000000"/>
                <w:sz w:val="13"/>
              </w:rPr>
              <w:t>2026-2028</w:t>
            </w:r>
          </w:p>
        </w:tc>
        <w:tc>
          <w:tcPr>
            <w:tcW w:w="1232" w:type="dxa"/>
            <w:gridSpan w:val="3"/>
            <w:tcBorders>
              <w:top w:val="single" w:sz="4" w:space="0" w:color="CFD1D6"/>
              <w:bottom w:val="single" w:sz="4" w:space="0" w:color="CFD1D6"/>
            </w:tcBorders>
            <w:tcMar>
              <w:top w:w="52" w:type="dxa"/>
              <w:left w:w="0" w:type="dxa"/>
              <w:bottom w:w="30" w:type="dxa"/>
              <w:right w:w="0" w:type="dxa"/>
            </w:tcMar>
            <w:vAlign w:val="center"/>
          </w:tcPr>
          <w:p>
            <w:pPr>
              <w:pStyle w:val="TableContents"/>
              <w:bidi w:val="0"/>
              <w:spacing w:lineRule="auto" w:line="288" w:before="0" w:after="283"/>
              <w:jc w:val="center"/>
              <w:rPr>
                <w:rFonts w:ascii="Helvetica;sans-serif" w:hAnsi="Helvetica;sans-serif"/>
                <w:b w:val="false"/>
                <w:color w:val="000000"/>
                <w:sz w:val="13"/>
              </w:rPr>
            </w:pPr>
            <w:r>
              <w:rPr>
                <w:rFonts w:ascii="Helvetica;sans-serif" w:hAnsi="Helvetica;sans-serif"/>
                <w:b w:val="false"/>
                <w:color w:val="000000"/>
                <w:sz w:val="13"/>
              </w:rPr>
              <w:t>16.8</w:t>
            </w:r>
          </w:p>
        </w:tc>
        <w:tc>
          <w:tcPr>
            <w:tcW w:w="1207" w:type="dxa"/>
            <w:gridSpan w:val="3"/>
            <w:tcBorders>
              <w:top w:val="single" w:sz="4" w:space="0" w:color="CFD1D6"/>
              <w:bottom w:val="single" w:sz="4" w:space="0" w:color="CFD1D6"/>
            </w:tcBorders>
            <w:tcMar>
              <w:top w:w="52" w:type="dxa"/>
              <w:left w:w="0" w:type="dxa"/>
              <w:bottom w:w="30" w:type="dxa"/>
              <w:right w:w="0" w:type="dxa"/>
            </w:tcMar>
            <w:vAlign w:val="center"/>
          </w:tcPr>
          <w:p>
            <w:pPr>
              <w:pStyle w:val="TableContents"/>
              <w:bidi w:val="0"/>
              <w:spacing w:lineRule="auto" w:line="288" w:before="0" w:after="283"/>
              <w:jc w:val="center"/>
              <w:rPr>
                <w:rFonts w:ascii="Helvetica;sans-serif" w:hAnsi="Helvetica;sans-serif"/>
                <w:b w:val="false"/>
                <w:color w:val="000000"/>
                <w:sz w:val="13"/>
              </w:rPr>
            </w:pPr>
            <w:r>
              <w:rPr>
                <w:rFonts w:ascii="Helvetica;sans-serif" w:hAnsi="Helvetica;sans-serif"/>
                <w:b w:val="false"/>
                <w:color w:val="000000"/>
                <w:sz w:val="13"/>
              </w:rPr>
              <w:t>TSR (30%)</w:t>
              <w:br/>
              <w:t>AOI (40%)</w:t>
              <w:br/>
              <w:t>Quality (30%)</w:t>
            </w:r>
          </w:p>
        </w:tc>
        <w:tc>
          <w:tcPr>
            <w:tcW w:w="1008" w:type="dxa"/>
            <w:gridSpan w:val="3"/>
            <w:tcBorders>
              <w:top w:val="single" w:sz="4" w:space="0" w:color="CFD1D6"/>
              <w:bottom w:val="single" w:sz="4" w:space="0" w:color="CFD1D6"/>
            </w:tcBorders>
            <w:tcMar>
              <w:top w:w="52" w:type="dxa"/>
              <w:left w:w="0" w:type="dxa"/>
              <w:bottom w:w="30" w:type="dxa"/>
              <w:right w:w="0" w:type="dxa"/>
            </w:tcMar>
            <w:vAlign w:val="center"/>
          </w:tcPr>
          <w:p>
            <w:pPr>
              <w:pStyle w:val="TableContents"/>
              <w:bidi w:val="0"/>
              <w:spacing w:lineRule="auto" w:line="288" w:before="0" w:after="283"/>
              <w:jc w:val="center"/>
              <w:rPr>
                <w:rFonts w:ascii="Helvetica;sans-serif" w:hAnsi="Helvetica;sans-serif"/>
                <w:b w:val="false"/>
                <w:color w:val="000000"/>
                <w:sz w:val="13"/>
              </w:rPr>
            </w:pPr>
            <w:r>
              <w:rPr>
                <w:rFonts w:ascii="Helvetica;sans-serif" w:hAnsi="Helvetica;sans-serif"/>
                <w:b w:val="false"/>
                <w:color w:val="000000"/>
                <w:sz w:val="13"/>
              </w:rPr>
              <w:t>0-200%</w:t>
            </w:r>
          </w:p>
        </w:tc>
        <w:tc>
          <w:tcPr>
            <w:tcW w:w="823" w:type="dxa"/>
            <w:gridSpan w:val="3"/>
            <w:tcBorders>
              <w:top w:val="single" w:sz="4" w:space="0" w:color="CFD1D6"/>
              <w:bottom w:val="single" w:sz="4" w:space="0" w:color="CFD1D6"/>
            </w:tcBorders>
            <w:tcMar>
              <w:top w:w="52" w:type="dxa"/>
              <w:left w:w="0" w:type="dxa"/>
              <w:bottom w:w="30" w:type="dxa"/>
              <w:right w:w="0" w:type="dxa"/>
            </w:tcMar>
            <w:vAlign w:val="center"/>
          </w:tcPr>
          <w:p>
            <w:pPr>
              <w:pStyle w:val="TableContents"/>
              <w:bidi w:val="0"/>
              <w:spacing w:lineRule="auto" w:line="288" w:before="0" w:after="283"/>
              <w:jc w:val="center"/>
              <w:rPr>
                <w:rFonts w:ascii="Helvetica;sans-serif" w:hAnsi="Helvetica;sans-serif"/>
                <w:b w:val="false"/>
                <w:color w:val="000000"/>
                <w:sz w:val="13"/>
              </w:rPr>
            </w:pPr>
            <w:r>
              <w:rPr>
                <w:rFonts w:ascii="Helvetica;sans-serif" w:hAnsi="Helvetica;sans-serif"/>
                <w:b w:val="false"/>
                <w:color w:val="000000"/>
                <w:sz w:val="13"/>
              </w:rPr>
              <w:t>2026-2028</w:t>
              <w:br/>
              <w:t>Dec 2028</w:t>
            </w:r>
          </w:p>
        </w:tc>
        <w:tc>
          <w:tcPr>
            <w:tcW w:w="1232" w:type="dxa"/>
            <w:gridSpan w:val="3"/>
            <w:tcBorders>
              <w:top w:val="single" w:sz="4" w:space="0" w:color="CFD1D6"/>
              <w:bottom w:val="single" w:sz="4" w:space="0" w:color="CFD1D6"/>
            </w:tcBorders>
            <w:tcMar>
              <w:top w:w="52" w:type="dxa"/>
              <w:left w:w="0" w:type="dxa"/>
              <w:bottom w:w="30" w:type="dxa"/>
              <w:right w:w="0" w:type="dxa"/>
            </w:tcMar>
            <w:vAlign w:val="center"/>
          </w:tcPr>
          <w:p>
            <w:pPr>
              <w:pStyle w:val="TableContents"/>
              <w:bidi w:val="0"/>
              <w:spacing w:lineRule="auto" w:line="288" w:before="0" w:after="283"/>
              <w:jc w:val="center"/>
              <w:rPr>
                <w:rFonts w:ascii="Helvetica;sans-serif" w:hAnsi="Helvetica;sans-serif"/>
                <w:b w:val="false"/>
                <w:color w:val="000000"/>
                <w:sz w:val="13"/>
              </w:rPr>
            </w:pPr>
            <w:r>
              <w:rPr>
                <w:rFonts w:ascii="Helvetica;sans-serif" w:hAnsi="Helvetica;sans-serif"/>
                <w:b w:val="false"/>
                <w:color w:val="000000"/>
                <w:sz w:val="13"/>
              </w:rPr>
              <w:t>18.0</w:t>
            </w:r>
          </w:p>
        </w:tc>
        <w:tc>
          <w:tcPr>
            <w:tcW w:w="823" w:type="dxa"/>
            <w:gridSpan w:val="3"/>
            <w:tcBorders>
              <w:top w:val="single" w:sz="4" w:space="0" w:color="CFD1D6"/>
              <w:bottom w:val="single" w:sz="4" w:space="0" w:color="CFD1D6"/>
            </w:tcBorders>
            <w:tcMar>
              <w:top w:w="52" w:type="dxa"/>
              <w:left w:w="0" w:type="dxa"/>
              <w:bottom w:w="30" w:type="dxa"/>
              <w:right w:w="0" w:type="dxa"/>
            </w:tcMar>
            <w:vAlign w:val="center"/>
          </w:tcPr>
          <w:p>
            <w:pPr>
              <w:pStyle w:val="TableContents"/>
              <w:bidi w:val="0"/>
              <w:spacing w:lineRule="auto" w:line="288" w:before="0" w:after="283"/>
              <w:jc w:val="center"/>
              <w:rPr>
                <w:rFonts w:ascii="Helvetica;sans-serif" w:hAnsi="Helvetica;sans-serif"/>
                <w:b w:val="false"/>
                <w:color w:val="000000"/>
                <w:sz w:val="13"/>
              </w:rPr>
            </w:pPr>
            <w:r>
              <w:rPr>
                <w:rFonts w:ascii="Helvetica;sans-serif" w:hAnsi="Helvetica;sans-serif"/>
                <w:b w:val="false"/>
                <w:color w:val="000000"/>
                <w:sz w:val="13"/>
              </w:rPr>
              <w:t>2026-2029</w:t>
              <w:br/>
              <w:t>May 2029</w:t>
            </w:r>
          </w:p>
        </w:tc>
        <w:tc>
          <w:tcPr>
            <w:tcW w:w="1280" w:type="dxa"/>
            <w:gridSpan w:val="3"/>
            <w:tcBorders>
              <w:top w:val="single" w:sz="4" w:space="0" w:color="CFD1D6"/>
              <w:bottom w:val="single" w:sz="4" w:space="0" w:color="CFD1D6"/>
            </w:tcBorders>
            <w:tcMar>
              <w:top w:w="52" w:type="dxa"/>
              <w:left w:w="0" w:type="dxa"/>
              <w:bottom w:w="30" w:type="dxa"/>
              <w:right w:w="0" w:type="dxa"/>
            </w:tcMar>
            <w:vAlign w:val="center"/>
          </w:tcPr>
          <w:p>
            <w:pPr>
              <w:pStyle w:val="TableContents"/>
              <w:bidi w:val="0"/>
              <w:spacing w:lineRule="auto" w:line="288" w:before="0" w:after="283"/>
              <w:jc w:val="center"/>
              <w:rPr>
                <w:rFonts w:ascii="Helvetica;sans-serif" w:hAnsi="Helvetica;sans-serif"/>
                <w:b w:val="false"/>
                <w:color w:val="000000"/>
                <w:sz w:val="13"/>
              </w:rPr>
            </w:pPr>
            <w:r>
              <w:rPr>
                <w:rFonts w:ascii="Helvetica;sans-serif" w:hAnsi="Helvetica;sans-serif"/>
                <w:b w:val="false"/>
                <w:color w:val="000000"/>
                <w:sz w:val="13"/>
              </w:rPr>
              <w:t>0</w:t>
            </w:r>
          </w:p>
        </w:tc>
        <w:tc>
          <w:tcPr>
            <w:tcW w:w="1008" w:type="dxa"/>
            <w:gridSpan w:val="3"/>
            <w:tcBorders>
              <w:top w:val="single" w:sz="4" w:space="0" w:color="CFD1D6"/>
              <w:bottom w:val="single" w:sz="4" w:space="0" w:color="CFD1D6"/>
            </w:tcBorders>
            <w:tcMar>
              <w:top w:w="52" w:type="dxa"/>
              <w:left w:w="0" w:type="dxa"/>
              <w:bottom w:w="30" w:type="dxa"/>
              <w:right w:w="0" w:type="dxa"/>
            </w:tcMar>
            <w:vAlign w:val="center"/>
          </w:tcPr>
          <w:p>
            <w:pPr>
              <w:pStyle w:val="TableContents"/>
              <w:bidi w:val="0"/>
              <w:spacing w:lineRule="auto" w:line="288" w:before="0" w:after="283"/>
              <w:jc w:val="center"/>
              <w:rPr>
                <w:rFonts w:ascii="Helvetica;sans-serif" w:hAnsi="Helvetica;sans-serif"/>
                <w:b w:val="false"/>
                <w:color w:val="000000"/>
                <w:sz w:val="13"/>
              </w:rPr>
            </w:pPr>
            <w:r>
              <w:rPr>
                <w:rFonts w:ascii="Helvetica;sans-serif" w:hAnsi="Helvetica;sans-serif"/>
                <w:b w:val="false"/>
                <w:color w:val="000000"/>
                <w:sz w:val="13"/>
              </w:rPr>
              <w:t>0-150%</w:t>
            </w:r>
          </w:p>
        </w:tc>
        <w:tc>
          <w:tcPr>
            <w:tcW w:w="878" w:type="dxa"/>
            <w:gridSpan w:val="3"/>
            <w:tcBorders>
              <w:top w:val="single" w:sz="4" w:space="0" w:color="CFD1D6"/>
              <w:bottom w:val="single" w:sz="4" w:space="0" w:color="CFD1D6"/>
            </w:tcBorders>
            <w:tcMar>
              <w:top w:w="52" w:type="dxa"/>
              <w:left w:w="0" w:type="dxa"/>
              <w:bottom w:w="30" w:type="dxa"/>
              <w:right w:w="0" w:type="dxa"/>
            </w:tcMar>
            <w:vAlign w:val="center"/>
          </w:tcPr>
          <w:p>
            <w:pPr>
              <w:pStyle w:val="TableContents"/>
              <w:bidi w:val="0"/>
              <w:spacing w:lineRule="auto" w:line="288" w:before="0" w:after="283"/>
              <w:jc w:val="center"/>
              <w:rPr>
                <w:rFonts w:ascii="Helvetica;sans-serif" w:hAnsi="Helvetica;sans-serif"/>
                <w:b w:val="false"/>
                <w:color w:val="000000"/>
                <w:sz w:val="13"/>
              </w:rPr>
            </w:pPr>
            <w:r>
              <w:rPr>
                <w:rFonts w:ascii="Helvetica;sans-serif" w:hAnsi="Helvetica;sans-serif"/>
                <w:b w:val="false"/>
                <w:color w:val="000000"/>
                <w:sz w:val="13"/>
              </w:rPr>
              <w:t>2026-2028</w:t>
              <w:br/>
              <w:t>Q2 2029</w:t>
            </w:r>
          </w:p>
        </w:tc>
      </w:tr>
    </w:tbl>
    <w:p>
      <w:pPr>
        <w:pStyle w:val="TextBody"/>
        <w:bidi w:val="0"/>
        <w:spacing w:lineRule="auto" w:line="343" w:before="0" w:after="240"/>
        <w:jc w:val="left"/>
        <w:rPr>
          <w:rFonts w:ascii="Helvetica Light;sans-serif" w:hAnsi="Helvetica Light;sans-serif"/>
          <w:b w:val="false"/>
          <w:color w:val="000000"/>
          <w:sz w:val="16"/>
        </w:rPr>
      </w:pPr>
      <w:r>
        <w:rPr>
          <w:rFonts w:ascii="Helvetica Light;sans-serif" w:hAnsi="Helvetica Light;sans-serif"/>
          <w:b w:val="false"/>
          <w:color w:val="000000"/>
          <w:sz w:val="16"/>
        </w:rPr>
        <w:t>(*) Includes amounts related to awards granted during the current year in respect of the prior-year plan. presented based on the awards’ grant date</w:t>
      </w:r>
    </w:p>
    <w:p>
      <w:pPr>
        <w:pStyle w:val="TextBody"/>
        <w:bidi w:val="0"/>
        <w:spacing w:lineRule="auto" w:line="288" w:before="0" w:after="240"/>
        <w:jc w:val="left"/>
        <w:rPr>
          <w:rFonts w:ascii="Helvetica;sans-serif" w:hAnsi="Helvetica;sans-serif"/>
          <w:b/>
          <w:color w:val="143A84"/>
          <w:sz w:val="20"/>
        </w:rPr>
      </w:pPr>
      <w:r>
        <w:rPr>
          <w:rFonts w:ascii="Helvetica;sans-serif" w:hAnsi="Helvetica;sans-serif"/>
          <w:b/>
          <w:color w:val="143A84"/>
          <w:sz w:val="20"/>
        </w:rPr>
        <w:t xml:space="preserve">Share-based payment expense </w:t>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 xml:space="preserve">Including previously granted awards, total expense of approximately €32 million and €68 million was recorded for the PSU, PRSU and RSU awards for the three months ended June 30, 2026 and the six months ended June 30, 2026, respectively. Total expense of approximately €18 million and €32 million was recorded for the PSU, PRSU and RSU awards for the three months ended June 30, 2025 and the six months ended June 30, 2025, respectively. </w:t>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 xml:space="preserve">The total number of PSU, PRSU and RSU awards outstanding at June 30, 2026, was approximately 34.5 million, 0.5 million and 28.7 million shares,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Helvetica;sans-serif" w:hAnsi="Helvetica;sans-serif"/>
          <w:b/>
          <w:color w:val="143A84"/>
          <w:sz w:val="20"/>
        </w:rPr>
      </w:pPr>
      <w:r>
        <w:rPr>
          <w:rFonts w:ascii="Helvetica;sans-serif" w:hAnsi="Helvetica;sans-serif"/>
          <w:b/>
          <w:color w:val="143A84"/>
          <w:sz w:val="20"/>
        </w:rPr>
        <w:t>11. Employee benefits liabilities</w:t>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Employee benefits liabilities include provisions for both pension plans and health care, legal, severance indemnity and other post-employment benefits (“OPEB”) and consisted of the following:</w:t>
      </w:r>
    </w:p>
    <w:p>
      <w:pPr>
        <w:pStyle w:val="TextBody"/>
        <w:bidi w:val="0"/>
        <w:spacing w:before="0" w:after="24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503555"/>
                <wp:effectExtent l="0" t="0" r="0" b="0"/>
                <wp:wrapNone/>
                <wp:docPr id="87" name="Frame72"/>
                <a:graphic xmlns:a="http://schemas.openxmlformats.org/drawingml/2006/main">
                  <a:graphicData uri="http://schemas.microsoft.com/office/word/2010/wordprocessingShape">
                    <wps:wsp>
                      <wps:cNvSpPr txBox="1"/>
                      <wps:spPr>
                        <a:xfrm>
                          <a:off x="0" y="0"/>
                          <a:ext cx="6480175" cy="5035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68</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68</w:t>
                      </w:r>
                    </w:p>
                    <w:p>
                      <w:pPr>
                        <w:pStyle w:val="TextBody"/>
                        <w:bidi w:val="0"/>
                        <w:spacing w:before="0" w:after="24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tbl>
      <w:tblPr>
        <w:tblW w:w="10069" w:type="dxa"/>
        <w:jc w:val="left"/>
        <w:tblInd w:w="0" w:type="dxa"/>
        <w:tblLayout w:type="fixed"/>
        <w:tblCellMar>
          <w:top w:w="28" w:type="dxa"/>
          <w:left w:w="28" w:type="dxa"/>
          <w:bottom w:w="28" w:type="dxa"/>
          <w:right w:w="28" w:type="dxa"/>
        </w:tblCellMar>
      </w:tblPr>
      <w:tblGrid>
        <w:gridCol w:w="1106"/>
        <w:gridCol w:w="974"/>
        <w:gridCol w:w="979"/>
        <w:gridCol w:w="240"/>
        <w:gridCol w:w="241"/>
        <w:gridCol w:w="236"/>
        <w:gridCol w:w="109"/>
        <w:gridCol w:w="109"/>
        <w:gridCol w:w="109"/>
        <w:gridCol w:w="355"/>
        <w:gridCol w:w="355"/>
        <w:gridCol w:w="356"/>
        <w:gridCol w:w="109"/>
        <w:gridCol w:w="109"/>
        <w:gridCol w:w="109"/>
        <w:gridCol w:w="315"/>
        <w:gridCol w:w="316"/>
        <w:gridCol w:w="171"/>
        <w:gridCol w:w="109"/>
        <w:gridCol w:w="109"/>
        <w:gridCol w:w="109"/>
        <w:gridCol w:w="240"/>
        <w:gridCol w:w="241"/>
        <w:gridCol w:w="236"/>
        <w:gridCol w:w="133"/>
        <w:gridCol w:w="133"/>
        <w:gridCol w:w="133"/>
        <w:gridCol w:w="355"/>
        <w:gridCol w:w="355"/>
        <w:gridCol w:w="356"/>
        <w:gridCol w:w="133"/>
        <w:gridCol w:w="133"/>
        <w:gridCol w:w="133"/>
        <w:gridCol w:w="315"/>
        <w:gridCol w:w="316"/>
        <w:gridCol w:w="232"/>
      </w:tblGrid>
      <w:tr>
        <w:trPr/>
        <w:tc>
          <w:tcPr>
            <w:tcW w:w="1106"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At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4"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At December 31, 2025</w:t>
            </w:r>
          </w:p>
        </w:tc>
      </w:tr>
      <w:tr>
        <w:trPr/>
        <w:tc>
          <w:tcPr>
            <w:tcW w:w="3059"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Helvetica;sans-serif" w:hAnsi="Helvetica;sans-serif"/>
                <w:b w:val="false"/>
                <w:i/>
                <w:color w:val="000000"/>
                <w:sz w:val="16"/>
              </w:rPr>
            </w:pPr>
            <w:r>
              <w:rPr>
                <w:rFonts w:ascii="Helvetica;sans-serif" w:hAnsi="Helvetica;sans-serif"/>
                <w:b w:val="false"/>
                <w:i/>
                <w:color w:val="000000"/>
                <w:sz w:val="16"/>
              </w:rPr>
              <w:t>(€ million)</w:t>
            </w:r>
          </w:p>
        </w:tc>
        <w:tc>
          <w:tcPr>
            <w:tcW w:w="717"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6"/>
              </w:rPr>
            </w:pPr>
            <w:r>
              <w:rPr>
                <w:rFonts w:ascii="Helvetica;sans-serif" w:hAnsi="Helvetica;sans-serif"/>
                <w:b/>
                <w:color w:val="243782"/>
                <w:sz w:val="16"/>
              </w:rPr>
              <w:t>Current</w:t>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6"/>
              </w:rPr>
            </w:pPr>
            <w:r>
              <w:rPr>
                <w:rFonts w:ascii="Helvetica;sans-serif" w:hAnsi="Helvetica;sans-serif"/>
                <w:b/>
                <w:color w:val="243782"/>
                <w:sz w:val="16"/>
              </w:rPr>
              <w:t>Non-current</w:t>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6"/>
              </w:rPr>
            </w:pPr>
            <w:r>
              <w:rPr>
                <w:rFonts w:ascii="Helvetica;sans-serif" w:hAnsi="Helvetica;sans-serif"/>
                <w:b/>
                <w:color w:val="243782"/>
                <w:sz w:val="16"/>
              </w:rPr>
              <w:t>Total</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6"/>
              </w:rPr>
            </w:pPr>
            <w:r>
              <w:rPr>
                <w:rFonts w:ascii="Helvetica;sans-serif" w:hAnsi="Helvetica;sans-serif"/>
                <w:b/>
                <w:color w:val="243782"/>
                <w:sz w:val="16"/>
              </w:rPr>
              <w:t>Current</w:t>
            </w:r>
          </w:p>
        </w:tc>
        <w:tc>
          <w:tcPr>
            <w:tcW w:w="399"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6"/>
              </w:rPr>
            </w:pPr>
            <w:r>
              <w:rPr>
                <w:rFonts w:ascii="Helvetica;sans-serif" w:hAnsi="Helvetica;sans-serif"/>
                <w:b/>
                <w:color w:val="243782"/>
                <w:sz w:val="16"/>
              </w:rPr>
              <w:t>Non-current</w:t>
            </w:r>
          </w:p>
        </w:tc>
        <w:tc>
          <w:tcPr>
            <w:tcW w:w="399"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6"/>
              </w:rPr>
            </w:pPr>
            <w:r>
              <w:rPr>
                <w:rFonts w:ascii="Helvetica;sans-serif" w:hAnsi="Helvetica;sans-serif"/>
                <w:b/>
                <w:color w:val="243782"/>
                <w:sz w:val="16"/>
              </w:rPr>
              <w:t>Total</w:t>
            </w:r>
          </w:p>
        </w:tc>
      </w:tr>
      <w:tr>
        <w:trPr/>
        <w:tc>
          <w:tcPr>
            <w:tcW w:w="3059" w:type="dxa"/>
            <w:gridSpan w:val="3"/>
            <w:tcBorders>
              <w:top w:val="single" w:sz="2" w:space="0" w:color="143A84"/>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Pension benefits</w:t>
            </w:r>
          </w:p>
        </w:tc>
        <w:tc>
          <w:tcPr>
            <w:tcW w:w="481" w:type="dxa"/>
            <w:gridSpan w:val="2"/>
            <w:tcBorders>
              <w:top w:val="single" w:sz="2" w:space="0" w:color="143A84"/>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42 </w:t>
            </w:r>
          </w:p>
        </w:tc>
        <w:tc>
          <w:tcPr>
            <w:tcW w:w="236" w:type="dxa"/>
            <w:tcBorders>
              <w:top w:val="single" w:sz="2" w:space="0" w:color="143A84"/>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143A84"/>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single" w:sz="2" w:space="0" w:color="143A84"/>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2,047 </w:t>
            </w:r>
          </w:p>
        </w:tc>
        <w:tc>
          <w:tcPr>
            <w:tcW w:w="356" w:type="dxa"/>
            <w:tcBorders>
              <w:top w:val="single" w:sz="2" w:space="0" w:color="143A84"/>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143A84"/>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2" w:space="0" w:color="143A84"/>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2,089 </w:t>
            </w:r>
          </w:p>
        </w:tc>
        <w:tc>
          <w:tcPr>
            <w:tcW w:w="171" w:type="dxa"/>
            <w:tcBorders>
              <w:top w:val="single" w:sz="2" w:space="0" w:color="143A84"/>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2" w:space="0" w:color="143A84"/>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36 </w:t>
            </w:r>
          </w:p>
        </w:tc>
        <w:tc>
          <w:tcPr>
            <w:tcW w:w="236" w:type="dxa"/>
            <w:tcBorders>
              <w:top w:val="single" w:sz="2" w:space="0" w:color="143A84"/>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single" w:sz="2" w:space="0" w:color="143A84"/>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2,164 </w:t>
            </w:r>
          </w:p>
        </w:tc>
        <w:tc>
          <w:tcPr>
            <w:tcW w:w="356" w:type="dxa"/>
            <w:tcBorders>
              <w:top w:val="single" w:sz="2" w:space="0" w:color="143A84"/>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2" w:space="0" w:color="143A84"/>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2,200 </w:t>
            </w:r>
          </w:p>
        </w:tc>
        <w:tc>
          <w:tcPr>
            <w:tcW w:w="232" w:type="dxa"/>
            <w:tcBorders>
              <w:top w:val="single" w:sz="2" w:space="0" w:color="143A84"/>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Health care and life insurance plans</w:t>
            </w:r>
          </w:p>
        </w:tc>
        <w:tc>
          <w:tcPr>
            <w:tcW w:w="481"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124 </w:t>
            </w:r>
          </w:p>
        </w:tc>
        <w:tc>
          <w:tcPr>
            <w:tcW w:w="236"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1,401 </w:t>
            </w:r>
          </w:p>
        </w:tc>
        <w:tc>
          <w:tcPr>
            <w:tcW w:w="356"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1,525 </w:t>
            </w:r>
          </w:p>
        </w:tc>
        <w:tc>
          <w:tcPr>
            <w:tcW w:w="171"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119 </w:t>
            </w:r>
          </w:p>
        </w:tc>
        <w:tc>
          <w:tcPr>
            <w:tcW w:w="23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1,397 </w:t>
            </w:r>
          </w:p>
        </w:tc>
        <w:tc>
          <w:tcPr>
            <w:tcW w:w="35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1,516 </w:t>
            </w:r>
          </w:p>
        </w:tc>
        <w:tc>
          <w:tcPr>
            <w:tcW w:w="232"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Other post-employment benefits</w:t>
            </w:r>
          </w:p>
        </w:tc>
        <w:tc>
          <w:tcPr>
            <w:tcW w:w="481"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46 </w:t>
            </w:r>
          </w:p>
        </w:tc>
        <w:tc>
          <w:tcPr>
            <w:tcW w:w="236"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583 </w:t>
            </w:r>
          </w:p>
        </w:tc>
        <w:tc>
          <w:tcPr>
            <w:tcW w:w="356"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629 </w:t>
            </w:r>
          </w:p>
        </w:tc>
        <w:tc>
          <w:tcPr>
            <w:tcW w:w="171"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37 </w:t>
            </w:r>
          </w:p>
        </w:tc>
        <w:tc>
          <w:tcPr>
            <w:tcW w:w="23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578 </w:t>
            </w:r>
          </w:p>
        </w:tc>
        <w:tc>
          <w:tcPr>
            <w:tcW w:w="35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615 </w:t>
            </w:r>
          </w:p>
        </w:tc>
        <w:tc>
          <w:tcPr>
            <w:tcW w:w="232"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Other provisions for employees</w:t>
            </w:r>
          </w:p>
        </w:tc>
        <w:tc>
          <w:tcPr>
            <w:tcW w:w="481"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347 </w:t>
            </w:r>
          </w:p>
        </w:tc>
        <w:tc>
          <w:tcPr>
            <w:tcW w:w="236"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633 </w:t>
            </w:r>
          </w:p>
        </w:tc>
        <w:tc>
          <w:tcPr>
            <w:tcW w:w="356"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980 </w:t>
            </w:r>
          </w:p>
        </w:tc>
        <w:tc>
          <w:tcPr>
            <w:tcW w:w="171"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325 </w:t>
            </w:r>
          </w:p>
        </w:tc>
        <w:tc>
          <w:tcPr>
            <w:tcW w:w="23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656 </w:t>
            </w:r>
          </w:p>
        </w:tc>
        <w:tc>
          <w:tcPr>
            <w:tcW w:w="35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981 </w:t>
            </w:r>
          </w:p>
        </w:tc>
        <w:tc>
          <w:tcPr>
            <w:tcW w:w="232"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color w:val="243782"/>
                <w:sz w:val="18"/>
              </w:rPr>
            </w:pPr>
            <w:r>
              <w:rPr>
                <w:rFonts w:ascii="Helvetica;sans-serif" w:hAnsi="Helvetica;sans-serif"/>
                <w:b/>
                <w:color w:val="243782"/>
                <w:sz w:val="18"/>
              </w:rPr>
              <w:t>Total Employee benefits liabilities</w:t>
            </w:r>
          </w:p>
        </w:tc>
        <w:tc>
          <w:tcPr>
            <w:tcW w:w="481" w:type="dxa"/>
            <w:gridSpan w:val="2"/>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8"/>
              </w:rPr>
              <w:t>559</w:t>
            </w:r>
            <w:r>
              <w:rPr>
                <w:color w:val="243782"/>
              </w:rPr>
              <w:t> </w:t>
            </w:r>
          </w:p>
        </w:tc>
        <w:tc>
          <w:tcPr>
            <w:tcW w:w="236" w:type="dxa"/>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bottom w:val="single" w:sz="2" w:space="0" w:color="8E939F"/>
            </w:tcBorders>
            <w:shd w:fill="E6E7F4" w:val="clear"/>
            <w:tcMar>
              <w:left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8"/>
              </w:rPr>
              <w:t>4,664</w:t>
            </w:r>
            <w:r>
              <w:rPr>
                <w:color w:val="243782"/>
              </w:rPr>
              <w:t> </w:t>
            </w:r>
          </w:p>
        </w:tc>
        <w:tc>
          <w:tcPr>
            <w:tcW w:w="356" w:type="dxa"/>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bottom w:val="single" w:sz="2" w:space="0" w:color="8E939F"/>
            </w:tcBorders>
            <w:shd w:fill="E6E7F4" w:val="clear"/>
            <w:tcMar>
              <w:left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8"/>
              </w:rPr>
              <w:t>5,223</w:t>
            </w:r>
            <w:r>
              <w:rPr>
                <w:color w:val="243782"/>
              </w:rPr>
              <w:t> </w:t>
            </w:r>
          </w:p>
        </w:tc>
        <w:tc>
          <w:tcPr>
            <w:tcW w:w="171" w:type="dxa"/>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bottom w:val="single" w:sz="2" w:space="0" w:color="8E939F"/>
            </w:tcBorders>
            <w:shd w:fill="E6E7F4" w:val="clear"/>
            <w:tcMar>
              <w:left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8"/>
              </w:rPr>
              <w:t>517</w:t>
            </w:r>
            <w:r>
              <w:rPr>
                <w:color w:val="243782"/>
              </w:rPr>
              <w:t> </w:t>
            </w:r>
          </w:p>
        </w:tc>
        <w:tc>
          <w:tcPr>
            <w:tcW w:w="236" w:type="dxa"/>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2" w:space="0" w:color="8E939F"/>
              <w:bottom w:val="single" w:sz="2" w:space="0" w:color="8E939F"/>
            </w:tcBorders>
            <w:shd w:fill="E6E7F4" w:val="clear"/>
            <w:tcMar>
              <w:left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8"/>
              </w:rPr>
              <w:t>4,795</w:t>
            </w:r>
            <w:r>
              <w:rPr>
                <w:color w:val="243782"/>
              </w:rPr>
              <w:t> </w:t>
            </w:r>
          </w:p>
        </w:tc>
        <w:tc>
          <w:tcPr>
            <w:tcW w:w="356" w:type="dxa"/>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2" w:space="0" w:color="8E939F"/>
              <w:bottom w:val="single" w:sz="2" w:space="0" w:color="8E939F"/>
            </w:tcBorders>
            <w:shd w:fill="E6E7F4" w:val="clear"/>
            <w:tcMar>
              <w:left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8"/>
              </w:rPr>
              <w:t>5,312</w:t>
            </w:r>
            <w:r>
              <w:rPr>
                <w:color w:val="243782"/>
              </w:rPr>
              <w:t> </w:t>
            </w:r>
          </w:p>
        </w:tc>
        <w:tc>
          <w:tcPr>
            <w:tcW w:w="232" w:type="dxa"/>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As of June 30, 2026, the U.S. and Canada pension plans, representing the largest portion of the Company’s pension benefits, were remeasured resulting in a decrease in the net liability of approximately €306 million due to changes in the discount rate and an additional decrease in the net liability of approximately €51 million due to favorable asset returns.</w:t>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No curtailment losses were recognized during the six months ended June 30, 2026 and 2025.</w:t>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Pension and OPEB costs included in the Interim Condensed Consolidated Income Statement were as follows:</w:t>
      </w:r>
    </w:p>
    <w:tbl>
      <w:tblPr>
        <w:tblW w:w="6225" w:type="dxa"/>
        <w:jc w:val="center"/>
        <w:tblInd w:w="0" w:type="dxa"/>
        <w:tblLayout w:type="fixed"/>
        <w:tblCellMar>
          <w:top w:w="28" w:type="dxa"/>
          <w:left w:w="28" w:type="dxa"/>
          <w:bottom w:w="28" w:type="dxa"/>
          <w:right w:w="28" w:type="dxa"/>
        </w:tblCellMar>
      </w:tblPr>
      <w:tblGrid>
        <w:gridCol w:w="803"/>
        <w:gridCol w:w="707"/>
        <w:gridCol w:w="710"/>
        <w:gridCol w:w="270"/>
        <w:gridCol w:w="270"/>
        <w:gridCol w:w="266"/>
        <w:gridCol w:w="124"/>
        <w:gridCol w:w="124"/>
        <w:gridCol w:w="124"/>
        <w:gridCol w:w="205"/>
        <w:gridCol w:w="205"/>
        <w:gridCol w:w="206"/>
        <w:gridCol w:w="124"/>
        <w:gridCol w:w="124"/>
        <w:gridCol w:w="124"/>
        <w:gridCol w:w="270"/>
        <w:gridCol w:w="270"/>
        <w:gridCol w:w="266"/>
        <w:gridCol w:w="124"/>
        <w:gridCol w:w="124"/>
        <w:gridCol w:w="124"/>
        <w:gridCol w:w="193"/>
        <w:gridCol w:w="193"/>
        <w:gridCol w:w="275"/>
      </w:tblGrid>
      <w:tr>
        <w:trPr/>
        <w:tc>
          <w:tcPr>
            <w:tcW w:w="803"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5" w:type="dxa"/>
            <w:gridSpan w:val="21"/>
            <w:tcBorders>
              <w:bottom w:val="single" w:sz="2" w:space="0" w:color="8E939F"/>
            </w:tcBorders>
            <w:tcMar>
              <w:top w:w="0" w:type="dxa"/>
              <w:left w:w="0" w:type="dxa"/>
              <w:bottom w:w="3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Three months ended June 30,</w:t>
            </w:r>
          </w:p>
        </w:tc>
      </w:tr>
      <w:tr>
        <w:trPr/>
        <w:tc>
          <w:tcPr>
            <w:tcW w:w="2220"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Helvetica;sans-serif" w:hAnsi="Helvetica;sans-serif"/>
                <w:b w:val="false"/>
                <w:i/>
                <w:color w:val="000000"/>
                <w:sz w:val="16"/>
              </w:rPr>
            </w:pPr>
            <w:r>
              <w:rPr>
                <w:rFonts w:ascii="Helvetica;sans-serif" w:hAnsi="Helvetica;sans-serif"/>
                <w:b w:val="false"/>
                <w:i/>
                <w:color w:val="000000"/>
                <w:sz w:val="16"/>
              </w:rPr>
              <w:t>(€ million)</w:t>
            </w:r>
          </w:p>
        </w:tc>
        <w:tc>
          <w:tcPr>
            <w:tcW w:w="1794" w:type="dxa"/>
            <w:gridSpan w:val="9"/>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2026</w:t>
            </w:r>
          </w:p>
        </w:tc>
        <w:tc>
          <w:tcPr>
            <w:tcW w:w="372"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9"/>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2025</w:t>
            </w:r>
          </w:p>
        </w:tc>
      </w:tr>
      <w:tr>
        <w:trPr/>
        <w:tc>
          <w:tcPr>
            <w:tcW w:w="2220"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2" w:space="0" w:color="143A84"/>
            </w:tcBorders>
            <w:shd w:fill="F3F3F9" w:val="clear"/>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Pension</w:t>
            </w:r>
          </w:p>
        </w:tc>
        <w:tc>
          <w:tcPr>
            <w:tcW w:w="372" w:type="dxa"/>
            <w:gridSpan w:val="3"/>
            <w:tcBorders>
              <w:top w:val="single" w:sz="2" w:space="0" w:color="143A84"/>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2" w:space="0" w:color="143A84"/>
            </w:tcBorders>
            <w:shd w:fill="F3F3F9" w:val="clear"/>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OPEB</w:t>
            </w:r>
          </w:p>
        </w:tc>
        <w:tc>
          <w:tcPr>
            <w:tcW w:w="372"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2" w:space="0" w:color="143A84"/>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Pension</w:t>
            </w:r>
          </w:p>
        </w:tc>
        <w:tc>
          <w:tcPr>
            <w:tcW w:w="372"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2" w:space="0" w:color="143A84"/>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OPEB</w:t>
            </w:r>
          </w:p>
        </w:tc>
      </w:tr>
      <w:tr>
        <w:trPr/>
        <w:tc>
          <w:tcPr>
            <w:tcW w:w="2220"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Current service cost</w:t>
            </w:r>
          </w:p>
        </w:tc>
        <w:tc>
          <w:tcPr>
            <w:tcW w:w="540"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27 </w:t>
            </w:r>
          </w:p>
        </w:tc>
        <w:tc>
          <w:tcPr>
            <w:tcW w:w="266"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13 </w:t>
            </w:r>
          </w:p>
        </w:tc>
        <w:tc>
          <w:tcPr>
            <w:tcW w:w="206"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29 </w:t>
            </w:r>
          </w:p>
        </w:tc>
        <w:tc>
          <w:tcPr>
            <w:tcW w:w="26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19 </w:t>
            </w:r>
          </w:p>
        </w:tc>
        <w:tc>
          <w:tcPr>
            <w:tcW w:w="275"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Interest expense</w:t>
            </w:r>
          </w:p>
        </w:tc>
        <w:tc>
          <w:tcPr>
            <w:tcW w:w="540"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280 </w:t>
            </w:r>
          </w:p>
        </w:tc>
        <w:tc>
          <w:tcPr>
            <w:tcW w:w="266"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30 </w:t>
            </w:r>
          </w:p>
        </w:tc>
        <w:tc>
          <w:tcPr>
            <w:tcW w:w="206"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268 </w:t>
            </w:r>
          </w:p>
        </w:tc>
        <w:tc>
          <w:tcPr>
            <w:tcW w:w="26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31 </w:t>
            </w:r>
          </w:p>
        </w:tc>
        <w:tc>
          <w:tcPr>
            <w:tcW w:w="275"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Interest (income)</w:t>
            </w:r>
          </w:p>
        </w:tc>
        <w:tc>
          <w:tcPr>
            <w:tcW w:w="540"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(268)</w:t>
            </w:r>
          </w:p>
        </w:tc>
        <w:tc>
          <w:tcPr>
            <w:tcW w:w="266"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(3)</w:t>
            </w:r>
          </w:p>
        </w:tc>
        <w:tc>
          <w:tcPr>
            <w:tcW w:w="206"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(246)</w:t>
            </w:r>
          </w:p>
        </w:tc>
        <w:tc>
          <w:tcPr>
            <w:tcW w:w="26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w:t>
            </w:r>
          </w:p>
        </w:tc>
        <w:tc>
          <w:tcPr>
            <w:tcW w:w="275"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Other administrative costs</w:t>
            </w:r>
          </w:p>
        </w:tc>
        <w:tc>
          <w:tcPr>
            <w:tcW w:w="540"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19 </w:t>
            </w:r>
          </w:p>
        </w:tc>
        <w:tc>
          <w:tcPr>
            <w:tcW w:w="266"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6"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21 </w:t>
            </w:r>
          </w:p>
        </w:tc>
        <w:tc>
          <w:tcPr>
            <w:tcW w:w="26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4 </w:t>
            </w:r>
          </w:p>
        </w:tc>
        <w:tc>
          <w:tcPr>
            <w:tcW w:w="275"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vAlign w:val="center"/>
          </w:tcPr>
          <w:p>
            <w:pPr>
              <w:pStyle w:val="TableContents"/>
              <w:bidi w:val="0"/>
              <w:spacing w:before="0" w:after="283"/>
              <w:jc w:val="left"/>
              <w:rPr>
                <w:sz w:val="4"/>
                <w:szCs w:val="4"/>
              </w:rPr>
            </w:pPr>
            <w:r>
              <w:rPr>
                <w:sz w:val="4"/>
                <w:szCs w:val="4"/>
              </w:rPr>
            </w:r>
          </w:p>
        </w:tc>
        <w:tc>
          <w:tcPr>
            <w:tcW w:w="80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80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243782"/>
                <w:sz w:val="18"/>
              </w:rPr>
            </w:pPr>
            <w:r>
              <w:rPr>
                <w:rFonts w:ascii="Helvetica;sans-serif" w:hAnsi="Helvetica;sans-serif"/>
                <w:b/>
                <w:color w:val="243782"/>
                <w:sz w:val="18"/>
              </w:rPr>
              <w:t xml:space="preserve">Total </w:t>
            </w:r>
          </w:p>
        </w:tc>
        <w:tc>
          <w:tcPr>
            <w:tcW w:w="540"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8"/>
              </w:rPr>
              <w:t>58</w:t>
            </w:r>
            <w:r>
              <w:rPr>
                <w:color w:val="243782"/>
              </w:rPr>
              <w:t> </w:t>
            </w:r>
          </w:p>
        </w:tc>
        <w:tc>
          <w:tcPr>
            <w:tcW w:w="266"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8E939F"/>
            </w:tcBorders>
            <w:shd w:fill="E6E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8"/>
              </w:rPr>
              <w:t>40</w:t>
            </w:r>
            <w:r>
              <w:rPr>
                <w:color w:val="243782"/>
              </w:rPr>
              <w:t> </w:t>
            </w:r>
          </w:p>
        </w:tc>
        <w:tc>
          <w:tcPr>
            <w:tcW w:w="206"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8E939F"/>
            </w:tcBorders>
            <w:shd w:fill="E6E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8"/>
              </w:rPr>
              <w:t>72</w:t>
            </w:r>
            <w:r>
              <w:rPr>
                <w:color w:val="243782"/>
              </w:rPr>
              <w:t> </w:t>
            </w:r>
          </w:p>
        </w:tc>
        <w:tc>
          <w:tcPr>
            <w:tcW w:w="266"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8E939F"/>
            </w:tcBorders>
            <w:shd w:fill="E6E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8"/>
              </w:rPr>
              <w:t>53</w:t>
            </w:r>
            <w:r>
              <w:rPr>
                <w:color w:val="243782"/>
              </w:rPr>
              <w:t> </w:t>
            </w:r>
          </w:p>
        </w:tc>
        <w:tc>
          <w:tcPr>
            <w:tcW w:w="275"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6135" w:type="dxa"/>
        <w:jc w:val="center"/>
        <w:tblInd w:w="0" w:type="dxa"/>
        <w:tblLayout w:type="fixed"/>
        <w:tblCellMar>
          <w:top w:w="28" w:type="dxa"/>
          <w:left w:w="28" w:type="dxa"/>
          <w:bottom w:w="28" w:type="dxa"/>
          <w:right w:w="28" w:type="dxa"/>
        </w:tblCellMar>
      </w:tblPr>
      <w:tblGrid>
        <w:gridCol w:w="803"/>
        <w:gridCol w:w="707"/>
        <w:gridCol w:w="710"/>
        <w:gridCol w:w="270"/>
        <w:gridCol w:w="270"/>
        <w:gridCol w:w="266"/>
        <w:gridCol w:w="114"/>
        <w:gridCol w:w="114"/>
        <w:gridCol w:w="114"/>
        <w:gridCol w:w="205"/>
        <w:gridCol w:w="205"/>
        <w:gridCol w:w="206"/>
        <w:gridCol w:w="114"/>
        <w:gridCol w:w="114"/>
        <w:gridCol w:w="114"/>
        <w:gridCol w:w="270"/>
        <w:gridCol w:w="270"/>
        <w:gridCol w:w="266"/>
        <w:gridCol w:w="114"/>
        <w:gridCol w:w="114"/>
        <w:gridCol w:w="114"/>
        <w:gridCol w:w="193"/>
        <w:gridCol w:w="193"/>
        <w:gridCol w:w="275"/>
      </w:tblGrid>
      <w:tr>
        <w:trPr/>
        <w:tc>
          <w:tcPr>
            <w:tcW w:w="803"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21"/>
            <w:tcBorders>
              <w:bottom w:val="single" w:sz="2" w:space="0" w:color="8E939F"/>
            </w:tcBorders>
            <w:tcMar>
              <w:top w:w="0" w:type="dxa"/>
              <w:left w:w="0" w:type="dxa"/>
              <w:bottom w:w="3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Six months ended June 30,</w:t>
            </w:r>
          </w:p>
        </w:tc>
      </w:tr>
      <w:tr>
        <w:trPr/>
        <w:tc>
          <w:tcPr>
            <w:tcW w:w="2220"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Helvetica;sans-serif" w:hAnsi="Helvetica;sans-serif"/>
                <w:b w:val="false"/>
                <w:i/>
                <w:color w:val="000000"/>
                <w:sz w:val="16"/>
              </w:rPr>
            </w:pPr>
            <w:r>
              <w:rPr>
                <w:rFonts w:ascii="Helvetica;sans-serif" w:hAnsi="Helvetica;sans-serif"/>
                <w:b w:val="false"/>
                <w:i/>
                <w:color w:val="000000"/>
                <w:sz w:val="16"/>
              </w:rPr>
              <w:t>(€ million)</w:t>
            </w:r>
          </w:p>
        </w:tc>
        <w:tc>
          <w:tcPr>
            <w:tcW w:w="1764" w:type="dxa"/>
            <w:gridSpan w:val="9"/>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2026</w:t>
            </w:r>
          </w:p>
        </w:tc>
        <w:tc>
          <w:tcPr>
            <w:tcW w:w="342"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9"/>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2025</w:t>
            </w:r>
          </w:p>
        </w:tc>
      </w:tr>
      <w:tr>
        <w:trPr/>
        <w:tc>
          <w:tcPr>
            <w:tcW w:w="2220"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2" w:space="0" w:color="143A84"/>
            </w:tcBorders>
            <w:shd w:fill="F3F3F9" w:val="clear"/>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Pension</w:t>
            </w:r>
          </w:p>
        </w:tc>
        <w:tc>
          <w:tcPr>
            <w:tcW w:w="342" w:type="dxa"/>
            <w:gridSpan w:val="3"/>
            <w:tcBorders>
              <w:top w:val="single" w:sz="2" w:space="0" w:color="143A84"/>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2" w:space="0" w:color="143A84"/>
            </w:tcBorders>
            <w:shd w:fill="F3F3F9" w:val="clear"/>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OPEB</w:t>
            </w:r>
          </w:p>
        </w:tc>
        <w:tc>
          <w:tcPr>
            <w:tcW w:w="342"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2" w:space="0" w:color="143A84"/>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Pension</w:t>
            </w:r>
          </w:p>
        </w:tc>
        <w:tc>
          <w:tcPr>
            <w:tcW w:w="342"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2" w:space="0" w:color="143A84"/>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OPEB</w:t>
            </w:r>
          </w:p>
        </w:tc>
      </w:tr>
      <w:tr>
        <w:trPr/>
        <w:tc>
          <w:tcPr>
            <w:tcW w:w="2220"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Current service cost</w:t>
            </w:r>
          </w:p>
        </w:tc>
        <w:tc>
          <w:tcPr>
            <w:tcW w:w="540"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54 </w:t>
            </w:r>
          </w:p>
        </w:tc>
        <w:tc>
          <w:tcPr>
            <w:tcW w:w="266"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27 </w:t>
            </w:r>
          </w:p>
        </w:tc>
        <w:tc>
          <w:tcPr>
            <w:tcW w:w="206"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63 </w:t>
            </w:r>
          </w:p>
        </w:tc>
        <w:tc>
          <w:tcPr>
            <w:tcW w:w="26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32 </w:t>
            </w:r>
          </w:p>
        </w:tc>
        <w:tc>
          <w:tcPr>
            <w:tcW w:w="275"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Interest expense</w:t>
            </w:r>
          </w:p>
        </w:tc>
        <w:tc>
          <w:tcPr>
            <w:tcW w:w="540"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523 </w:t>
            </w:r>
          </w:p>
        </w:tc>
        <w:tc>
          <w:tcPr>
            <w:tcW w:w="266"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59 </w:t>
            </w:r>
          </w:p>
        </w:tc>
        <w:tc>
          <w:tcPr>
            <w:tcW w:w="206"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562 </w:t>
            </w:r>
          </w:p>
        </w:tc>
        <w:tc>
          <w:tcPr>
            <w:tcW w:w="26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62 </w:t>
            </w:r>
          </w:p>
        </w:tc>
        <w:tc>
          <w:tcPr>
            <w:tcW w:w="275"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Interest (income)</w:t>
            </w:r>
          </w:p>
        </w:tc>
        <w:tc>
          <w:tcPr>
            <w:tcW w:w="540"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(488)</w:t>
            </w:r>
          </w:p>
        </w:tc>
        <w:tc>
          <w:tcPr>
            <w:tcW w:w="266"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(6)</w:t>
            </w:r>
          </w:p>
        </w:tc>
        <w:tc>
          <w:tcPr>
            <w:tcW w:w="206"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(520)</w:t>
            </w:r>
          </w:p>
        </w:tc>
        <w:tc>
          <w:tcPr>
            <w:tcW w:w="26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(4)</w:t>
            </w:r>
          </w:p>
        </w:tc>
        <w:tc>
          <w:tcPr>
            <w:tcW w:w="275"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Other administrative costs</w:t>
            </w:r>
          </w:p>
        </w:tc>
        <w:tc>
          <w:tcPr>
            <w:tcW w:w="540"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39 </w:t>
            </w:r>
          </w:p>
        </w:tc>
        <w:tc>
          <w:tcPr>
            <w:tcW w:w="266"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4 </w:t>
            </w:r>
          </w:p>
        </w:tc>
        <w:tc>
          <w:tcPr>
            <w:tcW w:w="206"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43 </w:t>
            </w:r>
          </w:p>
        </w:tc>
        <w:tc>
          <w:tcPr>
            <w:tcW w:w="26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1 </w:t>
            </w:r>
          </w:p>
        </w:tc>
        <w:tc>
          <w:tcPr>
            <w:tcW w:w="275"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vAlign w:val="center"/>
          </w:tcPr>
          <w:p>
            <w:pPr>
              <w:pStyle w:val="TableContents"/>
              <w:bidi w:val="0"/>
              <w:spacing w:before="0" w:after="283"/>
              <w:jc w:val="left"/>
              <w:rPr>
                <w:sz w:val="4"/>
                <w:szCs w:val="4"/>
              </w:rPr>
            </w:pPr>
            <w:r>
              <w:rPr>
                <w:sz w:val="4"/>
                <w:szCs w:val="4"/>
              </w:rPr>
            </w:r>
          </w:p>
        </w:tc>
        <w:tc>
          <w:tcPr>
            <w:tcW w:w="80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0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243782"/>
                <w:sz w:val="18"/>
              </w:rPr>
            </w:pPr>
            <w:r>
              <w:rPr>
                <w:rFonts w:ascii="Helvetica;sans-serif" w:hAnsi="Helvetica;sans-serif"/>
                <w:b/>
                <w:color w:val="243782"/>
                <w:sz w:val="18"/>
              </w:rPr>
              <w:t xml:space="preserve">Total </w:t>
            </w:r>
          </w:p>
        </w:tc>
        <w:tc>
          <w:tcPr>
            <w:tcW w:w="540"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8"/>
              </w:rPr>
              <w:t>128</w:t>
            </w:r>
            <w:r>
              <w:rPr>
                <w:color w:val="243782"/>
              </w:rPr>
              <w:t> </w:t>
            </w:r>
          </w:p>
        </w:tc>
        <w:tc>
          <w:tcPr>
            <w:tcW w:w="266"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2" w:space="0" w:color="8E939F"/>
            </w:tcBorders>
            <w:shd w:fill="E6E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8"/>
              </w:rPr>
              <w:t>84</w:t>
            </w:r>
            <w:r>
              <w:rPr>
                <w:color w:val="243782"/>
              </w:rPr>
              <w:t> </w:t>
            </w:r>
          </w:p>
        </w:tc>
        <w:tc>
          <w:tcPr>
            <w:tcW w:w="206"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2" w:space="0" w:color="8E939F"/>
            </w:tcBorders>
            <w:shd w:fill="E6E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8"/>
              </w:rPr>
              <w:t>148</w:t>
            </w:r>
            <w:r>
              <w:rPr>
                <w:color w:val="243782"/>
              </w:rPr>
              <w:t> </w:t>
            </w:r>
          </w:p>
        </w:tc>
        <w:tc>
          <w:tcPr>
            <w:tcW w:w="266"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2" w:space="0" w:color="8E939F"/>
            </w:tcBorders>
            <w:shd w:fill="E6E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8"/>
              </w:rPr>
              <w:t>91</w:t>
            </w:r>
            <w:r>
              <w:rPr>
                <w:color w:val="243782"/>
              </w:rPr>
              <w:t> </w:t>
            </w:r>
          </w:p>
        </w:tc>
        <w:tc>
          <w:tcPr>
            <w:tcW w:w="275"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Total contributions and direct benefit payments of €26 million were made to the pension plans in North America and Enlarged Europe during the six months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503555"/>
                <wp:effectExtent l="0" t="0" r="0" b="0"/>
                <wp:wrapNone/>
                <wp:docPr id="88" name="Frame73"/>
                <a:graphic xmlns:a="http://schemas.openxmlformats.org/drawingml/2006/main">
                  <a:graphicData uri="http://schemas.microsoft.com/office/word/2010/wordprocessingShape">
                    <wps:wsp>
                      <wps:cNvSpPr txBox="1"/>
                      <wps:spPr>
                        <a:xfrm>
                          <a:off x="0" y="0"/>
                          <a:ext cx="6480175" cy="5035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69</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69</w:t>
                      </w:r>
                    </w:p>
                    <w:p>
                      <w:pPr>
                        <w:pStyle w:val="TextBody"/>
                        <w:bidi w:val="0"/>
                        <w:spacing w:before="0" w:after="24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88" w:before="0" w:after="240"/>
        <w:jc w:val="left"/>
        <w:rPr>
          <w:rFonts w:ascii="Helvetica;sans-serif" w:hAnsi="Helvetica;sans-serif"/>
          <w:b/>
          <w:color w:val="143A84"/>
          <w:sz w:val="20"/>
        </w:rPr>
      </w:pPr>
      <w:r>
        <w:rPr>
          <w:rFonts w:ascii="Helvetica;sans-serif" w:hAnsi="Helvetica;sans-serif"/>
          <w:b/>
          <w:color w:val="143A84"/>
          <w:sz w:val="20"/>
        </w:rPr>
        <w:t>12. Provisions</w:t>
      </w:r>
    </w:p>
    <w:tbl>
      <w:tblPr>
        <w:tblW w:w="10205" w:type="dxa"/>
        <w:jc w:val="left"/>
        <w:tblInd w:w="0" w:type="dxa"/>
        <w:tblLayout w:type="fixed"/>
        <w:tblCellMar>
          <w:top w:w="28" w:type="dxa"/>
          <w:left w:w="28" w:type="dxa"/>
          <w:bottom w:w="28" w:type="dxa"/>
          <w:right w:w="28" w:type="dxa"/>
        </w:tblCellMar>
      </w:tblPr>
      <w:tblGrid>
        <w:gridCol w:w="905"/>
        <w:gridCol w:w="714"/>
        <w:gridCol w:w="722"/>
        <w:gridCol w:w="368"/>
        <w:gridCol w:w="368"/>
        <w:gridCol w:w="256"/>
        <w:gridCol w:w="109"/>
        <w:gridCol w:w="109"/>
        <w:gridCol w:w="109"/>
        <w:gridCol w:w="380"/>
        <w:gridCol w:w="380"/>
        <w:gridCol w:w="381"/>
        <w:gridCol w:w="109"/>
        <w:gridCol w:w="109"/>
        <w:gridCol w:w="109"/>
        <w:gridCol w:w="367"/>
        <w:gridCol w:w="369"/>
        <w:gridCol w:w="176"/>
        <w:gridCol w:w="109"/>
        <w:gridCol w:w="109"/>
        <w:gridCol w:w="109"/>
        <w:gridCol w:w="368"/>
        <w:gridCol w:w="368"/>
        <w:gridCol w:w="256"/>
        <w:gridCol w:w="121"/>
        <w:gridCol w:w="121"/>
        <w:gridCol w:w="121"/>
        <w:gridCol w:w="380"/>
        <w:gridCol w:w="380"/>
        <w:gridCol w:w="381"/>
        <w:gridCol w:w="121"/>
        <w:gridCol w:w="121"/>
        <w:gridCol w:w="121"/>
        <w:gridCol w:w="367"/>
        <w:gridCol w:w="369"/>
        <w:gridCol w:w="243"/>
      </w:tblGrid>
      <w:tr>
        <w:trPr/>
        <w:tc>
          <w:tcPr>
            <w:tcW w:w="905"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r>
      <w:tr>
        <w:trPr/>
        <w:tc>
          <w:tcPr>
            <w:tcW w:w="2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9"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At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8"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At December 31, 2025</w:t>
            </w:r>
          </w:p>
        </w:tc>
      </w:tr>
      <w:tr>
        <w:trPr/>
        <w:tc>
          <w:tcPr>
            <w:tcW w:w="2341"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Helvetica;sans-serif" w:hAnsi="Helvetica;sans-serif"/>
                <w:b w:val="false"/>
                <w:i/>
                <w:color w:val="000000"/>
                <w:sz w:val="16"/>
              </w:rPr>
            </w:pPr>
            <w:r>
              <w:rPr>
                <w:rFonts w:ascii="Helvetica;sans-serif" w:hAnsi="Helvetica;sans-serif"/>
                <w:b w:val="false"/>
                <w:i/>
                <w:color w:val="000000"/>
                <w:sz w:val="16"/>
              </w:rPr>
              <w:t>(€ million)</w:t>
            </w:r>
          </w:p>
        </w:tc>
        <w:tc>
          <w:tcPr>
            <w:tcW w:w="992"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Current</w:t>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Non-current</w:t>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Total</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Current</w:t>
            </w:r>
          </w:p>
        </w:tc>
        <w:tc>
          <w:tcPr>
            <w:tcW w:w="363"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Non-current</w:t>
            </w:r>
          </w:p>
        </w:tc>
        <w:tc>
          <w:tcPr>
            <w:tcW w:w="363"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Total</w:t>
            </w:r>
          </w:p>
        </w:tc>
      </w:tr>
      <w:tr>
        <w:trPr/>
        <w:tc>
          <w:tcPr>
            <w:tcW w:w="2341" w:type="dxa"/>
            <w:gridSpan w:val="3"/>
            <w:tcBorders>
              <w:top w:val="single" w:sz="2" w:space="0" w:color="143A84"/>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 xml:space="preserve">Product warranty and recall campaigns </w:t>
            </w:r>
          </w:p>
        </w:tc>
        <w:tc>
          <w:tcPr>
            <w:tcW w:w="736" w:type="dxa"/>
            <w:gridSpan w:val="2"/>
            <w:tcBorders>
              <w:top w:val="single" w:sz="2" w:space="0" w:color="143A84"/>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4,392 </w:t>
            </w:r>
          </w:p>
        </w:tc>
        <w:tc>
          <w:tcPr>
            <w:tcW w:w="256" w:type="dxa"/>
            <w:tcBorders>
              <w:top w:val="single" w:sz="2" w:space="0" w:color="143A84"/>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143A84"/>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2" w:space="0" w:color="143A84"/>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9,217 </w:t>
            </w:r>
          </w:p>
        </w:tc>
        <w:tc>
          <w:tcPr>
            <w:tcW w:w="381" w:type="dxa"/>
            <w:tcBorders>
              <w:top w:val="single" w:sz="2" w:space="0" w:color="143A84"/>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143A84"/>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143A84"/>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13,609 </w:t>
            </w:r>
          </w:p>
        </w:tc>
        <w:tc>
          <w:tcPr>
            <w:tcW w:w="176" w:type="dxa"/>
            <w:tcBorders>
              <w:top w:val="single" w:sz="2" w:space="0" w:color="143A84"/>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143A84"/>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4,562 </w:t>
            </w:r>
          </w:p>
        </w:tc>
        <w:tc>
          <w:tcPr>
            <w:tcW w:w="256" w:type="dxa"/>
            <w:tcBorders>
              <w:top w:val="single" w:sz="2" w:space="0" w:color="143A84"/>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2" w:space="0" w:color="143A84"/>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9,562 </w:t>
            </w:r>
          </w:p>
        </w:tc>
        <w:tc>
          <w:tcPr>
            <w:tcW w:w="381" w:type="dxa"/>
            <w:tcBorders>
              <w:top w:val="single" w:sz="2" w:space="0" w:color="143A84"/>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143A84"/>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14,124 </w:t>
            </w:r>
          </w:p>
        </w:tc>
        <w:tc>
          <w:tcPr>
            <w:tcW w:w="243" w:type="dxa"/>
            <w:tcBorders>
              <w:top w:val="single" w:sz="2" w:space="0" w:color="143A84"/>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1"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Sales incentives</w:t>
            </w:r>
          </w:p>
        </w:tc>
        <w:tc>
          <w:tcPr>
            <w:tcW w:w="736"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5,830 </w:t>
            </w:r>
          </w:p>
        </w:tc>
        <w:tc>
          <w:tcPr>
            <w:tcW w:w="256"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1"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5,830 </w:t>
            </w:r>
          </w:p>
        </w:tc>
        <w:tc>
          <w:tcPr>
            <w:tcW w:w="176"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5,321 </w:t>
            </w:r>
          </w:p>
        </w:tc>
        <w:tc>
          <w:tcPr>
            <w:tcW w:w="25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1"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5,321 </w:t>
            </w:r>
          </w:p>
        </w:tc>
        <w:tc>
          <w:tcPr>
            <w:tcW w:w="243"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1"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Restructuring</w:t>
            </w:r>
          </w:p>
        </w:tc>
        <w:tc>
          <w:tcPr>
            <w:tcW w:w="736"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702 </w:t>
            </w:r>
          </w:p>
        </w:tc>
        <w:tc>
          <w:tcPr>
            <w:tcW w:w="256"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399 </w:t>
            </w:r>
          </w:p>
        </w:tc>
        <w:tc>
          <w:tcPr>
            <w:tcW w:w="381"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1,101 </w:t>
            </w:r>
          </w:p>
        </w:tc>
        <w:tc>
          <w:tcPr>
            <w:tcW w:w="176"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637 </w:t>
            </w:r>
          </w:p>
        </w:tc>
        <w:tc>
          <w:tcPr>
            <w:tcW w:w="25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405 </w:t>
            </w:r>
          </w:p>
        </w:tc>
        <w:tc>
          <w:tcPr>
            <w:tcW w:w="381"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1,042 </w:t>
            </w:r>
          </w:p>
        </w:tc>
        <w:tc>
          <w:tcPr>
            <w:tcW w:w="243"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1"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Legal proceedings and disputes</w:t>
            </w:r>
          </w:p>
        </w:tc>
        <w:tc>
          <w:tcPr>
            <w:tcW w:w="736"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577 </w:t>
            </w:r>
          </w:p>
        </w:tc>
        <w:tc>
          <w:tcPr>
            <w:tcW w:w="256"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469 </w:t>
            </w:r>
          </w:p>
        </w:tc>
        <w:tc>
          <w:tcPr>
            <w:tcW w:w="381"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1,046 </w:t>
            </w:r>
          </w:p>
        </w:tc>
        <w:tc>
          <w:tcPr>
            <w:tcW w:w="176"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379 </w:t>
            </w:r>
          </w:p>
        </w:tc>
        <w:tc>
          <w:tcPr>
            <w:tcW w:w="25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601 </w:t>
            </w:r>
          </w:p>
        </w:tc>
        <w:tc>
          <w:tcPr>
            <w:tcW w:w="381"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980 </w:t>
            </w:r>
          </w:p>
        </w:tc>
        <w:tc>
          <w:tcPr>
            <w:tcW w:w="243"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1"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Commercial risks</w:t>
            </w:r>
          </w:p>
        </w:tc>
        <w:tc>
          <w:tcPr>
            <w:tcW w:w="736"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2,721 </w:t>
            </w:r>
          </w:p>
        </w:tc>
        <w:tc>
          <w:tcPr>
            <w:tcW w:w="256"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4,771 </w:t>
            </w:r>
          </w:p>
        </w:tc>
        <w:tc>
          <w:tcPr>
            <w:tcW w:w="381"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7,492 </w:t>
            </w:r>
          </w:p>
        </w:tc>
        <w:tc>
          <w:tcPr>
            <w:tcW w:w="176"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2,779 </w:t>
            </w:r>
          </w:p>
        </w:tc>
        <w:tc>
          <w:tcPr>
            <w:tcW w:w="25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6,002 </w:t>
            </w:r>
          </w:p>
        </w:tc>
        <w:tc>
          <w:tcPr>
            <w:tcW w:w="381"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8,781 </w:t>
            </w:r>
          </w:p>
        </w:tc>
        <w:tc>
          <w:tcPr>
            <w:tcW w:w="243"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1"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Other risks</w:t>
            </w:r>
          </w:p>
        </w:tc>
        <w:tc>
          <w:tcPr>
            <w:tcW w:w="736"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553 </w:t>
            </w:r>
          </w:p>
        </w:tc>
        <w:tc>
          <w:tcPr>
            <w:tcW w:w="256"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1,537 </w:t>
            </w:r>
          </w:p>
        </w:tc>
        <w:tc>
          <w:tcPr>
            <w:tcW w:w="381"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2,090 </w:t>
            </w:r>
          </w:p>
        </w:tc>
        <w:tc>
          <w:tcPr>
            <w:tcW w:w="176"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639 </w:t>
            </w:r>
          </w:p>
        </w:tc>
        <w:tc>
          <w:tcPr>
            <w:tcW w:w="25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2,026 </w:t>
            </w:r>
          </w:p>
        </w:tc>
        <w:tc>
          <w:tcPr>
            <w:tcW w:w="381"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2,665 </w:t>
            </w:r>
          </w:p>
        </w:tc>
        <w:tc>
          <w:tcPr>
            <w:tcW w:w="243"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1" w:type="dxa"/>
            <w:gridSpan w:val="3"/>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color w:val="243782"/>
                <w:sz w:val="18"/>
              </w:rPr>
            </w:pPr>
            <w:r>
              <w:rPr>
                <w:rFonts w:ascii="Helvetica;sans-serif" w:hAnsi="Helvetica;sans-serif"/>
                <w:b/>
                <w:color w:val="243782"/>
                <w:sz w:val="18"/>
              </w:rPr>
              <w:t>Total Provisions</w:t>
            </w:r>
          </w:p>
        </w:tc>
        <w:tc>
          <w:tcPr>
            <w:tcW w:w="736" w:type="dxa"/>
            <w:gridSpan w:val="2"/>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8"/>
              </w:rPr>
              <w:t>14,775</w:t>
            </w:r>
            <w:r>
              <w:rPr>
                <w:color w:val="243782"/>
              </w:rPr>
              <w:t> </w:t>
            </w:r>
          </w:p>
        </w:tc>
        <w:tc>
          <w:tcPr>
            <w:tcW w:w="256" w:type="dxa"/>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bottom w:val="single" w:sz="2" w:space="0" w:color="8E939F"/>
            </w:tcBorders>
            <w:shd w:fill="E6E7F4" w:val="clear"/>
            <w:tcMar>
              <w:left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8"/>
              </w:rPr>
              <w:t>16,393</w:t>
            </w:r>
            <w:r>
              <w:rPr>
                <w:color w:val="243782"/>
              </w:rPr>
              <w:t> </w:t>
            </w:r>
          </w:p>
        </w:tc>
        <w:tc>
          <w:tcPr>
            <w:tcW w:w="381" w:type="dxa"/>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bottom w:val="single" w:sz="2" w:space="0" w:color="8E939F"/>
            </w:tcBorders>
            <w:shd w:fill="E6E7F4" w:val="clear"/>
            <w:tcMar>
              <w:left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8"/>
              </w:rPr>
              <w:t>31,168</w:t>
            </w:r>
            <w:r>
              <w:rPr>
                <w:color w:val="243782"/>
              </w:rPr>
              <w:t> </w:t>
            </w:r>
          </w:p>
        </w:tc>
        <w:tc>
          <w:tcPr>
            <w:tcW w:w="176" w:type="dxa"/>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bottom w:val="single" w:sz="2" w:space="0" w:color="8E939F"/>
            </w:tcBorders>
            <w:shd w:fill="E6E7F4" w:val="clear"/>
            <w:tcMar>
              <w:left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8"/>
              </w:rPr>
              <w:t>14,317</w:t>
            </w:r>
            <w:r>
              <w:rPr>
                <w:color w:val="243782"/>
              </w:rPr>
              <w:t> </w:t>
            </w:r>
          </w:p>
        </w:tc>
        <w:tc>
          <w:tcPr>
            <w:tcW w:w="256" w:type="dxa"/>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single" w:sz="2" w:space="0" w:color="8E939F"/>
              <w:bottom w:val="single" w:sz="2" w:space="0" w:color="8E939F"/>
            </w:tcBorders>
            <w:shd w:fill="E6E7F4" w:val="clear"/>
            <w:tcMar>
              <w:left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8"/>
              </w:rPr>
              <w:t>18,596</w:t>
            </w:r>
            <w:r>
              <w:rPr>
                <w:color w:val="243782"/>
              </w:rPr>
              <w:t> </w:t>
            </w:r>
          </w:p>
        </w:tc>
        <w:tc>
          <w:tcPr>
            <w:tcW w:w="381" w:type="dxa"/>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single" w:sz="2" w:space="0" w:color="8E939F"/>
              <w:bottom w:val="single" w:sz="2" w:space="0" w:color="8E939F"/>
            </w:tcBorders>
            <w:shd w:fill="E6E7F4" w:val="clear"/>
            <w:tcMar>
              <w:left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8"/>
              </w:rPr>
              <w:t>32,913</w:t>
            </w:r>
            <w:r>
              <w:rPr>
                <w:color w:val="243782"/>
              </w:rPr>
              <w:t> </w:t>
            </w:r>
          </w:p>
        </w:tc>
        <w:tc>
          <w:tcPr>
            <w:tcW w:w="243" w:type="dxa"/>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3" w:before="0" w:after="140"/>
        <w:jc w:val="left"/>
        <w:rPr>
          <w:rFonts w:ascii="Helvetica Light;sans-serif" w:hAnsi="Helvetica Light;sans-serif"/>
          <w:b w:val="false"/>
          <w:color w:val="000000"/>
          <w:sz w:val="20"/>
        </w:rPr>
      </w:pPr>
      <w:r>
        <w:rPr>
          <w:rFonts w:ascii="Helvetica Light;sans-serif" w:hAnsi="Helvetica Light;sans-serif"/>
          <w:b w:val="false"/>
          <w:color w:val="000000"/>
          <w:sz w:val="20"/>
        </w:rPr>
        <w:t>Restructuring costs of €482 million and €522 million were recognized for the six months ended June 30, 2026 and 2025, respectively, the decrease was primarily related to lower workforce reductions mainly in Enlarged Europe.</w:t>
      </w:r>
    </w:p>
    <w:p>
      <w:pPr>
        <w:pStyle w:val="TextBody"/>
        <w:bidi w:val="0"/>
        <w:spacing w:lineRule="auto" w:line="343" w:before="0" w:after="120"/>
        <w:jc w:val="left"/>
        <w:rPr>
          <w:rFonts w:ascii="Helvetica Light;sans-serif" w:hAnsi="Helvetica Light;sans-serif"/>
          <w:b w:val="false"/>
          <w:color w:val="000000"/>
          <w:sz w:val="20"/>
        </w:rPr>
      </w:pPr>
      <w:r>
        <w:rPr>
          <w:rFonts w:ascii="Helvetica Light;sans-serif" w:hAnsi="Helvetica Light;sans-serif"/>
          <w:b w:val="false"/>
          <w:color w:val="000000"/>
          <w:sz w:val="20"/>
        </w:rPr>
        <w:t>The decrease in Commercial risks provision is primarily due to (i) €0.9 billion of cash payments related to charges recorded in the second half of 2025, (ii) approximately €300 million reduction in regulatory provisions in the U.S. due to revision in the estimated cost of contractual obligations, and (iii) reversal of the U.S. greenhouse gas (”GHG”) provision of €350 million as further explained below.</w:t>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In February 2026, the U.S. Environmental Protection Agency finalized actions to rescind the 2009 GHG Endangerment Finding under the Clean Air Act. The Endangerment Finding had previously provided the legal basis for federal regulation of GHG emissions from motor vehicles. As a result of this regulatory development, during the six months ended June 30, 2026, Stellantis recognized a gain of €66 million within Cost of revenues which was excluded from AOI. The net gain consisted of an impairment of GHG-related Other intangible assets of €284 million and the reversal of the related GHG provision of €350 million, as mentioned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Helvetica;sans-serif" w:hAnsi="Helvetica;sans-serif"/>
          <w:b/>
          <w:color w:val="143A84"/>
          <w:sz w:val="20"/>
        </w:rPr>
      </w:pPr>
      <w:r>
        <w:rPr>
          <w:rFonts w:ascii="Helvetica;sans-serif" w:hAnsi="Helvetica;sans-serif"/>
          <w:b/>
          <w:color w:val="143A84"/>
          <w:sz w:val="20"/>
        </w:rPr>
        <w:t>13. Debt</w:t>
      </w:r>
    </w:p>
    <w:tbl>
      <w:tblPr>
        <w:tblW w:w="9954" w:type="dxa"/>
        <w:jc w:val="left"/>
        <w:tblInd w:w="0" w:type="dxa"/>
        <w:tblLayout w:type="fixed"/>
        <w:tblCellMar>
          <w:top w:w="28" w:type="dxa"/>
          <w:left w:w="28" w:type="dxa"/>
          <w:bottom w:w="28" w:type="dxa"/>
          <w:right w:w="28" w:type="dxa"/>
        </w:tblCellMar>
      </w:tblPr>
      <w:tblGrid>
        <w:gridCol w:w="732"/>
        <w:gridCol w:w="643"/>
        <w:gridCol w:w="649"/>
        <w:gridCol w:w="368"/>
        <w:gridCol w:w="368"/>
        <w:gridCol w:w="256"/>
        <w:gridCol w:w="109"/>
        <w:gridCol w:w="109"/>
        <w:gridCol w:w="109"/>
        <w:gridCol w:w="380"/>
        <w:gridCol w:w="380"/>
        <w:gridCol w:w="381"/>
        <w:gridCol w:w="109"/>
        <w:gridCol w:w="109"/>
        <w:gridCol w:w="109"/>
        <w:gridCol w:w="367"/>
        <w:gridCol w:w="369"/>
        <w:gridCol w:w="176"/>
        <w:gridCol w:w="109"/>
        <w:gridCol w:w="109"/>
        <w:gridCol w:w="109"/>
        <w:gridCol w:w="368"/>
        <w:gridCol w:w="368"/>
        <w:gridCol w:w="256"/>
        <w:gridCol w:w="133"/>
        <w:gridCol w:w="133"/>
        <w:gridCol w:w="133"/>
        <w:gridCol w:w="380"/>
        <w:gridCol w:w="380"/>
        <w:gridCol w:w="381"/>
        <w:gridCol w:w="133"/>
        <w:gridCol w:w="133"/>
        <w:gridCol w:w="133"/>
        <w:gridCol w:w="367"/>
        <w:gridCol w:w="369"/>
        <w:gridCol w:w="237"/>
      </w:tblGrid>
      <w:tr>
        <w:trPr/>
        <w:tc>
          <w:tcPr>
            <w:tcW w:w="732"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9"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At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4"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At December 31, 2025</w:t>
            </w:r>
          </w:p>
        </w:tc>
      </w:tr>
      <w:tr>
        <w:trPr/>
        <w:tc>
          <w:tcPr>
            <w:tcW w:w="2024"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Helvetica;sans-serif" w:hAnsi="Helvetica;sans-serif"/>
                <w:b w:val="false"/>
                <w:i/>
                <w:color w:val="000000"/>
                <w:sz w:val="16"/>
              </w:rPr>
            </w:pPr>
            <w:r>
              <w:rPr>
                <w:rFonts w:ascii="Helvetica;sans-serif" w:hAnsi="Helvetica;sans-serif"/>
                <w:b w:val="false"/>
                <w:i/>
                <w:color w:val="000000"/>
                <w:sz w:val="16"/>
              </w:rPr>
              <w:t>(€ million)</w:t>
            </w:r>
          </w:p>
        </w:tc>
        <w:tc>
          <w:tcPr>
            <w:tcW w:w="992"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Current</w:t>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Non-current</w:t>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Total</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Current</w:t>
            </w:r>
          </w:p>
        </w:tc>
        <w:tc>
          <w:tcPr>
            <w:tcW w:w="399"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Non-current</w:t>
            </w:r>
          </w:p>
        </w:tc>
        <w:tc>
          <w:tcPr>
            <w:tcW w:w="399"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Total</w:t>
            </w:r>
          </w:p>
        </w:tc>
      </w:tr>
      <w:tr>
        <w:trPr/>
        <w:tc>
          <w:tcPr>
            <w:tcW w:w="2024" w:type="dxa"/>
            <w:gridSpan w:val="3"/>
            <w:tcBorders>
              <w:top w:val="single" w:sz="2" w:space="0" w:color="143A84"/>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Notes</w:t>
            </w:r>
          </w:p>
        </w:tc>
        <w:tc>
          <w:tcPr>
            <w:tcW w:w="736" w:type="dxa"/>
            <w:gridSpan w:val="2"/>
            <w:tcBorders>
              <w:top w:val="single" w:sz="2" w:space="0" w:color="143A84"/>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2,484 </w:t>
            </w:r>
          </w:p>
        </w:tc>
        <w:tc>
          <w:tcPr>
            <w:tcW w:w="256" w:type="dxa"/>
            <w:tcBorders>
              <w:top w:val="single" w:sz="2" w:space="0" w:color="143A84"/>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143A84"/>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2" w:space="0" w:color="143A84"/>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21,630 </w:t>
            </w:r>
          </w:p>
        </w:tc>
        <w:tc>
          <w:tcPr>
            <w:tcW w:w="381" w:type="dxa"/>
            <w:tcBorders>
              <w:top w:val="single" w:sz="2" w:space="0" w:color="143A84"/>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143A84"/>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143A84"/>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24,114 </w:t>
            </w:r>
          </w:p>
        </w:tc>
        <w:tc>
          <w:tcPr>
            <w:tcW w:w="176" w:type="dxa"/>
            <w:tcBorders>
              <w:top w:val="single" w:sz="2" w:space="0" w:color="143A84"/>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143A84"/>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2,945 </w:t>
            </w:r>
          </w:p>
        </w:tc>
        <w:tc>
          <w:tcPr>
            <w:tcW w:w="256" w:type="dxa"/>
            <w:tcBorders>
              <w:top w:val="single" w:sz="2" w:space="0" w:color="143A84"/>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2" w:space="0" w:color="143A84"/>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20,256 </w:t>
            </w:r>
          </w:p>
        </w:tc>
        <w:tc>
          <w:tcPr>
            <w:tcW w:w="381" w:type="dxa"/>
            <w:tcBorders>
              <w:top w:val="single" w:sz="2" w:space="0" w:color="143A84"/>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143A84"/>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23,201 </w:t>
            </w:r>
          </w:p>
        </w:tc>
        <w:tc>
          <w:tcPr>
            <w:tcW w:w="237" w:type="dxa"/>
            <w:tcBorders>
              <w:top w:val="single" w:sz="2" w:space="0" w:color="143A84"/>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Borrowings from banks</w:t>
            </w:r>
          </w:p>
        </w:tc>
        <w:tc>
          <w:tcPr>
            <w:tcW w:w="736"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1,738 </w:t>
            </w:r>
          </w:p>
        </w:tc>
        <w:tc>
          <w:tcPr>
            <w:tcW w:w="256"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650 </w:t>
            </w:r>
          </w:p>
        </w:tc>
        <w:tc>
          <w:tcPr>
            <w:tcW w:w="381"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2,388 </w:t>
            </w:r>
          </w:p>
        </w:tc>
        <w:tc>
          <w:tcPr>
            <w:tcW w:w="176"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1,311 </w:t>
            </w:r>
          </w:p>
        </w:tc>
        <w:tc>
          <w:tcPr>
            <w:tcW w:w="25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649 </w:t>
            </w:r>
          </w:p>
        </w:tc>
        <w:tc>
          <w:tcPr>
            <w:tcW w:w="381"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1,960 </w:t>
            </w:r>
          </w:p>
        </w:tc>
        <w:tc>
          <w:tcPr>
            <w:tcW w:w="237"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Asset-backed financing</w:t>
            </w:r>
          </w:p>
        </w:tc>
        <w:tc>
          <w:tcPr>
            <w:tcW w:w="736"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8,737 </w:t>
            </w:r>
          </w:p>
        </w:tc>
        <w:tc>
          <w:tcPr>
            <w:tcW w:w="256"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10,383 </w:t>
            </w:r>
          </w:p>
        </w:tc>
        <w:tc>
          <w:tcPr>
            <w:tcW w:w="381"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19,120 </w:t>
            </w:r>
          </w:p>
        </w:tc>
        <w:tc>
          <w:tcPr>
            <w:tcW w:w="176"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7,247 </w:t>
            </w:r>
          </w:p>
        </w:tc>
        <w:tc>
          <w:tcPr>
            <w:tcW w:w="25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8,232 </w:t>
            </w:r>
          </w:p>
        </w:tc>
        <w:tc>
          <w:tcPr>
            <w:tcW w:w="381"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15,479 </w:t>
            </w:r>
          </w:p>
        </w:tc>
        <w:tc>
          <w:tcPr>
            <w:tcW w:w="237"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Lease liabilities</w:t>
            </w:r>
          </w:p>
        </w:tc>
        <w:tc>
          <w:tcPr>
            <w:tcW w:w="736"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889 </w:t>
            </w:r>
          </w:p>
        </w:tc>
        <w:tc>
          <w:tcPr>
            <w:tcW w:w="256"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1,704 </w:t>
            </w:r>
          </w:p>
        </w:tc>
        <w:tc>
          <w:tcPr>
            <w:tcW w:w="381"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2,593 </w:t>
            </w:r>
          </w:p>
        </w:tc>
        <w:tc>
          <w:tcPr>
            <w:tcW w:w="176"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818 </w:t>
            </w:r>
          </w:p>
        </w:tc>
        <w:tc>
          <w:tcPr>
            <w:tcW w:w="25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1,636 </w:t>
            </w:r>
          </w:p>
        </w:tc>
        <w:tc>
          <w:tcPr>
            <w:tcW w:w="381"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2,454 </w:t>
            </w:r>
          </w:p>
        </w:tc>
        <w:tc>
          <w:tcPr>
            <w:tcW w:w="237"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Other debt</w:t>
            </w:r>
          </w:p>
        </w:tc>
        <w:tc>
          <w:tcPr>
            <w:tcW w:w="736"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2,011 </w:t>
            </w:r>
          </w:p>
        </w:tc>
        <w:tc>
          <w:tcPr>
            <w:tcW w:w="256"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1,836 </w:t>
            </w:r>
          </w:p>
        </w:tc>
        <w:tc>
          <w:tcPr>
            <w:tcW w:w="381"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3,847 </w:t>
            </w:r>
          </w:p>
        </w:tc>
        <w:tc>
          <w:tcPr>
            <w:tcW w:w="176"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1,800 </w:t>
            </w:r>
          </w:p>
        </w:tc>
        <w:tc>
          <w:tcPr>
            <w:tcW w:w="25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1,053 </w:t>
            </w:r>
          </w:p>
        </w:tc>
        <w:tc>
          <w:tcPr>
            <w:tcW w:w="381"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2,853 </w:t>
            </w:r>
          </w:p>
        </w:tc>
        <w:tc>
          <w:tcPr>
            <w:tcW w:w="237"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color w:val="243782"/>
                <w:sz w:val="18"/>
              </w:rPr>
            </w:pPr>
            <w:r>
              <w:rPr>
                <w:rFonts w:ascii="Helvetica;sans-serif" w:hAnsi="Helvetica;sans-serif"/>
                <w:b/>
                <w:color w:val="243782"/>
                <w:sz w:val="18"/>
              </w:rPr>
              <w:t>Total Debt</w:t>
            </w:r>
          </w:p>
        </w:tc>
        <w:tc>
          <w:tcPr>
            <w:tcW w:w="736" w:type="dxa"/>
            <w:gridSpan w:val="2"/>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8"/>
              </w:rPr>
              <w:t>15,859</w:t>
            </w:r>
            <w:r>
              <w:rPr>
                <w:color w:val="243782"/>
              </w:rPr>
              <w:t> </w:t>
            </w:r>
          </w:p>
        </w:tc>
        <w:tc>
          <w:tcPr>
            <w:tcW w:w="256" w:type="dxa"/>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bottom w:val="single" w:sz="2" w:space="0" w:color="8E939F"/>
            </w:tcBorders>
            <w:shd w:fill="E6E7F4" w:val="clear"/>
            <w:tcMar>
              <w:left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8"/>
              </w:rPr>
              <w:t>36,203</w:t>
            </w:r>
            <w:r>
              <w:rPr>
                <w:color w:val="243782"/>
              </w:rPr>
              <w:t> </w:t>
            </w:r>
          </w:p>
        </w:tc>
        <w:tc>
          <w:tcPr>
            <w:tcW w:w="381" w:type="dxa"/>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bottom w:val="single" w:sz="2" w:space="0" w:color="8E939F"/>
            </w:tcBorders>
            <w:shd w:fill="E6E7F4" w:val="clear"/>
            <w:tcMar>
              <w:left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8"/>
              </w:rPr>
              <w:t>52,062</w:t>
            </w:r>
            <w:r>
              <w:rPr>
                <w:color w:val="243782"/>
              </w:rPr>
              <w:t> </w:t>
            </w:r>
          </w:p>
        </w:tc>
        <w:tc>
          <w:tcPr>
            <w:tcW w:w="176" w:type="dxa"/>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bottom w:val="single" w:sz="2" w:space="0" w:color="8E939F"/>
            </w:tcBorders>
            <w:shd w:fill="E6E7F4" w:val="clear"/>
            <w:tcMar>
              <w:left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8"/>
              </w:rPr>
              <w:t>14,121</w:t>
            </w:r>
            <w:r>
              <w:rPr>
                <w:color w:val="243782"/>
              </w:rPr>
              <w:t> </w:t>
            </w:r>
          </w:p>
        </w:tc>
        <w:tc>
          <w:tcPr>
            <w:tcW w:w="256" w:type="dxa"/>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2" w:space="0" w:color="8E939F"/>
              <w:bottom w:val="single" w:sz="2" w:space="0" w:color="8E939F"/>
            </w:tcBorders>
            <w:shd w:fill="E6E7F4" w:val="clear"/>
            <w:tcMar>
              <w:left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8"/>
              </w:rPr>
              <w:t>31,826</w:t>
            </w:r>
            <w:r>
              <w:rPr>
                <w:color w:val="243782"/>
              </w:rPr>
              <w:t> </w:t>
            </w:r>
          </w:p>
        </w:tc>
        <w:tc>
          <w:tcPr>
            <w:tcW w:w="381" w:type="dxa"/>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2" w:space="0" w:color="8E939F"/>
              <w:bottom w:val="single" w:sz="2" w:space="0" w:color="8E939F"/>
            </w:tcBorders>
            <w:shd w:fill="E6E7F4" w:val="clear"/>
            <w:tcMar>
              <w:left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8"/>
              </w:rPr>
              <w:t>45,947</w:t>
            </w:r>
            <w:r>
              <w:rPr>
                <w:color w:val="243782"/>
              </w:rPr>
              <w:t> </w:t>
            </w:r>
          </w:p>
        </w:tc>
        <w:tc>
          <w:tcPr>
            <w:tcW w:w="237" w:type="dxa"/>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Helvetica;sans-serif" w:hAnsi="Helvetica;sans-serif"/>
          <w:b/>
          <w:color w:val="143A84"/>
          <w:sz w:val="20"/>
          <w:shd w:fill="FFFFFF" w:val="clear"/>
        </w:rPr>
      </w:pPr>
      <w:r>
        <w:rPr>
          <w:rFonts w:ascii="Helvetica;sans-serif" w:hAnsi="Helvetica;sans-serif"/>
          <w:b/>
          <w:color w:val="143A84"/>
          <w:sz w:val="20"/>
          <w:shd w:fill="FFFFFF" w:val="clear"/>
        </w:rPr>
        <w:t>Euro Medium Term Note Programme Notes</w:t>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In January and May 2026, respectively, the Company repaid at maturity, a €1,250 million note issued by FCA N.V. and a €1,000 million note issued by Peugeot S.A. each originally issued in 2020.</w:t>
      </w:r>
    </w:p>
    <w:p>
      <w:pPr>
        <w:pStyle w:val="TextBody"/>
        <w:bidi w:val="0"/>
        <w:spacing w:lineRule="auto" w:line="340"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On June 1, 2026, SFS U.S. issued two bonds:</w:t>
      </w:r>
    </w:p>
    <w:p>
      <w:pPr>
        <w:pStyle w:val="TextBody"/>
        <w:bidi w:val="0"/>
        <w:spacing w:lineRule="auto" w:line="340"/>
        <w:ind w:left="0" w:right="0" w:hanging="173"/>
        <w:jc w:val="left"/>
        <w:rPr/>
      </w:pPr>
      <w:r>
        <w:rPr>
          <w:color w:val="143A84"/>
        </w:rPr>
        <w:t>•</w:t>
      </w:r>
      <w:r>
        <w:rPr>
          <w:rFonts w:ascii="Helvetica Light;sans-serif" w:hAnsi="Helvetica Light;sans-serif"/>
          <w:b w:val="false"/>
          <w:color w:val="000000"/>
          <w:sz w:val="20"/>
        </w:rPr>
        <w:t>a USD bond with principal amount of $1,500 million with an interest rate of 5.4 percent and which matures in June 2029; and</w:t>
      </w:r>
    </w:p>
    <w:p>
      <w:pPr>
        <w:pStyle w:val="TextBody"/>
        <w:bidi w:val="0"/>
        <w:spacing w:before="0" w:after="24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503555"/>
                <wp:effectExtent l="0" t="0" r="0" b="0"/>
                <wp:wrapNone/>
                <wp:docPr id="89" name="Frame74"/>
                <a:graphic xmlns:a="http://schemas.openxmlformats.org/drawingml/2006/main">
                  <a:graphicData uri="http://schemas.microsoft.com/office/word/2010/wordprocessingShape">
                    <wps:wsp>
                      <wps:cNvSpPr txBox="1"/>
                      <wps:spPr>
                        <a:xfrm>
                          <a:off x="0" y="0"/>
                          <a:ext cx="6480175" cy="5035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70</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70</w:t>
                      </w:r>
                    </w:p>
                    <w:p>
                      <w:pPr>
                        <w:pStyle w:val="TextBody"/>
                        <w:bidi w:val="0"/>
                        <w:spacing w:before="0" w:after="24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343" w:before="0" w:after="0"/>
        <w:ind w:left="0" w:right="0" w:hanging="173"/>
        <w:jc w:val="left"/>
        <w:rPr/>
      </w:pPr>
      <w:r>
        <w:rPr>
          <w:color w:val="143A84"/>
        </w:rPr>
        <w:t>•</w:t>
      </w:r>
      <w:r>
        <w:rPr>
          <w:rFonts w:ascii="Helvetica Light;sans-serif" w:hAnsi="Helvetica Light;sans-serif"/>
          <w:b w:val="false"/>
          <w:color w:val="000000"/>
          <w:sz w:val="20"/>
        </w:rPr>
        <w:t>a USD bond with principal amount of $1,000 million with an interest rate of 5.8 percent and which matures in June 2031.</w:t>
      </w:r>
    </w:p>
    <w:p>
      <w:pPr>
        <w:pStyle w:val="TextBody"/>
        <w:bidi w:val="0"/>
        <w:spacing w:before="0" w:after="0"/>
        <w:ind w:left="0" w:right="0" w:firstLine="187"/>
        <w:jc w:val="left"/>
        <w:rPr/>
      </w:pPr>
      <w:r>
        <w:rPr/>
      </w:r>
    </w:p>
    <w:p>
      <w:pPr>
        <w:pStyle w:val="TextBody"/>
        <w:bidi w:val="0"/>
        <w:spacing w:lineRule="auto" w:line="340"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 xml:space="preserve">On June 12, 2026, the Company issued two bonds under its Euro Medium Term Notes Programme (“EMTN”): </w:t>
      </w:r>
    </w:p>
    <w:p>
      <w:pPr>
        <w:pStyle w:val="TextBody"/>
        <w:bidi w:val="0"/>
        <w:spacing w:lineRule="auto" w:line="343" w:before="0" w:after="120"/>
        <w:ind w:left="0" w:right="0" w:hanging="173"/>
        <w:jc w:val="left"/>
        <w:rPr/>
      </w:pPr>
      <w:r>
        <w:rPr>
          <w:color w:val="143A84"/>
        </w:rPr>
        <w:t>•</w:t>
      </w:r>
      <w:r>
        <w:rPr>
          <w:rFonts w:ascii="Helvetica Light;sans-serif" w:hAnsi="Helvetica Light;sans-serif"/>
          <w:b w:val="false"/>
          <w:color w:val="000000"/>
          <w:sz w:val="20"/>
        </w:rPr>
        <w:t>a EUR bond with principal amount of €750 million with an interest rate of 4.5 percent and which matures in January 2033; and</w:t>
      </w:r>
    </w:p>
    <w:p>
      <w:pPr>
        <w:pStyle w:val="TextBody"/>
        <w:bidi w:val="0"/>
        <w:spacing w:lineRule="auto" w:line="343" w:before="0" w:after="240"/>
        <w:ind w:left="0" w:right="0" w:hanging="173"/>
        <w:jc w:val="left"/>
        <w:rPr/>
      </w:pPr>
      <w:r>
        <w:rPr>
          <w:color w:val="143A84"/>
        </w:rPr>
        <w:t>•</w:t>
      </w:r>
      <w:r>
        <w:rPr>
          <w:rFonts w:ascii="Helvetica Light;sans-serif" w:hAnsi="Helvetica Light;sans-serif"/>
          <w:b w:val="false"/>
          <w:color w:val="000000"/>
          <w:sz w:val="20"/>
        </w:rPr>
        <w:t>a EUR bond with principal amount of €500 million with an interest rate of 5.1 percent and which matures in January 2037.</w:t>
      </w:r>
    </w:p>
    <w:p>
      <w:pPr>
        <w:pStyle w:val="TextBody"/>
        <w:bidi w:val="0"/>
        <w:spacing w:lineRule="auto" w:line="288" w:before="0" w:after="240"/>
        <w:jc w:val="left"/>
        <w:rPr>
          <w:rFonts w:ascii="Helvetica;sans-serif" w:hAnsi="Helvetica;sans-serif"/>
          <w:b/>
          <w:color w:val="143A84"/>
          <w:sz w:val="20"/>
        </w:rPr>
      </w:pPr>
      <w:r>
        <w:rPr>
          <w:rFonts w:ascii="Helvetica;sans-serif" w:hAnsi="Helvetica;sans-serif"/>
          <w:b/>
          <w:color w:val="143A84"/>
          <w:sz w:val="20"/>
        </w:rPr>
        <w:t>Undrawn committed credit lines</w:t>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Stellantis N.V. has a syndicated revolving credit facility of €12.0 billion, structured in two tranches. The amount utilized under these credit lines was nil on June 30, 2026.</w:t>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In December 2025, SFS U.S. established a privately placed CP program available up to a maximum of €1.9 billion ($2.2 billion). No CP was issued under the program in December 2025. Issuances under the CP program commenced in March 2026. At June 30, 2026, €0.4 billion ($0.5 billion) notes were outstanding under the CP program. These amounts are reported within the line item Other debt.</w:t>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In connection with the establishment of the CP program, the €0.9 billion ($1 billion) committed USD credit facility originally signed by SFS U.S. in March 2024 was amended and refinanced (the "SFS RCF"). The amended SFS RCF is structured in two tranches: €1.1 billion ($1.3 billion), with a 364-days tenor, and €0.9 billion ($1 billion), with a three-year tenor, with each tranche benefiting from two further extension options, each of one year exercisable on the first and second anniversary of the amendment signing date. At June 30, 2026, the amount available under the amended SFS RCF, net of €0.4 billion of CP outstanding, was €1.5 billion ($1.7 billion).</w:t>
      </w:r>
    </w:p>
    <w:p>
      <w:pPr>
        <w:pStyle w:val="TextBody"/>
        <w:bidi w:val="0"/>
        <w:spacing w:lineRule="auto" w:line="288" w:before="0" w:after="240"/>
        <w:jc w:val="left"/>
        <w:rPr>
          <w:rFonts w:ascii="Helvetica;sans-serif" w:hAnsi="Helvetica;sans-serif"/>
          <w:b/>
          <w:color w:val="143A84"/>
          <w:sz w:val="20"/>
        </w:rPr>
      </w:pPr>
      <w:r>
        <w:rPr>
          <w:rFonts w:ascii="Helvetica;sans-serif" w:hAnsi="Helvetica;sans-serif"/>
          <w:b/>
          <w:color w:val="143A84"/>
          <w:sz w:val="20"/>
        </w:rPr>
        <w:t>Borrowings from banks</w:t>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The increase of borrowings from banks is mainly due to issuance of new debt mainly in financial services companies.</w:t>
      </w:r>
    </w:p>
    <w:p>
      <w:pPr>
        <w:pStyle w:val="TextBody"/>
        <w:bidi w:val="0"/>
        <w:spacing w:lineRule="auto" w:line="288" w:before="0" w:after="240"/>
        <w:jc w:val="left"/>
        <w:rPr>
          <w:rFonts w:ascii="Helvetica;sans-serif" w:hAnsi="Helvetica;sans-serif"/>
          <w:b/>
          <w:color w:val="143A84"/>
          <w:sz w:val="20"/>
        </w:rPr>
      </w:pPr>
      <w:r>
        <w:rPr>
          <w:rFonts w:ascii="Helvetica;sans-serif" w:hAnsi="Helvetica;sans-serif"/>
          <w:b/>
          <w:color w:val="143A84"/>
          <w:sz w:val="20"/>
        </w:rPr>
        <w:t>Asset-backed financing</w:t>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Asset-backed financing primarily represented the amount of financing received by SFS U.S. through USD denominated securitization programs and amounted to €18,336 million at June 30, 2026, (€14,759 million at December 31, 2025) that will be settled through the collection of a portfolio of receivables which originate from consumers and dealers. The increase in asset-backed financing at June 30, 2026, is primarily due to securitizations made to fund the increase in the SFS U.S. portfolio.</w:t>
      </w:r>
    </w:p>
    <w:p>
      <w:pPr>
        <w:pStyle w:val="TextBody"/>
        <w:bidi w:val="0"/>
        <w:spacing w:lineRule="auto" w:line="288" w:before="0" w:after="240"/>
        <w:jc w:val="left"/>
        <w:rPr>
          <w:rFonts w:ascii="Helvetica;sans-serif" w:hAnsi="Helvetica;sans-serif"/>
          <w:b w:val="false"/>
          <w:color w:val="143A84"/>
          <w:sz w:val="20"/>
        </w:rPr>
      </w:pPr>
      <w:r>
        <w:rPr>
          <w:rFonts w:ascii="Helvetica;sans-serif" w:hAnsi="Helvetica;sans-serif"/>
          <w:b w:val="false"/>
          <w:color w:val="143A84"/>
          <w:sz w:val="20"/>
        </w:rPr>
        <w:t>Warehouse credit facilities</w:t>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 xml:space="preserve">There are three revolving warehouse credit facilities used to finance loan originations by SFS U.S. </w:t>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 xml:space="preserve">In January 2026, the revolving credit floorplan facility (Stellantis Financial Floorplan Master Auto Owner Trust 2024-1) capacity was increased from €1.1 billion ($1.3 billion) to €1.8 billion ($2.0 billion) with the addition of 3 new lenders. Draw downs from the facility will bear an interest rate based on the lender’s asset-backed commercial paper cost of funds or Secured Overnight Financing Rate (“SOFR”), plus a spread. Borrowings are used to support the Company’s commercial floorplan lending business with floor plan receivables providing collateral. As of June 30, 2026, €1.3 billion ($1.5 billion) was outstanding under this facility. </w:t>
      </w:r>
    </w:p>
    <w:p>
      <w:pPr>
        <w:pStyle w:val="TextBody"/>
        <w:bidi w:val="0"/>
        <w:spacing w:before="0" w:after="24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503555"/>
                <wp:effectExtent l="0" t="0" r="0" b="0"/>
                <wp:wrapNone/>
                <wp:docPr id="90" name="Frame75"/>
                <a:graphic xmlns:a="http://schemas.openxmlformats.org/drawingml/2006/main">
                  <a:graphicData uri="http://schemas.microsoft.com/office/word/2010/wordprocessingShape">
                    <wps:wsp>
                      <wps:cNvSpPr txBox="1"/>
                      <wps:spPr>
                        <a:xfrm>
                          <a:off x="0" y="0"/>
                          <a:ext cx="6480175" cy="5035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71</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71</w:t>
                      </w:r>
                    </w:p>
                    <w:p>
                      <w:pPr>
                        <w:pStyle w:val="TextBody"/>
                        <w:bidi w:val="0"/>
                        <w:spacing w:before="0" w:after="24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 xml:space="preserve">SFS U.S. uses interest rate derivatives in order to reduce the interest rate risk of certain warehouse credit facilities where the underlying receivables carry fixed rates of interest and borrowings are based on the floating rate SOFR and CP indices. </w:t>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The Company believes that the credit facilities will continue to be renewed or replaced, and that it will be able to secure additional sources of financing on satisfactory terms; however, there can be no assurance that it will be able to do so. In the event that the Company is unable to renew its facilities, the receivables pledged of €8.2 billion ($9.4 billion) as of June 30, 2026 would amortize over time to pay down the warehouse credit facilities; however, the Company would not be able to finance new receivables without alternative sources of funding. These amounts are reported within the line item Asset-backed financing within Debt.</w:t>
      </w:r>
    </w:p>
    <w:p>
      <w:pPr>
        <w:pStyle w:val="TextBody"/>
        <w:bidi w:val="0"/>
        <w:spacing w:lineRule="auto" w:line="288" w:before="0" w:after="240"/>
        <w:jc w:val="left"/>
        <w:rPr>
          <w:rFonts w:ascii="Helvetica;sans-serif" w:hAnsi="Helvetica;sans-serif"/>
          <w:b w:val="false"/>
          <w:color w:val="143A84"/>
          <w:sz w:val="20"/>
        </w:rPr>
      </w:pPr>
      <w:r>
        <w:rPr>
          <w:rFonts w:ascii="Helvetica;sans-serif" w:hAnsi="Helvetica;sans-serif"/>
          <w:b w:val="false"/>
          <w:color w:val="143A84"/>
          <w:sz w:val="20"/>
        </w:rPr>
        <w:t>ABS USD Term Notes</w:t>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ABS USD Term Notes are issued in the U.S. by SFS U.S. for various classes ranging from Class A to Class E Notes. These notes are sequentially paid with Class A Notes paid first. The range of interest rates depends on the level of risk of loss and is determined by investor interest in each class of the notes. These amounts are reported within the line item Asset-backed financing within Debt.</w:t>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In January 2026, SFS U.S., through SFS Auto Receivables Securitization Trust 2026-1, issued six classes of ABS Term Notes totaling €1.3 billion ($1.5 billion) in aggregate. One class of notes bears interest at fixed and floating rates, with the remainder bearing interest rates at fixed rates. The ABS Term Notes are secured by a pool of prime retail loans.</w:t>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In April 2026, SFS U.S., through First Investors Auto Owner Trust 2026-1, issued six classes of ABS Term Notes totaling €439 million ($500 million) in aggregate. The notes issued in each class bear a fixed rate. The ABS Term Notes are secured by a pool of near prime retail loans.</w:t>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 xml:space="preserve">In May 2026, SFS U.S., through Stellantis Financial Underwritten Enhanced Lease Trust 2026-A, issued six classes of ABS Term Notes totaling €1.6 billion ($1.8 billion) in aggregate. One class of notes bears interest at fixed and floating rates, with the remainder bearing interest at fixed rates. The ABS Term Notes are secured by a pool of leases. </w:t>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In June 2026, SFS U.S., through SFS Auto Receivables Securitization Trust 2026-2, issued six classes of ABS Term Notes totaling €1.1 billion ($1.3 billion) in aggregate. One class of notes bears interest at fixed and floating rates, with the remainder bearing interest at fixed rates. The ABS Term Notes are secured by a pool of prime retail loans.</w:t>
      </w:r>
    </w:p>
    <w:p>
      <w:pPr>
        <w:pStyle w:val="TextBody"/>
        <w:bidi w:val="0"/>
        <w:spacing w:lineRule="auto" w:line="288" w:before="0" w:after="240"/>
        <w:jc w:val="left"/>
        <w:rPr>
          <w:rFonts w:ascii="Helvetica;sans-serif" w:hAnsi="Helvetica;sans-serif"/>
          <w:b w:val="false"/>
          <w:color w:val="143A84"/>
          <w:sz w:val="20"/>
        </w:rPr>
      </w:pPr>
      <w:r>
        <w:rPr>
          <w:rFonts w:ascii="Helvetica;sans-serif" w:hAnsi="Helvetica;sans-serif"/>
          <w:b w:val="false"/>
          <w:color w:val="143A84"/>
          <w:sz w:val="20"/>
        </w:rPr>
        <w:t>ABS USD Term Loans</w:t>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ABS USD Term Loans are bilateral agreements provided by various banks which advance term loan proceeds secured by a pool of either retail loan receivables or consumer leases. Two asset-backed term loans outstanding as of June 30, 2026, with an aggregate balance of $1.0 billion (€0.9 billion) are secured by retail loan receivables with an aggregate balance of $1.3 billion (€1.1 billion). The remaining asset-backed term loan facility with a balance of $0.7 billion (€0.6 billion) as of June 30, 2026, is secured by $0.9 billion (€0.8 billion) in consumer lease receivables. These amounts are reported within the line item Asset-backed financing within Debt.</w:t>
      </w:r>
    </w:p>
    <w:p>
      <w:pPr>
        <w:pStyle w:val="TextBody"/>
        <w:bidi w:val="0"/>
        <w:spacing w:before="0" w:after="24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503555"/>
                <wp:effectExtent l="0" t="0" r="0" b="0"/>
                <wp:wrapNone/>
                <wp:docPr id="91" name="Frame76"/>
                <a:graphic xmlns:a="http://schemas.openxmlformats.org/drawingml/2006/main">
                  <a:graphicData uri="http://schemas.microsoft.com/office/word/2010/wordprocessingShape">
                    <wps:wsp>
                      <wps:cNvSpPr txBox="1"/>
                      <wps:spPr>
                        <a:xfrm>
                          <a:off x="0" y="0"/>
                          <a:ext cx="6480175" cy="5035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72</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72</w:t>
                      </w:r>
                    </w:p>
                    <w:p>
                      <w:pPr>
                        <w:pStyle w:val="TextBody"/>
                        <w:bidi w:val="0"/>
                        <w:spacing w:before="0" w:after="24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The terms governing the warehouse credit facilities and ABS Term Loans contain numerous covenants relating to the issuer’s business, the observance of certain financial covenants, the avoidance of certain levels of delinquency and credit loss experience and other matters. A breach of a covenant, if not cured within the time limits specified, could precipitate events of default that might result in the acceleration of the ABS Term Loan or warehouse credit facilities. The ABS Term Notes generally do not contain financial covenants or covenants related to delinquency experience or credit losses. SFS U.S. was not in default with respect to any financial and non-financial covenants governing these financing arrangements at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Helvetica;sans-serif" w:hAnsi="Helvetica;sans-serif"/>
          <w:b/>
          <w:color w:val="143A84"/>
          <w:sz w:val="20"/>
        </w:rPr>
      </w:pPr>
      <w:r>
        <w:rPr>
          <w:rFonts w:ascii="Helvetica;sans-serif" w:hAnsi="Helvetica;sans-serif"/>
          <w:b/>
          <w:color w:val="143A84"/>
          <w:sz w:val="20"/>
        </w:rPr>
        <w:t xml:space="preserve">14. Other liabilities </w:t>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Other liabilities consisted of the following:</w:t>
      </w:r>
    </w:p>
    <w:tbl>
      <w:tblPr>
        <w:tblW w:w="10205" w:type="dxa"/>
        <w:jc w:val="left"/>
        <w:tblInd w:w="0" w:type="dxa"/>
        <w:tblLayout w:type="fixed"/>
        <w:tblCellMar>
          <w:top w:w="28" w:type="dxa"/>
          <w:left w:w="28" w:type="dxa"/>
          <w:bottom w:w="28" w:type="dxa"/>
          <w:right w:w="28" w:type="dxa"/>
        </w:tblCellMar>
      </w:tblPr>
      <w:tblGrid>
        <w:gridCol w:w="913"/>
        <w:gridCol w:w="802"/>
        <w:gridCol w:w="812"/>
        <w:gridCol w:w="368"/>
        <w:gridCol w:w="368"/>
        <w:gridCol w:w="236"/>
        <w:gridCol w:w="109"/>
        <w:gridCol w:w="109"/>
        <w:gridCol w:w="109"/>
        <w:gridCol w:w="355"/>
        <w:gridCol w:w="355"/>
        <w:gridCol w:w="356"/>
        <w:gridCol w:w="109"/>
        <w:gridCol w:w="109"/>
        <w:gridCol w:w="109"/>
        <w:gridCol w:w="368"/>
        <w:gridCol w:w="368"/>
        <w:gridCol w:w="171"/>
        <w:gridCol w:w="109"/>
        <w:gridCol w:w="109"/>
        <w:gridCol w:w="109"/>
        <w:gridCol w:w="368"/>
        <w:gridCol w:w="368"/>
        <w:gridCol w:w="236"/>
        <w:gridCol w:w="124"/>
        <w:gridCol w:w="124"/>
        <w:gridCol w:w="124"/>
        <w:gridCol w:w="355"/>
        <w:gridCol w:w="355"/>
        <w:gridCol w:w="356"/>
        <w:gridCol w:w="124"/>
        <w:gridCol w:w="124"/>
        <w:gridCol w:w="124"/>
        <w:gridCol w:w="368"/>
        <w:gridCol w:w="368"/>
        <w:gridCol w:w="234"/>
      </w:tblGrid>
      <w:tr>
        <w:trPr/>
        <w:tc>
          <w:tcPr>
            <w:tcW w:w="913"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r>
      <w:tr>
        <w:trPr/>
        <w:tc>
          <w:tcPr>
            <w:tcW w:w="2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9"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At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At December 31, 2025</w:t>
            </w:r>
          </w:p>
        </w:tc>
      </w:tr>
      <w:tr>
        <w:trPr/>
        <w:tc>
          <w:tcPr>
            <w:tcW w:w="2527"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Helvetica;sans-serif" w:hAnsi="Helvetica;sans-serif"/>
                <w:b w:val="false"/>
                <w:i/>
                <w:color w:val="000000"/>
                <w:sz w:val="16"/>
              </w:rPr>
            </w:pPr>
            <w:r>
              <w:rPr>
                <w:rFonts w:ascii="Helvetica;sans-serif" w:hAnsi="Helvetica;sans-serif"/>
                <w:b w:val="false"/>
                <w:i/>
                <w:color w:val="000000"/>
                <w:sz w:val="16"/>
              </w:rPr>
              <w:t>(€ million)</w:t>
            </w:r>
          </w:p>
        </w:tc>
        <w:tc>
          <w:tcPr>
            <w:tcW w:w="972"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6"/>
              </w:rPr>
            </w:pPr>
            <w:r>
              <w:rPr>
                <w:rFonts w:ascii="Helvetica;sans-serif" w:hAnsi="Helvetica;sans-serif"/>
                <w:b/>
                <w:color w:val="243782"/>
                <w:sz w:val="16"/>
              </w:rPr>
              <w:t>Current</w:t>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6"/>
              </w:rPr>
            </w:pPr>
            <w:r>
              <w:rPr>
                <w:rFonts w:ascii="Helvetica;sans-serif" w:hAnsi="Helvetica;sans-serif"/>
                <w:b/>
                <w:color w:val="243782"/>
                <w:sz w:val="16"/>
              </w:rPr>
              <w:t>Non-current</w:t>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6"/>
              </w:rPr>
            </w:pPr>
            <w:r>
              <w:rPr>
                <w:rFonts w:ascii="Helvetica;sans-serif" w:hAnsi="Helvetica;sans-serif"/>
                <w:b/>
                <w:color w:val="243782"/>
                <w:sz w:val="16"/>
              </w:rPr>
              <w:t>Total</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6"/>
              </w:rPr>
            </w:pPr>
            <w:r>
              <w:rPr>
                <w:rFonts w:ascii="Helvetica;sans-serif" w:hAnsi="Helvetica;sans-serif"/>
                <w:b/>
                <w:color w:val="243782"/>
                <w:sz w:val="16"/>
              </w:rPr>
              <w:t>Current</w:t>
            </w:r>
          </w:p>
        </w:tc>
        <w:tc>
          <w:tcPr>
            <w:tcW w:w="372"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6"/>
              </w:rPr>
            </w:pPr>
            <w:r>
              <w:rPr>
                <w:rFonts w:ascii="Helvetica;sans-serif" w:hAnsi="Helvetica;sans-serif"/>
                <w:b/>
                <w:color w:val="243782"/>
                <w:sz w:val="16"/>
              </w:rPr>
              <w:t>Non-current</w:t>
            </w:r>
          </w:p>
        </w:tc>
        <w:tc>
          <w:tcPr>
            <w:tcW w:w="372"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6"/>
              </w:rPr>
            </w:pPr>
            <w:r>
              <w:rPr>
                <w:rFonts w:ascii="Helvetica;sans-serif" w:hAnsi="Helvetica;sans-serif"/>
                <w:b/>
                <w:color w:val="243782"/>
                <w:sz w:val="16"/>
              </w:rPr>
              <w:t>Total</w:t>
            </w:r>
          </w:p>
        </w:tc>
      </w:tr>
      <w:tr>
        <w:trPr/>
        <w:tc>
          <w:tcPr>
            <w:tcW w:w="2527" w:type="dxa"/>
            <w:gridSpan w:val="3"/>
            <w:tcBorders>
              <w:top w:val="single" w:sz="2" w:space="0" w:color="143A84"/>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Payables for buy-back agreements</w:t>
            </w:r>
          </w:p>
        </w:tc>
        <w:tc>
          <w:tcPr>
            <w:tcW w:w="736" w:type="dxa"/>
            <w:gridSpan w:val="2"/>
            <w:tcBorders>
              <w:top w:val="single" w:sz="2" w:space="0" w:color="143A84"/>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6,907 </w:t>
            </w:r>
          </w:p>
        </w:tc>
        <w:tc>
          <w:tcPr>
            <w:tcW w:w="236" w:type="dxa"/>
            <w:tcBorders>
              <w:top w:val="single" w:sz="2" w:space="0" w:color="143A84"/>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143A84"/>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single" w:sz="2" w:space="0" w:color="143A84"/>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2,957 </w:t>
            </w:r>
          </w:p>
        </w:tc>
        <w:tc>
          <w:tcPr>
            <w:tcW w:w="356" w:type="dxa"/>
            <w:tcBorders>
              <w:top w:val="single" w:sz="2" w:space="0" w:color="143A84"/>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143A84"/>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143A84"/>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9,864 </w:t>
            </w:r>
          </w:p>
        </w:tc>
        <w:tc>
          <w:tcPr>
            <w:tcW w:w="171" w:type="dxa"/>
            <w:tcBorders>
              <w:top w:val="single" w:sz="2" w:space="0" w:color="143A84"/>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143A84"/>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5,313 </w:t>
            </w:r>
          </w:p>
        </w:tc>
        <w:tc>
          <w:tcPr>
            <w:tcW w:w="236" w:type="dxa"/>
            <w:tcBorders>
              <w:top w:val="single" w:sz="2" w:space="0" w:color="143A84"/>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single" w:sz="2" w:space="0" w:color="143A84"/>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2,576 </w:t>
            </w:r>
          </w:p>
        </w:tc>
        <w:tc>
          <w:tcPr>
            <w:tcW w:w="356" w:type="dxa"/>
            <w:tcBorders>
              <w:top w:val="single" w:sz="2" w:space="0" w:color="143A84"/>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143A84"/>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7,889 </w:t>
            </w:r>
          </w:p>
        </w:tc>
        <w:tc>
          <w:tcPr>
            <w:tcW w:w="234" w:type="dxa"/>
            <w:tcBorders>
              <w:top w:val="single" w:sz="2" w:space="0" w:color="143A84"/>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Accrued expenses and deferred income</w:t>
            </w:r>
          </w:p>
        </w:tc>
        <w:tc>
          <w:tcPr>
            <w:tcW w:w="736"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6,718 </w:t>
            </w:r>
          </w:p>
        </w:tc>
        <w:tc>
          <w:tcPr>
            <w:tcW w:w="236"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784 </w:t>
            </w:r>
          </w:p>
        </w:tc>
        <w:tc>
          <w:tcPr>
            <w:tcW w:w="356"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7,502 </w:t>
            </w:r>
          </w:p>
        </w:tc>
        <w:tc>
          <w:tcPr>
            <w:tcW w:w="171"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6,323 </w:t>
            </w:r>
          </w:p>
        </w:tc>
        <w:tc>
          <w:tcPr>
            <w:tcW w:w="23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789 </w:t>
            </w:r>
          </w:p>
        </w:tc>
        <w:tc>
          <w:tcPr>
            <w:tcW w:w="35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7,112 </w:t>
            </w:r>
          </w:p>
        </w:tc>
        <w:tc>
          <w:tcPr>
            <w:tcW w:w="234"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Indirect tax payables</w:t>
            </w:r>
          </w:p>
        </w:tc>
        <w:tc>
          <w:tcPr>
            <w:tcW w:w="736"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1,613 </w:t>
            </w:r>
          </w:p>
        </w:tc>
        <w:tc>
          <w:tcPr>
            <w:tcW w:w="236"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5 </w:t>
            </w:r>
          </w:p>
        </w:tc>
        <w:tc>
          <w:tcPr>
            <w:tcW w:w="356"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1,618 </w:t>
            </w:r>
          </w:p>
        </w:tc>
        <w:tc>
          <w:tcPr>
            <w:tcW w:w="171"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1,354 </w:t>
            </w:r>
          </w:p>
        </w:tc>
        <w:tc>
          <w:tcPr>
            <w:tcW w:w="23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7 </w:t>
            </w:r>
          </w:p>
        </w:tc>
        <w:tc>
          <w:tcPr>
            <w:tcW w:w="35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1,361 </w:t>
            </w:r>
          </w:p>
        </w:tc>
        <w:tc>
          <w:tcPr>
            <w:tcW w:w="234"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Payables to personnel</w:t>
            </w:r>
          </w:p>
        </w:tc>
        <w:tc>
          <w:tcPr>
            <w:tcW w:w="736"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1,577 </w:t>
            </w:r>
          </w:p>
        </w:tc>
        <w:tc>
          <w:tcPr>
            <w:tcW w:w="236"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3 </w:t>
            </w:r>
          </w:p>
        </w:tc>
        <w:tc>
          <w:tcPr>
            <w:tcW w:w="356"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1,580 </w:t>
            </w:r>
          </w:p>
        </w:tc>
        <w:tc>
          <w:tcPr>
            <w:tcW w:w="171"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1,749 </w:t>
            </w:r>
          </w:p>
        </w:tc>
        <w:tc>
          <w:tcPr>
            <w:tcW w:w="23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2 </w:t>
            </w:r>
          </w:p>
        </w:tc>
        <w:tc>
          <w:tcPr>
            <w:tcW w:w="35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1,751 </w:t>
            </w:r>
          </w:p>
        </w:tc>
        <w:tc>
          <w:tcPr>
            <w:tcW w:w="234"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Social security payables</w:t>
            </w:r>
          </w:p>
        </w:tc>
        <w:tc>
          <w:tcPr>
            <w:tcW w:w="736"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591 </w:t>
            </w:r>
          </w:p>
        </w:tc>
        <w:tc>
          <w:tcPr>
            <w:tcW w:w="236"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2 </w:t>
            </w:r>
          </w:p>
        </w:tc>
        <w:tc>
          <w:tcPr>
            <w:tcW w:w="356"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593 </w:t>
            </w:r>
          </w:p>
        </w:tc>
        <w:tc>
          <w:tcPr>
            <w:tcW w:w="171"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472 </w:t>
            </w:r>
          </w:p>
        </w:tc>
        <w:tc>
          <w:tcPr>
            <w:tcW w:w="23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2 </w:t>
            </w:r>
          </w:p>
        </w:tc>
        <w:tc>
          <w:tcPr>
            <w:tcW w:w="35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474 </w:t>
            </w:r>
          </w:p>
        </w:tc>
        <w:tc>
          <w:tcPr>
            <w:tcW w:w="234"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970" w:type="dxa"/>
            <w:gridSpan w:val="3"/>
            <w:tcBorders/>
            <w:vAlign w:val="center"/>
          </w:tcPr>
          <w:p>
            <w:pPr>
              <w:pStyle w:val="TableContents"/>
              <w:bidi w:val="0"/>
              <w:spacing w:before="0" w:after="283"/>
              <w:jc w:val="left"/>
              <w:rPr>
                <w:sz w:val="4"/>
                <w:szCs w:val="4"/>
              </w:rPr>
            </w:pPr>
            <w:r>
              <w:rPr>
                <w:sz w:val="4"/>
                <w:szCs w:val="4"/>
              </w:rPr>
            </w:r>
          </w:p>
        </w:tc>
      </w:tr>
      <w:tr>
        <w:trPr/>
        <w:tc>
          <w:tcPr>
            <w:tcW w:w="2527"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Service contract liabilities</w:t>
            </w:r>
          </w:p>
        </w:tc>
        <w:tc>
          <w:tcPr>
            <w:tcW w:w="736"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790 </w:t>
            </w:r>
          </w:p>
        </w:tc>
        <w:tc>
          <w:tcPr>
            <w:tcW w:w="236"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1,425 </w:t>
            </w:r>
          </w:p>
        </w:tc>
        <w:tc>
          <w:tcPr>
            <w:tcW w:w="356"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2,215 </w:t>
            </w:r>
          </w:p>
        </w:tc>
        <w:tc>
          <w:tcPr>
            <w:tcW w:w="171"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744 </w:t>
            </w:r>
          </w:p>
        </w:tc>
        <w:tc>
          <w:tcPr>
            <w:tcW w:w="23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1,444 </w:t>
            </w:r>
          </w:p>
        </w:tc>
        <w:tc>
          <w:tcPr>
            <w:tcW w:w="35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2,188 </w:t>
            </w:r>
          </w:p>
        </w:tc>
        <w:tc>
          <w:tcPr>
            <w:tcW w:w="234"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Derivatives operating liabilities</w:t>
            </w:r>
          </w:p>
        </w:tc>
        <w:tc>
          <w:tcPr>
            <w:tcW w:w="736"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102 </w:t>
            </w:r>
          </w:p>
        </w:tc>
        <w:tc>
          <w:tcPr>
            <w:tcW w:w="236"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28 </w:t>
            </w:r>
          </w:p>
        </w:tc>
        <w:tc>
          <w:tcPr>
            <w:tcW w:w="356"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130 </w:t>
            </w:r>
          </w:p>
        </w:tc>
        <w:tc>
          <w:tcPr>
            <w:tcW w:w="171"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150 </w:t>
            </w:r>
          </w:p>
        </w:tc>
        <w:tc>
          <w:tcPr>
            <w:tcW w:w="23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27 </w:t>
            </w:r>
          </w:p>
        </w:tc>
        <w:tc>
          <w:tcPr>
            <w:tcW w:w="35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177 </w:t>
            </w:r>
          </w:p>
        </w:tc>
        <w:tc>
          <w:tcPr>
            <w:tcW w:w="234"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Other</w:t>
            </w:r>
          </w:p>
        </w:tc>
        <w:tc>
          <w:tcPr>
            <w:tcW w:w="736"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3,334 </w:t>
            </w:r>
          </w:p>
        </w:tc>
        <w:tc>
          <w:tcPr>
            <w:tcW w:w="236"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554 </w:t>
            </w:r>
          </w:p>
        </w:tc>
        <w:tc>
          <w:tcPr>
            <w:tcW w:w="356"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3,888 </w:t>
            </w:r>
          </w:p>
        </w:tc>
        <w:tc>
          <w:tcPr>
            <w:tcW w:w="171"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3,160 </w:t>
            </w:r>
          </w:p>
        </w:tc>
        <w:tc>
          <w:tcPr>
            <w:tcW w:w="23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628 </w:t>
            </w:r>
          </w:p>
        </w:tc>
        <w:tc>
          <w:tcPr>
            <w:tcW w:w="35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3,788 </w:t>
            </w:r>
          </w:p>
        </w:tc>
        <w:tc>
          <w:tcPr>
            <w:tcW w:w="234"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0"/>
              <w:jc w:val="left"/>
              <w:rPr>
                <w:rFonts w:ascii="Helvetica;sans-serif" w:hAnsi="Helvetica;sans-serif"/>
                <w:b/>
                <w:color w:val="243782"/>
                <w:sz w:val="18"/>
              </w:rPr>
            </w:pPr>
            <w:r>
              <w:rPr>
                <w:rFonts w:ascii="Helvetica;sans-serif" w:hAnsi="Helvetica;sans-serif"/>
                <w:b/>
                <w:color w:val="243782"/>
                <w:sz w:val="18"/>
              </w:rPr>
              <w:t>Total Other liabilities</w:t>
            </w:r>
          </w:p>
        </w:tc>
        <w:tc>
          <w:tcPr>
            <w:tcW w:w="736" w:type="dxa"/>
            <w:gridSpan w:val="2"/>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8"/>
              </w:rPr>
              <w:t>21,632</w:t>
            </w:r>
            <w:r>
              <w:rPr>
                <w:color w:val="243782"/>
              </w:rPr>
              <w:t> </w:t>
            </w:r>
          </w:p>
        </w:tc>
        <w:tc>
          <w:tcPr>
            <w:tcW w:w="236" w:type="dxa"/>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bottom w:val="single" w:sz="2" w:space="0" w:color="8E939F"/>
            </w:tcBorders>
            <w:shd w:fill="E6E7F4" w:val="clear"/>
            <w:tcMar>
              <w:left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8"/>
              </w:rPr>
              <w:t>5,758</w:t>
            </w:r>
            <w:r>
              <w:rPr>
                <w:color w:val="243782"/>
              </w:rPr>
              <w:t> </w:t>
            </w:r>
          </w:p>
        </w:tc>
        <w:tc>
          <w:tcPr>
            <w:tcW w:w="356" w:type="dxa"/>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bottom w:val="single" w:sz="2" w:space="0" w:color="8E939F"/>
            </w:tcBorders>
            <w:shd w:fill="E6E7F4" w:val="clear"/>
            <w:tcMar>
              <w:left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8"/>
              </w:rPr>
              <w:t>27,390</w:t>
            </w:r>
            <w:r>
              <w:rPr>
                <w:color w:val="243782"/>
              </w:rPr>
              <w:t> </w:t>
            </w:r>
          </w:p>
        </w:tc>
        <w:tc>
          <w:tcPr>
            <w:tcW w:w="171" w:type="dxa"/>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bottom w:val="single" w:sz="2" w:space="0" w:color="8E939F"/>
            </w:tcBorders>
            <w:shd w:fill="E6E7F4" w:val="clear"/>
            <w:tcMar>
              <w:left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8"/>
              </w:rPr>
              <w:t>19,265</w:t>
            </w:r>
            <w:r>
              <w:rPr>
                <w:color w:val="243782"/>
              </w:rPr>
              <w:t> </w:t>
            </w:r>
          </w:p>
        </w:tc>
        <w:tc>
          <w:tcPr>
            <w:tcW w:w="236" w:type="dxa"/>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8E939F"/>
              <w:bottom w:val="single" w:sz="2" w:space="0" w:color="8E939F"/>
            </w:tcBorders>
            <w:shd w:fill="E6E7F4" w:val="clear"/>
            <w:tcMar>
              <w:left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8"/>
              </w:rPr>
              <w:t>5,475</w:t>
            </w:r>
            <w:r>
              <w:rPr>
                <w:color w:val="243782"/>
              </w:rPr>
              <w:t> </w:t>
            </w:r>
          </w:p>
        </w:tc>
        <w:tc>
          <w:tcPr>
            <w:tcW w:w="356" w:type="dxa"/>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8E939F"/>
              <w:bottom w:val="single" w:sz="2" w:space="0" w:color="8E939F"/>
            </w:tcBorders>
            <w:shd w:fill="E6E7F4" w:val="clear"/>
            <w:tcMar>
              <w:left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8"/>
              </w:rPr>
              <w:t>24,740</w:t>
            </w:r>
            <w:r>
              <w:rPr>
                <w:color w:val="243782"/>
              </w:rPr>
              <w:t> </w:t>
            </w:r>
          </w:p>
        </w:tc>
        <w:tc>
          <w:tcPr>
            <w:tcW w:w="234" w:type="dxa"/>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At June 30, 2026, Payables for buy-back agreements amounted to €9,864 million (€7,889 million at December 31, 2025). The increase is mainly due to higher volumes of buy-back agreements in Enlarged Europe, consistent with the seasonal increase in activity during the second quarter.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Helvetica;sans-serif" w:hAnsi="Helvetica;sans-serif"/>
          <w:b/>
          <w:color w:val="143A84"/>
          <w:sz w:val="20"/>
        </w:rPr>
      </w:pPr>
      <w:r>
        <w:rPr>
          <w:rFonts w:ascii="Helvetica;sans-serif" w:hAnsi="Helvetica;sans-serif"/>
          <w:b/>
          <w:color w:val="143A84"/>
          <w:sz w:val="20"/>
        </w:rPr>
        <w:t xml:space="preserve">15. Fair value measurement </w:t>
      </w:r>
    </w:p>
    <w:p>
      <w:pPr>
        <w:pStyle w:val="TextBody"/>
        <w:bidi w:val="0"/>
        <w:spacing w:lineRule="auto" w:line="288" w:before="0" w:after="240"/>
        <w:jc w:val="left"/>
        <w:rPr>
          <w:rFonts w:ascii="Helvetica;sans-serif" w:hAnsi="Helvetica;sans-serif"/>
          <w:b w:val="false"/>
          <w:color w:val="143A84"/>
          <w:sz w:val="20"/>
        </w:rPr>
      </w:pPr>
      <w:r>
        <w:rPr>
          <w:rFonts w:ascii="Helvetica;sans-serif" w:hAnsi="Helvetica;sans-serif"/>
          <w:b w:val="false"/>
          <w:color w:val="143A84"/>
          <w:sz w:val="20"/>
        </w:rPr>
        <w:t xml:space="preserve">Assets and liabilities that are measured at fair value on a recurring basis </w:t>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The following table shows the fair value hierarchy, based on observable and unobservable inputs, for financial assets and liabilities that are measured at fair value on a recurring basis at June 30, 2026 and December 31, 2025:</w:t>
      </w:r>
    </w:p>
    <w:p>
      <w:pPr>
        <w:pStyle w:val="TextBody"/>
        <w:bidi w:val="0"/>
        <w:spacing w:before="0" w:after="24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503555"/>
                <wp:effectExtent l="0" t="0" r="0" b="0"/>
                <wp:wrapNone/>
                <wp:docPr id="92" name="Frame77"/>
                <a:graphic xmlns:a="http://schemas.openxmlformats.org/drawingml/2006/main">
                  <a:graphicData uri="http://schemas.microsoft.com/office/word/2010/wordprocessingShape">
                    <wps:wsp>
                      <wps:cNvSpPr txBox="1"/>
                      <wps:spPr>
                        <a:xfrm>
                          <a:off x="0" y="0"/>
                          <a:ext cx="6480175" cy="5035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73</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73</w:t>
                      </w:r>
                    </w:p>
                    <w:p>
                      <w:pPr>
                        <w:pStyle w:val="TextBody"/>
                        <w:bidi w:val="0"/>
                        <w:spacing w:before="0" w:after="24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tbl>
      <w:tblPr>
        <w:tblW w:w="10602" w:type="dxa"/>
        <w:jc w:val="left"/>
        <w:tblInd w:w="0" w:type="dxa"/>
        <w:tblLayout w:type="fixed"/>
        <w:tblCellMar>
          <w:top w:w="28" w:type="dxa"/>
          <w:left w:w="28" w:type="dxa"/>
          <w:bottom w:w="28" w:type="dxa"/>
          <w:right w:w="28" w:type="dxa"/>
        </w:tblCellMar>
      </w:tblPr>
      <w:tblGrid>
        <w:gridCol w:w="461"/>
        <w:gridCol w:w="339"/>
        <w:gridCol w:w="341"/>
        <w:gridCol w:w="109"/>
        <w:gridCol w:w="109"/>
        <w:gridCol w:w="109"/>
        <w:gridCol w:w="109"/>
        <w:gridCol w:w="109"/>
        <w:gridCol w:w="375"/>
        <w:gridCol w:w="361"/>
        <w:gridCol w:w="191"/>
        <w:gridCol w:w="109"/>
        <w:gridCol w:w="109"/>
        <w:gridCol w:w="109"/>
        <w:gridCol w:w="240"/>
        <w:gridCol w:w="241"/>
        <w:gridCol w:w="241"/>
        <w:gridCol w:w="109"/>
        <w:gridCol w:w="109"/>
        <w:gridCol w:w="109"/>
        <w:gridCol w:w="240"/>
        <w:gridCol w:w="241"/>
        <w:gridCol w:w="241"/>
        <w:gridCol w:w="109"/>
        <w:gridCol w:w="109"/>
        <w:gridCol w:w="109"/>
        <w:gridCol w:w="367"/>
        <w:gridCol w:w="369"/>
        <w:gridCol w:w="176"/>
        <w:gridCol w:w="109"/>
        <w:gridCol w:w="109"/>
        <w:gridCol w:w="109"/>
        <w:gridCol w:w="375"/>
        <w:gridCol w:w="361"/>
        <w:gridCol w:w="191"/>
        <w:gridCol w:w="109"/>
        <w:gridCol w:w="109"/>
        <w:gridCol w:w="109"/>
        <w:gridCol w:w="240"/>
        <w:gridCol w:w="241"/>
        <w:gridCol w:w="241"/>
        <w:gridCol w:w="109"/>
        <w:gridCol w:w="109"/>
        <w:gridCol w:w="109"/>
        <w:gridCol w:w="240"/>
        <w:gridCol w:w="241"/>
        <w:gridCol w:w="241"/>
        <w:gridCol w:w="109"/>
        <w:gridCol w:w="109"/>
        <w:gridCol w:w="109"/>
        <w:gridCol w:w="367"/>
        <w:gridCol w:w="369"/>
        <w:gridCol w:w="237"/>
      </w:tblGrid>
      <w:tr>
        <w:trPr/>
        <w:tc>
          <w:tcPr>
            <w:tcW w:w="461"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4"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At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At December 31, 2025</w:t>
            </w:r>
          </w:p>
        </w:tc>
      </w:tr>
      <w:tr>
        <w:trPr/>
        <w:tc>
          <w:tcPr>
            <w:tcW w:w="1141"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Helvetica;sans-serif" w:hAnsi="Helvetica;sans-serif"/>
                <w:b w:val="false"/>
                <w:i/>
                <w:color w:val="000000"/>
                <w:sz w:val="16"/>
              </w:rPr>
            </w:pPr>
            <w:r>
              <w:rPr>
                <w:rFonts w:ascii="Helvetica;sans-serif" w:hAnsi="Helvetica;sans-serif"/>
                <w:b w:val="false"/>
                <w:i/>
                <w:color w:val="000000"/>
                <w:sz w:val="16"/>
              </w:rPr>
              <w:t>(€ million)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Level 1</w:t>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Level 2</w:t>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Level 3</w:t>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Total</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Level 1</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Level 2</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Level 3</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Total</w:t>
            </w:r>
          </w:p>
        </w:tc>
      </w:tr>
      <w:tr>
        <w:trPr/>
        <w:tc>
          <w:tcPr>
            <w:tcW w:w="1141" w:type="dxa"/>
            <w:gridSpan w:val="3"/>
            <w:tcBorders>
              <w:top w:val="single" w:sz="2" w:space="0" w:color="143A84"/>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Financial securities and equity instruments measured at FVOCI</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143A84"/>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324 </w:t>
            </w:r>
          </w:p>
        </w:tc>
        <w:tc>
          <w:tcPr>
            <w:tcW w:w="191" w:type="dxa"/>
            <w:tcBorders>
              <w:top w:val="single" w:sz="2" w:space="0" w:color="143A84"/>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143A84"/>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2" w:space="0" w:color="143A84"/>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8 </w:t>
            </w:r>
          </w:p>
        </w:tc>
        <w:tc>
          <w:tcPr>
            <w:tcW w:w="241" w:type="dxa"/>
            <w:tcBorders>
              <w:top w:val="single" w:sz="2" w:space="0" w:color="143A84"/>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143A84"/>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2" w:space="0" w:color="143A84"/>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291 </w:t>
            </w:r>
          </w:p>
        </w:tc>
        <w:tc>
          <w:tcPr>
            <w:tcW w:w="241" w:type="dxa"/>
            <w:tcBorders>
              <w:top w:val="single" w:sz="2" w:space="0" w:color="143A84"/>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143A84"/>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143A84"/>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623 </w:t>
            </w:r>
          </w:p>
        </w:tc>
        <w:tc>
          <w:tcPr>
            <w:tcW w:w="176" w:type="dxa"/>
            <w:tcBorders>
              <w:top w:val="single" w:sz="2" w:space="0" w:color="143A84"/>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143A84"/>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108 </w:t>
            </w:r>
          </w:p>
        </w:tc>
        <w:tc>
          <w:tcPr>
            <w:tcW w:w="191" w:type="dxa"/>
            <w:tcBorders>
              <w:top w:val="single" w:sz="2" w:space="0" w:color="143A84"/>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2" w:space="0" w:color="143A84"/>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top w:val="single" w:sz="2" w:space="0" w:color="143A84"/>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2" w:space="0" w:color="143A84"/>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289 </w:t>
            </w:r>
          </w:p>
        </w:tc>
        <w:tc>
          <w:tcPr>
            <w:tcW w:w="241" w:type="dxa"/>
            <w:tcBorders>
              <w:top w:val="single" w:sz="2" w:space="0" w:color="143A84"/>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143A84"/>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397 </w:t>
            </w:r>
          </w:p>
        </w:tc>
        <w:tc>
          <w:tcPr>
            <w:tcW w:w="237" w:type="dxa"/>
            <w:tcBorders>
              <w:top w:val="single" w:sz="2" w:space="0" w:color="143A84"/>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Financial securities and equity instruments measured at FVPL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1,290 </w:t>
            </w:r>
          </w:p>
        </w:tc>
        <w:tc>
          <w:tcPr>
            <w:tcW w:w="191"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7 </w:t>
            </w:r>
          </w:p>
        </w:tc>
        <w:tc>
          <w:tcPr>
            <w:tcW w:w="241"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304 </w:t>
            </w:r>
          </w:p>
        </w:tc>
        <w:tc>
          <w:tcPr>
            <w:tcW w:w="241"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1,601 </w:t>
            </w:r>
          </w:p>
        </w:tc>
        <w:tc>
          <w:tcPr>
            <w:tcW w:w="176"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1,110 </w:t>
            </w:r>
          </w:p>
        </w:tc>
        <w:tc>
          <w:tcPr>
            <w:tcW w:w="191"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4 </w:t>
            </w:r>
          </w:p>
        </w:tc>
        <w:tc>
          <w:tcPr>
            <w:tcW w:w="241"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351 </w:t>
            </w:r>
          </w:p>
        </w:tc>
        <w:tc>
          <w:tcPr>
            <w:tcW w:w="241"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1,465 </w:t>
            </w:r>
          </w:p>
        </w:tc>
        <w:tc>
          <w:tcPr>
            <w:tcW w:w="237"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0"/>
              <w:jc w:val="left"/>
              <w:rPr>
                <w:rFonts w:ascii="Helvetica;sans-serif" w:hAnsi="Helvetica;sans-serif"/>
                <w:b w:val="false"/>
                <w:color w:val="000000"/>
                <w:sz w:val="18"/>
              </w:rPr>
            </w:pPr>
            <w:r>
              <w:rPr>
                <w:rFonts w:ascii="Helvetica;sans-serif" w:hAnsi="Helvetica;sans-serif"/>
                <w:b w:val="false"/>
                <w:color w:val="000000"/>
                <w:sz w:val="18"/>
              </w:rPr>
              <w:t>Derivative financial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160 </w:t>
            </w:r>
          </w:p>
        </w:tc>
        <w:tc>
          <w:tcPr>
            <w:tcW w:w="241"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160 </w:t>
            </w:r>
          </w:p>
        </w:tc>
        <w:tc>
          <w:tcPr>
            <w:tcW w:w="176"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303 </w:t>
            </w:r>
          </w:p>
        </w:tc>
        <w:tc>
          <w:tcPr>
            <w:tcW w:w="241"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1 </w:t>
            </w:r>
          </w:p>
        </w:tc>
        <w:tc>
          <w:tcPr>
            <w:tcW w:w="241"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304 </w:t>
            </w:r>
          </w:p>
        </w:tc>
        <w:tc>
          <w:tcPr>
            <w:tcW w:w="237"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Derivative operating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498 </w:t>
            </w:r>
          </w:p>
        </w:tc>
        <w:tc>
          <w:tcPr>
            <w:tcW w:w="241"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4 </w:t>
            </w:r>
          </w:p>
        </w:tc>
        <w:tc>
          <w:tcPr>
            <w:tcW w:w="241"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502 </w:t>
            </w:r>
          </w:p>
        </w:tc>
        <w:tc>
          <w:tcPr>
            <w:tcW w:w="176"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397 </w:t>
            </w:r>
          </w:p>
        </w:tc>
        <w:tc>
          <w:tcPr>
            <w:tcW w:w="241"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9 </w:t>
            </w:r>
          </w:p>
        </w:tc>
        <w:tc>
          <w:tcPr>
            <w:tcW w:w="241"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406 </w:t>
            </w:r>
          </w:p>
        </w:tc>
        <w:tc>
          <w:tcPr>
            <w:tcW w:w="237"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0"/>
              <w:jc w:val="left"/>
              <w:rPr>
                <w:rFonts w:ascii="Helvetica;sans-serif" w:hAnsi="Helvetica;sans-serif"/>
                <w:b w:val="false"/>
                <w:color w:val="000000"/>
                <w:sz w:val="18"/>
              </w:rPr>
            </w:pPr>
            <w:r>
              <w:rPr>
                <w:rFonts w:ascii="Helvetica;sans-serif" w:hAnsi="Helvetica;sans-serif"/>
                <w:b w:val="false"/>
                <w:color w:val="000000"/>
                <w:sz w:val="18"/>
              </w:rPr>
              <w:t>Collateral deposits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17 </w:t>
            </w:r>
          </w:p>
        </w:tc>
        <w:tc>
          <w:tcPr>
            <w:tcW w:w="191"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17 </w:t>
            </w:r>
          </w:p>
        </w:tc>
        <w:tc>
          <w:tcPr>
            <w:tcW w:w="176"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20 </w:t>
            </w:r>
          </w:p>
        </w:tc>
        <w:tc>
          <w:tcPr>
            <w:tcW w:w="191"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20 </w:t>
            </w:r>
          </w:p>
        </w:tc>
        <w:tc>
          <w:tcPr>
            <w:tcW w:w="237"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0"/>
              <w:jc w:val="left"/>
              <w:rPr>
                <w:rFonts w:ascii="Helvetica;sans-serif" w:hAnsi="Helvetica;sans-serif"/>
                <w:b w:val="false"/>
                <w:color w:val="000000"/>
                <w:sz w:val="18"/>
              </w:rPr>
            </w:pPr>
            <w:r>
              <w:rPr>
                <w:rFonts w:ascii="Helvetica;sans-serif" w:hAnsi="Helvetica;sans-serif"/>
                <w:b w:val="false"/>
                <w:color w:val="000000"/>
                <w:sz w:val="18"/>
              </w:rPr>
              <w:t>Receivables from financing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2 </w:t>
            </w:r>
          </w:p>
        </w:tc>
        <w:tc>
          <w:tcPr>
            <w:tcW w:w="241"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2 </w:t>
            </w:r>
          </w:p>
        </w:tc>
        <w:tc>
          <w:tcPr>
            <w:tcW w:w="176"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3 </w:t>
            </w:r>
          </w:p>
        </w:tc>
        <w:tc>
          <w:tcPr>
            <w:tcW w:w="241"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3 </w:t>
            </w:r>
          </w:p>
        </w:tc>
        <w:tc>
          <w:tcPr>
            <w:tcW w:w="237"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0"/>
              <w:jc w:val="left"/>
              <w:rPr>
                <w:rFonts w:ascii="Helvetica;sans-serif" w:hAnsi="Helvetica;sans-serif"/>
                <w:b w:val="false"/>
                <w:color w:val="000000"/>
                <w:sz w:val="18"/>
              </w:rPr>
            </w:pPr>
            <w:r>
              <w:rPr>
                <w:rFonts w:ascii="Helvetica;sans-serif" w:hAnsi="Helvetica;sans-serif"/>
                <w:b w:val="false"/>
                <w:color w:val="000000"/>
                <w:sz w:val="18"/>
              </w:rPr>
              <w:t>Trade receivables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21 </w:t>
            </w:r>
          </w:p>
        </w:tc>
        <w:tc>
          <w:tcPr>
            <w:tcW w:w="241"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21 </w:t>
            </w:r>
          </w:p>
        </w:tc>
        <w:tc>
          <w:tcPr>
            <w:tcW w:w="176"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4 </w:t>
            </w:r>
          </w:p>
        </w:tc>
        <w:tc>
          <w:tcPr>
            <w:tcW w:w="241"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4 </w:t>
            </w:r>
          </w:p>
        </w:tc>
        <w:tc>
          <w:tcPr>
            <w:tcW w:w="237"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0"/>
              <w:jc w:val="left"/>
              <w:rPr>
                <w:rFonts w:ascii="Helvetica;sans-serif" w:hAnsi="Helvetica;sans-serif"/>
                <w:b w:val="false"/>
                <w:color w:val="000000"/>
                <w:sz w:val="18"/>
              </w:rPr>
            </w:pPr>
            <w:r>
              <w:rPr>
                <w:rFonts w:ascii="Helvetica;sans-serif" w:hAnsi="Helvetica;sans-serif"/>
                <w:b w:val="false"/>
                <w:color w:val="000000"/>
                <w:sz w:val="18"/>
              </w:rPr>
              <w:t>Money market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13,673 </w:t>
            </w:r>
          </w:p>
        </w:tc>
        <w:tc>
          <w:tcPr>
            <w:tcW w:w="191"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13,673 </w:t>
            </w:r>
          </w:p>
        </w:tc>
        <w:tc>
          <w:tcPr>
            <w:tcW w:w="176"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13,191 </w:t>
            </w:r>
          </w:p>
        </w:tc>
        <w:tc>
          <w:tcPr>
            <w:tcW w:w="191"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13,191 </w:t>
            </w:r>
          </w:p>
        </w:tc>
        <w:tc>
          <w:tcPr>
            <w:tcW w:w="237"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0"/>
              <w:jc w:val="left"/>
              <w:rPr>
                <w:rFonts w:ascii="Helvetica;sans-serif" w:hAnsi="Helvetica;sans-serif"/>
                <w:b/>
                <w:color w:val="243782"/>
                <w:sz w:val="18"/>
              </w:rPr>
            </w:pPr>
            <w:r>
              <w:rPr>
                <w:rFonts w:ascii="Helvetica;sans-serif" w:hAnsi="Helvetica;sans-serif"/>
                <w:b/>
                <w:color w:val="243782"/>
                <w:sz w:val="18"/>
              </w:rPr>
              <w:t>Total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E6E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8"/>
              </w:rPr>
              <w:t>15,304</w:t>
            </w:r>
            <w:r>
              <w:rPr>
                <w:color w:val="243782"/>
              </w:rPr>
              <w:t> </w:t>
            </w:r>
          </w:p>
        </w:tc>
        <w:tc>
          <w:tcPr>
            <w:tcW w:w="191"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E6E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8"/>
              </w:rPr>
              <w:t>694</w:t>
            </w:r>
            <w:r>
              <w:rPr>
                <w:color w:val="243782"/>
              </w:rPr>
              <w:t> </w:t>
            </w:r>
          </w:p>
        </w:tc>
        <w:tc>
          <w:tcPr>
            <w:tcW w:w="241"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E6E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8"/>
              </w:rPr>
              <w:t>601</w:t>
            </w:r>
            <w:r>
              <w:rPr>
                <w:color w:val="243782"/>
              </w:rPr>
              <w:t> </w:t>
            </w:r>
          </w:p>
        </w:tc>
        <w:tc>
          <w:tcPr>
            <w:tcW w:w="241"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E6E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8"/>
              </w:rPr>
              <w:t>16,599</w:t>
            </w:r>
            <w:r>
              <w:rPr>
                <w:color w:val="243782"/>
              </w:rPr>
              <w:t> </w:t>
            </w:r>
          </w:p>
        </w:tc>
        <w:tc>
          <w:tcPr>
            <w:tcW w:w="176"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E6E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8"/>
              </w:rPr>
              <w:t>14,429</w:t>
            </w:r>
            <w:r>
              <w:rPr>
                <w:color w:val="243782"/>
              </w:rPr>
              <w:t> </w:t>
            </w:r>
          </w:p>
        </w:tc>
        <w:tc>
          <w:tcPr>
            <w:tcW w:w="191"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E6E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8"/>
              </w:rPr>
              <w:t>708</w:t>
            </w:r>
            <w:r>
              <w:rPr>
                <w:color w:val="243782"/>
              </w:rPr>
              <w:t> </w:t>
            </w:r>
          </w:p>
        </w:tc>
        <w:tc>
          <w:tcPr>
            <w:tcW w:w="241"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E6E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8"/>
              </w:rPr>
              <w:t>653</w:t>
            </w:r>
            <w:r>
              <w:rPr>
                <w:color w:val="243782"/>
              </w:rPr>
              <w:t> </w:t>
            </w:r>
          </w:p>
        </w:tc>
        <w:tc>
          <w:tcPr>
            <w:tcW w:w="241"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E6E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8"/>
              </w:rPr>
              <w:t>15,790</w:t>
            </w:r>
            <w:r>
              <w:rPr>
                <w:color w:val="243782"/>
              </w:rPr>
              <w:t> </w:t>
            </w:r>
          </w:p>
        </w:tc>
        <w:tc>
          <w:tcPr>
            <w:tcW w:w="237"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0"/>
              <w:jc w:val="left"/>
              <w:rPr>
                <w:rFonts w:ascii="Helvetica;sans-serif" w:hAnsi="Helvetica;sans-serif"/>
                <w:b w:val="false"/>
                <w:color w:val="000000"/>
                <w:sz w:val="18"/>
              </w:rPr>
            </w:pPr>
            <w:r>
              <w:rPr>
                <w:rFonts w:ascii="Helvetica;sans-serif" w:hAnsi="Helvetica;sans-serif"/>
                <w:b w:val="false"/>
                <w:color w:val="000000"/>
                <w:sz w:val="18"/>
              </w:rPr>
              <w:t>Derivative financial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36 </w:t>
            </w:r>
          </w:p>
        </w:tc>
        <w:tc>
          <w:tcPr>
            <w:tcW w:w="241"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36 </w:t>
            </w:r>
          </w:p>
        </w:tc>
        <w:tc>
          <w:tcPr>
            <w:tcW w:w="176"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36 </w:t>
            </w:r>
          </w:p>
        </w:tc>
        <w:tc>
          <w:tcPr>
            <w:tcW w:w="241"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36 </w:t>
            </w:r>
          </w:p>
        </w:tc>
        <w:tc>
          <w:tcPr>
            <w:tcW w:w="237"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Derivative operating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126 </w:t>
            </w:r>
          </w:p>
        </w:tc>
        <w:tc>
          <w:tcPr>
            <w:tcW w:w="241"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4 </w:t>
            </w:r>
          </w:p>
        </w:tc>
        <w:tc>
          <w:tcPr>
            <w:tcW w:w="241"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130 </w:t>
            </w:r>
          </w:p>
        </w:tc>
        <w:tc>
          <w:tcPr>
            <w:tcW w:w="176"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177 </w:t>
            </w:r>
          </w:p>
        </w:tc>
        <w:tc>
          <w:tcPr>
            <w:tcW w:w="241"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177 </w:t>
            </w:r>
          </w:p>
        </w:tc>
        <w:tc>
          <w:tcPr>
            <w:tcW w:w="237"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100" w:after="100"/>
              <w:jc w:val="left"/>
              <w:rPr>
                <w:rFonts w:ascii="Helvetica;sans-serif" w:hAnsi="Helvetica;sans-serif"/>
                <w:b/>
                <w:color w:val="243782"/>
                <w:sz w:val="18"/>
              </w:rPr>
            </w:pPr>
            <w:r>
              <w:rPr>
                <w:rFonts w:ascii="Helvetica;sans-serif" w:hAnsi="Helvetica;sans-serif"/>
                <w:b/>
                <w:color w:val="243782"/>
                <w:sz w:val="18"/>
              </w:rPr>
              <w:t>Total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bottom w:val="single" w:sz="2" w:space="0" w:color="8E939F"/>
            </w:tcBorders>
            <w:shd w:fill="E6E7F4" w:val="clear"/>
            <w:tcMar>
              <w:left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right"/>
              <w:rPr>
                <w:color w:val="243782"/>
              </w:rPr>
            </w:pPr>
            <w:r>
              <w:rPr>
                <w:color w:val="243782"/>
              </w:rPr>
              <w:t>— </w:t>
            </w:r>
          </w:p>
        </w:tc>
        <w:tc>
          <w:tcPr>
            <w:tcW w:w="191" w:type="dxa"/>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bottom w:val="single" w:sz="2" w:space="0" w:color="8E939F"/>
            </w:tcBorders>
            <w:shd w:fill="E6E7F4" w:val="clear"/>
            <w:tcMar>
              <w:left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8"/>
              </w:rPr>
              <w:t>162</w:t>
            </w:r>
            <w:r>
              <w:rPr>
                <w:color w:val="243782"/>
              </w:rPr>
              <w:t> </w:t>
            </w:r>
          </w:p>
        </w:tc>
        <w:tc>
          <w:tcPr>
            <w:tcW w:w="241" w:type="dxa"/>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bottom w:val="single" w:sz="2" w:space="0" w:color="8E939F"/>
            </w:tcBorders>
            <w:shd w:fill="E6E7F4" w:val="clear"/>
            <w:tcMar>
              <w:left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8"/>
              </w:rPr>
              <w:t>4</w:t>
            </w:r>
            <w:r>
              <w:rPr>
                <w:color w:val="243782"/>
              </w:rPr>
              <w:t> </w:t>
            </w:r>
          </w:p>
        </w:tc>
        <w:tc>
          <w:tcPr>
            <w:tcW w:w="241" w:type="dxa"/>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bottom w:val="single" w:sz="2" w:space="0" w:color="8E939F"/>
            </w:tcBorders>
            <w:shd w:fill="E6E7F4" w:val="clear"/>
            <w:tcMar>
              <w:left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8"/>
              </w:rPr>
              <w:t>166</w:t>
            </w:r>
            <w:r>
              <w:rPr>
                <w:color w:val="243782"/>
              </w:rPr>
              <w:t> </w:t>
            </w:r>
          </w:p>
        </w:tc>
        <w:tc>
          <w:tcPr>
            <w:tcW w:w="176" w:type="dxa"/>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bottom w:val="single" w:sz="2" w:space="0" w:color="8E939F"/>
            </w:tcBorders>
            <w:shd w:fill="E6E7F4" w:val="clear"/>
            <w:tcMar>
              <w:left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right"/>
              <w:rPr>
                <w:color w:val="243782"/>
              </w:rPr>
            </w:pPr>
            <w:r>
              <w:rPr>
                <w:color w:val="243782"/>
              </w:rPr>
              <w:t>— </w:t>
            </w:r>
          </w:p>
        </w:tc>
        <w:tc>
          <w:tcPr>
            <w:tcW w:w="191" w:type="dxa"/>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bottom w:val="single" w:sz="2" w:space="0" w:color="8E939F"/>
            </w:tcBorders>
            <w:shd w:fill="E6E7F4" w:val="clear"/>
            <w:tcMar>
              <w:left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8"/>
              </w:rPr>
              <w:t>213</w:t>
            </w:r>
            <w:r>
              <w:rPr>
                <w:color w:val="243782"/>
              </w:rPr>
              <w:t> </w:t>
            </w:r>
          </w:p>
        </w:tc>
        <w:tc>
          <w:tcPr>
            <w:tcW w:w="241" w:type="dxa"/>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bottom w:val="single" w:sz="2" w:space="0" w:color="8E939F"/>
            </w:tcBorders>
            <w:shd w:fill="E6E7F4" w:val="clear"/>
            <w:tcMar>
              <w:left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right"/>
              <w:rPr>
                <w:color w:val="243782"/>
              </w:rPr>
            </w:pPr>
            <w:r>
              <w:rPr>
                <w:color w:val="243782"/>
              </w:rPr>
              <w:t>— </w:t>
            </w:r>
          </w:p>
        </w:tc>
        <w:tc>
          <w:tcPr>
            <w:tcW w:w="241" w:type="dxa"/>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bottom w:val="single" w:sz="2" w:space="0" w:color="8E939F"/>
            </w:tcBorders>
            <w:shd w:fill="E6E7F4" w:val="clear"/>
            <w:tcMar>
              <w:left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8"/>
              </w:rPr>
              <w:t>213</w:t>
            </w:r>
            <w:r>
              <w:rPr>
                <w:color w:val="243782"/>
              </w:rPr>
              <w:t> </w:t>
            </w:r>
          </w:p>
        </w:tc>
        <w:tc>
          <w:tcPr>
            <w:tcW w:w="237" w:type="dxa"/>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The fair value of derivative financial assets and liabilities is measured by taking into consideration market parameters at the balance sheet date and using valuation techniques widely accepted in the financial business environment, as described below:</w:t>
      </w:r>
    </w:p>
    <w:p>
      <w:pPr>
        <w:pStyle w:val="TextBody"/>
        <w:bidi w:val="0"/>
        <w:spacing w:lineRule="auto" w:line="343" w:before="0" w:after="120"/>
        <w:ind w:left="0" w:right="0" w:hanging="173"/>
        <w:jc w:val="left"/>
        <w:rPr/>
      </w:pPr>
      <w:r>
        <w:rPr>
          <w:color w:val="143A84"/>
        </w:rPr>
        <w:t>•</w:t>
      </w:r>
      <w:r>
        <w:rPr>
          <w:rFonts w:ascii="Helvetica Light;sans-serif" w:hAnsi="Helvetica Light;sans-serif"/>
          <w:b w:val="false"/>
          <w:color w:val="000000"/>
          <w:sz w:val="20"/>
        </w:rPr>
        <w:t>the fair value of forward contracts, swaps and options hedging currency risk is determined by using valuation techniques common in the financial markets and taking market parameters at the balance sheet date (in particular, exchange rates, interest rates and volatility rates);</w:t>
      </w:r>
    </w:p>
    <w:p>
      <w:pPr>
        <w:pStyle w:val="TextBody"/>
        <w:bidi w:val="0"/>
        <w:spacing w:lineRule="auto" w:line="343" w:before="0" w:after="120"/>
        <w:ind w:left="0" w:right="0" w:hanging="173"/>
        <w:jc w:val="left"/>
        <w:rPr/>
      </w:pPr>
      <w:r>
        <w:rPr>
          <w:color w:val="143A84"/>
        </w:rPr>
        <w:t>•</w:t>
      </w:r>
      <w:r>
        <w:rPr>
          <w:rFonts w:ascii="Helvetica Light;sans-serif" w:hAnsi="Helvetica Light;sans-serif"/>
          <w:b w:val="false"/>
          <w:color w:val="000000"/>
          <w:sz w:val="20"/>
        </w:rPr>
        <w:t>the fair value of interest rate swaps and forward rate agreements is determined by taking the prevailing interest rates at the balance sheet date and using the discounted expected cash flow method;</w:t>
      </w:r>
    </w:p>
    <w:p>
      <w:pPr>
        <w:pStyle w:val="TextBody"/>
        <w:bidi w:val="0"/>
        <w:spacing w:lineRule="auto" w:line="343" w:before="0" w:after="120"/>
        <w:ind w:left="0" w:right="0" w:hanging="173"/>
        <w:jc w:val="left"/>
        <w:rPr/>
      </w:pPr>
      <w:r>
        <w:rPr>
          <w:color w:val="143A84"/>
        </w:rPr>
        <w:t>•</w:t>
      </w:r>
      <w:r>
        <w:rPr>
          <w:rFonts w:ascii="Helvetica Light;sans-serif" w:hAnsi="Helvetica Light;sans-serif"/>
          <w:b w:val="false"/>
          <w:color w:val="000000"/>
          <w:sz w:val="20"/>
        </w:rPr>
        <w:t>the fair value of combined interest rate and currency swaps is determined using the exchange and interest rates prevailing at the balance sheet date and the discounted expected cash flow method; and</w:t>
      </w:r>
    </w:p>
    <w:p>
      <w:pPr>
        <w:pStyle w:val="TextBody"/>
        <w:bidi w:val="0"/>
        <w:spacing w:lineRule="auto" w:line="343" w:before="0" w:after="120"/>
        <w:ind w:left="0" w:right="0" w:hanging="173"/>
        <w:jc w:val="left"/>
        <w:rPr/>
      </w:pPr>
      <w:r>
        <w:rPr>
          <w:color w:val="143A84"/>
        </w:rPr>
        <w:t>•</w:t>
      </w:r>
      <w:r>
        <w:rPr>
          <w:rFonts w:ascii="Helvetica Light;sans-serif" w:hAnsi="Helvetica Light;sans-serif"/>
          <w:b w:val="false"/>
          <w:color w:val="000000"/>
          <w:sz w:val="20"/>
        </w:rPr>
        <w:t>the fair value of swaps and options hedging commodity price risk is determined by using valuation techniques common in the financial markets and taking market parameters at the balance sheet date (in particular, underlying prices, interest rates and volatility rates).</w:t>
      </w:r>
      <w:r>
        <w:rPr>
          <w:color w:val="000000"/>
        </w:rPr>
        <w:t>    </w:t>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The fair value of money market securities is also based on available market quotations.     </w:t>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The fair value of Receivables from financing activities, which are classified in Level 3 of the fair value hierarchy, has been estimated using discounted cash flow models. The most significant inputs used in this measurement are market discount rates that reflect conditions applied in various reference markets on receivables with similar characteristics, adjusted in order to take into account the credit risk of the counterparties.</w:t>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The fair values of Financial securities classified in level 3 are calculated using valuation techniques that incorporate inputs that are not directly observable in active markets. Therefore, the Company uses discounted cash flow models with the significant input being market discount rates along with the most recent financing rounds for certain investments.</w:t>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The fair value of Other receivables is classified in Level 3 of the fair value hierarchy and has been estimated using discounted cash flow models. The most significant inputs used in this measurement are market discount rates.</w:t>
      </w:r>
    </w:p>
    <w:p>
      <w:pPr>
        <w:pStyle w:val="TextBody"/>
        <w:bidi w:val="0"/>
        <w:spacing w:before="0" w:after="24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503555"/>
                <wp:effectExtent l="0" t="0" r="0" b="0"/>
                <wp:wrapNone/>
                <wp:docPr id="93" name="Frame78"/>
                <a:graphic xmlns:a="http://schemas.openxmlformats.org/drawingml/2006/main">
                  <a:graphicData uri="http://schemas.microsoft.com/office/word/2010/wordprocessingShape">
                    <wps:wsp>
                      <wps:cNvSpPr txBox="1"/>
                      <wps:spPr>
                        <a:xfrm>
                          <a:off x="0" y="0"/>
                          <a:ext cx="6480175" cy="5035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74</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74</w:t>
                      </w:r>
                    </w:p>
                    <w:p>
                      <w:pPr>
                        <w:pStyle w:val="TextBody"/>
                        <w:bidi w:val="0"/>
                        <w:spacing w:before="0" w:after="24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For assets and liabilities recognized in the financial statements at fair value on a recurring basis, the Company determines whether transfers have occurred between levels in the hierarchy by re-assessing categorization at the end of each reporting period.</w:t>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The following is a reconciliation of the changes in items measured at fair value and classified within Level 3:</w:t>
      </w:r>
    </w:p>
    <w:tbl>
      <w:tblPr>
        <w:tblW w:w="10205" w:type="dxa"/>
        <w:jc w:val="left"/>
        <w:tblInd w:w="0" w:type="dxa"/>
        <w:tblLayout w:type="fixed"/>
        <w:tblCellMar>
          <w:top w:w="28" w:type="dxa"/>
          <w:left w:w="28" w:type="dxa"/>
          <w:bottom w:w="28" w:type="dxa"/>
          <w:right w:w="28" w:type="dxa"/>
        </w:tblCellMar>
      </w:tblPr>
      <w:tblGrid>
        <w:gridCol w:w="1078"/>
        <w:gridCol w:w="852"/>
        <w:gridCol w:w="861"/>
        <w:gridCol w:w="109"/>
        <w:gridCol w:w="109"/>
        <w:gridCol w:w="109"/>
        <w:gridCol w:w="580"/>
        <w:gridCol w:w="580"/>
        <w:gridCol w:w="582"/>
        <w:gridCol w:w="127"/>
        <w:gridCol w:w="127"/>
        <w:gridCol w:w="127"/>
        <w:gridCol w:w="379"/>
        <w:gridCol w:w="379"/>
        <w:gridCol w:w="380"/>
        <w:gridCol w:w="127"/>
        <w:gridCol w:w="127"/>
        <w:gridCol w:w="127"/>
        <w:gridCol w:w="462"/>
        <w:gridCol w:w="462"/>
        <w:gridCol w:w="463"/>
        <w:gridCol w:w="127"/>
        <w:gridCol w:w="127"/>
        <w:gridCol w:w="127"/>
        <w:gridCol w:w="127"/>
        <w:gridCol w:w="109"/>
        <w:gridCol w:w="109"/>
        <w:gridCol w:w="109"/>
        <w:gridCol w:w="353"/>
        <w:gridCol w:w="353"/>
        <w:gridCol w:w="517"/>
      </w:tblGrid>
      <w:tr>
        <w:trPr/>
        <w:tc>
          <w:tcPr>
            <w:tcW w:w="1078"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2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7" w:type="dxa"/>
            <w:gridSpan w:val="19"/>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Three months ended June 30, 2026</w:t>
            </w:r>
          </w:p>
        </w:tc>
        <w:tc>
          <w:tcPr>
            <w:tcW w:w="1550" w:type="dxa"/>
            <w:gridSpan w:val="6"/>
            <w:tcBorders/>
          </w:tcPr>
          <w:p>
            <w:pPr>
              <w:pStyle w:val="TableContents"/>
              <w:bidi w:val="0"/>
              <w:spacing w:before="0" w:after="283"/>
              <w:jc w:val="left"/>
              <w:rPr>
                <w:sz w:val="4"/>
                <w:szCs w:val="4"/>
              </w:rPr>
            </w:pPr>
            <w:r>
              <w:rPr>
                <w:sz w:val="4"/>
                <w:szCs w:val="4"/>
              </w:rPr>
            </w:r>
          </w:p>
        </w:tc>
      </w:tr>
      <w:tr>
        <w:trPr/>
        <w:tc>
          <w:tcPr>
            <w:tcW w:w="2791"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Helvetica;sans-serif" w:hAnsi="Helvetica;sans-serif"/>
                <w:b w:val="false"/>
                <w:i/>
                <w:color w:val="000000"/>
                <w:sz w:val="16"/>
              </w:rPr>
            </w:pPr>
            <w:r>
              <w:rPr>
                <w:rFonts w:ascii="Helvetica;sans-serif" w:hAnsi="Helvetica;sans-serif"/>
                <w:b w:val="false"/>
                <w:i/>
                <w:color w:val="000000"/>
                <w:sz w:val="16"/>
              </w:rPr>
              <w:t>(€ million)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6"/>
              </w:rPr>
            </w:pPr>
            <w:r>
              <w:rPr>
                <w:rFonts w:ascii="Helvetica;sans-serif" w:hAnsi="Helvetica;sans-serif"/>
                <w:b/>
                <w:color w:val="243782"/>
                <w:sz w:val="16"/>
              </w:rPr>
              <w:t>Receivables from financing activities</w:t>
            </w:r>
          </w:p>
        </w:tc>
        <w:tc>
          <w:tcPr>
            <w:tcW w:w="381"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6"/>
              </w:rPr>
            </w:pPr>
            <w:r>
              <w:rPr>
                <w:rFonts w:ascii="Helvetica;sans-serif" w:hAnsi="Helvetica;sans-serif"/>
                <w:b/>
                <w:color w:val="243782"/>
                <w:sz w:val="16"/>
              </w:rPr>
              <w:t>Financial securities</w:t>
            </w:r>
          </w:p>
        </w:tc>
        <w:tc>
          <w:tcPr>
            <w:tcW w:w="381"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6"/>
              </w:rPr>
            </w:pPr>
            <w:r>
              <w:rPr>
                <w:rFonts w:ascii="Helvetica;sans-serif" w:hAnsi="Helvetica;sans-serif"/>
                <w:b/>
                <w:color w:val="243782"/>
                <w:sz w:val="16"/>
              </w:rPr>
              <w:t>Derivative assets/(liabilities)</w:t>
            </w:r>
          </w:p>
        </w:tc>
        <w:tc>
          <w:tcPr>
            <w:tcW w:w="381"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3"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6"/>
              </w:rPr>
            </w:pPr>
            <w:r>
              <w:rPr>
                <w:rFonts w:ascii="Helvetica;sans-serif" w:hAnsi="Helvetica;sans-serif"/>
                <w:b/>
                <w:color w:val="243782"/>
                <w:sz w:val="16"/>
              </w:rPr>
              <w:t>Other receivables</w:t>
            </w:r>
          </w:p>
        </w:tc>
      </w:tr>
      <w:tr>
        <w:trPr/>
        <w:tc>
          <w:tcPr>
            <w:tcW w:w="2791" w:type="dxa"/>
            <w:gridSpan w:val="3"/>
            <w:tcBorders>
              <w:top w:val="single" w:sz="2" w:space="0" w:color="143A84"/>
            </w:tcBorders>
            <w:shd w:fill="F3F3F9"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243782"/>
                <w:sz w:val="18"/>
              </w:rPr>
            </w:pPr>
            <w:r>
              <w:rPr>
                <w:rFonts w:ascii="Helvetica;sans-serif" w:hAnsi="Helvetica;sans-serif"/>
                <w:b/>
                <w:color w:val="243782"/>
                <w:sz w:val="18"/>
              </w:rPr>
              <w:t>At April 1</w:t>
            </w:r>
          </w:p>
        </w:tc>
        <w:tc>
          <w:tcPr>
            <w:tcW w:w="327" w:type="dxa"/>
            <w:gridSpan w:val="3"/>
            <w:tcBorders>
              <w:top w:val="single" w:sz="2" w:space="0" w:color="143A84"/>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top w:val="single" w:sz="2" w:space="0" w:color="143A84"/>
            </w:tcBorders>
            <w:shd w:fill="F3F3F9"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8"/>
              </w:rPr>
              <w:t>15</w:t>
            </w:r>
            <w:r>
              <w:rPr>
                <w:color w:val="243782"/>
              </w:rPr>
              <w:t> </w:t>
            </w:r>
          </w:p>
        </w:tc>
        <w:tc>
          <w:tcPr>
            <w:tcW w:w="582" w:type="dxa"/>
            <w:tcBorders>
              <w:top w:val="single" w:sz="2" w:space="0" w:color="143A84"/>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2" w:space="0" w:color="143A84"/>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top w:val="single" w:sz="2" w:space="0" w:color="143A84"/>
            </w:tcBorders>
            <w:shd w:fill="F3F3F9"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8"/>
              </w:rPr>
              <w:t>702</w:t>
            </w:r>
            <w:r>
              <w:rPr>
                <w:color w:val="243782"/>
              </w:rPr>
              <w:t> </w:t>
            </w:r>
          </w:p>
        </w:tc>
        <w:tc>
          <w:tcPr>
            <w:tcW w:w="380" w:type="dxa"/>
            <w:tcBorders>
              <w:top w:val="single" w:sz="2" w:space="0" w:color="143A84"/>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2" w:space="0" w:color="143A84"/>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op w:val="single" w:sz="2" w:space="0" w:color="143A84"/>
            </w:tcBorders>
            <w:shd w:fill="F3F3F9"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8"/>
              </w:rPr>
              <w:t>6</w:t>
            </w:r>
            <w:r>
              <w:rPr>
                <w:color w:val="243782"/>
              </w:rPr>
              <w:t> </w:t>
            </w:r>
          </w:p>
        </w:tc>
        <w:tc>
          <w:tcPr>
            <w:tcW w:w="463" w:type="dxa"/>
            <w:tcBorders>
              <w:top w:val="single" w:sz="2" w:space="0" w:color="143A84"/>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2" w:space="0" w:color="143A84"/>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gridSpan w:val="2"/>
            <w:tcBorders>
              <w:top w:val="single" w:sz="2" w:space="0" w:color="143A84"/>
            </w:tcBorders>
            <w:shd w:fill="F3F3F9" w:val="clear"/>
            <w:tcMar>
              <w:top w:w="52" w:type="dxa"/>
              <w:left w:w="0" w:type="dxa"/>
              <w:bottom w:w="0" w:type="dxa"/>
              <w:right w:w="0" w:type="dxa"/>
            </w:tcMar>
            <w:vAlign w:val="center"/>
          </w:tcPr>
          <w:p>
            <w:pPr>
              <w:pStyle w:val="TableContents"/>
              <w:bidi w:val="0"/>
              <w:spacing w:lineRule="auto" w:line="288" w:before="0" w:after="283"/>
              <w:jc w:val="right"/>
              <w:rPr>
                <w:color w:val="243782"/>
              </w:rPr>
            </w:pPr>
            <w:r>
              <w:rPr>
                <w:color w:val="243782"/>
              </w:rPr>
              <w:t>— </w:t>
            </w:r>
          </w:p>
        </w:tc>
        <w:tc>
          <w:tcPr>
            <w:tcW w:w="517" w:type="dxa"/>
            <w:tcBorders>
              <w:top w:val="single" w:sz="2" w:space="0" w:color="143A84"/>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2"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2791"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Gains/(losses) recognized in Consolidated Income Statement</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82"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(8)</w:t>
            </w:r>
          </w:p>
        </w:tc>
        <w:tc>
          <w:tcPr>
            <w:tcW w:w="380"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63"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17"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1"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Gains/(losses) recognized in Other comprehensive income/(loss)</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82"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(14)</w:t>
            </w:r>
          </w:p>
        </w:tc>
        <w:tc>
          <w:tcPr>
            <w:tcW w:w="380"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(5)</w:t>
            </w:r>
          </w:p>
        </w:tc>
        <w:tc>
          <w:tcPr>
            <w:tcW w:w="463"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17"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1"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Issues/(Settlements)</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(13)</w:t>
            </w:r>
          </w:p>
        </w:tc>
        <w:tc>
          <w:tcPr>
            <w:tcW w:w="582"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(69)</w:t>
            </w:r>
          </w:p>
        </w:tc>
        <w:tc>
          <w:tcPr>
            <w:tcW w:w="380"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w:t>
            </w:r>
          </w:p>
        </w:tc>
        <w:tc>
          <w:tcPr>
            <w:tcW w:w="463"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17"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1"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Purchases/(Sales)</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82"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(16)</w:t>
            </w:r>
          </w:p>
        </w:tc>
        <w:tc>
          <w:tcPr>
            <w:tcW w:w="380"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63"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17"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2"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27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2"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2791" w:type="dxa"/>
            <w:gridSpan w:val="3"/>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243782"/>
                <w:sz w:val="18"/>
              </w:rPr>
            </w:pPr>
            <w:r>
              <w:rPr>
                <w:rFonts w:ascii="Helvetica;sans-serif" w:hAnsi="Helvetica;sans-serif"/>
                <w:b/>
                <w:color w:val="243782"/>
                <w:sz w:val="18"/>
              </w:rPr>
              <w:t>At June 30</w:t>
            </w:r>
          </w:p>
        </w:tc>
        <w:tc>
          <w:tcPr>
            <w:tcW w:w="327" w:type="dxa"/>
            <w:gridSpan w:val="3"/>
            <w:tcBorders>
              <w:top w:val="single" w:sz="2" w:space="0" w:color="8E939F"/>
            </w:tcBorders>
            <w:shd w:fill="E6E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8"/>
              </w:rPr>
              <w:t>2</w:t>
            </w:r>
            <w:r>
              <w:rPr>
                <w:color w:val="243782"/>
              </w:rPr>
              <w:t> </w:t>
            </w:r>
          </w:p>
        </w:tc>
        <w:tc>
          <w:tcPr>
            <w:tcW w:w="582"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2" w:space="0" w:color="8E939F"/>
            </w:tcBorders>
            <w:shd w:fill="E6E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8"/>
              </w:rPr>
              <w:t>595</w:t>
            </w:r>
            <w:r>
              <w:rPr>
                <w:color w:val="243782"/>
              </w:rPr>
              <w:t> </w:t>
            </w:r>
          </w:p>
        </w:tc>
        <w:tc>
          <w:tcPr>
            <w:tcW w:w="380"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2" w:space="0" w:color="8E939F"/>
            </w:tcBorders>
            <w:shd w:fill="E6E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color w:val="243782"/>
              </w:rPr>
            </w:pPr>
            <w:r>
              <w:rPr>
                <w:color w:val="243782"/>
              </w:rPr>
              <w:t>— </w:t>
            </w:r>
          </w:p>
        </w:tc>
        <w:tc>
          <w:tcPr>
            <w:tcW w:w="463"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2" w:space="0" w:color="8E939F"/>
            </w:tcBorders>
            <w:shd w:fill="E6E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color w:val="243782"/>
              </w:rPr>
            </w:pPr>
            <w:r>
              <w:rPr>
                <w:color w:val="243782"/>
              </w:rPr>
              <w:t>— </w:t>
            </w:r>
          </w:p>
        </w:tc>
        <w:tc>
          <w:tcPr>
            <w:tcW w:w="517"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73"/>
        <w:gridCol w:w="848"/>
        <w:gridCol w:w="856"/>
        <w:gridCol w:w="109"/>
        <w:gridCol w:w="109"/>
        <w:gridCol w:w="109"/>
        <w:gridCol w:w="578"/>
        <w:gridCol w:w="578"/>
        <w:gridCol w:w="579"/>
        <w:gridCol w:w="127"/>
        <w:gridCol w:w="127"/>
        <w:gridCol w:w="127"/>
        <w:gridCol w:w="411"/>
        <w:gridCol w:w="378"/>
        <w:gridCol w:w="379"/>
        <w:gridCol w:w="127"/>
        <w:gridCol w:w="127"/>
        <w:gridCol w:w="127"/>
        <w:gridCol w:w="460"/>
        <w:gridCol w:w="460"/>
        <w:gridCol w:w="462"/>
        <w:gridCol w:w="127"/>
        <w:gridCol w:w="127"/>
        <w:gridCol w:w="127"/>
        <w:gridCol w:w="127"/>
        <w:gridCol w:w="109"/>
        <w:gridCol w:w="109"/>
        <w:gridCol w:w="109"/>
        <w:gridCol w:w="353"/>
        <w:gridCol w:w="353"/>
        <w:gridCol w:w="513"/>
      </w:tblGrid>
      <w:tr>
        <w:trPr/>
        <w:tc>
          <w:tcPr>
            <w:tcW w:w="1073"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r>
      <w:tr>
        <w:trPr/>
        <w:tc>
          <w:tcPr>
            <w:tcW w:w="2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5" w:type="dxa"/>
            <w:gridSpan w:val="19"/>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Three months ended June 30, 2025</w:t>
            </w:r>
          </w:p>
        </w:tc>
        <w:tc>
          <w:tcPr>
            <w:tcW w:w="1546" w:type="dxa"/>
            <w:gridSpan w:val="6"/>
            <w:tcBorders/>
          </w:tcPr>
          <w:p>
            <w:pPr>
              <w:pStyle w:val="TableContents"/>
              <w:bidi w:val="0"/>
              <w:spacing w:before="0" w:after="283"/>
              <w:jc w:val="left"/>
              <w:rPr>
                <w:sz w:val="4"/>
                <w:szCs w:val="4"/>
              </w:rPr>
            </w:pPr>
            <w:r>
              <w:rPr>
                <w:sz w:val="4"/>
                <w:szCs w:val="4"/>
              </w:rPr>
            </w:r>
          </w:p>
        </w:tc>
      </w:tr>
      <w:tr>
        <w:trPr/>
        <w:tc>
          <w:tcPr>
            <w:tcW w:w="2777"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Helvetica;sans-serif" w:hAnsi="Helvetica;sans-serif"/>
                <w:b w:val="false"/>
                <w:i/>
                <w:color w:val="000000"/>
                <w:sz w:val="16"/>
              </w:rPr>
            </w:pPr>
            <w:r>
              <w:rPr>
                <w:rFonts w:ascii="Helvetica;sans-serif" w:hAnsi="Helvetica;sans-serif"/>
                <w:b w:val="false"/>
                <w:i/>
                <w:color w:val="000000"/>
                <w:sz w:val="16"/>
              </w:rPr>
              <w:t>(€ million)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6"/>
              </w:rPr>
            </w:pPr>
            <w:r>
              <w:rPr>
                <w:rFonts w:ascii="Helvetica;sans-serif" w:hAnsi="Helvetica;sans-serif"/>
                <w:b/>
                <w:color w:val="243782"/>
                <w:sz w:val="16"/>
              </w:rPr>
              <w:t>Receivables from financing activities</w:t>
            </w:r>
          </w:p>
        </w:tc>
        <w:tc>
          <w:tcPr>
            <w:tcW w:w="381"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6"/>
              </w:rPr>
            </w:pPr>
            <w:r>
              <w:rPr>
                <w:rFonts w:ascii="Helvetica;sans-serif" w:hAnsi="Helvetica;sans-serif"/>
                <w:b/>
                <w:color w:val="243782"/>
                <w:sz w:val="16"/>
              </w:rPr>
              <w:t>Financial securities</w:t>
            </w:r>
          </w:p>
        </w:tc>
        <w:tc>
          <w:tcPr>
            <w:tcW w:w="381"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6"/>
              </w:rPr>
            </w:pPr>
            <w:r>
              <w:rPr>
                <w:rFonts w:ascii="Helvetica;sans-serif" w:hAnsi="Helvetica;sans-serif"/>
                <w:b/>
                <w:color w:val="243782"/>
                <w:sz w:val="16"/>
              </w:rPr>
              <w:t>Derivative assets/(liabilities)</w:t>
            </w:r>
          </w:p>
        </w:tc>
        <w:tc>
          <w:tcPr>
            <w:tcW w:w="381"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9"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6"/>
              </w:rPr>
            </w:pPr>
            <w:r>
              <w:rPr>
                <w:rFonts w:ascii="Helvetica;sans-serif" w:hAnsi="Helvetica;sans-serif"/>
                <w:b/>
                <w:color w:val="243782"/>
                <w:sz w:val="16"/>
              </w:rPr>
              <w:t>Other receivables</w:t>
            </w:r>
          </w:p>
        </w:tc>
      </w:tr>
      <w:tr>
        <w:trPr/>
        <w:tc>
          <w:tcPr>
            <w:tcW w:w="2777" w:type="dxa"/>
            <w:gridSpan w:val="3"/>
            <w:tcBorders>
              <w:top w:val="single" w:sz="2" w:space="0" w:color="143A84"/>
            </w:tcBorders>
            <w:shd w:fill="F3F3F9"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243782"/>
                <w:sz w:val="18"/>
              </w:rPr>
            </w:pPr>
            <w:r>
              <w:rPr>
                <w:rFonts w:ascii="Helvetica;sans-serif" w:hAnsi="Helvetica;sans-serif"/>
                <w:b/>
                <w:color w:val="243782"/>
                <w:sz w:val="18"/>
              </w:rPr>
              <w:t>At April 1</w:t>
            </w:r>
          </w:p>
        </w:tc>
        <w:tc>
          <w:tcPr>
            <w:tcW w:w="327" w:type="dxa"/>
            <w:gridSpan w:val="3"/>
            <w:tcBorders>
              <w:top w:val="single" w:sz="2" w:space="0" w:color="143A84"/>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op w:val="single" w:sz="2" w:space="0" w:color="143A84"/>
            </w:tcBorders>
            <w:shd w:fill="F3F3F9"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8"/>
              </w:rPr>
              <w:t>83</w:t>
            </w:r>
            <w:r>
              <w:rPr>
                <w:color w:val="243782"/>
              </w:rPr>
              <w:t> </w:t>
            </w:r>
          </w:p>
        </w:tc>
        <w:tc>
          <w:tcPr>
            <w:tcW w:w="579" w:type="dxa"/>
            <w:tcBorders>
              <w:top w:val="single" w:sz="2" w:space="0" w:color="143A84"/>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2" w:space="0" w:color="143A84"/>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top w:val="single" w:sz="2" w:space="0" w:color="143A84"/>
            </w:tcBorders>
            <w:shd w:fill="F3F3F9"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8"/>
              </w:rPr>
              <w:t>1,027</w:t>
            </w:r>
            <w:r>
              <w:rPr>
                <w:color w:val="243782"/>
              </w:rPr>
              <w:t> </w:t>
            </w:r>
          </w:p>
        </w:tc>
        <w:tc>
          <w:tcPr>
            <w:tcW w:w="379" w:type="dxa"/>
            <w:tcBorders>
              <w:top w:val="single" w:sz="2" w:space="0" w:color="143A84"/>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2" w:space="0" w:color="143A84"/>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op w:val="single" w:sz="2" w:space="0" w:color="143A84"/>
            </w:tcBorders>
            <w:shd w:fill="F3F3F9"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8"/>
              </w:rPr>
              <w:t>2</w:t>
            </w:r>
            <w:r>
              <w:rPr>
                <w:color w:val="243782"/>
              </w:rPr>
              <w:t> </w:t>
            </w:r>
          </w:p>
        </w:tc>
        <w:tc>
          <w:tcPr>
            <w:tcW w:w="462" w:type="dxa"/>
            <w:tcBorders>
              <w:top w:val="single" w:sz="2" w:space="0" w:color="143A84"/>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2" w:space="0" w:color="143A84"/>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gridSpan w:val="2"/>
            <w:tcBorders>
              <w:top w:val="single" w:sz="2" w:space="0" w:color="143A84"/>
            </w:tcBorders>
            <w:shd w:fill="F3F3F9" w:val="clear"/>
            <w:tcMar>
              <w:top w:w="52" w:type="dxa"/>
              <w:left w:w="0" w:type="dxa"/>
              <w:bottom w:w="0" w:type="dxa"/>
              <w:right w:w="0" w:type="dxa"/>
            </w:tcMar>
            <w:vAlign w:val="center"/>
          </w:tcPr>
          <w:p>
            <w:pPr>
              <w:pStyle w:val="TableContents"/>
              <w:bidi w:val="0"/>
              <w:spacing w:lineRule="auto" w:line="288" w:before="0" w:after="283"/>
              <w:jc w:val="right"/>
              <w:rPr>
                <w:color w:val="243782"/>
              </w:rPr>
            </w:pPr>
            <w:r>
              <w:rPr>
                <w:color w:val="243782"/>
              </w:rPr>
              <w:t>— </w:t>
            </w:r>
          </w:p>
        </w:tc>
        <w:tc>
          <w:tcPr>
            <w:tcW w:w="513" w:type="dxa"/>
            <w:tcBorders>
              <w:top w:val="single" w:sz="2" w:space="0" w:color="143A84"/>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7"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Change in scope of consolidation</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79"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11 </w:t>
            </w:r>
          </w:p>
        </w:tc>
        <w:tc>
          <w:tcPr>
            <w:tcW w:w="379"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62"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13"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7"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Gains/(losses) recognized in Consolidated Income Statement</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79"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4 </w:t>
            </w:r>
          </w:p>
        </w:tc>
        <w:tc>
          <w:tcPr>
            <w:tcW w:w="379"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62"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13"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7"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Gains/(losses) recognized in Other comprehensive income/(loss)</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79"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(76)</w:t>
            </w:r>
          </w:p>
        </w:tc>
        <w:tc>
          <w:tcPr>
            <w:tcW w:w="379"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w:t>
            </w:r>
          </w:p>
        </w:tc>
        <w:tc>
          <w:tcPr>
            <w:tcW w:w="462"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13"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7"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Issues/(Settlements)</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26 </w:t>
            </w:r>
          </w:p>
        </w:tc>
        <w:tc>
          <w:tcPr>
            <w:tcW w:w="579"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9"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62"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13"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7"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Purchases/(Sales)</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79"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(49)</w:t>
            </w:r>
          </w:p>
        </w:tc>
        <w:tc>
          <w:tcPr>
            <w:tcW w:w="379"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62"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13"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5"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r>
      <w:tr>
        <w:trPr/>
        <w:tc>
          <w:tcPr>
            <w:tcW w:w="2777"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Transfer (from)/to level 3</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79"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(9)</w:t>
            </w:r>
          </w:p>
        </w:tc>
        <w:tc>
          <w:tcPr>
            <w:tcW w:w="379"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62"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13"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7" w:type="dxa"/>
            <w:gridSpan w:val="3"/>
            <w:tcBorders/>
            <w:shd w:fill="E6E7F4"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243782"/>
                <w:sz w:val="18"/>
              </w:rPr>
            </w:pPr>
            <w:r>
              <w:rPr>
                <w:rFonts w:ascii="Helvetica;sans-serif" w:hAnsi="Helvetica;sans-serif"/>
                <w:b/>
                <w:color w:val="243782"/>
                <w:sz w:val="18"/>
              </w:rPr>
              <w:t>At June 30</w:t>
            </w:r>
          </w:p>
        </w:tc>
        <w:tc>
          <w:tcPr>
            <w:tcW w:w="327" w:type="dxa"/>
            <w:gridSpan w:val="3"/>
            <w:tcBorders/>
            <w:shd w:fill="E6E7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E6E7F4" w:val="clear"/>
            <w:tcMar>
              <w:top w:w="0"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8"/>
              </w:rPr>
              <w:t>109</w:t>
            </w:r>
            <w:r>
              <w:rPr>
                <w:color w:val="243782"/>
              </w:rPr>
              <w:t> </w:t>
            </w:r>
          </w:p>
        </w:tc>
        <w:tc>
          <w:tcPr>
            <w:tcW w:w="579" w:type="dxa"/>
            <w:tcBorders/>
            <w:shd w:fill="E6E7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E6E7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E6E7F4" w:val="clear"/>
            <w:tcMar>
              <w:top w:w="0"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8"/>
              </w:rPr>
              <w:t>908</w:t>
            </w:r>
            <w:r>
              <w:rPr>
                <w:color w:val="243782"/>
              </w:rPr>
              <w:t> </w:t>
            </w:r>
          </w:p>
        </w:tc>
        <w:tc>
          <w:tcPr>
            <w:tcW w:w="379" w:type="dxa"/>
            <w:tcBorders/>
            <w:shd w:fill="E6E7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E6E7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E6E7F4" w:val="clear"/>
            <w:tcMar>
              <w:top w:w="0"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8"/>
              </w:rPr>
              <w:t>1</w:t>
            </w:r>
            <w:r>
              <w:rPr>
                <w:color w:val="243782"/>
              </w:rPr>
              <w:t> </w:t>
            </w:r>
          </w:p>
        </w:tc>
        <w:tc>
          <w:tcPr>
            <w:tcW w:w="462" w:type="dxa"/>
            <w:tcBorders/>
            <w:shd w:fill="E6E7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E6E7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gridSpan w:val="2"/>
            <w:tcBorders/>
            <w:shd w:fill="E6E7F4" w:val="clear"/>
            <w:tcMar>
              <w:top w:w="0" w:type="dxa"/>
              <w:left w:w="0" w:type="dxa"/>
              <w:bottom w:w="0" w:type="dxa"/>
              <w:right w:w="0" w:type="dxa"/>
            </w:tcMar>
            <w:vAlign w:val="center"/>
          </w:tcPr>
          <w:p>
            <w:pPr>
              <w:pStyle w:val="TableContents"/>
              <w:bidi w:val="0"/>
              <w:spacing w:lineRule="auto" w:line="288" w:before="0" w:after="283"/>
              <w:jc w:val="right"/>
              <w:rPr>
                <w:color w:val="243782"/>
              </w:rPr>
            </w:pPr>
            <w:r>
              <w:rPr>
                <w:color w:val="243782"/>
              </w:rPr>
              <w:t>— </w:t>
            </w:r>
          </w:p>
        </w:tc>
        <w:tc>
          <w:tcPr>
            <w:tcW w:w="513" w:type="dxa"/>
            <w:tcBorders/>
            <w:shd w:fill="E6E7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84"/>
        <w:gridCol w:w="856"/>
        <w:gridCol w:w="869"/>
        <w:gridCol w:w="109"/>
        <w:gridCol w:w="109"/>
        <w:gridCol w:w="109"/>
        <w:gridCol w:w="583"/>
        <w:gridCol w:w="583"/>
        <w:gridCol w:w="585"/>
        <w:gridCol w:w="123"/>
        <w:gridCol w:w="123"/>
        <w:gridCol w:w="123"/>
        <w:gridCol w:w="380"/>
        <w:gridCol w:w="380"/>
        <w:gridCol w:w="382"/>
        <w:gridCol w:w="123"/>
        <w:gridCol w:w="123"/>
        <w:gridCol w:w="123"/>
        <w:gridCol w:w="464"/>
        <w:gridCol w:w="464"/>
        <w:gridCol w:w="466"/>
        <w:gridCol w:w="123"/>
        <w:gridCol w:w="123"/>
        <w:gridCol w:w="123"/>
        <w:gridCol w:w="123"/>
        <w:gridCol w:w="109"/>
        <w:gridCol w:w="109"/>
        <w:gridCol w:w="109"/>
        <w:gridCol w:w="354"/>
        <w:gridCol w:w="354"/>
        <w:gridCol w:w="517"/>
      </w:tblGrid>
      <w:tr>
        <w:trPr/>
        <w:tc>
          <w:tcPr>
            <w:tcW w:w="1084"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2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7" w:type="dxa"/>
            <w:gridSpan w:val="19"/>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Six Months Ended June 30, 2026</w:t>
            </w:r>
          </w:p>
        </w:tc>
        <w:tc>
          <w:tcPr>
            <w:tcW w:w="1552" w:type="dxa"/>
            <w:gridSpan w:val="6"/>
            <w:tcBorders/>
          </w:tcPr>
          <w:p>
            <w:pPr>
              <w:pStyle w:val="TableContents"/>
              <w:bidi w:val="0"/>
              <w:spacing w:before="0" w:after="283"/>
              <w:jc w:val="left"/>
              <w:rPr>
                <w:sz w:val="4"/>
                <w:szCs w:val="4"/>
              </w:rPr>
            </w:pPr>
            <w:r>
              <w:rPr>
                <w:sz w:val="4"/>
                <w:szCs w:val="4"/>
              </w:rPr>
            </w:r>
          </w:p>
        </w:tc>
      </w:tr>
      <w:tr>
        <w:trPr/>
        <w:tc>
          <w:tcPr>
            <w:tcW w:w="2809"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Helvetica;sans-serif" w:hAnsi="Helvetica;sans-serif"/>
                <w:b w:val="false"/>
                <w:i/>
                <w:color w:val="000000"/>
                <w:sz w:val="16"/>
              </w:rPr>
            </w:pPr>
            <w:r>
              <w:rPr>
                <w:rFonts w:ascii="Helvetica;sans-serif" w:hAnsi="Helvetica;sans-serif"/>
                <w:b w:val="false"/>
                <w:i/>
                <w:color w:val="000000"/>
                <w:sz w:val="16"/>
              </w:rPr>
              <w:t>(€ million)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6"/>
              </w:rPr>
            </w:pPr>
            <w:r>
              <w:rPr>
                <w:rFonts w:ascii="Helvetica;sans-serif" w:hAnsi="Helvetica;sans-serif"/>
                <w:b/>
                <w:color w:val="243782"/>
                <w:sz w:val="16"/>
              </w:rPr>
              <w:t>Receivables from financing activities</w:t>
            </w:r>
          </w:p>
        </w:tc>
        <w:tc>
          <w:tcPr>
            <w:tcW w:w="369"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6"/>
              </w:rPr>
            </w:pPr>
            <w:r>
              <w:rPr>
                <w:rFonts w:ascii="Helvetica;sans-serif" w:hAnsi="Helvetica;sans-serif"/>
                <w:b/>
                <w:color w:val="243782"/>
                <w:sz w:val="16"/>
              </w:rPr>
              <w:t>Financial securities</w:t>
            </w:r>
          </w:p>
        </w:tc>
        <w:tc>
          <w:tcPr>
            <w:tcW w:w="369"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6"/>
              </w:rPr>
            </w:pPr>
            <w:r>
              <w:rPr>
                <w:rFonts w:ascii="Helvetica;sans-serif" w:hAnsi="Helvetica;sans-serif"/>
                <w:b/>
                <w:color w:val="243782"/>
                <w:sz w:val="16"/>
              </w:rPr>
              <w:t>Derivative assets/(liabilities)</w:t>
            </w:r>
          </w:p>
        </w:tc>
        <w:tc>
          <w:tcPr>
            <w:tcW w:w="369"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5"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6"/>
              </w:rPr>
            </w:pPr>
            <w:r>
              <w:rPr>
                <w:rFonts w:ascii="Helvetica;sans-serif" w:hAnsi="Helvetica;sans-serif"/>
                <w:b/>
                <w:color w:val="243782"/>
                <w:sz w:val="16"/>
              </w:rPr>
              <w:t>Other receivables</w:t>
            </w:r>
          </w:p>
        </w:tc>
      </w:tr>
      <w:tr>
        <w:trPr/>
        <w:tc>
          <w:tcPr>
            <w:tcW w:w="2809" w:type="dxa"/>
            <w:gridSpan w:val="3"/>
            <w:tcBorders>
              <w:top w:val="single" w:sz="2" w:space="0" w:color="143A84"/>
            </w:tcBorders>
            <w:shd w:fill="F3F3F9"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243782"/>
                <w:sz w:val="18"/>
              </w:rPr>
            </w:pPr>
            <w:r>
              <w:rPr>
                <w:rFonts w:ascii="Helvetica;sans-serif" w:hAnsi="Helvetica;sans-serif"/>
                <w:b/>
                <w:color w:val="243782"/>
                <w:sz w:val="18"/>
              </w:rPr>
              <w:t>At January 1</w:t>
            </w:r>
          </w:p>
        </w:tc>
        <w:tc>
          <w:tcPr>
            <w:tcW w:w="327" w:type="dxa"/>
            <w:gridSpan w:val="3"/>
            <w:tcBorders>
              <w:top w:val="single" w:sz="2" w:space="0" w:color="143A84"/>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op w:val="single" w:sz="2" w:space="0" w:color="143A84"/>
            </w:tcBorders>
            <w:shd w:fill="F3F3F9"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8"/>
              </w:rPr>
              <w:t>3</w:t>
            </w:r>
            <w:r>
              <w:rPr>
                <w:color w:val="243782"/>
              </w:rPr>
              <w:t> </w:t>
            </w:r>
          </w:p>
        </w:tc>
        <w:tc>
          <w:tcPr>
            <w:tcW w:w="585" w:type="dxa"/>
            <w:tcBorders>
              <w:top w:val="single" w:sz="2" w:space="0" w:color="143A84"/>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2" w:space="0" w:color="143A84"/>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2" w:space="0" w:color="143A84"/>
            </w:tcBorders>
            <w:shd w:fill="F3F3F9"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8"/>
              </w:rPr>
              <w:t>640</w:t>
            </w:r>
            <w:r>
              <w:rPr>
                <w:color w:val="243782"/>
              </w:rPr>
              <w:t> </w:t>
            </w:r>
          </w:p>
        </w:tc>
        <w:tc>
          <w:tcPr>
            <w:tcW w:w="382" w:type="dxa"/>
            <w:tcBorders>
              <w:top w:val="single" w:sz="2" w:space="0" w:color="143A84"/>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2" w:space="0" w:color="143A84"/>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op w:val="single" w:sz="2" w:space="0" w:color="143A84"/>
            </w:tcBorders>
            <w:shd w:fill="F3F3F9"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8"/>
              </w:rPr>
              <w:t>10</w:t>
            </w:r>
            <w:r>
              <w:rPr>
                <w:color w:val="243782"/>
              </w:rPr>
              <w:t> </w:t>
            </w:r>
          </w:p>
        </w:tc>
        <w:tc>
          <w:tcPr>
            <w:tcW w:w="466" w:type="dxa"/>
            <w:tcBorders>
              <w:top w:val="single" w:sz="2" w:space="0" w:color="143A84"/>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2" w:space="0" w:color="143A84"/>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8" w:type="dxa"/>
            <w:gridSpan w:val="2"/>
            <w:tcBorders>
              <w:top w:val="single" w:sz="2" w:space="0" w:color="143A84"/>
            </w:tcBorders>
            <w:shd w:fill="F3F3F9" w:val="clear"/>
            <w:tcMar>
              <w:top w:w="52" w:type="dxa"/>
              <w:left w:w="0" w:type="dxa"/>
              <w:bottom w:w="0" w:type="dxa"/>
              <w:right w:w="0" w:type="dxa"/>
            </w:tcMar>
            <w:vAlign w:val="center"/>
          </w:tcPr>
          <w:p>
            <w:pPr>
              <w:pStyle w:val="TableContents"/>
              <w:bidi w:val="0"/>
              <w:spacing w:lineRule="auto" w:line="288" w:before="0" w:after="283"/>
              <w:jc w:val="right"/>
              <w:rPr>
                <w:color w:val="243782"/>
              </w:rPr>
            </w:pPr>
            <w:r>
              <w:rPr>
                <w:color w:val="243782"/>
              </w:rPr>
              <w:t>— </w:t>
            </w:r>
          </w:p>
        </w:tc>
        <w:tc>
          <w:tcPr>
            <w:tcW w:w="517" w:type="dxa"/>
            <w:tcBorders>
              <w:top w:val="single" w:sz="2" w:space="0" w:color="143A84"/>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1"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r>
        <w:trPr/>
        <w:tc>
          <w:tcPr>
            <w:tcW w:w="2809"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Gains/(losses) recognized in Consolidated Income Statement</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85"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(8)</w:t>
            </w:r>
          </w:p>
        </w:tc>
        <w:tc>
          <w:tcPr>
            <w:tcW w:w="382"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6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8"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17"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9"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Gains/(losses) recognized in Other comprehensive income/(loss)</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85"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2"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(9)</w:t>
            </w:r>
          </w:p>
        </w:tc>
        <w:tc>
          <w:tcPr>
            <w:tcW w:w="46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8"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17"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9"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Issues/(Settlements)</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w:t>
            </w:r>
          </w:p>
        </w:tc>
        <w:tc>
          <w:tcPr>
            <w:tcW w:w="585"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(69)</w:t>
            </w:r>
          </w:p>
        </w:tc>
        <w:tc>
          <w:tcPr>
            <w:tcW w:w="382"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w:t>
            </w:r>
          </w:p>
        </w:tc>
        <w:tc>
          <w:tcPr>
            <w:tcW w:w="46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8"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17"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9"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Purchases/(Sales)</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85"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(46)</w:t>
            </w:r>
          </w:p>
        </w:tc>
        <w:tc>
          <w:tcPr>
            <w:tcW w:w="382"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6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8"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17"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1"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r>
        <w:trPr/>
        <w:tc>
          <w:tcPr>
            <w:tcW w:w="2809"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Transfer (from)/to level 3</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85"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78 </w:t>
            </w:r>
          </w:p>
        </w:tc>
        <w:tc>
          <w:tcPr>
            <w:tcW w:w="382"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6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8"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17"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9" w:type="dxa"/>
            <w:gridSpan w:val="3"/>
            <w:tcBorders/>
            <w:shd w:fill="E6E7F4"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243782"/>
                <w:sz w:val="18"/>
              </w:rPr>
            </w:pPr>
            <w:r>
              <w:rPr>
                <w:rFonts w:ascii="Helvetica;sans-serif" w:hAnsi="Helvetica;sans-serif"/>
                <w:b/>
                <w:color w:val="243782"/>
                <w:sz w:val="18"/>
              </w:rPr>
              <w:t>At June 30</w:t>
            </w:r>
          </w:p>
        </w:tc>
        <w:tc>
          <w:tcPr>
            <w:tcW w:w="327" w:type="dxa"/>
            <w:gridSpan w:val="3"/>
            <w:tcBorders/>
            <w:shd w:fill="E6E7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E6E7F4" w:val="clear"/>
            <w:tcMar>
              <w:top w:w="0"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8"/>
              </w:rPr>
              <w:t>2</w:t>
            </w:r>
            <w:r>
              <w:rPr>
                <w:color w:val="243782"/>
              </w:rPr>
              <w:t> </w:t>
            </w:r>
          </w:p>
        </w:tc>
        <w:tc>
          <w:tcPr>
            <w:tcW w:w="585" w:type="dxa"/>
            <w:tcBorders/>
            <w:shd w:fill="E6E7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E6E7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E6E7F4" w:val="clear"/>
            <w:tcMar>
              <w:top w:w="0"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8"/>
              </w:rPr>
              <w:t>595</w:t>
            </w:r>
            <w:r>
              <w:rPr>
                <w:color w:val="243782"/>
              </w:rPr>
              <w:t> </w:t>
            </w:r>
          </w:p>
        </w:tc>
        <w:tc>
          <w:tcPr>
            <w:tcW w:w="382" w:type="dxa"/>
            <w:tcBorders/>
            <w:shd w:fill="E6E7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E6E7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E6E7F4" w:val="clear"/>
            <w:tcMar>
              <w:top w:w="0" w:type="dxa"/>
              <w:left w:w="0" w:type="dxa"/>
              <w:bottom w:w="0" w:type="dxa"/>
              <w:right w:w="0" w:type="dxa"/>
            </w:tcMar>
            <w:vAlign w:val="center"/>
          </w:tcPr>
          <w:p>
            <w:pPr>
              <w:pStyle w:val="TableContents"/>
              <w:bidi w:val="0"/>
              <w:spacing w:lineRule="auto" w:line="288" w:before="0" w:after="283"/>
              <w:jc w:val="right"/>
              <w:rPr>
                <w:color w:val="243782"/>
              </w:rPr>
            </w:pPr>
            <w:r>
              <w:rPr>
                <w:color w:val="243782"/>
              </w:rPr>
              <w:t>— </w:t>
            </w:r>
          </w:p>
        </w:tc>
        <w:tc>
          <w:tcPr>
            <w:tcW w:w="466" w:type="dxa"/>
            <w:tcBorders/>
            <w:shd w:fill="E6E7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E6E7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8" w:type="dxa"/>
            <w:gridSpan w:val="2"/>
            <w:tcBorders/>
            <w:shd w:fill="E6E7F4" w:val="clear"/>
            <w:tcMar>
              <w:top w:w="0" w:type="dxa"/>
              <w:left w:w="0" w:type="dxa"/>
              <w:bottom w:w="0" w:type="dxa"/>
              <w:right w:w="0" w:type="dxa"/>
            </w:tcMar>
            <w:vAlign w:val="center"/>
          </w:tcPr>
          <w:p>
            <w:pPr>
              <w:pStyle w:val="TableContents"/>
              <w:bidi w:val="0"/>
              <w:spacing w:lineRule="auto" w:line="288" w:before="0" w:after="283"/>
              <w:jc w:val="right"/>
              <w:rPr>
                <w:color w:val="243782"/>
              </w:rPr>
            </w:pPr>
            <w:r>
              <w:rPr>
                <w:color w:val="243782"/>
              </w:rPr>
              <w:t>— </w:t>
            </w:r>
          </w:p>
        </w:tc>
        <w:tc>
          <w:tcPr>
            <w:tcW w:w="517" w:type="dxa"/>
            <w:tcBorders/>
            <w:shd w:fill="E6E7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503555"/>
                <wp:effectExtent l="0" t="0" r="0" b="0"/>
                <wp:wrapNone/>
                <wp:docPr id="94" name="Frame79"/>
                <a:graphic xmlns:a="http://schemas.openxmlformats.org/drawingml/2006/main">
                  <a:graphicData uri="http://schemas.microsoft.com/office/word/2010/wordprocessingShape">
                    <wps:wsp>
                      <wps:cNvSpPr txBox="1"/>
                      <wps:spPr>
                        <a:xfrm>
                          <a:off x="0" y="0"/>
                          <a:ext cx="6480175" cy="5035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75</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75</w:t>
                      </w:r>
                    </w:p>
                    <w:p>
                      <w:pPr>
                        <w:pStyle w:val="TextBody"/>
                        <w:bidi w:val="0"/>
                        <w:spacing w:before="0" w:after="24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tbl>
      <w:tblPr>
        <w:tblW w:w="10205" w:type="dxa"/>
        <w:jc w:val="left"/>
        <w:tblInd w:w="0" w:type="dxa"/>
        <w:tblLayout w:type="fixed"/>
        <w:tblCellMar>
          <w:top w:w="28" w:type="dxa"/>
          <w:left w:w="28" w:type="dxa"/>
          <w:bottom w:w="28" w:type="dxa"/>
          <w:right w:w="28" w:type="dxa"/>
        </w:tblCellMar>
      </w:tblPr>
      <w:tblGrid>
        <w:gridCol w:w="1084"/>
        <w:gridCol w:w="856"/>
        <w:gridCol w:w="869"/>
        <w:gridCol w:w="109"/>
        <w:gridCol w:w="109"/>
        <w:gridCol w:w="109"/>
        <w:gridCol w:w="583"/>
        <w:gridCol w:w="583"/>
        <w:gridCol w:w="585"/>
        <w:gridCol w:w="123"/>
        <w:gridCol w:w="123"/>
        <w:gridCol w:w="123"/>
        <w:gridCol w:w="380"/>
        <w:gridCol w:w="380"/>
        <w:gridCol w:w="382"/>
        <w:gridCol w:w="123"/>
        <w:gridCol w:w="123"/>
        <w:gridCol w:w="123"/>
        <w:gridCol w:w="464"/>
        <w:gridCol w:w="464"/>
        <w:gridCol w:w="466"/>
        <w:gridCol w:w="123"/>
        <w:gridCol w:w="123"/>
        <w:gridCol w:w="123"/>
        <w:gridCol w:w="123"/>
        <w:gridCol w:w="109"/>
        <w:gridCol w:w="109"/>
        <w:gridCol w:w="109"/>
        <w:gridCol w:w="354"/>
        <w:gridCol w:w="354"/>
        <w:gridCol w:w="517"/>
      </w:tblGrid>
      <w:tr>
        <w:trPr/>
        <w:tc>
          <w:tcPr>
            <w:tcW w:w="1084"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2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7" w:type="dxa"/>
            <w:gridSpan w:val="19"/>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Six Months Ended June 30, 2025</w:t>
            </w:r>
          </w:p>
        </w:tc>
        <w:tc>
          <w:tcPr>
            <w:tcW w:w="1552" w:type="dxa"/>
            <w:gridSpan w:val="6"/>
            <w:tcBorders/>
          </w:tcPr>
          <w:p>
            <w:pPr>
              <w:pStyle w:val="TableContents"/>
              <w:bidi w:val="0"/>
              <w:spacing w:before="0" w:after="283"/>
              <w:jc w:val="left"/>
              <w:rPr>
                <w:sz w:val="4"/>
                <w:szCs w:val="4"/>
              </w:rPr>
            </w:pPr>
            <w:r>
              <w:rPr>
                <w:sz w:val="4"/>
                <w:szCs w:val="4"/>
              </w:rPr>
            </w:r>
          </w:p>
        </w:tc>
      </w:tr>
      <w:tr>
        <w:trPr/>
        <w:tc>
          <w:tcPr>
            <w:tcW w:w="2809"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Helvetica;sans-serif" w:hAnsi="Helvetica;sans-serif"/>
                <w:b w:val="false"/>
                <w:i/>
                <w:color w:val="000000"/>
                <w:sz w:val="16"/>
              </w:rPr>
            </w:pPr>
            <w:r>
              <w:rPr>
                <w:rFonts w:ascii="Helvetica;sans-serif" w:hAnsi="Helvetica;sans-serif"/>
                <w:b w:val="false"/>
                <w:i/>
                <w:color w:val="000000"/>
                <w:sz w:val="16"/>
              </w:rPr>
              <w:t>(€ million)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6"/>
              </w:rPr>
            </w:pPr>
            <w:r>
              <w:rPr>
                <w:rFonts w:ascii="Helvetica;sans-serif" w:hAnsi="Helvetica;sans-serif"/>
                <w:b/>
                <w:color w:val="243782"/>
                <w:sz w:val="16"/>
              </w:rPr>
              <w:t>Receivables from financing activities</w:t>
            </w:r>
          </w:p>
        </w:tc>
        <w:tc>
          <w:tcPr>
            <w:tcW w:w="369"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6"/>
              </w:rPr>
            </w:pPr>
            <w:r>
              <w:rPr>
                <w:rFonts w:ascii="Helvetica;sans-serif" w:hAnsi="Helvetica;sans-serif"/>
                <w:b/>
                <w:color w:val="243782"/>
                <w:sz w:val="16"/>
              </w:rPr>
              <w:t>Financial securities</w:t>
            </w:r>
          </w:p>
        </w:tc>
        <w:tc>
          <w:tcPr>
            <w:tcW w:w="369"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6"/>
              </w:rPr>
            </w:pPr>
            <w:r>
              <w:rPr>
                <w:rFonts w:ascii="Helvetica;sans-serif" w:hAnsi="Helvetica;sans-serif"/>
                <w:b/>
                <w:color w:val="243782"/>
                <w:sz w:val="16"/>
              </w:rPr>
              <w:t>Derivative assets/(liabilities)</w:t>
            </w:r>
          </w:p>
        </w:tc>
        <w:tc>
          <w:tcPr>
            <w:tcW w:w="369"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5"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6"/>
              </w:rPr>
            </w:pPr>
            <w:r>
              <w:rPr>
                <w:rFonts w:ascii="Helvetica;sans-serif" w:hAnsi="Helvetica;sans-serif"/>
                <w:b/>
                <w:color w:val="243782"/>
                <w:sz w:val="16"/>
              </w:rPr>
              <w:t>Other receivables</w:t>
            </w:r>
          </w:p>
        </w:tc>
      </w:tr>
      <w:tr>
        <w:trPr/>
        <w:tc>
          <w:tcPr>
            <w:tcW w:w="2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1"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807" w:type="dxa"/>
            <w:gridSpan w:val="16"/>
            <w:tcBorders/>
          </w:tcPr>
          <w:p>
            <w:pPr>
              <w:pStyle w:val="TableContents"/>
              <w:bidi w:val="0"/>
              <w:spacing w:before="0" w:after="283"/>
              <w:jc w:val="left"/>
              <w:rPr>
                <w:sz w:val="4"/>
                <w:szCs w:val="4"/>
              </w:rPr>
            </w:pPr>
            <w:r>
              <w:rPr>
                <w:sz w:val="4"/>
                <w:szCs w:val="4"/>
              </w:rPr>
            </w:r>
          </w:p>
        </w:tc>
      </w:tr>
      <w:tr>
        <w:trPr/>
        <w:tc>
          <w:tcPr>
            <w:tcW w:w="2809" w:type="dxa"/>
            <w:gridSpan w:val="3"/>
            <w:tcBorders>
              <w:top w:val="single" w:sz="2" w:space="0" w:color="143A84"/>
            </w:tcBorders>
            <w:shd w:fill="F3F3F9"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243782"/>
                <w:sz w:val="18"/>
              </w:rPr>
            </w:pPr>
            <w:r>
              <w:rPr>
                <w:rFonts w:ascii="Helvetica;sans-serif" w:hAnsi="Helvetica;sans-serif"/>
                <w:b/>
                <w:color w:val="243782"/>
                <w:sz w:val="18"/>
              </w:rPr>
              <w:t>At January 1</w:t>
            </w:r>
          </w:p>
        </w:tc>
        <w:tc>
          <w:tcPr>
            <w:tcW w:w="327" w:type="dxa"/>
            <w:gridSpan w:val="3"/>
            <w:tcBorders>
              <w:top w:val="single" w:sz="2" w:space="0" w:color="143A84"/>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op w:val="single" w:sz="2" w:space="0" w:color="143A84"/>
            </w:tcBorders>
            <w:shd w:fill="F3F3F9" w:val="clear"/>
            <w:tcMar>
              <w:top w:w="52" w:type="dxa"/>
              <w:left w:w="0" w:type="dxa"/>
              <w:bottom w:w="0" w:type="dxa"/>
              <w:right w:w="0" w:type="dxa"/>
            </w:tcMar>
            <w:vAlign w:val="center"/>
          </w:tcPr>
          <w:p>
            <w:pPr>
              <w:pStyle w:val="TableContents"/>
              <w:bidi w:val="0"/>
              <w:spacing w:lineRule="auto" w:line="288" w:before="0" w:after="283"/>
              <w:jc w:val="right"/>
              <w:rPr>
                <w:color w:val="243782"/>
              </w:rPr>
            </w:pPr>
            <w:r>
              <w:rPr>
                <w:color w:val="243782"/>
              </w:rPr>
              <w:t>— </w:t>
            </w:r>
          </w:p>
        </w:tc>
        <w:tc>
          <w:tcPr>
            <w:tcW w:w="585" w:type="dxa"/>
            <w:tcBorders>
              <w:top w:val="single" w:sz="2" w:space="0" w:color="143A84"/>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2" w:space="0" w:color="143A84"/>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2" w:space="0" w:color="143A84"/>
            </w:tcBorders>
            <w:shd w:fill="F3F3F9"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8"/>
              </w:rPr>
              <w:t>922</w:t>
            </w:r>
            <w:r>
              <w:rPr>
                <w:color w:val="243782"/>
              </w:rPr>
              <w:t> </w:t>
            </w:r>
          </w:p>
        </w:tc>
        <w:tc>
          <w:tcPr>
            <w:tcW w:w="382" w:type="dxa"/>
            <w:tcBorders>
              <w:top w:val="single" w:sz="2" w:space="0" w:color="143A84"/>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2" w:space="0" w:color="143A84"/>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op w:val="single" w:sz="2" w:space="0" w:color="143A84"/>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(1)</w:t>
            </w:r>
          </w:p>
        </w:tc>
        <w:tc>
          <w:tcPr>
            <w:tcW w:w="466" w:type="dxa"/>
            <w:tcBorders>
              <w:top w:val="single" w:sz="2" w:space="0" w:color="143A84"/>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2" w:space="0" w:color="143A84"/>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8" w:type="dxa"/>
            <w:gridSpan w:val="2"/>
            <w:tcBorders>
              <w:top w:val="single" w:sz="2" w:space="0" w:color="143A84"/>
            </w:tcBorders>
            <w:shd w:fill="F3F3F9"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8"/>
              </w:rPr>
              <w:t>66</w:t>
            </w:r>
            <w:r>
              <w:rPr>
                <w:color w:val="243782"/>
              </w:rPr>
              <w:t> </w:t>
            </w:r>
          </w:p>
        </w:tc>
        <w:tc>
          <w:tcPr>
            <w:tcW w:w="517" w:type="dxa"/>
            <w:tcBorders>
              <w:top w:val="single" w:sz="2" w:space="0" w:color="143A84"/>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1"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r>
        <w:trPr/>
        <w:tc>
          <w:tcPr>
            <w:tcW w:w="2809"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Gains/(losses) recognized in Consolidated Income Statement</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85"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4 </w:t>
            </w:r>
          </w:p>
        </w:tc>
        <w:tc>
          <w:tcPr>
            <w:tcW w:w="382"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6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8"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17"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9"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Gains/(losses) recognized in Other comprehensive income/(loss)</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85"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78 </w:t>
            </w:r>
          </w:p>
        </w:tc>
        <w:tc>
          <w:tcPr>
            <w:tcW w:w="382"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2 </w:t>
            </w:r>
          </w:p>
        </w:tc>
        <w:tc>
          <w:tcPr>
            <w:tcW w:w="46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8"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17"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9"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Issues/(Settlements)</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109 </w:t>
            </w:r>
          </w:p>
        </w:tc>
        <w:tc>
          <w:tcPr>
            <w:tcW w:w="585"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2"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6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8"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(66)</w:t>
            </w:r>
          </w:p>
        </w:tc>
        <w:tc>
          <w:tcPr>
            <w:tcW w:w="517"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9"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Purchases/(Sales)</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85"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(87)</w:t>
            </w:r>
          </w:p>
        </w:tc>
        <w:tc>
          <w:tcPr>
            <w:tcW w:w="382"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6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8"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17"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1"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r>
        <w:trPr/>
        <w:tc>
          <w:tcPr>
            <w:tcW w:w="2809"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Transfer (from)/to level 3</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85"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(9)</w:t>
            </w:r>
          </w:p>
        </w:tc>
        <w:tc>
          <w:tcPr>
            <w:tcW w:w="382"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6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8"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17"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9" w:type="dxa"/>
            <w:gridSpan w:val="3"/>
            <w:tcBorders/>
            <w:shd w:fill="E6E7F4"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243782"/>
                <w:sz w:val="18"/>
              </w:rPr>
            </w:pPr>
            <w:r>
              <w:rPr>
                <w:rFonts w:ascii="Helvetica;sans-serif" w:hAnsi="Helvetica;sans-serif"/>
                <w:b/>
                <w:color w:val="243782"/>
                <w:sz w:val="18"/>
              </w:rPr>
              <w:t>At June 30</w:t>
            </w:r>
          </w:p>
        </w:tc>
        <w:tc>
          <w:tcPr>
            <w:tcW w:w="327" w:type="dxa"/>
            <w:gridSpan w:val="3"/>
            <w:tcBorders/>
            <w:shd w:fill="E6E7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E6E7F4" w:val="clear"/>
            <w:tcMar>
              <w:top w:w="0"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8"/>
              </w:rPr>
              <w:t>109</w:t>
            </w:r>
            <w:r>
              <w:rPr>
                <w:color w:val="243782"/>
              </w:rPr>
              <w:t> </w:t>
            </w:r>
          </w:p>
        </w:tc>
        <w:tc>
          <w:tcPr>
            <w:tcW w:w="585" w:type="dxa"/>
            <w:tcBorders/>
            <w:shd w:fill="E6E7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E6E7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E6E7F4" w:val="clear"/>
            <w:tcMar>
              <w:top w:w="0"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8"/>
              </w:rPr>
              <w:t>908</w:t>
            </w:r>
            <w:r>
              <w:rPr>
                <w:color w:val="243782"/>
              </w:rPr>
              <w:t> </w:t>
            </w:r>
          </w:p>
        </w:tc>
        <w:tc>
          <w:tcPr>
            <w:tcW w:w="382" w:type="dxa"/>
            <w:tcBorders/>
            <w:shd w:fill="E6E7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E6E7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E6E7F4" w:val="clear"/>
            <w:tcMar>
              <w:top w:w="0"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8"/>
              </w:rPr>
              <w:t>1</w:t>
            </w:r>
            <w:r>
              <w:rPr>
                <w:color w:val="243782"/>
              </w:rPr>
              <w:t> </w:t>
            </w:r>
          </w:p>
        </w:tc>
        <w:tc>
          <w:tcPr>
            <w:tcW w:w="466" w:type="dxa"/>
            <w:tcBorders/>
            <w:shd w:fill="E6E7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E6E7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8" w:type="dxa"/>
            <w:gridSpan w:val="2"/>
            <w:tcBorders/>
            <w:shd w:fill="E6E7F4" w:val="clear"/>
            <w:tcMar>
              <w:top w:w="0" w:type="dxa"/>
              <w:left w:w="0" w:type="dxa"/>
              <w:bottom w:w="0" w:type="dxa"/>
              <w:right w:w="0" w:type="dxa"/>
            </w:tcMar>
            <w:vAlign w:val="center"/>
          </w:tcPr>
          <w:p>
            <w:pPr>
              <w:pStyle w:val="TableContents"/>
              <w:bidi w:val="0"/>
              <w:spacing w:lineRule="auto" w:line="288" w:before="0" w:after="283"/>
              <w:jc w:val="right"/>
              <w:rPr>
                <w:color w:val="243782"/>
              </w:rPr>
            </w:pPr>
            <w:r>
              <w:rPr>
                <w:color w:val="243782"/>
              </w:rPr>
              <w:t>— </w:t>
            </w:r>
          </w:p>
        </w:tc>
        <w:tc>
          <w:tcPr>
            <w:tcW w:w="517" w:type="dxa"/>
            <w:tcBorders/>
            <w:shd w:fill="E6E7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3" w:before="0" w:after="240"/>
        <w:jc w:val="left"/>
        <w:rPr/>
      </w:pPr>
      <w:r>
        <w:rPr>
          <w:rFonts w:ascii="Helvetica Light;sans-serif" w:hAnsi="Helvetica Light;sans-serif"/>
          <w:b w:val="false"/>
          <w:color w:val="000000"/>
          <w:sz w:val="20"/>
        </w:rPr>
        <w:t>The gains/(losses) included in the Interim Condensed Consolidated Income Statements during the three and six months ended June 30, 2026 were recognized within Net revenues and for the three and six months ended June 30, 2025 were recognized within Net financial expenses. Total gains/(losses) recognized in Other comprehensive income are reported within the following line items:</w:t>
      </w:r>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1875"/>
        <w:gridCol w:w="1647"/>
        <w:gridCol w:w="1654"/>
        <w:gridCol w:w="109"/>
        <w:gridCol w:w="109"/>
        <w:gridCol w:w="109"/>
        <w:gridCol w:w="291"/>
        <w:gridCol w:w="238"/>
        <w:gridCol w:w="232"/>
        <w:gridCol w:w="232"/>
        <w:gridCol w:w="232"/>
        <w:gridCol w:w="232"/>
        <w:gridCol w:w="291"/>
        <w:gridCol w:w="258"/>
        <w:gridCol w:w="232"/>
        <w:gridCol w:w="109"/>
        <w:gridCol w:w="109"/>
        <w:gridCol w:w="109"/>
        <w:gridCol w:w="259"/>
        <w:gridCol w:w="226"/>
        <w:gridCol w:w="211"/>
        <w:gridCol w:w="211"/>
        <w:gridCol w:w="211"/>
        <w:gridCol w:w="211"/>
        <w:gridCol w:w="259"/>
        <w:gridCol w:w="242"/>
        <w:gridCol w:w="307"/>
      </w:tblGrid>
      <w:tr>
        <w:trPr/>
        <w:tc>
          <w:tcPr>
            <w:tcW w:w="1875" w:type="dxa"/>
            <w:tcBorders/>
            <w:vAlign w:val="center"/>
          </w:tcPr>
          <w:p>
            <w:pPr>
              <w:pStyle w:val="TableContents"/>
              <w:bidi w:val="0"/>
              <w:spacing w:before="0" w:after="283"/>
              <w:jc w:val="left"/>
              <w:rPr>
                <w:sz w:val="4"/>
                <w:szCs w:val="4"/>
              </w:rPr>
            </w:pPr>
            <w:r>
              <w:rPr>
                <w:sz w:val="4"/>
                <w:szCs w:val="4"/>
              </w:rPr>
            </w:r>
          </w:p>
        </w:tc>
        <w:tc>
          <w:tcPr>
            <w:tcW w:w="1647" w:type="dxa"/>
            <w:tcBorders/>
            <w:vAlign w:val="center"/>
          </w:tcPr>
          <w:p>
            <w:pPr>
              <w:pStyle w:val="TableContents"/>
              <w:bidi w:val="0"/>
              <w:spacing w:before="0" w:after="283"/>
              <w:jc w:val="left"/>
              <w:rPr>
                <w:sz w:val="4"/>
                <w:szCs w:val="4"/>
              </w:rPr>
            </w:pPr>
            <w:r>
              <w:rPr>
                <w:sz w:val="4"/>
                <w:szCs w:val="4"/>
              </w:rPr>
            </w:r>
          </w:p>
        </w:tc>
        <w:tc>
          <w:tcPr>
            <w:tcW w:w="16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r>
      <w:tr>
        <w:trPr/>
        <w:tc>
          <w:tcPr>
            <w:tcW w:w="5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Six months ended June 30,</w:t>
            </w:r>
          </w:p>
        </w:tc>
      </w:tr>
      <w:tr>
        <w:trPr/>
        <w:tc>
          <w:tcPr>
            <w:tcW w:w="5176"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Helvetica;sans-serif" w:hAnsi="Helvetica;sans-serif"/>
                <w:b w:val="false"/>
                <w:i/>
                <w:color w:val="000000"/>
                <w:sz w:val="16"/>
              </w:rPr>
            </w:pPr>
            <w:r>
              <w:rPr>
                <w:rFonts w:ascii="Helvetica;sans-serif" w:hAnsi="Helvetica;sans-serif"/>
                <w:b w:val="false"/>
                <w:i/>
                <w:color w:val="000000"/>
                <w:sz w:val="16"/>
              </w:rPr>
              <w:t>(€ million)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2026</w:t>
            </w:r>
          </w:p>
        </w:tc>
        <w:tc>
          <w:tcPr>
            <w:tcW w:w="696"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2025</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2026</w:t>
            </w:r>
          </w:p>
        </w:tc>
        <w:tc>
          <w:tcPr>
            <w:tcW w:w="633"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2025</w:t>
            </w:r>
          </w:p>
        </w:tc>
      </w:tr>
      <w:tr>
        <w:trPr/>
        <w:tc>
          <w:tcPr>
            <w:tcW w:w="5176" w:type="dxa"/>
            <w:gridSpan w:val="3"/>
            <w:tcBorders>
              <w:top w:val="single" w:sz="2" w:space="0" w:color="143A84"/>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Gains/(losses) recognized in Fair value remeasurement of cash flow hedges</w:t>
            </w:r>
          </w:p>
        </w:tc>
        <w:tc>
          <w:tcPr>
            <w:tcW w:w="327"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2"/>
            <w:tcBorders>
              <w:top w:val="single" w:sz="2" w:space="0" w:color="143A84"/>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(5)</w:t>
            </w:r>
          </w:p>
        </w:tc>
        <w:tc>
          <w:tcPr>
            <w:tcW w:w="232" w:type="dxa"/>
            <w:tcBorders>
              <w:top w:val="single" w:sz="2" w:space="0" w:color="143A84"/>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2"/>
            <w:tcBorders>
              <w:top w:val="single" w:sz="2" w:space="0" w:color="143A84"/>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(209)</w:t>
            </w:r>
          </w:p>
        </w:tc>
        <w:tc>
          <w:tcPr>
            <w:tcW w:w="232" w:type="dxa"/>
            <w:tcBorders>
              <w:top w:val="single" w:sz="2" w:space="0" w:color="143A84"/>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top w:val="single" w:sz="2" w:space="0" w:color="143A84"/>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(9)</w:t>
            </w:r>
          </w:p>
        </w:tc>
        <w:tc>
          <w:tcPr>
            <w:tcW w:w="211" w:type="dxa"/>
            <w:tcBorders>
              <w:top w:val="single" w:sz="2" w:space="0" w:color="143A84"/>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2"/>
            <w:tcBorders>
              <w:top w:val="single" w:sz="2" w:space="0" w:color="143A84"/>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2 </w:t>
            </w:r>
          </w:p>
        </w:tc>
        <w:tc>
          <w:tcPr>
            <w:tcW w:w="307" w:type="dxa"/>
            <w:tcBorders>
              <w:top w:val="single" w:sz="2" w:space="0" w:color="143A84"/>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6"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Gains/(losses) recognized in Exchange differences on translating foreign operations</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(11)</w:t>
            </w:r>
          </w:p>
        </w:tc>
        <w:tc>
          <w:tcPr>
            <w:tcW w:w="232"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(30)</w:t>
            </w:r>
          </w:p>
        </w:tc>
        <w:tc>
          <w:tcPr>
            <w:tcW w:w="232"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3 </w:t>
            </w:r>
          </w:p>
        </w:tc>
        <w:tc>
          <w:tcPr>
            <w:tcW w:w="211"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(54)</w:t>
            </w:r>
          </w:p>
        </w:tc>
        <w:tc>
          <w:tcPr>
            <w:tcW w:w="307"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6" w:type="dxa"/>
            <w:gridSpan w:val="3"/>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Gains/(losses) from remeasurement of financial assets</w:t>
            </w:r>
          </w:p>
        </w:tc>
        <w:tc>
          <w:tcPr>
            <w:tcW w:w="327" w:type="dxa"/>
            <w:gridSpan w:val="3"/>
            <w:tcBorders>
              <w:top w:val="single" w:sz="2" w:space="0" w:color="8E939F"/>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529" w:type="dxa"/>
            <w:gridSpan w:val="2"/>
            <w:tcBorders>
              <w:top w:val="single" w:sz="2" w:space="0" w:color="8E939F"/>
              <w:bottom w:val="single" w:sz="2" w:space="0" w:color="8E939F"/>
            </w:tcBorders>
            <w:shd w:fill="F3F3F9" w:val="clear"/>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(3)</w:t>
            </w:r>
          </w:p>
        </w:tc>
        <w:tc>
          <w:tcPr>
            <w:tcW w:w="232" w:type="dxa"/>
            <w:tcBorders>
              <w:top w:val="single" w:sz="2" w:space="0" w:color="8E939F"/>
              <w:bottom w:val="single" w:sz="2" w:space="0" w:color="8E939F"/>
            </w:tcBorders>
            <w:shd w:fill="F3F3F9"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2" w:space="0" w:color="8E939F"/>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549" w:type="dxa"/>
            <w:gridSpan w:val="2"/>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162 </w:t>
            </w:r>
          </w:p>
        </w:tc>
        <w:tc>
          <w:tcPr>
            <w:tcW w:w="232" w:type="dxa"/>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top w:val="single" w:sz="2" w:space="0" w:color="8E939F"/>
              <w:bottom w:val="single" w:sz="2" w:space="0" w:color="8E939F"/>
            </w:tcBorders>
            <w:shd w:fill="F3F3F9" w:val="clear"/>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(3)</w:t>
            </w:r>
          </w:p>
        </w:tc>
        <w:tc>
          <w:tcPr>
            <w:tcW w:w="211" w:type="dxa"/>
            <w:tcBorders>
              <w:top w:val="single" w:sz="2" w:space="0" w:color="8E939F"/>
              <w:bottom w:val="single" w:sz="2" w:space="0" w:color="8E939F"/>
            </w:tcBorders>
            <w:shd w:fill="F3F3F9"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op w:val="single" w:sz="2" w:space="0" w:color="8E939F"/>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501" w:type="dxa"/>
            <w:gridSpan w:val="2"/>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132 </w:t>
            </w:r>
          </w:p>
        </w:tc>
        <w:tc>
          <w:tcPr>
            <w:tcW w:w="307" w:type="dxa"/>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Helvetica;sans-serif" w:hAnsi="Helvetica;sans-serif"/>
          <w:b w:val="false"/>
          <w:color w:val="143A84"/>
          <w:sz w:val="20"/>
        </w:rPr>
      </w:pPr>
      <w:r>
        <w:rPr>
          <w:rFonts w:ascii="Helvetica;sans-serif" w:hAnsi="Helvetica;sans-serif"/>
          <w:b w:val="false"/>
          <w:color w:val="143A84"/>
          <w:sz w:val="20"/>
        </w:rPr>
        <w:t>Assets and liabilities not measured at fair value on recurring basis</w:t>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The carrying value of debt securities measured at amortized cost, current receivables and payables is a reasonable approximation of fair value as the present value of future cash flows does not differ significantly from the carrying amount.</w:t>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 xml:space="preserve">The carrying value of Cash at banks and Other cash equivalents usually approximate fair value due to the short maturity of these instruments. </w:t>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The following table summarizes the carrying amount and fair value for financial assets and liabilities not measured at fair value on a recurring basis:</w:t>
      </w:r>
    </w:p>
    <w:p>
      <w:pPr>
        <w:pStyle w:val="TextBody"/>
        <w:bidi w:val="0"/>
        <w:spacing w:before="0" w:after="24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503555"/>
                <wp:effectExtent l="0" t="0" r="0" b="0"/>
                <wp:wrapNone/>
                <wp:docPr id="95" name="Frame80"/>
                <a:graphic xmlns:a="http://schemas.openxmlformats.org/drawingml/2006/main">
                  <a:graphicData uri="http://schemas.microsoft.com/office/word/2010/wordprocessingShape">
                    <wps:wsp>
                      <wps:cNvSpPr txBox="1"/>
                      <wps:spPr>
                        <a:xfrm>
                          <a:off x="0" y="0"/>
                          <a:ext cx="6480175" cy="5035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76</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76</w:t>
                      </w:r>
                    </w:p>
                    <w:p>
                      <w:pPr>
                        <w:pStyle w:val="TextBody"/>
                        <w:bidi w:val="0"/>
                        <w:spacing w:before="0" w:after="24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tbl>
      <w:tblPr>
        <w:tblW w:w="10205" w:type="dxa"/>
        <w:jc w:val="left"/>
        <w:tblInd w:w="0" w:type="dxa"/>
        <w:tblLayout w:type="fixed"/>
        <w:tblCellMar>
          <w:top w:w="28" w:type="dxa"/>
          <w:left w:w="28" w:type="dxa"/>
          <w:bottom w:w="28" w:type="dxa"/>
          <w:right w:w="28" w:type="dxa"/>
        </w:tblCellMar>
      </w:tblPr>
      <w:tblGrid>
        <w:gridCol w:w="1388"/>
        <w:gridCol w:w="1212"/>
        <w:gridCol w:w="1222"/>
        <w:gridCol w:w="170"/>
        <w:gridCol w:w="170"/>
        <w:gridCol w:w="171"/>
        <w:gridCol w:w="109"/>
        <w:gridCol w:w="109"/>
        <w:gridCol w:w="109"/>
        <w:gridCol w:w="367"/>
        <w:gridCol w:w="369"/>
        <w:gridCol w:w="300"/>
        <w:gridCol w:w="168"/>
        <w:gridCol w:w="168"/>
        <w:gridCol w:w="168"/>
        <w:gridCol w:w="367"/>
        <w:gridCol w:w="369"/>
        <w:gridCol w:w="210"/>
        <w:gridCol w:w="109"/>
        <w:gridCol w:w="109"/>
        <w:gridCol w:w="109"/>
        <w:gridCol w:w="367"/>
        <w:gridCol w:w="369"/>
        <w:gridCol w:w="300"/>
        <w:gridCol w:w="213"/>
        <w:gridCol w:w="213"/>
        <w:gridCol w:w="213"/>
        <w:gridCol w:w="367"/>
        <w:gridCol w:w="369"/>
        <w:gridCol w:w="321"/>
      </w:tblGrid>
      <w:tr>
        <w:trPr/>
        <w:tc>
          <w:tcPr>
            <w:tcW w:w="1388"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3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At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At December 31, 2025</w:t>
            </w:r>
          </w:p>
        </w:tc>
      </w:tr>
      <w:tr>
        <w:trPr/>
        <w:tc>
          <w:tcPr>
            <w:tcW w:w="3822"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Helvetica;sans-serif" w:hAnsi="Helvetica;sans-serif"/>
                <w:b w:val="false"/>
                <w:i/>
                <w:color w:val="000000"/>
                <w:sz w:val="16"/>
              </w:rPr>
            </w:pPr>
            <w:r>
              <w:rPr>
                <w:rFonts w:ascii="Helvetica;sans-serif" w:hAnsi="Helvetica;sans-serif"/>
                <w:b w:val="false"/>
                <w:i/>
                <w:color w:val="000000"/>
                <w:sz w:val="16"/>
              </w:rPr>
              <w:t>(€ million)</w:t>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Note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 xml:space="preserve">Carrying </w:t>
              <w:br/>
              <w:t xml:space="preserve">amount </w:t>
            </w:r>
          </w:p>
        </w:tc>
        <w:tc>
          <w:tcPr>
            <w:tcW w:w="504"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 xml:space="preserve">Fair </w:t>
              <w:br/>
              <w:t xml:space="preserve">Value </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 xml:space="preserve">Carrying </w:t>
              <w:br/>
              <w:t>amount</w:t>
            </w:r>
          </w:p>
        </w:tc>
        <w:tc>
          <w:tcPr>
            <w:tcW w:w="639"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 xml:space="preserve">Fair </w:t>
              <w:br/>
              <w:t>Value</w:t>
            </w:r>
          </w:p>
        </w:tc>
      </w:tr>
      <w:tr>
        <w:trPr/>
        <w:tc>
          <w:tcPr>
            <w:tcW w:w="3822" w:type="dxa"/>
            <w:gridSpan w:val="3"/>
            <w:tcBorders>
              <w:top w:val="single" w:sz="2" w:space="0" w:color="143A84"/>
            </w:tcBorders>
            <w:tcMar>
              <w:top w:w="52" w:type="dxa"/>
              <w:left w:w="0" w:type="dxa"/>
              <w:bottom w:w="0" w:type="dxa"/>
              <w:right w:w="0" w:type="dxa"/>
            </w:tcMar>
            <w:vAlign w:val="center"/>
          </w:tcPr>
          <w:p>
            <w:pPr>
              <w:pStyle w:val="TableContents"/>
              <w:bidi w:val="0"/>
              <w:spacing w:lineRule="auto" w:line="288" w:before="0" w:after="0"/>
              <w:jc w:val="left"/>
              <w:rPr>
                <w:rFonts w:ascii="Helvetica;sans-serif" w:hAnsi="Helvetica;sans-serif"/>
                <w:b w:val="false"/>
                <w:color w:val="000000"/>
                <w:sz w:val="18"/>
              </w:rPr>
            </w:pPr>
            <w:r>
              <w:rPr>
                <w:rFonts w:ascii="Helvetica;sans-serif" w:hAnsi="Helvetica;sans-serif"/>
                <w:b w:val="false"/>
                <w:color w:val="000000"/>
                <w:sz w:val="18"/>
              </w:rPr>
              <w:t>Dealer financing</w:t>
            </w:r>
          </w:p>
        </w:tc>
        <w:tc>
          <w:tcPr>
            <w:tcW w:w="511"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143A84"/>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4,137 </w:t>
            </w:r>
          </w:p>
        </w:tc>
        <w:tc>
          <w:tcPr>
            <w:tcW w:w="300" w:type="dxa"/>
            <w:tcBorders>
              <w:top w:val="single" w:sz="2" w:space="0" w:color="143A84"/>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op w:val="single" w:sz="2" w:space="0" w:color="143A84"/>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143A84"/>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4,145 </w:t>
            </w:r>
          </w:p>
        </w:tc>
        <w:tc>
          <w:tcPr>
            <w:tcW w:w="210" w:type="dxa"/>
            <w:tcBorders>
              <w:top w:val="single" w:sz="2" w:space="0" w:color="143A84"/>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143A84"/>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3,084 </w:t>
            </w:r>
          </w:p>
        </w:tc>
        <w:tc>
          <w:tcPr>
            <w:tcW w:w="300" w:type="dxa"/>
            <w:tcBorders>
              <w:top w:val="single" w:sz="2" w:space="0" w:color="143A84"/>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143A84"/>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3,095 </w:t>
            </w:r>
          </w:p>
        </w:tc>
        <w:tc>
          <w:tcPr>
            <w:tcW w:w="321" w:type="dxa"/>
            <w:tcBorders>
              <w:top w:val="single" w:sz="2" w:space="0" w:color="143A84"/>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2" w:type="dxa"/>
            <w:gridSpan w:val="3"/>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lineRule="auto" w:line="288" w:before="0" w:after="0"/>
              <w:jc w:val="left"/>
              <w:rPr>
                <w:rFonts w:ascii="Helvetica;sans-serif" w:hAnsi="Helvetica;sans-serif"/>
                <w:b w:val="false"/>
                <w:color w:val="000000"/>
                <w:sz w:val="18"/>
              </w:rPr>
            </w:pPr>
            <w:r>
              <w:rPr>
                <w:rFonts w:ascii="Helvetica;sans-serif" w:hAnsi="Helvetica;sans-serif"/>
                <w:b w:val="false"/>
                <w:color w:val="000000"/>
                <w:sz w:val="18"/>
              </w:rPr>
              <w:t>Retail financing</w:t>
            </w:r>
          </w:p>
        </w:tc>
        <w:tc>
          <w:tcPr>
            <w:tcW w:w="511" w:type="dxa"/>
            <w:gridSpan w:val="3"/>
            <w:tcBorders>
              <w:top w:val="single" w:sz="2" w:space="0" w:color="8E939F"/>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bottom w:val="single" w:sz="2" w:space="0" w:color="8E939F"/>
            </w:tcBorders>
            <w:shd w:fill="F3F3F9" w:val="clear"/>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13,230 </w:t>
            </w:r>
          </w:p>
        </w:tc>
        <w:tc>
          <w:tcPr>
            <w:tcW w:w="300" w:type="dxa"/>
            <w:tcBorders>
              <w:top w:val="single" w:sz="2" w:space="0" w:color="8E939F"/>
              <w:bottom w:val="single" w:sz="2" w:space="0" w:color="8E939F"/>
            </w:tcBorders>
            <w:shd w:fill="F3F3F9"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op w:val="single" w:sz="2" w:space="0" w:color="8E939F"/>
              <w:bottom w:val="single" w:sz="2" w:space="0" w:color="8E939F"/>
            </w:tcBorders>
            <w:shd w:fill="F3F3F9" w:val="clear"/>
            <w:tcMar>
              <w:left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bottom w:val="single" w:sz="2" w:space="0" w:color="8E939F"/>
            </w:tcBorders>
            <w:shd w:fill="F3F3F9" w:val="clear"/>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12,609 </w:t>
            </w:r>
          </w:p>
        </w:tc>
        <w:tc>
          <w:tcPr>
            <w:tcW w:w="210" w:type="dxa"/>
            <w:tcBorders>
              <w:top w:val="single" w:sz="2" w:space="0" w:color="8E939F"/>
              <w:bottom w:val="single" w:sz="2" w:space="0" w:color="8E939F"/>
            </w:tcBorders>
            <w:shd w:fill="F3F3F9"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10,703 </w:t>
            </w:r>
          </w:p>
        </w:tc>
        <w:tc>
          <w:tcPr>
            <w:tcW w:w="300" w:type="dxa"/>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op w:val="single" w:sz="2" w:space="0" w:color="8E939F"/>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10,096 </w:t>
            </w:r>
          </w:p>
        </w:tc>
        <w:tc>
          <w:tcPr>
            <w:tcW w:w="321" w:type="dxa"/>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822"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0"/>
              <w:jc w:val="left"/>
              <w:rPr>
                <w:rFonts w:ascii="Helvetica;sans-serif" w:hAnsi="Helvetica;sans-serif"/>
                <w:b w:val="false"/>
                <w:color w:val="000000"/>
                <w:sz w:val="18"/>
              </w:rPr>
            </w:pPr>
            <w:r>
              <w:rPr>
                <w:rFonts w:ascii="Helvetica;sans-serif" w:hAnsi="Helvetica;sans-serif"/>
                <w:b w:val="false"/>
                <w:color w:val="000000"/>
                <w:sz w:val="18"/>
              </w:rPr>
              <w:t>Finance leases</w:t>
            </w:r>
          </w:p>
        </w:tc>
        <w:tc>
          <w:tcPr>
            <w:tcW w:w="511"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653 </w:t>
            </w:r>
          </w:p>
        </w:tc>
        <w:tc>
          <w:tcPr>
            <w:tcW w:w="300"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636 </w:t>
            </w:r>
          </w:p>
        </w:tc>
        <w:tc>
          <w:tcPr>
            <w:tcW w:w="210"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540 </w:t>
            </w:r>
          </w:p>
        </w:tc>
        <w:tc>
          <w:tcPr>
            <w:tcW w:w="300"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522 </w:t>
            </w:r>
          </w:p>
        </w:tc>
        <w:tc>
          <w:tcPr>
            <w:tcW w:w="321"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2"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0"/>
              <w:jc w:val="left"/>
              <w:rPr>
                <w:rFonts w:ascii="Helvetica;sans-serif" w:hAnsi="Helvetica;sans-serif"/>
                <w:b w:val="false"/>
                <w:color w:val="000000"/>
                <w:sz w:val="18"/>
              </w:rPr>
            </w:pPr>
            <w:r>
              <w:rPr>
                <w:rFonts w:ascii="Helvetica;sans-serif" w:hAnsi="Helvetica;sans-serif"/>
                <w:b w:val="false"/>
                <w:color w:val="000000"/>
                <w:sz w:val="18"/>
              </w:rPr>
              <w:t>Other receivables from financing activities</w:t>
            </w:r>
          </w:p>
        </w:tc>
        <w:tc>
          <w:tcPr>
            <w:tcW w:w="511"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1,460 </w:t>
            </w:r>
          </w:p>
        </w:tc>
        <w:tc>
          <w:tcPr>
            <w:tcW w:w="300"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1,466 </w:t>
            </w:r>
          </w:p>
        </w:tc>
        <w:tc>
          <w:tcPr>
            <w:tcW w:w="210"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1,401 </w:t>
            </w:r>
          </w:p>
        </w:tc>
        <w:tc>
          <w:tcPr>
            <w:tcW w:w="300"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1,360 </w:t>
            </w:r>
          </w:p>
        </w:tc>
        <w:tc>
          <w:tcPr>
            <w:tcW w:w="321"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2" w:type="dxa"/>
            <w:gridSpan w:val="3"/>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0"/>
              <w:jc w:val="left"/>
              <w:rPr/>
            </w:pPr>
            <w:r>
              <w:rPr>
                <w:rFonts w:ascii="Helvetica;sans-serif" w:hAnsi="Helvetica;sans-serif"/>
                <w:b/>
                <w:color w:val="243782"/>
                <w:sz w:val="18"/>
              </w:rPr>
              <w:t>Total Receivables from financing activities</w:t>
            </w:r>
            <w:r>
              <w:rPr>
                <w:rFonts w:ascii="Helvetica;sans-serif" w:hAnsi="Helvetica;sans-serif"/>
                <w:b/>
                <w:color w:val="243782"/>
                <w:sz w:val="12"/>
              </w:rPr>
              <w:t>(1)</w:t>
            </w:r>
          </w:p>
        </w:tc>
        <w:tc>
          <w:tcPr>
            <w:tcW w:w="511" w:type="dxa"/>
            <w:gridSpan w:val="3"/>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8"/>
              </w:rPr>
            </w:pPr>
            <w:r>
              <w:rPr>
                <w:rFonts w:ascii="Helvetica;sans-serif" w:hAnsi="Helvetica;sans-serif"/>
                <w:b w:val="false"/>
                <w:color w:val="000000"/>
                <w:sz w:val="18"/>
              </w:rPr>
              <w:t>7</w:t>
            </w:r>
          </w:p>
        </w:tc>
        <w:tc>
          <w:tcPr>
            <w:tcW w:w="327" w:type="dxa"/>
            <w:gridSpan w:val="3"/>
            <w:tcBorders>
              <w:top w:val="single" w:sz="2" w:space="0" w:color="8E939F"/>
            </w:tcBorders>
            <w:shd w:fill="E6E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8"/>
              </w:rPr>
              <w:t>19,480</w:t>
            </w:r>
            <w:r>
              <w:rPr>
                <w:color w:val="243782"/>
              </w:rPr>
              <w:t> </w:t>
            </w:r>
          </w:p>
        </w:tc>
        <w:tc>
          <w:tcPr>
            <w:tcW w:w="300"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op w:val="single" w:sz="2" w:space="0" w:color="8E939F"/>
            </w:tcBorders>
            <w:shd w:fill="E6E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8"/>
              </w:rPr>
              <w:t>18,856</w:t>
            </w:r>
            <w:r>
              <w:rPr>
                <w:color w:val="243782"/>
              </w:rPr>
              <w:t> </w:t>
            </w:r>
          </w:p>
        </w:tc>
        <w:tc>
          <w:tcPr>
            <w:tcW w:w="210"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E6E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8"/>
              </w:rPr>
              <w:t>15,728</w:t>
            </w:r>
            <w:r>
              <w:rPr>
                <w:color w:val="243782"/>
              </w:rPr>
              <w:t> </w:t>
            </w:r>
          </w:p>
        </w:tc>
        <w:tc>
          <w:tcPr>
            <w:tcW w:w="300"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op w:val="single" w:sz="2" w:space="0" w:color="8E939F"/>
            </w:tcBorders>
            <w:shd w:fill="E6E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8"/>
              </w:rPr>
              <w:t>15,073</w:t>
            </w:r>
            <w:r>
              <w:rPr>
                <w:color w:val="243782"/>
              </w:rPr>
              <w:t> </w:t>
            </w:r>
          </w:p>
        </w:tc>
        <w:tc>
          <w:tcPr>
            <w:tcW w:w="321"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2"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2"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0"/>
              <w:jc w:val="left"/>
              <w:rPr>
                <w:rFonts w:ascii="Helvetica;sans-serif" w:hAnsi="Helvetica;sans-serif"/>
                <w:b w:val="false"/>
                <w:color w:val="000000"/>
                <w:sz w:val="18"/>
              </w:rPr>
            </w:pPr>
            <w:r>
              <w:rPr>
                <w:rFonts w:ascii="Helvetica;sans-serif" w:hAnsi="Helvetica;sans-serif"/>
                <w:b w:val="false"/>
                <w:color w:val="000000"/>
                <w:sz w:val="18"/>
              </w:rPr>
              <w:t>Notes</w:t>
            </w:r>
          </w:p>
        </w:tc>
        <w:tc>
          <w:tcPr>
            <w:tcW w:w="511"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24,114 </w:t>
            </w:r>
          </w:p>
        </w:tc>
        <w:tc>
          <w:tcPr>
            <w:tcW w:w="300"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23,320 </w:t>
            </w:r>
          </w:p>
        </w:tc>
        <w:tc>
          <w:tcPr>
            <w:tcW w:w="210"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23,201 </w:t>
            </w:r>
          </w:p>
        </w:tc>
        <w:tc>
          <w:tcPr>
            <w:tcW w:w="300"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22,698 </w:t>
            </w:r>
          </w:p>
        </w:tc>
        <w:tc>
          <w:tcPr>
            <w:tcW w:w="321"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2"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0"/>
              <w:jc w:val="left"/>
              <w:rPr>
                <w:rFonts w:ascii="Helvetica;sans-serif" w:hAnsi="Helvetica;sans-serif"/>
                <w:b w:val="false"/>
                <w:color w:val="000000"/>
                <w:sz w:val="18"/>
              </w:rPr>
            </w:pPr>
            <w:r>
              <w:rPr>
                <w:rFonts w:ascii="Helvetica;sans-serif" w:hAnsi="Helvetica;sans-serif"/>
                <w:b w:val="false"/>
                <w:color w:val="000000"/>
                <w:sz w:val="18"/>
              </w:rPr>
              <w:t>Borrowings from banks &amp; Other debt</w:t>
            </w:r>
          </w:p>
        </w:tc>
        <w:tc>
          <w:tcPr>
            <w:tcW w:w="511"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6,235 </w:t>
            </w:r>
          </w:p>
        </w:tc>
        <w:tc>
          <w:tcPr>
            <w:tcW w:w="300"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6,240 </w:t>
            </w:r>
          </w:p>
        </w:tc>
        <w:tc>
          <w:tcPr>
            <w:tcW w:w="210"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4,813 </w:t>
            </w:r>
          </w:p>
        </w:tc>
        <w:tc>
          <w:tcPr>
            <w:tcW w:w="300"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4,823 </w:t>
            </w:r>
          </w:p>
        </w:tc>
        <w:tc>
          <w:tcPr>
            <w:tcW w:w="321"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2"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0"/>
              <w:jc w:val="left"/>
              <w:rPr>
                <w:rFonts w:ascii="Helvetica;sans-serif" w:hAnsi="Helvetica;sans-serif"/>
                <w:b w:val="false"/>
                <w:color w:val="000000"/>
                <w:sz w:val="18"/>
              </w:rPr>
            </w:pPr>
            <w:r>
              <w:rPr>
                <w:rFonts w:ascii="Helvetica;sans-serif" w:hAnsi="Helvetica;sans-serif"/>
                <w:b w:val="false"/>
                <w:color w:val="000000"/>
                <w:sz w:val="18"/>
              </w:rPr>
              <w:t>Asset-backed financing</w:t>
            </w:r>
          </w:p>
        </w:tc>
        <w:tc>
          <w:tcPr>
            <w:tcW w:w="511"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19,120 </w:t>
            </w:r>
          </w:p>
        </w:tc>
        <w:tc>
          <w:tcPr>
            <w:tcW w:w="300"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19,091 </w:t>
            </w:r>
          </w:p>
        </w:tc>
        <w:tc>
          <w:tcPr>
            <w:tcW w:w="210"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15,479 </w:t>
            </w:r>
          </w:p>
        </w:tc>
        <w:tc>
          <w:tcPr>
            <w:tcW w:w="300"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15,331 </w:t>
            </w:r>
          </w:p>
        </w:tc>
        <w:tc>
          <w:tcPr>
            <w:tcW w:w="321"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2" w:type="dxa"/>
            <w:gridSpan w:val="3"/>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100" w:after="100"/>
              <w:jc w:val="left"/>
              <w:rPr>
                <w:rFonts w:ascii="Helvetica;sans-serif" w:hAnsi="Helvetica;sans-serif"/>
                <w:b/>
                <w:color w:val="243782"/>
                <w:sz w:val="18"/>
              </w:rPr>
            </w:pPr>
            <w:r>
              <w:rPr>
                <w:rFonts w:ascii="Helvetica;sans-serif" w:hAnsi="Helvetica;sans-serif"/>
                <w:b/>
                <w:color w:val="243782"/>
                <w:sz w:val="18"/>
              </w:rPr>
              <w:t>Total Debt, excluding Lease liabilities</w:t>
            </w:r>
          </w:p>
        </w:tc>
        <w:tc>
          <w:tcPr>
            <w:tcW w:w="511" w:type="dxa"/>
            <w:gridSpan w:val="3"/>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center"/>
              <w:rPr>
                <w:rFonts w:ascii="Helvetica;sans-serif" w:hAnsi="Helvetica;sans-serif"/>
                <w:b w:val="false"/>
                <w:color w:val="000000"/>
                <w:sz w:val="18"/>
              </w:rPr>
            </w:pPr>
            <w:r>
              <w:rPr>
                <w:rFonts w:ascii="Helvetica;sans-serif" w:hAnsi="Helvetica;sans-serif"/>
                <w:b w:val="false"/>
                <w:color w:val="000000"/>
                <w:sz w:val="18"/>
              </w:rPr>
              <w:t>13</w:t>
            </w:r>
          </w:p>
        </w:tc>
        <w:tc>
          <w:tcPr>
            <w:tcW w:w="327" w:type="dxa"/>
            <w:gridSpan w:val="3"/>
            <w:tcBorders>
              <w:top w:val="single" w:sz="2" w:space="0" w:color="8E939F"/>
              <w:bottom w:val="single" w:sz="2" w:space="0" w:color="8E939F"/>
            </w:tcBorders>
            <w:shd w:fill="E6E7F4" w:val="clear"/>
            <w:tcMar>
              <w:left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8"/>
              </w:rPr>
              <w:t>49,469</w:t>
            </w:r>
            <w:r>
              <w:rPr>
                <w:color w:val="243782"/>
              </w:rPr>
              <w:t> </w:t>
            </w:r>
          </w:p>
        </w:tc>
        <w:tc>
          <w:tcPr>
            <w:tcW w:w="300" w:type="dxa"/>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op w:val="single" w:sz="2" w:space="0" w:color="8E939F"/>
              <w:bottom w:val="single" w:sz="2" w:space="0" w:color="8E939F"/>
            </w:tcBorders>
            <w:shd w:fill="E6E7F4" w:val="clear"/>
            <w:tcMar>
              <w:left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8"/>
              </w:rPr>
              <w:t>48,651</w:t>
            </w:r>
            <w:r>
              <w:rPr>
                <w:color w:val="243782"/>
              </w:rPr>
              <w:t> </w:t>
            </w:r>
          </w:p>
        </w:tc>
        <w:tc>
          <w:tcPr>
            <w:tcW w:w="210" w:type="dxa"/>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bottom w:val="single" w:sz="2" w:space="0" w:color="8E939F"/>
            </w:tcBorders>
            <w:shd w:fill="E6E7F4" w:val="clear"/>
            <w:tcMar>
              <w:left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8"/>
              </w:rPr>
              <w:t>43,493</w:t>
            </w:r>
            <w:r>
              <w:rPr>
                <w:color w:val="243782"/>
              </w:rPr>
              <w:t> </w:t>
            </w:r>
          </w:p>
        </w:tc>
        <w:tc>
          <w:tcPr>
            <w:tcW w:w="300" w:type="dxa"/>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op w:val="single" w:sz="2" w:space="0" w:color="8E939F"/>
              <w:bottom w:val="single" w:sz="2" w:space="0" w:color="8E939F"/>
            </w:tcBorders>
            <w:shd w:fill="E6E7F4" w:val="clear"/>
            <w:tcMar>
              <w:left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8"/>
              </w:rPr>
              <w:t>42,852</w:t>
            </w:r>
            <w:r>
              <w:rPr>
                <w:color w:val="243782"/>
              </w:rPr>
              <w:t> </w:t>
            </w:r>
          </w:p>
        </w:tc>
        <w:tc>
          <w:tcPr>
            <w:tcW w:w="321" w:type="dxa"/>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40"/>
        <w:jc w:val="left"/>
        <w:rPr>
          <w:rFonts w:ascii="Helvetica Light;sans-serif" w:hAnsi="Helvetica Light;sans-serif"/>
          <w:b w:val="false"/>
          <w:color w:val="000000"/>
          <w:sz w:val="16"/>
        </w:rPr>
      </w:pPr>
      <w:r>
        <w:rPr>
          <w:rFonts w:ascii="Helvetica Light;sans-serif" w:hAnsi="Helvetica Light;sans-serif"/>
          <w:b w:val="false"/>
          <w:color w:val="000000"/>
          <w:sz w:val="16"/>
        </w:rPr>
        <w:t>(1) Amounts exclude receivables measured at FVPL</w:t>
      </w:r>
    </w:p>
    <w:p>
      <w:pPr>
        <w:pStyle w:val="TextBody"/>
        <w:bidi w:val="0"/>
        <w:spacing w:lineRule="auto" w:line="343" w:before="0" w:after="240"/>
        <w:jc w:val="left"/>
        <w:rPr/>
      </w:pPr>
      <w:r>
        <w:rPr>
          <w:rFonts w:ascii="Helvetica Light;sans-serif" w:hAnsi="Helvetica Light;sans-serif"/>
          <w:b w:val="false"/>
          <w:color w:val="000000"/>
          <w:sz w:val="20"/>
        </w:rPr>
        <w:t xml:space="preserve">The carrying value of financial securities measured at amortized cost was a reasonable approximation of fair value as the present value of future cash flows did not differ significantly from the carrying amount. Refer to Note 8, </w:t>
      </w:r>
      <w:r>
        <w:rPr>
          <w:rFonts w:ascii="Helvetica Light;sans-serif" w:hAnsi="Helvetica Light;sans-serif"/>
          <w:b w:val="false"/>
          <w:i/>
          <w:color w:val="000000"/>
          <w:sz w:val="20"/>
        </w:rPr>
        <w:t>Financial assets</w:t>
      </w:r>
      <w:r>
        <w:rPr>
          <w:color w:val="000000"/>
        </w:rPr>
        <w:t xml:space="preserve"> </w:t>
      </w:r>
      <w:r>
        <w:rPr>
          <w:rFonts w:ascii="Helvetica Light;sans-serif" w:hAnsi="Helvetica Light;sans-serif"/>
          <w:b w:val="false"/>
          <w:color w:val="000000"/>
          <w:sz w:val="20"/>
        </w:rPr>
        <w:t xml:space="preserve">for additional information. </w:t>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Notes that are traded in active markets for which close or last trade pricing is available are classified within Level 1 of the fair value hierarchy. Notes for which such prices are not available are valued at the last available price or based on quotes received from independent pricing services or from dealers who trade in such securities and are categorized within Level 2. At June 30, 2026, €23,270 million and €50 million of Notes were categorized within Level 1 and Level 2, respectively. At December 31, 2025, €22,381 million and €317 million of Notes were categorized within Level 1 and Level 2, respectively.</w:t>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The fair value of Borrowings from banks and Other debt classified within Level 2 of the fair value hierarchy has been estimated using discounted cash flow models. The main inputs used are market interest rates, adjusted for market expectations of the Company’s non-performance risk implied in quoted prices of traded securities issued by the Company and existing credit derivatives on Company liabilities. The fair value of the Borrowings from banks and Other debt that requires significant adjustments using unobservable inputs is categorized in Level 3. At June 30, 2026, €5,946 million and €294 million of Borrowings from banks and Other Debt were categorized within Level 2 and Level 3, respectively. At December 31, 2025, €4,465 million and €358 million of Borrowings from banks and Other Debt were categorized within Level 2 and Level 3,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Helvetica;sans-serif" w:hAnsi="Helvetica;sans-serif"/>
          <w:b/>
          <w:color w:val="143A84"/>
          <w:sz w:val="20"/>
        </w:rPr>
      </w:pPr>
      <w:r>
        <w:rPr>
          <w:rFonts w:ascii="Helvetica;sans-serif" w:hAnsi="Helvetica;sans-serif"/>
          <w:b/>
          <w:color w:val="143A84"/>
          <w:sz w:val="20"/>
        </w:rPr>
        <w:t xml:space="preserve">16. Related party transactions </w:t>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Related parties of the Company are entities and individuals capable of exercising control, joint control or significant influence over the Company and its subsidiaries. Related parties also include associates, joint ventures and unconsolidated subsidiaries of the Company, members of the Stellantis Board of Directors, executives with strategic responsibilities and certain members of their families. Related parties include companies affiliated with Exor N.V., which include Ferrari N.V., CNH Industrial N.V. (“CNHI”) and Iveco Group N.V. ("Iveco").</w:t>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The amounts for transactions with related parties recognized in the Interim Condensed Consolidated Income Statement were as follows:</w:t>
      </w:r>
    </w:p>
    <w:p>
      <w:pPr>
        <w:pStyle w:val="TextBody"/>
        <w:bidi w:val="0"/>
        <w:spacing w:before="0" w:after="24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503555"/>
                <wp:effectExtent l="0" t="0" r="0" b="0"/>
                <wp:wrapNone/>
                <wp:docPr id="96" name="Frame81"/>
                <a:graphic xmlns:a="http://schemas.openxmlformats.org/drawingml/2006/main">
                  <a:graphicData uri="http://schemas.microsoft.com/office/word/2010/wordprocessingShape">
                    <wps:wsp>
                      <wps:cNvSpPr txBox="1"/>
                      <wps:spPr>
                        <a:xfrm>
                          <a:off x="0" y="0"/>
                          <a:ext cx="6480175" cy="5035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77</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77</w:t>
                      </w:r>
                    </w:p>
                    <w:p>
                      <w:pPr>
                        <w:pStyle w:val="TextBody"/>
                        <w:bidi w:val="0"/>
                        <w:spacing w:before="0" w:after="24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tbl>
      <w:tblPr>
        <w:tblW w:w="10411" w:type="dxa"/>
        <w:jc w:val="left"/>
        <w:tblInd w:w="0" w:type="dxa"/>
        <w:tblLayout w:type="fixed"/>
        <w:tblCellMar>
          <w:top w:w="28" w:type="dxa"/>
          <w:left w:w="28" w:type="dxa"/>
          <w:bottom w:w="28" w:type="dxa"/>
          <w:right w:w="28" w:type="dxa"/>
        </w:tblCellMar>
      </w:tblPr>
      <w:tblGrid>
        <w:gridCol w:w="456"/>
        <w:gridCol w:w="401"/>
        <w:gridCol w:w="404"/>
        <w:gridCol w:w="341"/>
        <w:gridCol w:w="275"/>
        <w:gridCol w:w="276"/>
        <w:gridCol w:w="109"/>
        <w:gridCol w:w="109"/>
        <w:gridCol w:w="109"/>
        <w:gridCol w:w="341"/>
        <w:gridCol w:w="275"/>
        <w:gridCol w:w="276"/>
        <w:gridCol w:w="109"/>
        <w:gridCol w:w="109"/>
        <w:gridCol w:w="109"/>
        <w:gridCol w:w="250"/>
        <w:gridCol w:w="250"/>
        <w:gridCol w:w="251"/>
        <w:gridCol w:w="109"/>
        <w:gridCol w:w="109"/>
        <w:gridCol w:w="109"/>
        <w:gridCol w:w="300"/>
        <w:gridCol w:w="300"/>
        <w:gridCol w:w="301"/>
        <w:gridCol w:w="109"/>
        <w:gridCol w:w="109"/>
        <w:gridCol w:w="109"/>
        <w:gridCol w:w="331"/>
        <w:gridCol w:w="285"/>
        <w:gridCol w:w="286"/>
        <w:gridCol w:w="109"/>
        <w:gridCol w:w="109"/>
        <w:gridCol w:w="109"/>
        <w:gridCol w:w="275"/>
        <w:gridCol w:w="275"/>
        <w:gridCol w:w="276"/>
        <w:gridCol w:w="109"/>
        <w:gridCol w:w="109"/>
        <w:gridCol w:w="109"/>
        <w:gridCol w:w="250"/>
        <w:gridCol w:w="250"/>
        <w:gridCol w:w="251"/>
        <w:gridCol w:w="109"/>
        <w:gridCol w:w="109"/>
        <w:gridCol w:w="109"/>
        <w:gridCol w:w="277"/>
        <w:gridCol w:w="277"/>
        <w:gridCol w:w="392"/>
      </w:tblGrid>
      <w:tr>
        <w:trPr/>
        <w:tc>
          <w:tcPr>
            <w:tcW w:w="45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0" w:type="dxa"/>
            <w:gridSpan w:val="45"/>
            <w:tcBorders>
              <w:bottom w:val="single" w:sz="2" w:space="0" w:color="8E939F"/>
            </w:tcBorders>
            <w:tcMar>
              <w:top w:w="0" w:type="dxa"/>
              <w:left w:w="0" w:type="dxa"/>
              <w:bottom w:w="3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Three months ended June 30,</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7" w:type="dxa"/>
            <w:gridSpan w:val="21"/>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2026</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6" w:type="dxa"/>
            <w:gridSpan w:val="21"/>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2025</w:t>
            </w:r>
          </w:p>
        </w:tc>
      </w:tr>
      <w:tr>
        <w:trPr/>
        <w:tc>
          <w:tcPr>
            <w:tcW w:w="1261" w:type="dxa"/>
            <w:gridSpan w:val="3"/>
            <w:tcBorders>
              <w:top w:val="single" w:sz="2" w:space="0" w:color="FFFFFF"/>
            </w:tcBorders>
            <w:tcMar>
              <w:top w:w="52" w:type="dxa"/>
              <w:left w:w="0" w:type="dxa"/>
              <w:bottom w:w="0" w:type="dxa"/>
              <w:right w:w="0" w:type="dxa"/>
            </w:tcMar>
            <w:vAlign w:val="center"/>
          </w:tcPr>
          <w:p>
            <w:pPr>
              <w:pStyle w:val="TableContents"/>
              <w:bidi w:val="0"/>
              <w:spacing w:lineRule="auto" w:line="288" w:before="0" w:after="240"/>
              <w:jc w:val="left"/>
              <w:rPr>
                <w:rFonts w:ascii="Helvetica;sans-serif" w:hAnsi="Helvetica;sans-serif"/>
                <w:b w:val="false"/>
                <w:i/>
                <w:color w:val="000000"/>
                <w:sz w:val="16"/>
              </w:rPr>
            </w:pPr>
            <w:r>
              <w:rPr>
                <w:rFonts w:ascii="Helvetica;sans-serif" w:hAnsi="Helvetica;sans-serif"/>
                <w:b w:val="false"/>
                <w:i/>
                <w:color w:val="000000"/>
                <w:sz w:val="16"/>
              </w:rPr>
              <w:t>(€ million)</w:t>
            </w:r>
          </w:p>
        </w:tc>
        <w:tc>
          <w:tcPr>
            <w:tcW w:w="892"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143A84"/>
                <w:sz w:val="16"/>
              </w:rPr>
            </w:pPr>
            <w:r>
              <w:rPr>
                <w:rFonts w:ascii="Helvetica;sans-serif" w:hAnsi="Helvetica;sans-serif"/>
                <w:b/>
                <w:color w:val="143A84"/>
                <w:sz w:val="16"/>
              </w:rPr>
              <w:t>Net revenues</w:t>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143A84"/>
                <w:sz w:val="16"/>
              </w:rPr>
            </w:pPr>
            <w:r>
              <w:rPr>
                <w:rFonts w:ascii="Helvetica;sans-serif" w:hAnsi="Helvetica;sans-serif"/>
                <w:b/>
                <w:color w:val="143A84"/>
                <w:sz w:val="16"/>
              </w:rPr>
              <w:t>Cost of revenues</w:t>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143A84"/>
                <w:sz w:val="16"/>
              </w:rPr>
            </w:pPr>
            <w:r>
              <w:rPr>
                <w:rFonts w:ascii="Helvetica;sans-serif" w:hAnsi="Helvetica;sans-serif"/>
                <w:b/>
                <w:color w:val="143A84"/>
                <w:sz w:val="16"/>
              </w:rPr>
              <w:t>Selling, general and other costs/(income)</w:t>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143A84"/>
                <w:sz w:val="16"/>
              </w:rPr>
            </w:pPr>
            <w:r>
              <w:rPr>
                <w:rFonts w:ascii="Helvetica;sans-serif" w:hAnsi="Helvetica;sans-serif"/>
                <w:b/>
                <w:color w:val="143A84"/>
                <w:sz w:val="16"/>
              </w:rPr>
              <w:t>Net financial expenses/(income)</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0"/>
              <w:jc w:val="right"/>
              <w:rPr/>
            </w:pPr>
            <w:r>
              <w:rPr>
                <w:rFonts w:ascii="Helvetica;sans-serif" w:hAnsi="Helvetica;sans-serif"/>
                <w:b/>
                <w:color w:val="143A84"/>
                <w:sz w:val="16"/>
              </w:rPr>
              <w:t>Net revenues</w:t>
            </w:r>
            <w:r>
              <w:rPr>
                <w:rFonts w:ascii="Helvetica;sans-serif" w:hAnsi="Helvetica;sans-serif"/>
                <w:b/>
                <w:color w:val="143A84"/>
                <w:sz w:val="10"/>
              </w:rPr>
              <w:t>(1)</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143A84"/>
                <w:sz w:val="16"/>
              </w:rPr>
            </w:pPr>
            <w:r>
              <w:rPr>
                <w:rFonts w:ascii="Helvetica;sans-serif" w:hAnsi="Helvetica;sans-serif"/>
                <w:b/>
                <w:color w:val="143A84"/>
                <w:sz w:val="16"/>
              </w:rPr>
              <w:t>Cost of revenues</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143A84"/>
                <w:sz w:val="16"/>
              </w:rPr>
            </w:pPr>
            <w:r>
              <w:rPr>
                <w:rFonts w:ascii="Helvetica;sans-serif" w:hAnsi="Helvetica;sans-serif"/>
                <w:b/>
                <w:color w:val="143A84"/>
                <w:sz w:val="16"/>
              </w:rPr>
              <w:t>Selling, general and other costs/(income)</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143A84"/>
                <w:sz w:val="16"/>
              </w:rPr>
            </w:pPr>
            <w:r>
              <w:rPr>
                <w:rFonts w:ascii="Helvetica;sans-serif" w:hAnsi="Helvetica;sans-serif"/>
                <w:b/>
                <w:color w:val="143A84"/>
                <w:sz w:val="16"/>
              </w:rPr>
              <w:t>Net financial expenses/(income)</w:t>
            </w:r>
          </w:p>
        </w:tc>
      </w:tr>
      <w:tr>
        <w:trPr/>
        <w:tc>
          <w:tcPr>
            <w:tcW w:w="1261" w:type="dxa"/>
            <w:gridSpan w:val="3"/>
            <w:tcBorders>
              <w:top w:val="single" w:sz="2" w:space="0" w:color="143A84"/>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Joint arrangements and associates</w:t>
            </w:r>
          </w:p>
        </w:tc>
        <w:tc>
          <w:tcPr>
            <w:tcW w:w="616" w:type="dxa"/>
            <w:gridSpan w:val="2"/>
            <w:tcBorders>
              <w:top w:val="single" w:sz="2" w:space="0" w:color="143A84"/>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3,819 </w:t>
            </w:r>
          </w:p>
        </w:tc>
        <w:tc>
          <w:tcPr>
            <w:tcW w:w="276" w:type="dxa"/>
            <w:tcBorders>
              <w:top w:val="single" w:sz="2" w:space="0" w:color="143A84"/>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143A84"/>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2" w:space="0" w:color="143A84"/>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1,150 </w:t>
            </w:r>
          </w:p>
        </w:tc>
        <w:tc>
          <w:tcPr>
            <w:tcW w:w="276" w:type="dxa"/>
            <w:tcBorders>
              <w:top w:val="single" w:sz="2" w:space="0" w:color="143A84"/>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143A84"/>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2" w:space="0" w:color="143A84"/>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194 </w:t>
            </w:r>
          </w:p>
        </w:tc>
        <w:tc>
          <w:tcPr>
            <w:tcW w:w="251" w:type="dxa"/>
            <w:tcBorders>
              <w:top w:val="single" w:sz="2" w:space="0" w:color="143A84"/>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143A84"/>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2" w:space="0" w:color="143A84"/>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15 </w:t>
            </w:r>
          </w:p>
        </w:tc>
        <w:tc>
          <w:tcPr>
            <w:tcW w:w="301" w:type="dxa"/>
            <w:tcBorders>
              <w:top w:val="single" w:sz="2" w:space="0" w:color="143A84"/>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2" w:space="0" w:color="143A84"/>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3,373 </w:t>
            </w:r>
          </w:p>
        </w:tc>
        <w:tc>
          <w:tcPr>
            <w:tcW w:w="286" w:type="dxa"/>
            <w:tcBorders>
              <w:top w:val="single" w:sz="2" w:space="0" w:color="143A84"/>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2" w:space="0" w:color="143A84"/>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262 </w:t>
            </w:r>
          </w:p>
        </w:tc>
        <w:tc>
          <w:tcPr>
            <w:tcW w:w="276" w:type="dxa"/>
            <w:tcBorders>
              <w:top w:val="single" w:sz="2" w:space="0" w:color="143A84"/>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2" w:space="0" w:color="143A84"/>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(9)</w:t>
            </w:r>
          </w:p>
        </w:tc>
        <w:tc>
          <w:tcPr>
            <w:tcW w:w="251" w:type="dxa"/>
            <w:tcBorders>
              <w:top w:val="single" w:sz="2" w:space="0" w:color="143A84"/>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top w:val="single" w:sz="2" w:space="0" w:color="143A84"/>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22 </w:t>
            </w:r>
          </w:p>
        </w:tc>
        <w:tc>
          <w:tcPr>
            <w:tcW w:w="392" w:type="dxa"/>
            <w:tcBorders>
              <w:top w:val="single" w:sz="2" w:space="0" w:color="143A84"/>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CNHI</w:t>
            </w:r>
          </w:p>
        </w:tc>
        <w:tc>
          <w:tcPr>
            <w:tcW w:w="616"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2 </w:t>
            </w:r>
          </w:p>
        </w:tc>
        <w:tc>
          <w:tcPr>
            <w:tcW w:w="276"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1"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1"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2 </w:t>
            </w:r>
          </w:p>
        </w:tc>
        <w:tc>
          <w:tcPr>
            <w:tcW w:w="28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1"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92"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Iveco</w:t>
            </w:r>
          </w:p>
        </w:tc>
        <w:tc>
          <w:tcPr>
            <w:tcW w:w="616" w:type="dxa"/>
            <w:gridSpan w:val="2"/>
            <w:tcBorders>
              <w:top w:val="single" w:sz="2" w:space="0" w:color="8E939F"/>
              <w:bottom w:val="single" w:sz="2" w:space="0" w:color="8E939F"/>
            </w:tcBorders>
            <w:shd w:fill="F3F3F9" w:val="clear"/>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36 </w:t>
            </w:r>
          </w:p>
        </w:tc>
        <w:tc>
          <w:tcPr>
            <w:tcW w:w="276" w:type="dxa"/>
            <w:tcBorders>
              <w:top w:val="single" w:sz="2" w:space="0" w:color="8E939F"/>
              <w:bottom w:val="single" w:sz="2" w:space="0" w:color="8E939F"/>
            </w:tcBorders>
            <w:shd w:fill="F3F3F9"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bottom w:val="single" w:sz="2" w:space="0" w:color="8E939F"/>
            </w:tcBorders>
            <w:shd w:fill="F3F3F9" w:val="clear"/>
            <w:tcMar>
              <w:left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2" w:space="0" w:color="8E939F"/>
              <w:bottom w:val="single" w:sz="2" w:space="0" w:color="8E939F"/>
            </w:tcBorders>
            <w:shd w:fill="F3F3F9" w:val="clear"/>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2 </w:t>
            </w:r>
          </w:p>
        </w:tc>
        <w:tc>
          <w:tcPr>
            <w:tcW w:w="276" w:type="dxa"/>
            <w:tcBorders>
              <w:top w:val="single" w:sz="2" w:space="0" w:color="8E939F"/>
              <w:bottom w:val="single" w:sz="2" w:space="0" w:color="8E939F"/>
            </w:tcBorders>
            <w:shd w:fill="F3F3F9"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bottom w:val="single" w:sz="2" w:space="0" w:color="8E939F"/>
            </w:tcBorders>
            <w:shd w:fill="F3F3F9" w:val="clear"/>
            <w:tcMar>
              <w:left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2" w:space="0" w:color="8E939F"/>
              <w:bottom w:val="single" w:sz="2" w:space="0" w:color="8E939F"/>
            </w:tcBorders>
            <w:shd w:fill="F3F3F9"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51" w:type="dxa"/>
            <w:tcBorders>
              <w:top w:val="single" w:sz="2" w:space="0" w:color="8E939F"/>
              <w:bottom w:val="single" w:sz="2" w:space="0" w:color="8E939F"/>
            </w:tcBorders>
            <w:shd w:fill="F3F3F9"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bottom w:val="single" w:sz="2" w:space="0" w:color="8E939F"/>
            </w:tcBorders>
            <w:shd w:fill="F3F3F9" w:val="clear"/>
            <w:tcMar>
              <w:left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2" w:space="0" w:color="8E939F"/>
              <w:bottom w:val="single" w:sz="2" w:space="0" w:color="8E939F"/>
            </w:tcBorders>
            <w:shd w:fill="F3F3F9"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301" w:type="dxa"/>
            <w:tcBorders>
              <w:top w:val="single" w:sz="2" w:space="0" w:color="8E939F"/>
              <w:bottom w:val="single" w:sz="2" w:space="0" w:color="8E939F"/>
            </w:tcBorders>
            <w:shd w:fill="F3F3F9"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31 </w:t>
            </w:r>
          </w:p>
        </w:tc>
        <w:tc>
          <w:tcPr>
            <w:tcW w:w="286" w:type="dxa"/>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3 </w:t>
            </w:r>
          </w:p>
        </w:tc>
        <w:tc>
          <w:tcPr>
            <w:tcW w:w="276" w:type="dxa"/>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51" w:type="dxa"/>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392" w:type="dxa"/>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426" w:type="dxa"/>
        <w:jc w:val="left"/>
        <w:tblInd w:w="0" w:type="dxa"/>
        <w:tblLayout w:type="fixed"/>
        <w:tblCellMar>
          <w:top w:w="28" w:type="dxa"/>
          <w:left w:w="28" w:type="dxa"/>
          <w:bottom w:w="28" w:type="dxa"/>
          <w:right w:w="28" w:type="dxa"/>
        </w:tblCellMar>
      </w:tblPr>
      <w:tblGrid>
        <w:gridCol w:w="456"/>
        <w:gridCol w:w="401"/>
        <w:gridCol w:w="404"/>
        <w:gridCol w:w="326"/>
        <w:gridCol w:w="290"/>
        <w:gridCol w:w="291"/>
        <w:gridCol w:w="109"/>
        <w:gridCol w:w="109"/>
        <w:gridCol w:w="109"/>
        <w:gridCol w:w="341"/>
        <w:gridCol w:w="275"/>
        <w:gridCol w:w="276"/>
        <w:gridCol w:w="109"/>
        <w:gridCol w:w="109"/>
        <w:gridCol w:w="109"/>
        <w:gridCol w:w="250"/>
        <w:gridCol w:w="250"/>
        <w:gridCol w:w="251"/>
        <w:gridCol w:w="109"/>
        <w:gridCol w:w="109"/>
        <w:gridCol w:w="109"/>
        <w:gridCol w:w="300"/>
        <w:gridCol w:w="300"/>
        <w:gridCol w:w="301"/>
        <w:gridCol w:w="109"/>
        <w:gridCol w:w="109"/>
        <w:gridCol w:w="109"/>
        <w:gridCol w:w="331"/>
        <w:gridCol w:w="285"/>
        <w:gridCol w:w="286"/>
        <w:gridCol w:w="109"/>
        <w:gridCol w:w="109"/>
        <w:gridCol w:w="109"/>
        <w:gridCol w:w="275"/>
        <w:gridCol w:w="275"/>
        <w:gridCol w:w="276"/>
        <w:gridCol w:w="109"/>
        <w:gridCol w:w="109"/>
        <w:gridCol w:w="109"/>
        <w:gridCol w:w="250"/>
        <w:gridCol w:w="250"/>
        <w:gridCol w:w="251"/>
        <w:gridCol w:w="109"/>
        <w:gridCol w:w="109"/>
        <w:gridCol w:w="109"/>
        <w:gridCol w:w="277"/>
        <w:gridCol w:w="277"/>
        <w:gridCol w:w="392"/>
      </w:tblGrid>
      <w:tr>
        <w:trPr/>
        <w:tc>
          <w:tcPr>
            <w:tcW w:w="45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5" w:type="dxa"/>
            <w:gridSpan w:val="45"/>
            <w:tcBorders>
              <w:bottom w:val="single" w:sz="2" w:space="0" w:color="8E939F"/>
            </w:tcBorders>
            <w:tcMar>
              <w:top w:w="0" w:type="dxa"/>
              <w:left w:w="0" w:type="dxa"/>
              <w:bottom w:w="3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Six months ended June 30,</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2" w:type="dxa"/>
            <w:gridSpan w:val="21"/>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2026</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6" w:type="dxa"/>
            <w:gridSpan w:val="21"/>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2025</w:t>
            </w:r>
          </w:p>
        </w:tc>
      </w:tr>
      <w:tr>
        <w:trPr/>
        <w:tc>
          <w:tcPr>
            <w:tcW w:w="1261" w:type="dxa"/>
            <w:gridSpan w:val="3"/>
            <w:tcBorders>
              <w:top w:val="single" w:sz="2" w:space="0" w:color="FFFFFF"/>
            </w:tcBorders>
            <w:tcMar>
              <w:top w:w="52" w:type="dxa"/>
              <w:left w:w="0" w:type="dxa"/>
              <w:bottom w:w="0" w:type="dxa"/>
              <w:right w:w="0" w:type="dxa"/>
            </w:tcMar>
            <w:vAlign w:val="center"/>
          </w:tcPr>
          <w:p>
            <w:pPr>
              <w:pStyle w:val="TableContents"/>
              <w:bidi w:val="0"/>
              <w:spacing w:lineRule="auto" w:line="288" w:before="0" w:after="240"/>
              <w:jc w:val="left"/>
              <w:rPr>
                <w:rFonts w:ascii="Helvetica;sans-serif" w:hAnsi="Helvetica;sans-serif"/>
                <w:b w:val="false"/>
                <w:i/>
                <w:color w:val="000000"/>
                <w:sz w:val="16"/>
              </w:rPr>
            </w:pPr>
            <w:r>
              <w:rPr>
                <w:rFonts w:ascii="Helvetica;sans-serif" w:hAnsi="Helvetica;sans-serif"/>
                <w:b w:val="false"/>
                <w:i/>
                <w:color w:val="000000"/>
                <w:sz w:val="16"/>
              </w:rPr>
              <w:t>(€ million)</w:t>
            </w:r>
          </w:p>
        </w:tc>
        <w:tc>
          <w:tcPr>
            <w:tcW w:w="907"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143A84"/>
                <w:sz w:val="16"/>
              </w:rPr>
            </w:pPr>
            <w:r>
              <w:rPr>
                <w:rFonts w:ascii="Helvetica;sans-serif" w:hAnsi="Helvetica;sans-serif"/>
                <w:b/>
                <w:color w:val="143A84"/>
                <w:sz w:val="16"/>
              </w:rPr>
              <w:t>Net revenues </w:t>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143A84"/>
                <w:sz w:val="16"/>
              </w:rPr>
            </w:pPr>
            <w:r>
              <w:rPr>
                <w:rFonts w:ascii="Helvetica;sans-serif" w:hAnsi="Helvetica;sans-serif"/>
                <w:b/>
                <w:color w:val="143A84"/>
                <w:sz w:val="16"/>
              </w:rPr>
              <w:t>Cost of revenues</w:t>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143A84"/>
                <w:sz w:val="16"/>
              </w:rPr>
            </w:pPr>
            <w:r>
              <w:rPr>
                <w:rFonts w:ascii="Helvetica;sans-serif" w:hAnsi="Helvetica;sans-serif"/>
                <w:b/>
                <w:color w:val="143A84"/>
                <w:sz w:val="16"/>
              </w:rPr>
              <w:t>Selling, general and other costs/(income)</w:t>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143A84"/>
                <w:sz w:val="16"/>
              </w:rPr>
            </w:pPr>
            <w:r>
              <w:rPr>
                <w:rFonts w:ascii="Helvetica;sans-serif" w:hAnsi="Helvetica;sans-serif"/>
                <w:b/>
                <w:color w:val="143A84"/>
                <w:sz w:val="16"/>
              </w:rPr>
              <w:t>Net financial expenses/(income)</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0"/>
              <w:jc w:val="right"/>
              <w:rPr/>
            </w:pPr>
            <w:r>
              <w:rPr>
                <w:rFonts w:ascii="Helvetica;sans-serif" w:hAnsi="Helvetica;sans-serif"/>
                <w:b/>
                <w:color w:val="143A84"/>
                <w:sz w:val="16"/>
              </w:rPr>
              <w:t>Net revenues</w:t>
            </w:r>
            <w:r>
              <w:rPr>
                <w:rFonts w:ascii="Helvetica;sans-serif" w:hAnsi="Helvetica;sans-serif"/>
                <w:b/>
                <w:color w:val="143A84"/>
                <w:sz w:val="10"/>
              </w:rPr>
              <w:t>(1)</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143A84"/>
                <w:sz w:val="16"/>
              </w:rPr>
            </w:pPr>
            <w:r>
              <w:rPr>
                <w:rFonts w:ascii="Helvetica;sans-serif" w:hAnsi="Helvetica;sans-serif"/>
                <w:b/>
                <w:color w:val="143A84"/>
                <w:sz w:val="16"/>
              </w:rPr>
              <w:t>Cost of revenues</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143A84"/>
                <w:sz w:val="16"/>
              </w:rPr>
            </w:pPr>
            <w:r>
              <w:rPr>
                <w:rFonts w:ascii="Helvetica;sans-serif" w:hAnsi="Helvetica;sans-serif"/>
                <w:b/>
                <w:color w:val="143A84"/>
                <w:sz w:val="16"/>
              </w:rPr>
              <w:t>Selling, general and other costs/(income)</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143A84"/>
                <w:sz w:val="16"/>
              </w:rPr>
            </w:pPr>
            <w:r>
              <w:rPr>
                <w:rFonts w:ascii="Helvetica;sans-serif" w:hAnsi="Helvetica;sans-serif"/>
                <w:b/>
                <w:color w:val="143A84"/>
                <w:sz w:val="16"/>
              </w:rPr>
              <w:t>Net financial expenses/(income)</w:t>
            </w:r>
          </w:p>
        </w:tc>
      </w:tr>
      <w:tr>
        <w:trPr/>
        <w:tc>
          <w:tcPr>
            <w:tcW w:w="1261" w:type="dxa"/>
            <w:gridSpan w:val="3"/>
            <w:tcBorders>
              <w:top w:val="single" w:sz="2" w:space="0" w:color="143A84"/>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Joint arrangements and associates</w:t>
            </w:r>
          </w:p>
        </w:tc>
        <w:tc>
          <w:tcPr>
            <w:tcW w:w="616" w:type="dxa"/>
            <w:gridSpan w:val="2"/>
            <w:tcBorders>
              <w:top w:val="single" w:sz="2" w:space="0" w:color="143A84"/>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7,364 </w:t>
            </w:r>
          </w:p>
        </w:tc>
        <w:tc>
          <w:tcPr>
            <w:tcW w:w="291" w:type="dxa"/>
            <w:tcBorders>
              <w:top w:val="single" w:sz="2" w:space="0" w:color="143A84"/>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143A84"/>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2" w:space="0" w:color="143A84"/>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2,271 </w:t>
            </w:r>
          </w:p>
        </w:tc>
        <w:tc>
          <w:tcPr>
            <w:tcW w:w="276" w:type="dxa"/>
            <w:tcBorders>
              <w:top w:val="single" w:sz="2" w:space="0" w:color="143A84"/>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143A84"/>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2" w:space="0" w:color="143A84"/>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186 </w:t>
            </w:r>
          </w:p>
        </w:tc>
        <w:tc>
          <w:tcPr>
            <w:tcW w:w="251" w:type="dxa"/>
            <w:tcBorders>
              <w:top w:val="single" w:sz="2" w:space="0" w:color="143A84"/>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143A84"/>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2" w:space="0" w:color="143A84"/>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23 </w:t>
            </w:r>
          </w:p>
        </w:tc>
        <w:tc>
          <w:tcPr>
            <w:tcW w:w="301" w:type="dxa"/>
            <w:tcBorders>
              <w:top w:val="single" w:sz="2" w:space="0" w:color="143A84"/>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2" w:space="0" w:color="143A84"/>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6,125 </w:t>
            </w:r>
          </w:p>
        </w:tc>
        <w:tc>
          <w:tcPr>
            <w:tcW w:w="286" w:type="dxa"/>
            <w:tcBorders>
              <w:top w:val="single" w:sz="2" w:space="0" w:color="143A84"/>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2" w:space="0" w:color="143A84"/>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760 </w:t>
            </w:r>
          </w:p>
        </w:tc>
        <w:tc>
          <w:tcPr>
            <w:tcW w:w="276" w:type="dxa"/>
            <w:tcBorders>
              <w:top w:val="single" w:sz="2" w:space="0" w:color="143A84"/>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2" w:space="0" w:color="143A84"/>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(8)</w:t>
            </w:r>
          </w:p>
        </w:tc>
        <w:tc>
          <w:tcPr>
            <w:tcW w:w="251" w:type="dxa"/>
            <w:tcBorders>
              <w:top w:val="single" w:sz="2" w:space="0" w:color="143A84"/>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top w:val="single" w:sz="2" w:space="0" w:color="143A84"/>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24 </w:t>
            </w:r>
          </w:p>
        </w:tc>
        <w:tc>
          <w:tcPr>
            <w:tcW w:w="392" w:type="dxa"/>
            <w:tcBorders>
              <w:top w:val="single" w:sz="2" w:space="0" w:color="143A84"/>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CNHI</w:t>
            </w:r>
          </w:p>
        </w:tc>
        <w:tc>
          <w:tcPr>
            <w:tcW w:w="616"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1"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1"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1"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4 </w:t>
            </w:r>
          </w:p>
        </w:tc>
        <w:tc>
          <w:tcPr>
            <w:tcW w:w="28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1"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92"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Ferrari N.V.</w:t>
            </w:r>
          </w:p>
        </w:tc>
        <w:tc>
          <w:tcPr>
            <w:tcW w:w="616"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1 </w:t>
            </w:r>
          </w:p>
        </w:tc>
        <w:tc>
          <w:tcPr>
            <w:tcW w:w="291"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1"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1"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1 </w:t>
            </w:r>
          </w:p>
        </w:tc>
        <w:tc>
          <w:tcPr>
            <w:tcW w:w="28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1"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92"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Iveco</w:t>
            </w:r>
          </w:p>
        </w:tc>
        <w:tc>
          <w:tcPr>
            <w:tcW w:w="616" w:type="dxa"/>
            <w:gridSpan w:val="2"/>
            <w:tcBorders>
              <w:top w:val="single" w:sz="2" w:space="0" w:color="8E939F"/>
              <w:bottom w:val="single" w:sz="2" w:space="0" w:color="8E939F"/>
            </w:tcBorders>
            <w:shd w:fill="F3F3F9" w:val="clear"/>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70 </w:t>
            </w:r>
          </w:p>
        </w:tc>
        <w:tc>
          <w:tcPr>
            <w:tcW w:w="291" w:type="dxa"/>
            <w:tcBorders>
              <w:top w:val="single" w:sz="2" w:space="0" w:color="8E939F"/>
              <w:bottom w:val="single" w:sz="2" w:space="0" w:color="8E939F"/>
            </w:tcBorders>
            <w:shd w:fill="F3F3F9"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bottom w:val="single" w:sz="2" w:space="0" w:color="8E939F"/>
            </w:tcBorders>
            <w:shd w:fill="F3F3F9" w:val="clear"/>
            <w:tcMar>
              <w:left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2" w:space="0" w:color="8E939F"/>
              <w:bottom w:val="single" w:sz="2" w:space="0" w:color="8E939F"/>
            </w:tcBorders>
            <w:shd w:fill="F3F3F9" w:val="clear"/>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4 </w:t>
            </w:r>
          </w:p>
        </w:tc>
        <w:tc>
          <w:tcPr>
            <w:tcW w:w="276" w:type="dxa"/>
            <w:tcBorders>
              <w:top w:val="single" w:sz="2" w:space="0" w:color="8E939F"/>
              <w:bottom w:val="single" w:sz="2" w:space="0" w:color="8E939F"/>
            </w:tcBorders>
            <w:shd w:fill="F3F3F9"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bottom w:val="single" w:sz="2" w:space="0" w:color="8E939F"/>
            </w:tcBorders>
            <w:shd w:fill="F3F3F9" w:val="clear"/>
            <w:tcMar>
              <w:left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2" w:space="0" w:color="8E939F"/>
              <w:bottom w:val="single" w:sz="2" w:space="0" w:color="8E939F"/>
            </w:tcBorders>
            <w:shd w:fill="F3F3F9"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51" w:type="dxa"/>
            <w:tcBorders>
              <w:top w:val="single" w:sz="2" w:space="0" w:color="8E939F"/>
              <w:bottom w:val="single" w:sz="2" w:space="0" w:color="8E939F"/>
            </w:tcBorders>
            <w:shd w:fill="F3F3F9"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bottom w:val="single" w:sz="2" w:space="0" w:color="8E939F"/>
            </w:tcBorders>
            <w:shd w:fill="F3F3F9" w:val="clear"/>
            <w:tcMar>
              <w:left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2" w:space="0" w:color="8E939F"/>
              <w:bottom w:val="single" w:sz="2" w:space="0" w:color="8E939F"/>
            </w:tcBorders>
            <w:shd w:fill="F3F3F9"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301" w:type="dxa"/>
            <w:tcBorders>
              <w:top w:val="single" w:sz="2" w:space="0" w:color="8E939F"/>
              <w:bottom w:val="single" w:sz="2" w:space="0" w:color="8E939F"/>
            </w:tcBorders>
            <w:shd w:fill="F3F3F9"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57 </w:t>
            </w:r>
          </w:p>
        </w:tc>
        <w:tc>
          <w:tcPr>
            <w:tcW w:w="286" w:type="dxa"/>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4 </w:t>
            </w:r>
          </w:p>
        </w:tc>
        <w:tc>
          <w:tcPr>
            <w:tcW w:w="276" w:type="dxa"/>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51" w:type="dxa"/>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392" w:type="dxa"/>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pPr>
      <w:r>
        <w:rPr>
          <w:rFonts w:ascii="Helvetica Light;sans-serif" w:hAnsi="Helvetica Light;sans-serif"/>
          <w:b w:val="false"/>
          <w:color w:val="000000"/>
          <w:sz w:val="16"/>
        </w:rPr>
        <w:t>(1)</w:t>
      </w:r>
      <w:r>
        <w:rPr>
          <w:color w:val="000000"/>
        </w:rPr>
        <w:t xml:space="preserve"> </w:t>
      </w:r>
      <w:r>
        <w:rPr>
          <w:rFonts w:ascii="Helvetica Light;sans-serif" w:hAnsi="Helvetica Light;sans-serif"/>
          <w:b w:val="false"/>
          <w:color w:val="000000"/>
          <w:sz w:val="16"/>
        </w:rPr>
        <w:t>Net revenues for the six months ended June 30, 2025, as previously reported, were reduced by €914 million to align the presentation of revenue from transactions with Leasys with the accounting treatment applied to buy-back transactions in the Condensed Consolidated Income Statement</w:t>
      </w:r>
    </w:p>
    <w:p>
      <w:pPr>
        <w:pStyle w:val="TextBody"/>
        <w:bidi w:val="0"/>
        <w:spacing w:lineRule="auto" w:line="343" w:before="0" w:after="240"/>
        <w:jc w:val="left"/>
        <w:rPr/>
      </w:pPr>
      <w:r>
        <w:rPr>
          <w:rFonts w:ascii="Helvetica Light;sans-serif" w:hAnsi="Helvetica Light;sans-serif"/>
          <w:b w:val="false"/>
          <w:color w:val="000000"/>
          <w:sz w:val="20"/>
          <w:shd w:fill="FFFFFF" w:val="clear"/>
        </w:rPr>
        <w:t xml:space="preserve">The increase in Cost of revenues for transactions with joint arrangements and associates </w:t>
      </w:r>
      <w:r>
        <w:rPr>
          <w:rFonts w:ascii="Helvetica Light;sans-serif" w:hAnsi="Helvetica Light;sans-serif"/>
          <w:b w:val="false"/>
          <w:color w:val="000000"/>
          <w:sz w:val="20"/>
        </w:rPr>
        <w:t>for the three and six months ended June 30, 2026 compared to the corresponding periods in 2025</w:t>
      </w:r>
      <w:r>
        <w:rPr>
          <w:color w:val="000000"/>
          <w:shd w:fill="FFFFFF" w:val="clear"/>
        </w:rPr>
        <w:t xml:space="preserve"> </w:t>
      </w:r>
      <w:r>
        <w:rPr>
          <w:rFonts w:ascii="Helvetica Light;sans-serif" w:hAnsi="Helvetica Light;sans-serif"/>
          <w:b w:val="false"/>
          <w:color w:val="000000"/>
          <w:sz w:val="20"/>
          <w:shd w:fill="FFFFFF" w:val="clear"/>
        </w:rPr>
        <w:t>is primarily due to increased volumes in Leapmotor branded vehicles and increased purchases of vehicles manufactured by Tofas.</w:t>
      </w:r>
    </w:p>
    <w:p>
      <w:pPr>
        <w:pStyle w:val="TextBody"/>
        <w:bidi w:val="0"/>
        <w:spacing w:lineRule="auto" w:line="343" w:before="0" w:after="240"/>
        <w:jc w:val="left"/>
        <w:rPr>
          <w:rFonts w:ascii="Helvetica Light;sans-serif" w:hAnsi="Helvetica Light;sans-serif"/>
          <w:b w:val="false"/>
          <w:color w:val="000000"/>
          <w:sz w:val="20"/>
          <w:shd w:fill="FFFFFF" w:val="clear"/>
        </w:rPr>
      </w:pPr>
      <w:r>
        <w:rPr>
          <w:rFonts w:ascii="Helvetica Light;sans-serif" w:hAnsi="Helvetica Light;sans-serif"/>
          <w:b w:val="false"/>
          <w:color w:val="000000"/>
          <w:sz w:val="20"/>
          <w:shd w:fill="FFFFFF" w:val="clear"/>
        </w:rPr>
        <w:t>Assets and liabilities from transactions with related parties were as follows:</w:t>
      </w:r>
    </w:p>
    <w:tbl>
      <w:tblPr>
        <w:tblW w:w="10963" w:type="dxa"/>
        <w:jc w:val="left"/>
        <w:tblInd w:w="0" w:type="dxa"/>
        <w:tblLayout w:type="fixed"/>
        <w:tblCellMar>
          <w:top w:w="28" w:type="dxa"/>
          <w:left w:w="28" w:type="dxa"/>
          <w:bottom w:w="28" w:type="dxa"/>
          <w:right w:w="28" w:type="dxa"/>
        </w:tblCellMar>
      </w:tblPr>
      <w:tblGrid>
        <w:gridCol w:w="456"/>
        <w:gridCol w:w="401"/>
        <w:gridCol w:w="404"/>
        <w:gridCol w:w="330"/>
        <w:gridCol w:w="330"/>
        <w:gridCol w:w="331"/>
        <w:gridCol w:w="109"/>
        <w:gridCol w:w="109"/>
        <w:gridCol w:w="109"/>
        <w:gridCol w:w="346"/>
        <w:gridCol w:w="270"/>
        <w:gridCol w:w="271"/>
        <w:gridCol w:w="109"/>
        <w:gridCol w:w="109"/>
        <w:gridCol w:w="109"/>
        <w:gridCol w:w="395"/>
        <w:gridCol w:w="395"/>
        <w:gridCol w:w="396"/>
        <w:gridCol w:w="109"/>
        <w:gridCol w:w="109"/>
        <w:gridCol w:w="109"/>
        <w:gridCol w:w="214"/>
        <w:gridCol w:w="192"/>
        <w:gridCol w:w="171"/>
        <w:gridCol w:w="109"/>
        <w:gridCol w:w="109"/>
        <w:gridCol w:w="109"/>
        <w:gridCol w:w="330"/>
        <w:gridCol w:w="330"/>
        <w:gridCol w:w="331"/>
        <w:gridCol w:w="109"/>
        <w:gridCol w:w="109"/>
        <w:gridCol w:w="109"/>
        <w:gridCol w:w="336"/>
        <w:gridCol w:w="280"/>
        <w:gridCol w:w="281"/>
        <w:gridCol w:w="109"/>
        <w:gridCol w:w="109"/>
        <w:gridCol w:w="109"/>
        <w:gridCol w:w="395"/>
        <w:gridCol w:w="395"/>
        <w:gridCol w:w="396"/>
        <w:gridCol w:w="109"/>
        <w:gridCol w:w="109"/>
        <w:gridCol w:w="109"/>
        <w:gridCol w:w="233"/>
        <w:gridCol w:w="233"/>
        <w:gridCol w:w="232"/>
      </w:tblGrid>
      <w:tr>
        <w:trPr/>
        <w:tc>
          <w:tcPr>
            <w:tcW w:w="45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2" w:type="dxa"/>
            <w:gridSpan w:val="21"/>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At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3" w:type="dxa"/>
            <w:gridSpan w:val="21"/>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At December 31, 2025</w:t>
            </w:r>
          </w:p>
        </w:tc>
      </w:tr>
      <w:tr>
        <w:trPr/>
        <w:tc>
          <w:tcPr>
            <w:tcW w:w="1261" w:type="dxa"/>
            <w:gridSpan w:val="3"/>
            <w:tcBorders>
              <w:top w:val="single" w:sz="2" w:space="0" w:color="FFFFFF"/>
            </w:tcBorders>
            <w:tcMar>
              <w:top w:w="52" w:type="dxa"/>
              <w:left w:w="0" w:type="dxa"/>
              <w:bottom w:w="0" w:type="dxa"/>
              <w:right w:w="0" w:type="dxa"/>
            </w:tcMar>
            <w:vAlign w:val="center"/>
          </w:tcPr>
          <w:p>
            <w:pPr>
              <w:pStyle w:val="TableContents"/>
              <w:bidi w:val="0"/>
              <w:spacing w:lineRule="auto" w:line="288" w:before="0" w:after="240"/>
              <w:jc w:val="left"/>
              <w:rPr>
                <w:rFonts w:ascii="Helvetica;sans-serif" w:hAnsi="Helvetica;sans-serif"/>
                <w:b w:val="false"/>
                <w:i/>
                <w:color w:val="000000"/>
                <w:sz w:val="16"/>
              </w:rPr>
            </w:pPr>
            <w:r>
              <w:rPr>
                <w:rFonts w:ascii="Helvetica;sans-serif" w:hAnsi="Helvetica;sans-serif"/>
                <w:b w:val="false"/>
                <w:i/>
                <w:color w:val="000000"/>
                <w:sz w:val="16"/>
              </w:rPr>
              <w:t>(€ million)</w:t>
            </w:r>
          </w:p>
        </w:tc>
        <w:tc>
          <w:tcPr>
            <w:tcW w:w="991"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143A84"/>
                <w:sz w:val="16"/>
              </w:rPr>
            </w:pPr>
            <w:r>
              <w:rPr>
                <w:rFonts w:ascii="Helvetica;sans-serif" w:hAnsi="Helvetica;sans-serif"/>
                <w:b/>
                <w:color w:val="143A84"/>
                <w:sz w:val="16"/>
              </w:rPr>
              <w:t>Trade and other receivables</w:t>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143A84"/>
                <w:sz w:val="16"/>
              </w:rPr>
            </w:pPr>
            <w:r>
              <w:rPr>
                <w:rFonts w:ascii="Helvetica;sans-serif" w:hAnsi="Helvetica;sans-serif"/>
                <w:b/>
                <w:color w:val="143A84"/>
                <w:sz w:val="16"/>
              </w:rPr>
              <w:t>Trade payables and Other liabilities</w:t>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143A84"/>
                <w:sz w:val="16"/>
              </w:rPr>
            </w:pPr>
            <w:r>
              <w:rPr>
                <w:rFonts w:ascii="Helvetica;sans-serif" w:hAnsi="Helvetica;sans-serif"/>
                <w:b/>
                <w:color w:val="143A84"/>
                <w:sz w:val="16"/>
              </w:rPr>
              <w:t>Asset-backed financing</w:t>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0"/>
              <w:jc w:val="right"/>
              <w:rPr/>
            </w:pPr>
            <w:r>
              <w:rPr>
                <w:rFonts w:ascii="Helvetica;sans-serif" w:hAnsi="Helvetica;sans-serif"/>
                <w:b/>
                <w:color w:val="143A84"/>
                <w:sz w:val="16"/>
              </w:rPr>
              <w:t>Debt</w:t>
            </w:r>
            <w:r>
              <w:rPr>
                <w:rFonts w:ascii="Helvetica;sans-serif" w:hAnsi="Helvetica;sans-serif"/>
                <w:b/>
                <w:color w:val="143A84"/>
                <w:sz w:val="10"/>
              </w:rPr>
              <w:t>(1)</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143A84"/>
                <w:sz w:val="16"/>
              </w:rPr>
            </w:pPr>
            <w:r>
              <w:rPr>
                <w:rFonts w:ascii="Helvetica;sans-serif" w:hAnsi="Helvetica;sans-serif"/>
                <w:b/>
                <w:color w:val="143A84"/>
                <w:sz w:val="16"/>
              </w:rPr>
              <w:t>Trade and other receivables</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0"/>
              <w:jc w:val="right"/>
              <w:rPr/>
            </w:pPr>
            <w:r>
              <w:rPr>
                <w:rFonts w:ascii="Helvetica;sans-serif" w:hAnsi="Helvetica;sans-serif"/>
                <w:b/>
                <w:color w:val="143A84"/>
                <w:sz w:val="16"/>
              </w:rPr>
              <w:t>Trade payables and Other liabilities</w:t>
            </w:r>
            <w:r>
              <w:rPr>
                <w:rFonts w:ascii="Helvetica;sans-serif" w:hAnsi="Helvetica;sans-serif"/>
                <w:b/>
                <w:color w:val="143A84"/>
                <w:sz w:val="10"/>
              </w:rPr>
              <w:t>(2)</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143A84"/>
                <w:sz w:val="16"/>
              </w:rPr>
            </w:pPr>
            <w:r>
              <w:rPr>
                <w:rFonts w:ascii="Helvetica;sans-serif" w:hAnsi="Helvetica;sans-serif"/>
                <w:b/>
                <w:color w:val="143A84"/>
                <w:sz w:val="16"/>
              </w:rPr>
              <w:t>Asset-backed financing</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0"/>
              <w:jc w:val="right"/>
              <w:rPr/>
            </w:pPr>
            <w:r>
              <w:rPr>
                <w:rFonts w:ascii="Helvetica;sans-serif" w:hAnsi="Helvetica;sans-serif"/>
                <w:b/>
                <w:color w:val="143A84"/>
                <w:sz w:val="16"/>
              </w:rPr>
              <w:t>Debt</w:t>
            </w:r>
            <w:r>
              <w:rPr>
                <w:rFonts w:ascii="Helvetica;sans-serif" w:hAnsi="Helvetica;sans-serif"/>
                <w:b/>
                <w:color w:val="143A84"/>
                <w:sz w:val="10"/>
              </w:rPr>
              <w:t>(1)</w:t>
            </w:r>
          </w:p>
        </w:tc>
      </w:tr>
      <w:tr>
        <w:trPr/>
        <w:tc>
          <w:tcPr>
            <w:tcW w:w="1261" w:type="dxa"/>
            <w:gridSpan w:val="3"/>
            <w:tcBorders>
              <w:top w:val="single" w:sz="2" w:space="0" w:color="143A84"/>
              <w:bottom w:val="single" w:sz="2" w:space="0" w:color="8E939F"/>
            </w:tcBorders>
            <w:tcMar>
              <w:top w:w="52"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Joint arrangements and associates</w:t>
            </w:r>
          </w:p>
        </w:tc>
        <w:tc>
          <w:tcPr>
            <w:tcW w:w="660" w:type="dxa"/>
            <w:gridSpan w:val="2"/>
            <w:tcBorders>
              <w:top w:val="single" w:sz="2" w:space="0" w:color="143A84"/>
              <w:bottom w:val="single" w:sz="2" w:space="0" w:color="8E939F"/>
            </w:tcBorders>
            <w:shd w:fill="F3F3F9" w:val="clear"/>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4,013 </w:t>
            </w:r>
          </w:p>
        </w:tc>
        <w:tc>
          <w:tcPr>
            <w:tcW w:w="331" w:type="dxa"/>
            <w:tcBorders>
              <w:top w:val="single" w:sz="2" w:space="0" w:color="143A84"/>
              <w:bottom w:val="single" w:sz="2" w:space="0" w:color="8E939F"/>
            </w:tcBorders>
            <w:shd w:fill="F3F3F9"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143A84"/>
              <w:bottom w:val="single" w:sz="2" w:space="0" w:color="8E939F"/>
            </w:tcBorders>
            <w:shd w:fill="F3F3F9" w:val="clear"/>
            <w:tcMar>
              <w:left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2" w:space="0" w:color="143A84"/>
              <w:bottom w:val="single" w:sz="2" w:space="0" w:color="8E939F"/>
            </w:tcBorders>
            <w:shd w:fill="F3F3F9" w:val="clear"/>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3,301 </w:t>
            </w:r>
          </w:p>
        </w:tc>
        <w:tc>
          <w:tcPr>
            <w:tcW w:w="271" w:type="dxa"/>
            <w:tcBorders>
              <w:top w:val="single" w:sz="2" w:space="0" w:color="143A84"/>
              <w:bottom w:val="single" w:sz="2" w:space="0" w:color="8E939F"/>
            </w:tcBorders>
            <w:shd w:fill="F3F3F9"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143A84"/>
              <w:bottom w:val="single" w:sz="2" w:space="0" w:color="8E939F"/>
            </w:tcBorders>
            <w:shd w:fill="F3F3F9" w:val="clear"/>
            <w:tcMar>
              <w:left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op w:val="single" w:sz="2" w:space="0" w:color="143A84"/>
              <w:bottom w:val="single" w:sz="2" w:space="0" w:color="8E939F"/>
            </w:tcBorders>
            <w:shd w:fill="F3F3F9" w:val="clear"/>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24 </w:t>
            </w:r>
          </w:p>
        </w:tc>
        <w:tc>
          <w:tcPr>
            <w:tcW w:w="396" w:type="dxa"/>
            <w:tcBorders>
              <w:top w:val="single" w:sz="2" w:space="0" w:color="143A84"/>
              <w:bottom w:val="single" w:sz="2" w:space="0" w:color="8E939F"/>
            </w:tcBorders>
            <w:shd w:fill="F3F3F9"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143A84"/>
              <w:bottom w:val="single" w:sz="2" w:space="0" w:color="8E939F"/>
            </w:tcBorders>
            <w:shd w:fill="F3F3F9" w:val="clear"/>
            <w:tcMar>
              <w:left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2" w:space="0" w:color="143A84"/>
              <w:bottom w:val="single" w:sz="2" w:space="0" w:color="8E939F"/>
            </w:tcBorders>
            <w:shd w:fill="F3F3F9" w:val="clear"/>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78 </w:t>
            </w:r>
          </w:p>
        </w:tc>
        <w:tc>
          <w:tcPr>
            <w:tcW w:w="171" w:type="dxa"/>
            <w:tcBorders>
              <w:top w:val="single" w:sz="2" w:space="0" w:color="143A84"/>
              <w:bottom w:val="single" w:sz="2" w:space="0" w:color="8E939F"/>
            </w:tcBorders>
            <w:shd w:fill="F3F3F9"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143A84"/>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op w:val="single" w:sz="2" w:space="0" w:color="143A84"/>
              <w:bottom w:val="single" w:sz="2" w:space="0" w:color="8E939F"/>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2,793 </w:t>
            </w:r>
          </w:p>
        </w:tc>
        <w:tc>
          <w:tcPr>
            <w:tcW w:w="331" w:type="dxa"/>
            <w:tcBorders>
              <w:top w:val="single" w:sz="2" w:space="0" w:color="143A84"/>
              <w:bottom w:val="single" w:sz="2" w:space="0" w:color="8E939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143A84"/>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2" w:space="0" w:color="143A84"/>
              <w:bottom w:val="single" w:sz="2" w:space="0" w:color="8E939F"/>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2,620 </w:t>
            </w:r>
          </w:p>
        </w:tc>
        <w:tc>
          <w:tcPr>
            <w:tcW w:w="281" w:type="dxa"/>
            <w:tcBorders>
              <w:top w:val="single" w:sz="2" w:space="0" w:color="143A84"/>
              <w:bottom w:val="single" w:sz="2" w:space="0" w:color="8E939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143A84"/>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op w:val="single" w:sz="2" w:space="0" w:color="143A84"/>
              <w:bottom w:val="single" w:sz="2" w:space="0" w:color="8E939F"/>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6 </w:t>
            </w:r>
          </w:p>
        </w:tc>
        <w:tc>
          <w:tcPr>
            <w:tcW w:w="396" w:type="dxa"/>
            <w:tcBorders>
              <w:top w:val="single" w:sz="2" w:space="0" w:color="143A84"/>
              <w:bottom w:val="single" w:sz="2" w:space="0" w:color="8E939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143A84"/>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2" w:space="0" w:color="143A84"/>
              <w:bottom w:val="single" w:sz="2" w:space="0" w:color="8E939F"/>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103 </w:t>
            </w:r>
          </w:p>
        </w:tc>
        <w:tc>
          <w:tcPr>
            <w:tcW w:w="232" w:type="dxa"/>
            <w:tcBorders>
              <w:top w:val="single" w:sz="2" w:space="0" w:color="143A84"/>
              <w:bottom w:val="single" w:sz="2" w:space="0" w:color="8E939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CNHI</w:t>
            </w:r>
          </w:p>
        </w:tc>
        <w:tc>
          <w:tcPr>
            <w:tcW w:w="660"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3 </w:t>
            </w:r>
          </w:p>
        </w:tc>
        <w:tc>
          <w:tcPr>
            <w:tcW w:w="331"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96"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3 </w:t>
            </w:r>
          </w:p>
        </w:tc>
        <w:tc>
          <w:tcPr>
            <w:tcW w:w="331"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1"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9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2"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Ferrari N.V.</w:t>
            </w:r>
          </w:p>
        </w:tc>
        <w:tc>
          <w:tcPr>
            <w:tcW w:w="660"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7 </w:t>
            </w:r>
          </w:p>
        </w:tc>
        <w:tc>
          <w:tcPr>
            <w:tcW w:w="331"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96"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8 </w:t>
            </w:r>
          </w:p>
        </w:tc>
        <w:tc>
          <w:tcPr>
            <w:tcW w:w="331"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1"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9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2"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Iveco</w:t>
            </w:r>
          </w:p>
        </w:tc>
        <w:tc>
          <w:tcPr>
            <w:tcW w:w="660" w:type="dxa"/>
            <w:gridSpan w:val="2"/>
            <w:tcBorders>
              <w:top w:val="single" w:sz="2" w:space="0" w:color="8E939F"/>
              <w:bottom w:val="single" w:sz="2" w:space="0" w:color="8E939F"/>
            </w:tcBorders>
            <w:shd w:fill="F3F3F9" w:val="clear"/>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32 </w:t>
            </w:r>
          </w:p>
        </w:tc>
        <w:tc>
          <w:tcPr>
            <w:tcW w:w="331" w:type="dxa"/>
            <w:tcBorders>
              <w:top w:val="single" w:sz="2" w:space="0" w:color="8E939F"/>
              <w:bottom w:val="single" w:sz="2" w:space="0" w:color="8E939F"/>
            </w:tcBorders>
            <w:shd w:fill="F3F3F9"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bottom w:val="single" w:sz="2" w:space="0" w:color="8E939F"/>
            </w:tcBorders>
            <w:shd w:fill="F3F3F9" w:val="clear"/>
            <w:tcMar>
              <w:left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2" w:space="0" w:color="8E939F"/>
              <w:bottom w:val="single" w:sz="2" w:space="0" w:color="8E939F"/>
            </w:tcBorders>
            <w:shd w:fill="F3F3F9" w:val="clear"/>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56 </w:t>
            </w:r>
          </w:p>
        </w:tc>
        <w:tc>
          <w:tcPr>
            <w:tcW w:w="271" w:type="dxa"/>
            <w:tcBorders>
              <w:top w:val="single" w:sz="2" w:space="0" w:color="8E939F"/>
              <w:bottom w:val="single" w:sz="2" w:space="0" w:color="8E939F"/>
            </w:tcBorders>
            <w:shd w:fill="F3F3F9"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bottom w:val="single" w:sz="2" w:space="0" w:color="8E939F"/>
            </w:tcBorders>
            <w:shd w:fill="F3F3F9" w:val="clear"/>
            <w:tcMar>
              <w:left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op w:val="single" w:sz="2" w:space="0" w:color="8E939F"/>
              <w:bottom w:val="single" w:sz="2" w:space="0" w:color="8E939F"/>
            </w:tcBorders>
            <w:shd w:fill="F3F3F9"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396" w:type="dxa"/>
            <w:tcBorders>
              <w:top w:val="single" w:sz="2" w:space="0" w:color="8E939F"/>
              <w:bottom w:val="single" w:sz="2" w:space="0" w:color="8E939F"/>
            </w:tcBorders>
            <w:shd w:fill="F3F3F9"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bottom w:val="single" w:sz="2" w:space="0" w:color="8E939F"/>
            </w:tcBorders>
            <w:shd w:fill="F3F3F9" w:val="clear"/>
            <w:tcMar>
              <w:left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2" w:space="0" w:color="8E939F"/>
              <w:bottom w:val="single" w:sz="2" w:space="0" w:color="8E939F"/>
            </w:tcBorders>
            <w:shd w:fill="F3F3F9"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top w:val="single" w:sz="2" w:space="0" w:color="8E939F"/>
              <w:bottom w:val="single" w:sz="2" w:space="0" w:color="8E939F"/>
            </w:tcBorders>
            <w:shd w:fill="F3F3F9"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34 </w:t>
            </w:r>
          </w:p>
        </w:tc>
        <w:tc>
          <w:tcPr>
            <w:tcW w:w="331" w:type="dxa"/>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34 </w:t>
            </w:r>
          </w:p>
        </w:tc>
        <w:tc>
          <w:tcPr>
            <w:tcW w:w="281" w:type="dxa"/>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396" w:type="dxa"/>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32" w:type="dxa"/>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Helvetica Light;sans-serif" w:hAnsi="Helvetica Light;sans-serif"/>
          <w:b w:val="false"/>
          <w:color w:val="000000"/>
          <w:sz w:val="16"/>
        </w:rPr>
        <w:t>(1)</w:t>
      </w:r>
      <w:r>
        <w:rPr>
          <w:color w:val="000000"/>
        </w:rPr>
        <w:t xml:space="preserve"> </w:t>
      </w:r>
      <w:r>
        <w:rPr>
          <w:rFonts w:ascii="Helvetica Light;sans-serif" w:hAnsi="Helvetica Light;sans-serif"/>
          <w:b w:val="false"/>
          <w:color w:val="000000"/>
          <w:sz w:val="16"/>
        </w:rPr>
        <w:t xml:space="preserve">Related to Debt excluding Asset-backed financing, refer to Note 13, </w:t>
      </w:r>
      <w:r>
        <w:rPr>
          <w:rFonts w:ascii="Helvetica Light;sans-serif" w:hAnsi="Helvetica Light;sans-serif"/>
          <w:b w:val="false"/>
          <w:i/>
          <w:color w:val="000000"/>
          <w:sz w:val="16"/>
        </w:rPr>
        <w:t>Debt</w:t>
      </w:r>
      <w:r>
        <w:rPr>
          <w:color w:val="000000"/>
        </w:rPr>
        <w:t xml:space="preserve"> </w:t>
      </w:r>
      <w:r>
        <w:rPr>
          <w:rFonts w:ascii="Helvetica Light;sans-serif" w:hAnsi="Helvetica Light;sans-serif"/>
          <w:b w:val="false"/>
          <w:color w:val="000000"/>
          <w:sz w:val="16"/>
        </w:rPr>
        <w:t>for additional information</w:t>
      </w:r>
    </w:p>
    <w:p>
      <w:pPr>
        <w:pStyle w:val="TextBody"/>
        <w:bidi w:val="0"/>
        <w:spacing w:lineRule="auto" w:line="268" w:before="0" w:after="240"/>
        <w:jc w:val="left"/>
        <w:rPr>
          <w:rFonts w:ascii="Helvetica Light;sans-serif" w:hAnsi="Helvetica Light;sans-serif"/>
          <w:b w:val="false"/>
          <w:color w:val="000000"/>
          <w:sz w:val="16"/>
        </w:rPr>
      </w:pPr>
      <w:r>
        <w:rPr>
          <w:rFonts w:ascii="Helvetica Light;sans-serif" w:hAnsi="Helvetica Light;sans-serif"/>
          <w:b w:val="false"/>
          <w:color w:val="000000"/>
          <w:sz w:val="16"/>
        </w:rPr>
        <w:t xml:space="preserve">(2) Trade payables and Other liabilities at December 31, 2025 previously reported have been increased by €1,052 million to reflect the portion of payables for buy-back agreements related to transactions with Leasys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Helvetica;sans-serif" w:hAnsi="Helvetica;sans-serif"/>
          <w:b/>
          <w:color w:val="143A84"/>
          <w:sz w:val="20"/>
        </w:rPr>
      </w:pPr>
      <w:r>
        <w:rPr>
          <w:rFonts w:ascii="Helvetica;sans-serif" w:hAnsi="Helvetica;sans-serif"/>
          <w:b/>
          <w:color w:val="143A84"/>
          <w:sz w:val="20"/>
        </w:rPr>
        <w:t>17. Guarantees granted, commitments and contingent liabilities</w:t>
      </w:r>
    </w:p>
    <w:p>
      <w:pPr>
        <w:pStyle w:val="TextBody"/>
        <w:bidi w:val="0"/>
        <w:spacing w:lineRule="auto" w:line="288" w:before="0" w:after="240"/>
        <w:jc w:val="left"/>
        <w:rPr>
          <w:rFonts w:ascii="Helvetica;sans-serif" w:hAnsi="Helvetica;sans-serif"/>
          <w:b w:val="false"/>
          <w:color w:val="143A84"/>
          <w:sz w:val="20"/>
        </w:rPr>
      </w:pPr>
      <w:r>
        <w:rPr>
          <w:rFonts w:ascii="Helvetica;sans-serif" w:hAnsi="Helvetica;sans-serif"/>
          <w:b w:val="false"/>
          <w:color w:val="143A84"/>
          <w:sz w:val="20"/>
        </w:rPr>
        <w:t>Guarantees granted and commitments</w:t>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As of June 30, 2026, Stellantis N.V., guaranteed €1,395 million, or 49 percent of the total granted guarantees to third parties in respect of StarPlus Energy LLC’s total commitment of €2,848 million (€2,373 million at December 31, 2025).</w:t>
      </w:r>
    </w:p>
    <w:p>
      <w:pPr>
        <w:pStyle w:val="TextBody"/>
        <w:bidi w:val="0"/>
        <w:spacing w:before="0" w:after="24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503555"/>
                <wp:effectExtent l="0" t="0" r="0" b="0"/>
                <wp:wrapNone/>
                <wp:docPr id="97" name="Frame82"/>
                <a:graphic xmlns:a="http://schemas.openxmlformats.org/drawingml/2006/main">
                  <a:graphicData uri="http://schemas.microsoft.com/office/word/2010/wordprocessingShape">
                    <wps:wsp>
                      <wps:cNvSpPr txBox="1"/>
                      <wps:spPr>
                        <a:xfrm>
                          <a:off x="0" y="0"/>
                          <a:ext cx="6480175" cy="5035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78</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78</w:t>
                      </w:r>
                    </w:p>
                    <w:p>
                      <w:pPr>
                        <w:pStyle w:val="TextBody"/>
                        <w:bidi w:val="0"/>
                        <w:spacing w:before="0" w:after="24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As of June 30, 2026, Stellantis España guaranteed €112 million or 50 percent of the total granted guarantees to third parties in respect of Contemporary Star Energy’s total commitment of €223 million.</w:t>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In 2024, NextStar entered into a loan facility with third</w:t>
        <w:noBreakHyphen/>
        <w:t>party financial institutions for a notional amount of €1,144 million ($1,344 million at December 31, 2025), which was 49 percent guaranteed by Stellantis N.V. The facility was fully drawn at December 31, 2025. In March 2026, the Stellantis guarantees were terminated in connection with the exit from NextStar.</w:t>
      </w:r>
    </w:p>
    <w:p>
      <w:pPr>
        <w:pStyle w:val="TextBody"/>
        <w:bidi w:val="0"/>
        <w:spacing w:lineRule="auto" w:line="288" w:before="0" w:after="240"/>
        <w:jc w:val="left"/>
        <w:rPr/>
      </w:pPr>
      <w:r>
        <w:rPr>
          <w:rFonts w:ascii="Helvetica;sans-serif" w:hAnsi="Helvetica;sans-serif"/>
          <w:b w:val="false"/>
          <w:color w:val="143A84"/>
          <w:sz w:val="20"/>
        </w:rPr>
        <w:t>Litigation</w:t>
      </w:r>
      <w:r>
        <w:rPr>
          <w:color w:val="143A84"/>
        </w:rPr>
        <w:t xml:space="preserve"> </w:t>
      </w:r>
    </w:p>
    <w:p>
      <w:pPr>
        <w:pStyle w:val="TextBody"/>
        <w:bidi w:val="0"/>
        <w:spacing w:lineRule="auto" w:line="288" w:before="0" w:after="240"/>
        <w:jc w:val="left"/>
        <w:rPr>
          <w:rFonts w:ascii="Helvetica;sans-serif" w:hAnsi="Helvetica;sans-serif"/>
          <w:b w:val="false"/>
          <w:i/>
          <w:color w:val="143A84"/>
          <w:sz w:val="20"/>
        </w:rPr>
      </w:pPr>
      <w:r>
        <w:rPr>
          <w:rFonts w:ascii="Helvetica;sans-serif" w:hAnsi="Helvetica;sans-serif"/>
          <w:b w:val="false"/>
          <w:i/>
          <w:color w:val="143A84"/>
          <w:sz w:val="20"/>
        </w:rPr>
        <w:t>Takata Airbag Recalls - Civil Litigation</w:t>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We are subject to product liability claims, and consumer class, collective, and individual actions in several European jurisdictions and certain other countries, seeking compensation for the effects of Takata airbag recalls and stop-drive measures that we have progressively implemented since 2023. Given the number, preliminary status, and range of potential outcomes, at this stage we are unable to evaluate the likelihood that a material loss will be incurred with regard to these matters or estimate a range of possible loss.</w:t>
      </w:r>
    </w:p>
    <w:p>
      <w:pPr>
        <w:pStyle w:val="TextBody"/>
        <w:bidi w:val="0"/>
        <w:spacing w:lineRule="auto" w:line="288" w:before="0" w:after="240"/>
        <w:jc w:val="left"/>
        <w:rPr>
          <w:rFonts w:ascii="Helvetica;sans-serif" w:hAnsi="Helvetica;sans-serif"/>
          <w:b w:val="false"/>
          <w:color w:val="143A84"/>
          <w:sz w:val="20"/>
        </w:rPr>
      </w:pPr>
      <w:r>
        <w:rPr>
          <w:rFonts w:ascii="Helvetica;sans-serif" w:hAnsi="Helvetica;sans-serif"/>
          <w:b w:val="false"/>
          <w:color w:val="143A84"/>
          <w:sz w:val="20"/>
        </w:rPr>
        <w:t>Other commitments, arrangements and contractual rights</w:t>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At June 30, 2026, total joint venture and associate capital commitments were €1,256 million covering the period through 2037.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Helvetica;sans-serif" w:hAnsi="Helvetica;sans-serif"/>
          <w:b/>
          <w:color w:val="143A84"/>
          <w:sz w:val="20"/>
        </w:rPr>
      </w:pPr>
      <w:r>
        <w:rPr>
          <w:rFonts w:ascii="Helvetica;sans-serif" w:hAnsi="Helvetica;sans-serif"/>
          <w:b/>
          <w:color w:val="143A84"/>
          <w:sz w:val="20"/>
        </w:rPr>
        <w:t>18. Equity</w:t>
      </w:r>
    </w:p>
    <w:p>
      <w:pPr>
        <w:pStyle w:val="TextBody"/>
        <w:bidi w:val="0"/>
        <w:spacing w:lineRule="auto" w:line="288" w:before="0" w:after="240"/>
        <w:jc w:val="left"/>
        <w:rPr>
          <w:rFonts w:ascii="Helvetica;sans-serif" w:hAnsi="Helvetica;sans-serif"/>
          <w:b w:val="false"/>
          <w:color w:val="143A84"/>
          <w:sz w:val="20"/>
        </w:rPr>
      </w:pPr>
      <w:r>
        <w:rPr>
          <w:rFonts w:ascii="Helvetica;sans-serif" w:hAnsi="Helvetica;sans-serif"/>
          <w:b w:val="false"/>
          <w:color w:val="143A84"/>
          <w:sz w:val="20"/>
        </w:rPr>
        <w:t xml:space="preserve">Share capital </w:t>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At June 30, 2026, the authorized share capital of Stellantis was ninety million Euro (€90,000,000), divided into 4.5 billion (4,500,000,000) Stellantis common shares, nominal value of one Euro cent (€0.01) per share and 4.5 billion (4,499,750,000) class A special voting shares, nominal value of one Euro cent (€0.01) per share each and two hundred and fifty thousand (250,000) class B special voting shares with a nominal value of one euro cent (€0.01) each.</w:t>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At June 30, 2026, the fully paid-up share capital of Stellantis amounted to €37 million (€37 million at December 31, 2025) and consisted of 2,903,716,295 common shares (2,903,716,295 at December 31, 2025), of which 2,775,043 held in treasury (6,233,099 at December 31, 2025), 866,522,224 special voting shares A (866,522,224 at December 31, 2025) of which 139,606 held in treasury (113,162 at December 31, 2025).</w:t>
      </w:r>
    </w:p>
    <w:p>
      <w:pPr>
        <w:pStyle w:val="TextBody"/>
        <w:bidi w:val="0"/>
        <w:spacing w:lineRule="auto" w:line="343" w:before="0" w:after="240"/>
        <w:jc w:val="left"/>
        <w:rPr/>
      </w:pPr>
      <w:r>
        <w:rPr>
          <w:rFonts w:ascii="Helvetica Light;sans-serif" w:hAnsi="Helvetica Light;sans-serif"/>
          <w:b w:val="false"/>
          <w:color w:val="000000"/>
          <w:sz w:val="20"/>
        </w:rPr>
        <w:t>At June 30, 2026 there were 2,900,941,252 outstanding common shares (2,897,483,196 at December 31, 2025). In the six months ended June 30, 2026, 3,458,056 were delivered in execution of the Share-based compensation plans.</w:t>
      </w:r>
      <w:r>
        <w:rPr>
          <w:color w:val="000000"/>
        </w:rPr>
        <w:t xml:space="preserve"> </w:t>
      </w:r>
    </w:p>
    <w:p>
      <w:pPr>
        <w:pStyle w:val="TextBody"/>
        <w:bidi w:val="0"/>
        <w:spacing w:lineRule="auto" w:line="288" w:before="0" w:after="240"/>
        <w:jc w:val="left"/>
        <w:rPr>
          <w:rFonts w:ascii="Helvetica;sans-serif" w:hAnsi="Helvetica;sans-serif"/>
          <w:b w:val="false"/>
          <w:color w:val="143A84"/>
          <w:sz w:val="20"/>
        </w:rPr>
      </w:pPr>
      <w:r>
        <w:rPr>
          <w:rFonts w:ascii="Helvetica;sans-serif" w:hAnsi="Helvetica;sans-serif"/>
          <w:b w:val="false"/>
          <w:color w:val="143A84"/>
          <w:sz w:val="20"/>
        </w:rPr>
        <w:t>Share buyback program</w:t>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At the annual general meeting (“AGM”) on April 13, 2023, the Board of Directors was authorized to acquire common shares in the capital of the Company, either through purchase on a stock exchange, through a public tender offer, an offer for exchange or otherwise, up to a maximum number of shares equal to 10 percent of the Company’s issued common shares. The authorization was for a period of 18 months from the date of the 2023 AGM. The authorization was renewed in the same terms at the AGM on April 14, 2026.</w:t>
      </w:r>
    </w:p>
    <w:p>
      <w:pPr>
        <w:pStyle w:val="TextBody"/>
        <w:bidi w:val="0"/>
        <w:spacing w:before="0" w:after="24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503555"/>
                <wp:effectExtent l="0" t="0" r="0" b="0"/>
                <wp:wrapNone/>
                <wp:docPr id="98" name="Frame83"/>
                <a:graphic xmlns:a="http://schemas.openxmlformats.org/drawingml/2006/main">
                  <a:graphicData uri="http://schemas.microsoft.com/office/word/2010/wordprocessingShape">
                    <wps:wsp>
                      <wps:cNvSpPr txBox="1"/>
                      <wps:spPr>
                        <a:xfrm>
                          <a:off x="0" y="0"/>
                          <a:ext cx="6480175" cy="5035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79</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79</w:t>
                      </w:r>
                    </w:p>
                    <w:p>
                      <w:pPr>
                        <w:pStyle w:val="TextBody"/>
                        <w:bidi w:val="0"/>
                        <w:spacing w:before="0" w:after="24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88" w:before="0" w:after="240"/>
        <w:jc w:val="left"/>
        <w:rPr>
          <w:rFonts w:ascii="Helvetica;sans-serif" w:hAnsi="Helvetica;sans-serif"/>
          <w:b w:val="false"/>
          <w:color w:val="143A84"/>
          <w:sz w:val="20"/>
        </w:rPr>
      </w:pPr>
      <w:r>
        <w:rPr>
          <w:rFonts w:ascii="Helvetica;sans-serif" w:hAnsi="Helvetica;sans-serif"/>
          <w:b w:val="false"/>
          <w:color w:val="143A84"/>
          <w:sz w:val="20"/>
        </w:rPr>
        <w:t xml:space="preserve">Perpetual subordinated fixed rate resettable capital securities (“Hybrid perpetual notes”) </w:t>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In March 2026, the Company issued three tranches of Hybrid perpetual notes:</w:t>
      </w:r>
    </w:p>
    <w:p>
      <w:pPr>
        <w:pStyle w:val="TextBody"/>
        <w:bidi w:val="0"/>
        <w:spacing w:lineRule="auto" w:line="343" w:before="0" w:after="240"/>
        <w:ind w:left="0" w:right="0" w:hanging="173"/>
        <w:jc w:val="left"/>
        <w:rPr/>
      </w:pPr>
      <w:r>
        <w:rPr>
          <w:color w:val="143A84"/>
        </w:rPr>
        <w:t>•</w:t>
      </w:r>
      <w:r>
        <w:rPr>
          <w:color w:val="000000"/>
        </w:rPr>
        <w:t>€</w:t>
      </w:r>
      <w:r>
        <w:rPr>
          <w:rFonts w:ascii="Helvetica Light;sans-serif" w:hAnsi="Helvetica Light;sans-serif"/>
          <w:b w:val="false"/>
          <w:color w:val="000000"/>
          <w:sz w:val="20"/>
        </w:rPr>
        <w:t>2.2 billion with a non</w:t>
        <w:noBreakHyphen/>
        <w:t>call period of 5.25 years and an annual coupon of 6.250 percent until the first reset date on June 16, 2031;</w:t>
      </w:r>
    </w:p>
    <w:p>
      <w:pPr>
        <w:pStyle w:val="TextBody"/>
        <w:bidi w:val="0"/>
        <w:spacing w:lineRule="auto" w:line="343" w:before="0" w:after="240"/>
        <w:ind w:left="0" w:right="0" w:hanging="173"/>
        <w:jc w:val="left"/>
        <w:rPr/>
      </w:pPr>
      <w:r>
        <w:rPr>
          <w:color w:val="143A84"/>
        </w:rPr>
        <w:t>•</w:t>
      </w:r>
      <w:r>
        <w:rPr>
          <w:color w:val="000000"/>
        </w:rPr>
        <w:t>€</w:t>
      </w:r>
      <w:r>
        <w:rPr>
          <w:rFonts w:ascii="Helvetica Light;sans-serif" w:hAnsi="Helvetica Light;sans-serif"/>
          <w:b w:val="false"/>
          <w:color w:val="000000"/>
          <w:sz w:val="20"/>
        </w:rPr>
        <w:t>1.8 billion with a non</w:t>
        <w:noBreakHyphen/>
        <w:t>call period of 8 years and an annual coupon of 6.875 percent until the first reset date on March 16, 2034; and</w:t>
      </w:r>
    </w:p>
    <w:p>
      <w:pPr>
        <w:pStyle w:val="TextBody"/>
        <w:bidi w:val="0"/>
        <w:spacing w:lineRule="auto" w:line="343" w:before="0" w:after="240"/>
        <w:ind w:left="0" w:right="0" w:hanging="173"/>
        <w:jc w:val="left"/>
        <w:rPr/>
      </w:pPr>
      <w:r>
        <w:rPr>
          <w:color w:val="143A84"/>
        </w:rPr>
        <w:t>•</w:t>
      </w:r>
      <w:r>
        <w:rPr>
          <w:rFonts w:ascii="Helvetica Light;sans-serif" w:hAnsi="Helvetica Light;sans-serif"/>
          <w:b w:val="false"/>
          <w:color w:val="000000"/>
          <w:sz w:val="20"/>
        </w:rPr>
        <w:t>GBP 865 million (€997 million) with a non</w:t>
        <w:noBreakHyphen/>
        <w:t>call period of 6.5 years and an annual coupon of 8.250 percent until the first reset date on September 16, 2032.</w:t>
      </w:r>
    </w:p>
    <w:p>
      <w:pPr>
        <w:pStyle w:val="TextBody"/>
        <w:bidi w:val="0"/>
        <w:spacing w:lineRule="auto" w:line="288" w:before="0" w:after="240"/>
        <w:jc w:val="left"/>
        <w:rPr>
          <w:rFonts w:ascii="Helvetica;sans-serif" w:hAnsi="Helvetica;sans-serif"/>
          <w:b w:val="false"/>
          <w:i/>
          <w:color w:val="143A84"/>
          <w:sz w:val="20"/>
        </w:rPr>
      </w:pPr>
      <w:r>
        <w:rPr>
          <w:rFonts w:ascii="Helvetica;sans-serif" w:hAnsi="Helvetica;sans-serif"/>
          <w:b w:val="false"/>
          <w:i/>
          <w:color w:val="143A84"/>
          <w:sz w:val="20"/>
        </w:rPr>
        <w:t>Coupon</w:t>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 xml:space="preserve">The fixed-rate coupons are subject to a reset every five years, beginning from the respective first reset date indicated above. </w:t>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Coupon payments may be deferred indefinitely at the Company’s discretion, and Stellantis is not obligated to make any payments, subject to certain conditions. Deferred coupons will accumulate and will become payable only if the Hybrid perpetual notes are called by Stellantis. In limited circumstances such as the declaration of dividends, payments on junior securities or parity obligations, Stellantis is required to pay any then-deferred coupons.</w:t>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The Hybrid perpetual notes have no maturity date, however, subject to applicable non-call periods, the Company may redeem them in whole at its discretion.</w:t>
      </w:r>
    </w:p>
    <w:p>
      <w:pPr>
        <w:pStyle w:val="TextBody"/>
        <w:bidi w:val="0"/>
        <w:spacing w:lineRule="auto" w:line="288" w:before="0" w:after="240"/>
        <w:jc w:val="left"/>
        <w:rPr>
          <w:rFonts w:ascii="Helvetica;sans-serif" w:hAnsi="Helvetica;sans-serif"/>
          <w:b w:val="false"/>
          <w:i/>
          <w:color w:val="143A84"/>
          <w:sz w:val="20"/>
        </w:rPr>
      </w:pPr>
      <w:r>
        <w:rPr>
          <w:rFonts w:ascii="Helvetica;sans-serif" w:hAnsi="Helvetica;sans-serif"/>
          <w:b w:val="false"/>
          <w:i/>
          <w:color w:val="143A84"/>
          <w:sz w:val="20"/>
        </w:rPr>
        <w:t>Accounting treatment</w:t>
      </w:r>
    </w:p>
    <w:p>
      <w:pPr>
        <w:pStyle w:val="TextBody"/>
        <w:bidi w:val="0"/>
        <w:spacing w:lineRule="auto" w:line="343" w:before="0" w:after="240"/>
        <w:jc w:val="left"/>
        <w:rPr/>
      </w:pPr>
      <w:r>
        <w:rPr>
          <w:rFonts w:ascii="Helvetica Light;sans-serif" w:hAnsi="Helvetica Light;sans-serif"/>
          <w:b w:val="false"/>
          <w:color w:val="000000"/>
          <w:sz w:val="20"/>
        </w:rPr>
        <w:t xml:space="preserve">Debt and equity instruments are classified by the Company as either financial liabilities or as equity in accordance with the substance of the contractual arrangements and with the definitions of a financial liability and equity instrument set out in IAS 32 - </w:t>
      </w:r>
      <w:r>
        <w:rPr>
          <w:rFonts w:ascii="Helvetica Light;sans-serif" w:hAnsi="Helvetica Light;sans-serif"/>
          <w:b w:val="false"/>
          <w:i/>
          <w:color w:val="000000"/>
          <w:sz w:val="20"/>
        </w:rPr>
        <w:t>Financial Instruments</w:t>
      </w:r>
      <w:r>
        <w:rPr>
          <w:rFonts w:ascii="Helvetica Light;sans-serif" w:hAnsi="Helvetica Light;sans-serif"/>
          <w:b w:val="false"/>
          <w:color w:val="000000"/>
          <w:sz w:val="20"/>
        </w:rPr>
        <w:t>.</w:t>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Equity instruments issued by the Company are recognized when the proceeds are received, net of direct issuance costs.</w:t>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The repurchase of equity instruments issued by the Company is recognized and deducted directly in equity. No gain or loss is recognized in the profit or loss on the purchase, sale, issue or cancellation of equity instruments issued by the Company.</w:t>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Distributions to holders of equity instruments are recognized directly in equity.</w:t>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The characteristics of the Hybrid perpetual notes give the Company an unconditional right to avoid paying the principal or interest. As a result, and in accordance with IAS 32, these securities are classified as equity instruments, and any payment, net of taxes is accounted for as a deduction of equity.</w:t>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 xml:space="preserve">The issuance discount and transaction costs related to these issuances amount to €73 million, and have been recorded in equity, in accordance with IAS 32.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503555"/>
                <wp:effectExtent l="0" t="0" r="0" b="0"/>
                <wp:wrapNone/>
                <wp:docPr id="99" name="Frame84"/>
                <a:graphic xmlns:a="http://schemas.openxmlformats.org/drawingml/2006/main">
                  <a:graphicData uri="http://schemas.microsoft.com/office/word/2010/wordprocessingShape">
                    <wps:wsp>
                      <wps:cNvSpPr txBox="1"/>
                      <wps:spPr>
                        <a:xfrm>
                          <a:off x="0" y="0"/>
                          <a:ext cx="6480175" cy="5035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80</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80</w:t>
                      </w:r>
                    </w:p>
                    <w:p>
                      <w:pPr>
                        <w:pStyle w:val="TextBody"/>
                        <w:bidi w:val="0"/>
                        <w:spacing w:before="0" w:after="24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88" w:before="0" w:after="240"/>
        <w:jc w:val="left"/>
        <w:rPr/>
      </w:pPr>
      <w:r>
        <w:rPr>
          <w:rFonts w:ascii="Helvetica;sans-serif" w:hAnsi="Helvetica;sans-serif"/>
          <w:b/>
          <w:color w:val="143A84"/>
          <w:sz w:val="20"/>
        </w:rPr>
        <w:t>19. Earnings/(loss) per share</w:t>
      </w:r>
      <w:r>
        <w:rPr>
          <w:color w:val="000000"/>
        </w:rPr>
        <w:t xml:space="preserve"> </w:t>
      </w:r>
    </w:p>
    <w:p>
      <w:pPr>
        <w:pStyle w:val="TextBody"/>
        <w:bidi w:val="0"/>
        <w:spacing w:lineRule="auto" w:line="343" w:before="0" w:after="240"/>
        <w:jc w:val="left"/>
        <w:rPr/>
      </w:pPr>
      <w:r>
        <w:rPr>
          <w:rFonts w:ascii="Helvetica Light;sans-serif" w:hAnsi="Helvetica Light;sans-serif"/>
          <w:b w:val="false"/>
          <w:color w:val="000000"/>
          <w:sz w:val="20"/>
        </w:rPr>
        <w:t xml:space="preserve">In 2026, following the issuance of Hybrid perpetual notes classified as equity (refer to Note 18, </w:t>
      </w:r>
      <w:r>
        <w:rPr>
          <w:rFonts w:ascii="Helvetica Light;sans-serif" w:hAnsi="Helvetica Light;sans-serif"/>
          <w:b w:val="false"/>
          <w:i/>
          <w:color w:val="000000"/>
          <w:sz w:val="20"/>
        </w:rPr>
        <w:t xml:space="preserve">Equity </w:t>
      </w:r>
      <w:r>
        <w:rPr>
          <w:rFonts w:ascii="Helvetica Light;sans-serif" w:hAnsi="Helvetica Light;sans-serif"/>
          <w:b w:val="false"/>
          <w:color w:val="000000"/>
          <w:sz w:val="20"/>
        </w:rPr>
        <w:t xml:space="preserve">for additional information), coupons accrued on these instruments, together with the Hybrid perpetual notes, are accounted for in a separate reserve within equity, which is not available for distribution to equity holders. The deferred tax effect arising from the issuance discount and other costs on the Hybrid perpetual notes is also recognized directly in equity within Retained earnings and other reserves. Accordingly, the coupon accrued and the deferred tax impact are deducted from Net profit/(loss) attributable to the equity holders of the parent in calculating both basic and diluted earnings per share. No such adjustment was required in 2025, as no Hybrid perpetual notes were outstanding during that period. </w:t>
      </w:r>
    </w:p>
    <w:p>
      <w:pPr>
        <w:pStyle w:val="TextBody"/>
        <w:bidi w:val="0"/>
        <w:spacing w:lineRule="auto" w:line="288" w:before="0" w:after="240"/>
        <w:jc w:val="left"/>
        <w:rPr>
          <w:rFonts w:ascii="Helvetica;sans-serif" w:hAnsi="Helvetica;sans-serif"/>
          <w:b w:val="false"/>
          <w:color w:val="143A84"/>
          <w:sz w:val="20"/>
        </w:rPr>
      </w:pPr>
      <w:r>
        <w:rPr>
          <w:rFonts w:ascii="Helvetica;sans-serif" w:hAnsi="Helvetica;sans-serif"/>
          <w:b w:val="false"/>
          <w:color w:val="143A84"/>
          <w:sz w:val="20"/>
        </w:rPr>
        <w:t xml:space="preserve">Basic (loss)/earnings per share </w:t>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 xml:space="preserve">Basic (loss)/earnings per share for the three and six months ended June 30, 2026 and 2025 was determined by dividing the Net profit/(loss) attributable to the equity holders of the parent adjusted for coupons on Hybrid perpetual notes, net of taxes, by the weighted average number of shares outstanding during each period. </w:t>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The following table summarizes the amounts used to calculate the basic earnings/(loss) per share:</w:t>
      </w:r>
    </w:p>
    <w:tbl>
      <w:tblPr>
        <w:tblW w:w="10205" w:type="dxa"/>
        <w:jc w:val="left"/>
        <w:tblInd w:w="0" w:type="dxa"/>
        <w:tblLayout w:type="fixed"/>
        <w:tblCellMar>
          <w:top w:w="28" w:type="dxa"/>
          <w:left w:w="28" w:type="dxa"/>
          <w:bottom w:w="28" w:type="dxa"/>
          <w:right w:w="28" w:type="dxa"/>
        </w:tblCellMar>
      </w:tblPr>
      <w:tblGrid>
        <w:gridCol w:w="1200"/>
        <w:gridCol w:w="935"/>
        <w:gridCol w:w="943"/>
        <w:gridCol w:w="224"/>
        <w:gridCol w:w="224"/>
        <w:gridCol w:w="228"/>
        <w:gridCol w:w="609"/>
        <w:gridCol w:w="367"/>
        <w:gridCol w:w="223"/>
        <w:gridCol w:w="223"/>
        <w:gridCol w:w="223"/>
        <w:gridCol w:w="223"/>
        <w:gridCol w:w="680"/>
        <w:gridCol w:w="296"/>
        <w:gridCol w:w="223"/>
        <w:gridCol w:w="109"/>
        <w:gridCol w:w="109"/>
        <w:gridCol w:w="109"/>
        <w:gridCol w:w="542"/>
        <w:gridCol w:w="434"/>
        <w:gridCol w:w="203"/>
        <w:gridCol w:w="203"/>
        <w:gridCol w:w="203"/>
        <w:gridCol w:w="203"/>
        <w:gridCol w:w="604"/>
        <w:gridCol w:w="372"/>
        <w:gridCol w:w="293"/>
      </w:tblGrid>
      <w:tr>
        <w:trPr/>
        <w:tc>
          <w:tcPr>
            <w:tcW w:w="1200"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r>
      <w:tr>
        <w:trPr/>
        <w:tc>
          <w:tcPr>
            <w:tcW w:w="3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7" w:type="dxa"/>
            <w:gridSpan w:val="9"/>
            <w:tcBorders>
              <w:bottom w:val="single" w:sz="2" w:space="0" w:color="8E939F"/>
            </w:tcBorders>
            <w:tcMar>
              <w:top w:w="0" w:type="dxa"/>
              <w:left w:w="0" w:type="dxa"/>
              <w:bottom w:w="3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Three months ended June 30,</w:t>
            </w:r>
          </w:p>
        </w:tc>
        <w:tc>
          <w:tcPr>
            <w:tcW w:w="327" w:type="dxa"/>
            <w:gridSpan w:val="3"/>
            <w:tcBorders>
              <w:bottom w:val="single" w:sz="2" w:space="0" w:color="8E939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057" w:type="dxa"/>
            <w:gridSpan w:val="9"/>
            <w:tcBorders>
              <w:bottom w:val="single" w:sz="2" w:space="0" w:color="8E939F"/>
            </w:tcBorders>
            <w:tcMar>
              <w:top w:w="0" w:type="dxa"/>
              <w:left w:w="0" w:type="dxa"/>
              <w:bottom w:w="3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Six months ended June 30,</w:t>
            </w:r>
          </w:p>
        </w:tc>
      </w:tr>
      <w:tr>
        <w:trPr/>
        <w:tc>
          <w:tcPr>
            <w:tcW w:w="3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2026</w:t>
            </w:r>
          </w:p>
        </w:tc>
        <w:tc>
          <w:tcPr>
            <w:tcW w:w="669"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2025</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2026</w:t>
            </w:r>
          </w:p>
        </w:tc>
        <w:tc>
          <w:tcPr>
            <w:tcW w:w="609"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2025</w:t>
            </w:r>
          </w:p>
        </w:tc>
      </w:tr>
      <w:tr>
        <w:trPr/>
        <w:tc>
          <w:tcPr>
            <w:tcW w:w="3078" w:type="dxa"/>
            <w:gridSpan w:val="3"/>
            <w:tcBorders>
              <w:top w:val="single" w:sz="2" w:space="0" w:color="143A84"/>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Net profit/(loss) attributable to owners of the parent</w:t>
            </w:r>
          </w:p>
        </w:tc>
        <w:tc>
          <w:tcPr>
            <w:tcW w:w="676" w:type="dxa"/>
            <w:gridSpan w:val="3"/>
            <w:tcBorders>
              <w:top w:val="single" w:sz="2" w:space="0" w:color="143A84"/>
            </w:tcBorders>
            <w:tcMar>
              <w:top w:w="52" w:type="dxa"/>
              <w:left w:w="0" w:type="dxa"/>
              <w:bottom w:w="0" w:type="dxa"/>
              <w:right w:w="0" w:type="dxa"/>
            </w:tcMar>
            <w:vAlign w:val="center"/>
          </w:tcPr>
          <w:p>
            <w:pPr>
              <w:pStyle w:val="TableContents"/>
              <w:bidi w:val="0"/>
              <w:spacing w:lineRule="auto" w:line="288" w:before="0" w:after="240"/>
              <w:jc w:val="left"/>
              <w:rPr>
                <w:rFonts w:ascii="Helvetica;sans-serif" w:hAnsi="Helvetica;sans-serif"/>
                <w:b w:val="false"/>
                <w:i/>
                <w:color w:val="000000"/>
                <w:sz w:val="14"/>
              </w:rPr>
            </w:pPr>
            <w:r>
              <w:rPr>
                <w:rFonts w:ascii="Helvetica;sans-serif" w:hAnsi="Helvetica;sans-serif"/>
                <w:b w:val="false"/>
                <w:i/>
                <w:color w:val="000000"/>
                <w:sz w:val="14"/>
              </w:rPr>
              <w:t>million</w:t>
            </w:r>
          </w:p>
        </w:tc>
        <w:tc>
          <w:tcPr>
            <w:tcW w:w="976" w:type="dxa"/>
            <w:gridSpan w:val="2"/>
            <w:tcBorders>
              <w:top w:val="single" w:sz="2" w:space="0" w:color="143A84"/>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266 </w:t>
            </w:r>
          </w:p>
        </w:tc>
        <w:tc>
          <w:tcPr>
            <w:tcW w:w="223" w:type="dxa"/>
            <w:tcBorders>
              <w:top w:val="single" w:sz="2" w:space="0" w:color="143A84"/>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143A84"/>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(1,869)</w:t>
            </w:r>
          </w:p>
        </w:tc>
        <w:tc>
          <w:tcPr>
            <w:tcW w:w="223" w:type="dxa"/>
            <w:tcBorders>
              <w:top w:val="single" w:sz="2" w:space="0" w:color="143A84"/>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143A84"/>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656 </w:t>
            </w:r>
          </w:p>
        </w:tc>
        <w:tc>
          <w:tcPr>
            <w:tcW w:w="203" w:type="dxa"/>
            <w:tcBorders>
              <w:top w:val="single" w:sz="2" w:space="0" w:color="143A84"/>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143A84"/>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(2,240)</w:t>
            </w:r>
          </w:p>
        </w:tc>
        <w:tc>
          <w:tcPr>
            <w:tcW w:w="293" w:type="dxa"/>
            <w:tcBorders>
              <w:top w:val="single" w:sz="2" w:space="0" w:color="143A84"/>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8"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Coupon and tax impacts on Hybrid perpetual notes</w:t>
            </w:r>
          </w:p>
        </w:tc>
        <w:tc>
          <w:tcPr>
            <w:tcW w:w="676"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40"/>
              <w:jc w:val="left"/>
              <w:rPr>
                <w:rFonts w:ascii="Helvetica;sans-serif" w:hAnsi="Helvetica;sans-serif"/>
                <w:b w:val="false"/>
                <w:i/>
                <w:color w:val="000000"/>
                <w:sz w:val="14"/>
              </w:rPr>
            </w:pPr>
            <w:r>
              <w:rPr>
                <w:rFonts w:ascii="Helvetica;sans-serif" w:hAnsi="Helvetica;sans-serif"/>
                <w:b w:val="false"/>
                <w:i/>
                <w:color w:val="000000"/>
                <w:sz w:val="14"/>
              </w:rPr>
              <w:t>million</w:t>
            </w:r>
          </w:p>
        </w:tc>
        <w:tc>
          <w:tcPr>
            <w:tcW w:w="976"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(72)</w:t>
            </w:r>
          </w:p>
        </w:tc>
        <w:tc>
          <w:tcPr>
            <w:tcW w:w="223"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3"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(64)</w:t>
            </w:r>
          </w:p>
        </w:tc>
        <w:tc>
          <w:tcPr>
            <w:tcW w:w="203"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3"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8"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Weighted average number of shares outstanding</w:t>
            </w:r>
          </w:p>
        </w:tc>
        <w:tc>
          <w:tcPr>
            <w:tcW w:w="676"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40"/>
              <w:jc w:val="left"/>
              <w:rPr>
                <w:rFonts w:ascii="Helvetica;sans-serif" w:hAnsi="Helvetica;sans-serif"/>
                <w:b w:val="false"/>
                <w:i/>
                <w:color w:val="000000"/>
                <w:sz w:val="14"/>
              </w:rPr>
            </w:pPr>
            <w:r>
              <w:rPr>
                <w:rFonts w:ascii="Helvetica;sans-serif" w:hAnsi="Helvetica;sans-serif"/>
                <w:b w:val="false"/>
                <w:i/>
                <w:color w:val="000000"/>
                <w:sz w:val="14"/>
              </w:rPr>
              <w:t>thousand</w:t>
            </w:r>
          </w:p>
        </w:tc>
        <w:tc>
          <w:tcPr>
            <w:tcW w:w="976"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2,898,791 </w:t>
            </w:r>
          </w:p>
        </w:tc>
        <w:tc>
          <w:tcPr>
            <w:tcW w:w="223"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2,884,704 </w:t>
            </w:r>
          </w:p>
        </w:tc>
        <w:tc>
          <w:tcPr>
            <w:tcW w:w="223"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2,898,144 </w:t>
            </w:r>
          </w:p>
        </w:tc>
        <w:tc>
          <w:tcPr>
            <w:tcW w:w="203"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2,882,611 </w:t>
            </w:r>
          </w:p>
        </w:tc>
        <w:tc>
          <w:tcPr>
            <w:tcW w:w="293"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8" w:type="dxa"/>
            <w:gridSpan w:val="3"/>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243782"/>
                <w:sz w:val="18"/>
              </w:rPr>
            </w:pPr>
            <w:r>
              <w:rPr>
                <w:rFonts w:ascii="Helvetica;sans-serif" w:hAnsi="Helvetica;sans-serif"/>
                <w:b/>
                <w:color w:val="243782"/>
                <w:sz w:val="18"/>
              </w:rPr>
              <w:t>Basic (loss)/earnings per share</w:t>
            </w:r>
          </w:p>
        </w:tc>
        <w:tc>
          <w:tcPr>
            <w:tcW w:w="676" w:type="dxa"/>
            <w:gridSpan w:val="3"/>
            <w:tcBorders>
              <w:top w:val="single" w:sz="2" w:space="0" w:color="8E939F"/>
            </w:tcBorders>
            <w:shd w:fill="E6E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8"/>
              </w:rPr>
              <w:t>0.07</w:t>
            </w:r>
            <w:r>
              <w:rPr>
                <w:color w:val="243782"/>
              </w:rPr>
              <w:t> </w:t>
            </w:r>
          </w:p>
        </w:tc>
        <w:tc>
          <w:tcPr>
            <w:tcW w:w="223"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op w:val="single" w:sz="2" w:space="0" w:color="8E939F"/>
            </w:tcBorders>
            <w:shd w:fill="E6E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(0.65)</w:t>
            </w:r>
          </w:p>
        </w:tc>
        <w:tc>
          <w:tcPr>
            <w:tcW w:w="223"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E6E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8"/>
              </w:rPr>
              <w:t>0.20</w:t>
            </w:r>
            <w:r>
              <w:rPr>
                <w:color w:val="243782"/>
              </w:rPr>
              <w:t> </w:t>
            </w:r>
          </w:p>
        </w:tc>
        <w:tc>
          <w:tcPr>
            <w:tcW w:w="203"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top w:val="single" w:sz="2" w:space="0" w:color="8E939F"/>
            </w:tcBorders>
            <w:shd w:fill="E6E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(0.78)</w:t>
            </w:r>
          </w:p>
        </w:tc>
        <w:tc>
          <w:tcPr>
            <w:tcW w:w="293"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Helvetica;sans-serif" w:hAnsi="Helvetica;sans-serif"/>
          <w:b w:val="false"/>
          <w:color w:val="143A84"/>
          <w:sz w:val="20"/>
        </w:rPr>
      </w:pPr>
      <w:r>
        <w:rPr>
          <w:rFonts w:ascii="Helvetica;sans-serif" w:hAnsi="Helvetica;sans-serif"/>
          <w:b w:val="false"/>
          <w:color w:val="143A84"/>
          <w:sz w:val="20"/>
        </w:rPr>
        <w:t xml:space="preserve">Diluted (loss)/earnings per share </w:t>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In order to calculate the diluted (loss)/earnings per share during the three and six months ended June 30, 2026, the weighted average number of shares outstanding was increased to take into consideration the theoretical effect of the potential common shares that would be issued for the outstanding and unvested share-based compensation awards at June 30, 2026 as determined using the treasury stock method.</w:t>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For the three and six months ended June 30, 2026, there were no instruments excluded from the calculation of diluted earnings per share because of an anti-dilutive effect.</w:t>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For the three and six months ended June 30, 2025, as a result of the loss attributable to owners of the parent, the theoretical effect that would arise if the share-based payment plans were exercised was not taken into consideration in the calculation of diluted earnings/(loss) per share as this would have had an anti-dilutive effect.</w:t>
      </w:r>
    </w:p>
    <w:p>
      <w:pPr>
        <w:pStyle w:val="TextBody"/>
        <w:bidi w:val="0"/>
        <w:spacing w:before="0" w:after="24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503555"/>
                <wp:effectExtent l="0" t="0" r="0" b="0"/>
                <wp:wrapNone/>
                <wp:docPr id="100" name="Frame85"/>
                <a:graphic xmlns:a="http://schemas.openxmlformats.org/drawingml/2006/main">
                  <a:graphicData uri="http://schemas.microsoft.com/office/word/2010/wordprocessingShape">
                    <wps:wsp>
                      <wps:cNvSpPr txBox="1"/>
                      <wps:spPr>
                        <a:xfrm>
                          <a:off x="0" y="0"/>
                          <a:ext cx="6480175" cy="5035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81</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81</w:t>
                      </w:r>
                    </w:p>
                    <w:p>
                      <w:pPr>
                        <w:pStyle w:val="TextBody"/>
                        <w:bidi w:val="0"/>
                        <w:spacing w:before="0" w:after="24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The following table summarizes the amounts used to calculate the diluted (loss)/earnings per share for the six months ended June 30, 2026 and 2025:</w:t>
      </w:r>
    </w:p>
    <w:tbl>
      <w:tblPr>
        <w:tblW w:w="10205" w:type="dxa"/>
        <w:jc w:val="left"/>
        <w:tblInd w:w="0" w:type="dxa"/>
        <w:tblLayout w:type="fixed"/>
        <w:tblCellMar>
          <w:top w:w="28" w:type="dxa"/>
          <w:left w:w="28" w:type="dxa"/>
          <w:bottom w:w="28" w:type="dxa"/>
          <w:right w:w="28" w:type="dxa"/>
        </w:tblCellMar>
      </w:tblPr>
      <w:tblGrid>
        <w:gridCol w:w="1456"/>
        <w:gridCol w:w="992"/>
        <w:gridCol w:w="1001"/>
        <w:gridCol w:w="224"/>
        <w:gridCol w:w="224"/>
        <w:gridCol w:w="228"/>
        <w:gridCol w:w="609"/>
        <w:gridCol w:w="367"/>
        <w:gridCol w:w="184"/>
        <w:gridCol w:w="184"/>
        <w:gridCol w:w="184"/>
        <w:gridCol w:w="184"/>
        <w:gridCol w:w="680"/>
        <w:gridCol w:w="296"/>
        <w:gridCol w:w="184"/>
        <w:gridCol w:w="109"/>
        <w:gridCol w:w="109"/>
        <w:gridCol w:w="109"/>
        <w:gridCol w:w="542"/>
        <w:gridCol w:w="434"/>
        <w:gridCol w:w="170"/>
        <w:gridCol w:w="170"/>
        <w:gridCol w:w="170"/>
        <w:gridCol w:w="170"/>
        <w:gridCol w:w="604"/>
        <w:gridCol w:w="372"/>
        <w:gridCol w:w="249"/>
      </w:tblGrid>
      <w:tr>
        <w:trPr/>
        <w:tc>
          <w:tcPr>
            <w:tcW w:w="1456"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Six months ended June 30,</w:t>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2026</w:t>
            </w:r>
          </w:p>
        </w:tc>
        <w:tc>
          <w:tcPr>
            <w:tcW w:w="552"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2025</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2026</w:t>
            </w:r>
          </w:p>
        </w:tc>
        <w:tc>
          <w:tcPr>
            <w:tcW w:w="510"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243782"/>
                <w:sz w:val="18"/>
              </w:rPr>
            </w:pPr>
            <w:r>
              <w:rPr>
                <w:rFonts w:ascii="Helvetica;sans-serif" w:hAnsi="Helvetica;sans-serif"/>
                <w:b/>
                <w:color w:val="243782"/>
                <w:sz w:val="18"/>
              </w:rPr>
              <w:t>2025</w:t>
            </w:r>
          </w:p>
        </w:tc>
      </w:tr>
      <w:tr>
        <w:trPr/>
        <w:tc>
          <w:tcPr>
            <w:tcW w:w="3449" w:type="dxa"/>
            <w:gridSpan w:val="3"/>
            <w:tcBorders>
              <w:top w:val="single" w:sz="2" w:space="0" w:color="143A84"/>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Net profit/(loss) attributable to owners of the parent</w:t>
            </w:r>
          </w:p>
        </w:tc>
        <w:tc>
          <w:tcPr>
            <w:tcW w:w="676" w:type="dxa"/>
            <w:gridSpan w:val="3"/>
            <w:tcBorders>
              <w:top w:val="single" w:sz="2" w:space="0" w:color="143A84"/>
            </w:tcBorders>
            <w:tcMar>
              <w:top w:w="52" w:type="dxa"/>
              <w:left w:w="0" w:type="dxa"/>
              <w:bottom w:w="0" w:type="dxa"/>
              <w:right w:w="0" w:type="dxa"/>
            </w:tcMar>
            <w:vAlign w:val="center"/>
          </w:tcPr>
          <w:p>
            <w:pPr>
              <w:pStyle w:val="TableContents"/>
              <w:bidi w:val="0"/>
              <w:spacing w:lineRule="auto" w:line="288" w:before="0" w:after="240"/>
              <w:jc w:val="left"/>
              <w:rPr>
                <w:rFonts w:ascii="Helvetica;sans-serif" w:hAnsi="Helvetica;sans-serif"/>
                <w:b w:val="false"/>
                <w:i/>
                <w:color w:val="000000"/>
                <w:sz w:val="14"/>
              </w:rPr>
            </w:pPr>
            <w:r>
              <w:rPr>
                <w:rFonts w:ascii="Helvetica;sans-serif" w:hAnsi="Helvetica;sans-serif"/>
                <w:b w:val="false"/>
                <w:i/>
                <w:color w:val="000000"/>
                <w:sz w:val="14"/>
              </w:rPr>
              <w:t>million</w:t>
            </w:r>
          </w:p>
        </w:tc>
        <w:tc>
          <w:tcPr>
            <w:tcW w:w="976" w:type="dxa"/>
            <w:gridSpan w:val="2"/>
            <w:tcBorders>
              <w:top w:val="single" w:sz="2" w:space="0" w:color="143A84"/>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266 </w:t>
            </w:r>
          </w:p>
        </w:tc>
        <w:tc>
          <w:tcPr>
            <w:tcW w:w="184" w:type="dxa"/>
            <w:tcBorders>
              <w:top w:val="single" w:sz="2" w:space="0" w:color="143A84"/>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143A84"/>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(1,869)</w:t>
            </w:r>
          </w:p>
        </w:tc>
        <w:tc>
          <w:tcPr>
            <w:tcW w:w="184" w:type="dxa"/>
            <w:tcBorders>
              <w:top w:val="single" w:sz="2" w:space="0" w:color="143A84"/>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143A84"/>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656 </w:t>
            </w:r>
          </w:p>
        </w:tc>
        <w:tc>
          <w:tcPr>
            <w:tcW w:w="170" w:type="dxa"/>
            <w:tcBorders>
              <w:top w:val="single" w:sz="2" w:space="0" w:color="143A84"/>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143A84"/>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(2,240)</w:t>
            </w:r>
          </w:p>
        </w:tc>
        <w:tc>
          <w:tcPr>
            <w:tcW w:w="249" w:type="dxa"/>
            <w:tcBorders>
              <w:top w:val="single" w:sz="2" w:space="0" w:color="143A84"/>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Coupon and tax impacts on Hybrid perpetual notes</w:t>
            </w:r>
          </w:p>
        </w:tc>
        <w:tc>
          <w:tcPr>
            <w:tcW w:w="676"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40"/>
              <w:jc w:val="left"/>
              <w:rPr>
                <w:rFonts w:ascii="Helvetica;sans-serif" w:hAnsi="Helvetica;sans-serif"/>
                <w:b w:val="false"/>
                <w:i/>
                <w:color w:val="000000"/>
                <w:sz w:val="14"/>
              </w:rPr>
            </w:pPr>
            <w:r>
              <w:rPr>
                <w:rFonts w:ascii="Helvetica;sans-serif" w:hAnsi="Helvetica;sans-serif"/>
                <w:b w:val="false"/>
                <w:i/>
                <w:color w:val="000000"/>
                <w:sz w:val="14"/>
              </w:rPr>
              <w:t>million</w:t>
            </w:r>
          </w:p>
        </w:tc>
        <w:tc>
          <w:tcPr>
            <w:tcW w:w="976"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(72)</w:t>
            </w:r>
          </w:p>
        </w:tc>
        <w:tc>
          <w:tcPr>
            <w:tcW w:w="184"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4"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(64)</w:t>
            </w:r>
          </w:p>
        </w:tc>
        <w:tc>
          <w:tcPr>
            <w:tcW w:w="170"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9"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 xml:space="preserve">Weighted average number of shares outstanding </w:t>
            </w:r>
          </w:p>
        </w:tc>
        <w:tc>
          <w:tcPr>
            <w:tcW w:w="676"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40"/>
              <w:jc w:val="left"/>
              <w:rPr>
                <w:rFonts w:ascii="Helvetica;sans-serif" w:hAnsi="Helvetica;sans-serif"/>
                <w:b w:val="false"/>
                <w:i/>
                <w:color w:val="000000"/>
                <w:sz w:val="14"/>
              </w:rPr>
            </w:pPr>
            <w:r>
              <w:rPr>
                <w:rFonts w:ascii="Helvetica;sans-serif" w:hAnsi="Helvetica;sans-serif"/>
                <w:b w:val="false"/>
                <w:i/>
                <w:color w:val="000000"/>
                <w:sz w:val="14"/>
              </w:rPr>
              <w:t>thousand</w:t>
            </w:r>
          </w:p>
        </w:tc>
        <w:tc>
          <w:tcPr>
            <w:tcW w:w="976"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2,898,791 </w:t>
            </w:r>
          </w:p>
        </w:tc>
        <w:tc>
          <w:tcPr>
            <w:tcW w:w="184"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2,884,704 </w:t>
            </w:r>
          </w:p>
        </w:tc>
        <w:tc>
          <w:tcPr>
            <w:tcW w:w="184"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2,898,144 </w:t>
            </w:r>
          </w:p>
        </w:tc>
        <w:tc>
          <w:tcPr>
            <w:tcW w:w="170"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2,882,611 </w:t>
            </w:r>
          </w:p>
        </w:tc>
        <w:tc>
          <w:tcPr>
            <w:tcW w:w="249"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Number of shares deployable for share-based compensation</w:t>
            </w:r>
          </w:p>
        </w:tc>
        <w:tc>
          <w:tcPr>
            <w:tcW w:w="676"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40"/>
              <w:jc w:val="left"/>
              <w:rPr>
                <w:rFonts w:ascii="Helvetica;sans-serif" w:hAnsi="Helvetica;sans-serif"/>
                <w:b w:val="false"/>
                <w:i/>
                <w:color w:val="000000"/>
                <w:sz w:val="14"/>
              </w:rPr>
            </w:pPr>
            <w:r>
              <w:rPr>
                <w:rFonts w:ascii="Helvetica;sans-serif" w:hAnsi="Helvetica;sans-serif"/>
                <w:b w:val="false"/>
                <w:i/>
                <w:color w:val="000000"/>
                <w:sz w:val="14"/>
              </w:rPr>
              <w:t>thousand</w:t>
            </w:r>
          </w:p>
        </w:tc>
        <w:tc>
          <w:tcPr>
            <w:tcW w:w="976"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18,903 </w:t>
            </w:r>
          </w:p>
        </w:tc>
        <w:tc>
          <w:tcPr>
            <w:tcW w:w="184"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4"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11,233 </w:t>
            </w:r>
          </w:p>
        </w:tc>
        <w:tc>
          <w:tcPr>
            <w:tcW w:w="170"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9"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Weighted average number of shares outstanding for diluted earnings per share</w:t>
            </w:r>
          </w:p>
        </w:tc>
        <w:tc>
          <w:tcPr>
            <w:tcW w:w="676"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40"/>
              <w:jc w:val="left"/>
              <w:rPr>
                <w:rFonts w:ascii="Helvetica;sans-serif" w:hAnsi="Helvetica;sans-serif"/>
                <w:b w:val="false"/>
                <w:i/>
                <w:color w:val="000000"/>
                <w:sz w:val="14"/>
              </w:rPr>
            </w:pPr>
            <w:r>
              <w:rPr>
                <w:rFonts w:ascii="Helvetica;sans-serif" w:hAnsi="Helvetica;sans-serif"/>
                <w:b w:val="false"/>
                <w:i/>
                <w:color w:val="000000"/>
                <w:sz w:val="14"/>
              </w:rPr>
              <w:t>thousand</w:t>
            </w:r>
          </w:p>
        </w:tc>
        <w:tc>
          <w:tcPr>
            <w:tcW w:w="976"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2,917,694 </w:t>
            </w:r>
          </w:p>
        </w:tc>
        <w:tc>
          <w:tcPr>
            <w:tcW w:w="184"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2,884,704 </w:t>
            </w:r>
          </w:p>
        </w:tc>
        <w:tc>
          <w:tcPr>
            <w:tcW w:w="184"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2,909,377 </w:t>
            </w:r>
          </w:p>
        </w:tc>
        <w:tc>
          <w:tcPr>
            <w:tcW w:w="170"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2,882,611 </w:t>
            </w:r>
          </w:p>
        </w:tc>
        <w:tc>
          <w:tcPr>
            <w:tcW w:w="249"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color w:val="243782"/>
                <w:sz w:val="18"/>
              </w:rPr>
            </w:pPr>
            <w:r>
              <w:rPr>
                <w:rFonts w:ascii="Helvetica;sans-serif" w:hAnsi="Helvetica;sans-serif"/>
                <w:b/>
                <w:color w:val="243782"/>
                <w:sz w:val="18"/>
              </w:rPr>
              <w:t>Diluted (loss)/earnings per share</w:t>
            </w:r>
          </w:p>
        </w:tc>
        <w:tc>
          <w:tcPr>
            <w:tcW w:w="676" w:type="dxa"/>
            <w:gridSpan w:val="3"/>
            <w:tcBorders>
              <w:top w:val="single" w:sz="2" w:space="0" w:color="8E939F"/>
              <w:bottom w:val="single" w:sz="2" w:space="0" w:color="8E939F"/>
            </w:tcBorders>
            <w:shd w:fill="E6E7F4" w:val="clear"/>
            <w:tcMar>
              <w:left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8"/>
              </w:rPr>
              <w:t>0.07</w:t>
            </w:r>
            <w:r>
              <w:rPr>
                <w:color w:val="243782"/>
              </w:rPr>
              <w:t> </w:t>
            </w:r>
          </w:p>
        </w:tc>
        <w:tc>
          <w:tcPr>
            <w:tcW w:w="184" w:type="dxa"/>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op w:val="single" w:sz="2" w:space="0" w:color="8E939F"/>
              <w:bottom w:val="single" w:sz="2" w:space="0" w:color="8E939F"/>
            </w:tcBorders>
            <w:shd w:fill="E6E7F4" w:val="clear"/>
            <w:tcMar>
              <w:left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(0.65)</w:t>
            </w:r>
          </w:p>
        </w:tc>
        <w:tc>
          <w:tcPr>
            <w:tcW w:w="184" w:type="dxa"/>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bottom w:val="single" w:sz="2" w:space="0" w:color="8E939F"/>
            </w:tcBorders>
            <w:shd w:fill="E6E7F4" w:val="clear"/>
            <w:tcMar>
              <w:left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right"/>
              <w:rPr/>
            </w:pPr>
            <w:r>
              <w:rPr>
                <w:rFonts w:ascii="Helvetica;sans-serif" w:hAnsi="Helvetica;sans-serif"/>
                <w:b/>
                <w:color w:val="243782"/>
                <w:sz w:val="18"/>
              </w:rPr>
              <w:t>0.20</w:t>
            </w:r>
            <w:r>
              <w:rPr>
                <w:color w:val="243782"/>
              </w:rPr>
              <w:t> </w:t>
            </w:r>
          </w:p>
        </w:tc>
        <w:tc>
          <w:tcPr>
            <w:tcW w:w="170" w:type="dxa"/>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op w:val="single" w:sz="2" w:space="0" w:color="8E939F"/>
              <w:bottom w:val="single" w:sz="2" w:space="0" w:color="8E939F"/>
            </w:tcBorders>
            <w:shd w:fill="E6E7F4" w:val="clear"/>
            <w:tcMar>
              <w:left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color w:val="243782"/>
                <w:sz w:val="18"/>
              </w:rPr>
            </w:pPr>
            <w:r>
              <w:rPr>
                <w:rFonts w:ascii="Helvetica;sans-serif" w:hAnsi="Helvetica;sans-serif"/>
                <w:b/>
                <w:color w:val="243782"/>
                <w:sz w:val="18"/>
              </w:rPr>
              <w:t>(0.78)</w:t>
            </w:r>
          </w:p>
        </w:tc>
        <w:tc>
          <w:tcPr>
            <w:tcW w:w="249" w:type="dxa"/>
            <w:tcBorders>
              <w:top w:val="single" w:sz="2" w:space="0" w:color="8E939F"/>
              <w:bottom w:val="single" w:sz="2" w:space="0" w:color="8E939F"/>
            </w:tcBorders>
            <w:shd w:fill="E6E7F4"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pPr>
      <w:r>
        <w:rPr>
          <w:rFonts w:ascii="Helvetica;sans-serif" w:hAnsi="Helvetica;sans-serif"/>
          <w:b/>
          <w:color w:val="143A84"/>
          <w:sz w:val="20"/>
        </w:rPr>
        <w:t>20. Segment reporting</w:t>
      </w:r>
      <w:r>
        <w:rPr>
          <w:color w:val="000000"/>
        </w:rPr>
        <w:t xml:space="preserve"> </w:t>
      </w:r>
    </w:p>
    <w:p>
      <w:pPr>
        <w:pStyle w:val="TextBody"/>
        <w:bidi w:val="0"/>
        <w:spacing w:lineRule="auto" w:line="343" w:before="0" w:after="240"/>
        <w:jc w:val="left"/>
        <w:rPr/>
      </w:pPr>
      <w:r>
        <w:rPr>
          <w:rFonts w:ascii="Helvetica Light;sans-serif" w:hAnsi="Helvetica Light;sans-serif"/>
          <w:b w:val="false"/>
          <w:color w:val="000000"/>
          <w:sz w:val="20"/>
        </w:rPr>
        <w:t xml:space="preserve">The Company’s activities are carried out through five regional vehicle reportable segments: North America, Enlarged Europe, Middle East &amp; Africa, South America and Asia Pacific. Refer to Note 1, </w:t>
      </w:r>
      <w:r>
        <w:rPr>
          <w:rFonts w:ascii="Helvetica Light;sans-serif" w:hAnsi="Helvetica Light;sans-serif"/>
          <w:b w:val="false"/>
          <w:i/>
          <w:color w:val="000000"/>
          <w:sz w:val="20"/>
        </w:rPr>
        <w:t>Basis of Preparation</w:t>
      </w:r>
      <w:r>
        <w:rPr>
          <w:color w:val="000000"/>
        </w:rPr>
        <w:t xml:space="preserve"> </w:t>
      </w:r>
      <w:r>
        <w:rPr>
          <w:rFonts w:ascii="Helvetica Light;sans-serif" w:hAnsi="Helvetica Light;sans-serif"/>
          <w:b w:val="false"/>
          <w:color w:val="000000"/>
          <w:sz w:val="20"/>
        </w:rPr>
        <w:t>for additional information on segment reporting changes.</w:t>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See below for a reconciliation of Net profit, which is the most directly comparable measure included in our Interim Condensed Consolidated Income Statement, to Adjusted operating income. Operating assets are not included in the data reviewed by the chief operating decision maker, and as a result and as permitted by IFRS 8, the related information is not provided.</w:t>
      </w:r>
    </w:p>
    <w:p>
      <w:pPr>
        <w:pStyle w:val="TextBody"/>
        <w:bidi w:val="0"/>
        <w:spacing w:before="0" w:after="24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503555"/>
                <wp:effectExtent l="0" t="0" r="0" b="0"/>
                <wp:wrapNone/>
                <wp:docPr id="101" name="Frame86"/>
                <a:graphic xmlns:a="http://schemas.openxmlformats.org/drawingml/2006/main">
                  <a:graphicData uri="http://schemas.microsoft.com/office/word/2010/wordprocessingShape">
                    <wps:wsp>
                      <wps:cNvSpPr txBox="1"/>
                      <wps:spPr>
                        <a:xfrm>
                          <a:off x="0" y="0"/>
                          <a:ext cx="6480175" cy="5035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82</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82</w:t>
                      </w:r>
                    </w:p>
                    <w:p>
                      <w:pPr>
                        <w:pStyle w:val="TextBody"/>
                        <w:bidi w:val="0"/>
                        <w:spacing w:before="0" w:after="24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The following tables summarize selected financial information by segment for the three and six months ended June 30, 2026 and 2025:</w:t>
      </w:r>
    </w:p>
    <w:tbl>
      <w:tblPr>
        <w:tblW w:w="10205" w:type="dxa"/>
        <w:jc w:val="left"/>
        <w:tblInd w:w="0" w:type="dxa"/>
        <w:tblLayout w:type="fixed"/>
        <w:tblCellMar>
          <w:top w:w="28" w:type="dxa"/>
          <w:left w:w="28" w:type="dxa"/>
          <w:bottom w:w="28" w:type="dxa"/>
          <w:right w:w="28" w:type="dxa"/>
        </w:tblCellMar>
      </w:tblPr>
      <w:tblGrid>
        <w:gridCol w:w="629"/>
        <w:gridCol w:w="236"/>
        <w:gridCol w:w="239"/>
        <w:gridCol w:w="109"/>
        <w:gridCol w:w="109"/>
        <w:gridCol w:w="109"/>
        <w:gridCol w:w="344"/>
        <w:gridCol w:w="246"/>
        <w:gridCol w:w="221"/>
        <w:gridCol w:w="109"/>
        <w:gridCol w:w="109"/>
        <w:gridCol w:w="109"/>
        <w:gridCol w:w="362"/>
        <w:gridCol w:w="231"/>
        <w:gridCol w:w="232"/>
        <w:gridCol w:w="109"/>
        <w:gridCol w:w="109"/>
        <w:gridCol w:w="109"/>
        <w:gridCol w:w="308"/>
        <w:gridCol w:w="220"/>
        <w:gridCol w:w="221"/>
        <w:gridCol w:w="109"/>
        <w:gridCol w:w="109"/>
        <w:gridCol w:w="109"/>
        <w:gridCol w:w="298"/>
        <w:gridCol w:w="220"/>
        <w:gridCol w:w="221"/>
        <w:gridCol w:w="109"/>
        <w:gridCol w:w="109"/>
        <w:gridCol w:w="109"/>
        <w:gridCol w:w="223"/>
        <w:gridCol w:w="189"/>
        <w:gridCol w:w="190"/>
        <w:gridCol w:w="109"/>
        <w:gridCol w:w="109"/>
        <w:gridCol w:w="109"/>
        <w:gridCol w:w="279"/>
        <w:gridCol w:w="240"/>
        <w:gridCol w:w="241"/>
        <w:gridCol w:w="109"/>
        <w:gridCol w:w="109"/>
        <w:gridCol w:w="109"/>
        <w:gridCol w:w="361"/>
        <w:gridCol w:w="361"/>
        <w:gridCol w:w="362"/>
        <w:gridCol w:w="109"/>
        <w:gridCol w:w="109"/>
        <w:gridCol w:w="109"/>
        <w:gridCol w:w="292"/>
        <w:gridCol w:w="294"/>
        <w:gridCol w:w="329"/>
      </w:tblGrid>
      <w:tr>
        <w:trPr/>
        <w:tc>
          <w:tcPr>
            <w:tcW w:w="62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r>
      <w:tr>
        <w:trPr/>
        <w:tc>
          <w:tcPr>
            <w:tcW w:w="11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243782"/>
                <w:sz w:val="14"/>
              </w:rPr>
            </w:pPr>
            <w:r>
              <w:rPr>
                <w:rFonts w:ascii="Helvetica;sans-serif" w:hAnsi="Helvetica;sans-serif"/>
                <w:b/>
                <w:color w:val="243782"/>
                <w:sz w:val="14"/>
              </w:rPr>
              <w:t>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4"/>
              </w:rPr>
            </w:pPr>
            <w:r>
              <w:rPr>
                <w:rFonts w:ascii="Helvetica;sans-serif" w:hAnsi="Helvetica;sans-serif"/>
                <w:b/>
                <w:color w:val="243782"/>
                <w:sz w:val="14"/>
              </w:rPr>
              <w:t>North America</w:t>
            </w:r>
          </w:p>
        </w:tc>
        <w:tc>
          <w:tcPr>
            <w:tcW w:w="327" w:type="dxa"/>
            <w:gridSpan w:val="3"/>
            <w:tcBorders>
              <w:bottom w:val="single" w:sz="2" w:space="0" w:color="143A8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bottom w:val="single" w:sz="2" w:space="0" w:color="143A84"/>
            </w:tcBorders>
            <w:tcMar>
              <w:top w:w="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color w:val="243782"/>
                <w:sz w:val="14"/>
              </w:rPr>
            </w:pPr>
            <w:r>
              <w:rPr>
                <w:rFonts w:ascii="Helvetica;sans-serif" w:hAnsi="Helvetica;sans-serif"/>
                <w:b/>
                <w:color w:val="243782"/>
                <w:sz w:val="14"/>
              </w:rPr>
              <w:t>Enlarged Europe</w:t>
            </w:r>
          </w:p>
        </w:tc>
        <w:tc>
          <w:tcPr>
            <w:tcW w:w="327" w:type="dxa"/>
            <w:gridSpan w:val="3"/>
            <w:tcBorders>
              <w:bottom w:val="single" w:sz="2" w:space="0" w:color="143A8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bottom w:val="single" w:sz="2" w:space="0" w:color="143A84"/>
            </w:tcBorders>
            <w:tcMar>
              <w:top w:w="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color w:val="243782"/>
                <w:sz w:val="14"/>
              </w:rPr>
            </w:pPr>
            <w:r>
              <w:rPr>
                <w:rFonts w:ascii="Helvetica;sans-serif" w:hAnsi="Helvetica;sans-serif"/>
                <w:b/>
                <w:color w:val="243782"/>
                <w:sz w:val="14"/>
              </w:rPr>
              <w:t>Middle East &amp; Africa</w:t>
            </w:r>
          </w:p>
        </w:tc>
        <w:tc>
          <w:tcPr>
            <w:tcW w:w="327" w:type="dxa"/>
            <w:gridSpan w:val="3"/>
            <w:tcBorders>
              <w:bottom w:val="single" w:sz="2" w:space="0" w:color="143A8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bottom w:val="single" w:sz="2" w:space="0" w:color="143A84"/>
            </w:tcBorders>
            <w:tcMar>
              <w:top w:w="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color w:val="243782"/>
                <w:sz w:val="14"/>
              </w:rPr>
            </w:pPr>
            <w:r>
              <w:rPr>
                <w:rFonts w:ascii="Helvetica;sans-serif" w:hAnsi="Helvetica;sans-serif"/>
                <w:b/>
                <w:color w:val="243782"/>
                <w:sz w:val="14"/>
              </w:rPr>
              <w:t>South America</w:t>
            </w:r>
          </w:p>
        </w:tc>
        <w:tc>
          <w:tcPr>
            <w:tcW w:w="327" w:type="dxa"/>
            <w:gridSpan w:val="3"/>
            <w:tcBorders>
              <w:bottom w:val="single" w:sz="2" w:space="0" w:color="143A8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bottom w:val="single" w:sz="2" w:space="0" w:color="143A84"/>
            </w:tcBorders>
            <w:tcMar>
              <w:top w:w="0" w:type="dxa"/>
              <w:left w:w="0" w:type="dxa"/>
              <w:bottom w:w="30" w:type="dxa"/>
              <w:right w:w="0" w:type="dxa"/>
            </w:tcMar>
            <w:vAlign w:val="center"/>
          </w:tcPr>
          <w:p>
            <w:pPr>
              <w:pStyle w:val="TableContents"/>
              <w:bidi w:val="0"/>
              <w:spacing w:lineRule="auto" w:line="288" w:before="0" w:after="0"/>
              <w:jc w:val="right"/>
              <w:rPr>
                <w:rFonts w:ascii="Helvetica;sans-serif" w:hAnsi="Helvetica;sans-serif"/>
                <w:b/>
                <w:color w:val="243782"/>
                <w:sz w:val="14"/>
              </w:rPr>
            </w:pPr>
            <w:r>
              <w:rPr>
                <w:rFonts w:ascii="Helvetica;sans-serif" w:hAnsi="Helvetica;sans-serif"/>
                <w:b/>
                <w:color w:val="243782"/>
                <w:sz w:val="14"/>
              </w:rPr>
              <w:t>Asia Pacific</w:t>
            </w:r>
          </w:p>
        </w:tc>
        <w:tc>
          <w:tcPr>
            <w:tcW w:w="327" w:type="dxa"/>
            <w:gridSpan w:val="3"/>
            <w:tcBorders>
              <w:bottom w:val="single" w:sz="2" w:space="0" w:color="143A8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bottom w:val="single" w:sz="2" w:space="0" w:color="143A84"/>
            </w:tcBorders>
            <w:tcMar>
              <w:top w:w="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color w:val="243782"/>
                <w:sz w:val="14"/>
              </w:rPr>
            </w:pPr>
            <w:r>
              <w:rPr>
                <w:rFonts w:ascii="Helvetica;sans-serif" w:hAnsi="Helvetica;sans-serif"/>
                <w:b/>
                <w:color w:val="243782"/>
                <w:sz w:val="14"/>
              </w:rPr>
              <w:t>Other activities</w:t>
            </w:r>
          </w:p>
        </w:tc>
        <w:tc>
          <w:tcPr>
            <w:tcW w:w="327" w:type="dxa"/>
            <w:gridSpan w:val="3"/>
            <w:tcBorders>
              <w:bottom w:val="single" w:sz="2" w:space="0" w:color="143A8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bottom w:val="single" w:sz="2" w:space="0" w:color="143A84"/>
            </w:tcBorders>
            <w:tcMar>
              <w:top w:w="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color w:val="243782"/>
                <w:sz w:val="14"/>
              </w:rPr>
            </w:pPr>
            <w:r>
              <w:rPr>
                <w:rFonts w:ascii="Helvetica;sans-serif" w:hAnsi="Helvetica;sans-serif"/>
                <w:b/>
                <w:color w:val="243782"/>
                <w:sz w:val="14"/>
              </w:rPr>
              <w:t>Unallocated items &amp; eliminations</w:t>
            </w:r>
          </w:p>
        </w:tc>
        <w:tc>
          <w:tcPr>
            <w:tcW w:w="327" w:type="dxa"/>
            <w:gridSpan w:val="3"/>
            <w:tcBorders>
              <w:bottom w:val="single" w:sz="2" w:space="0" w:color="143A8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bottom w:val="single" w:sz="2" w:space="0" w:color="143A84"/>
            </w:tcBorders>
            <w:tcMar>
              <w:top w:w="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color w:val="243782"/>
                <w:sz w:val="14"/>
              </w:rPr>
            </w:pPr>
            <w:r>
              <w:rPr>
                <w:rFonts w:ascii="Helvetica;sans-serif" w:hAnsi="Helvetica;sans-serif"/>
                <w:b/>
                <w:color w:val="243782"/>
                <w:sz w:val="14"/>
              </w:rPr>
              <w:t>Stellantis</w:t>
            </w:r>
          </w:p>
        </w:tc>
      </w:tr>
      <w:tr>
        <w:trPr/>
        <w:tc>
          <w:tcPr>
            <w:tcW w:w="1104" w:type="dxa"/>
            <w:gridSpan w:val="3"/>
            <w:tcBorders>
              <w:top w:val="single" w:sz="2" w:space="0" w:color="143A84"/>
            </w:tcBorders>
            <w:tcMar>
              <w:top w:w="52" w:type="dxa"/>
              <w:left w:w="0" w:type="dxa"/>
              <w:bottom w:w="0" w:type="dxa"/>
              <w:right w:w="0" w:type="dxa"/>
            </w:tcMar>
            <w:vAlign w:val="center"/>
          </w:tcPr>
          <w:p>
            <w:pPr>
              <w:pStyle w:val="TableContents"/>
              <w:bidi w:val="0"/>
              <w:spacing w:lineRule="auto" w:line="288" w:before="0" w:after="240"/>
              <w:jc w:val="left"/>
              <w:rPr>
                <w:rFonts w:ascii="Helvetica;sans-serif" w:hAnsi="Helvetica;sans-serif"/>
                <w:b w:val="false"/>
                <w:i/>
                <w:color w:val="000000"/>
                <w:sz w:val="14"/>
              </w:rPr>
            </w:pPr>
            <w:r>
              <w:rPr>
                <w:rFonts w:ascii="Helvetica;sans-serif" w:hAnsi="Helvetica;sans-serif"/>
                <w:b w:val="false"/>
                <w:i/>
                <w:color w:val="000000"/>
                <w:sz w:val="14"/>
              </w:rPr>
              <w:t>(€ million)</w:t>
            </w:r>
          </w:p>
        </w:tc>
        <w:tc>
          <w:tcPr>
            <w:tcW w:w="327"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4" w:type="dxa"/>
            <w:gridSpan w:val="45"/>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4"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4"/>
              </w:rPr>
            </w:pPr>
            <w:r>
              <w:rPr>
                <w:rFonts w:ascii="Helvetica;sans-serif" w:hAnsi="Helvetica;sans-serif"/>
                <w:b w:val="false"/>
                <w:color w:val="000000"/>
                <w:sz w:val="14"/>
              </w:rPr>
              <w:t>Net revenues from external customers</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18,193 </w:t>
            </w:r>
          </w:p>
        </w:tc>
        <w:tc>
          <w:tcPr>
            <w:tcW w:w="221"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16,423 </w:t>
            </w:r>
          </w:p>
        </w:tc>
        <w:tc>
          <w:tcPr>
            <w:tcW w:w="232"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2,566 </w:t>
            </w:r>
          </w:p>
        </w:tc>
        <w:tc>
          <w:tcPr>
            <w:tcW w:w="221"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4,294 </w:t>
            </w:r>
          </w:p>
        </w:tc>
        <w:tc>
          <w:tcPr>
            <w:tcW w:w="221"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499 </w:t>
            </w:r>
          </w:p>
        </w:tc>
        <w:tc>
          <w:tcPr>
            <w:tcW w:w="190"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1,507 </w:t>
            </w:r>
          </w:p>
        </w:tc>
        <w:tc>
          <w:tcPr>
            <w:tcW w:w="241"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2"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43,482 </w:t>
            </w:r>
          </w:p>
        </w:tc>
        <w:tc>
          <w:tcPr>
            <w:tcW w:w="329"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4"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4"/>
              </w:rPr>
            </w:pPr>
            <w:r>
              <w:rPr>
                <w:rFonts w:ascii="Helvetica;sans-serif" w:hAnsi="Helvetica;sans-serif"/>
                <w:b w:val="false"/>
                <w:color w:val="000000"/>
                <w:sz w:val="14"/>
              </w:rPr>
              <w:t>Net revenues from transactions with other segments</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1"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3 </w:t>
            </w:r>
          </w:p>
        </w:tc>
        <w:tc>
          <w:tcPr>
            <w:tcW w:w="232"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(1)</w:t>
            </w:r>
          </w:p>
        </w:tc>
        <w:tc>
          <w:tcPr>
            <w:tcW w:w="221"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44 </w:t>
            </w:r>
          </w:p>
        </w:tc>
        <w:tc>
          <w:tcPr>
            <w:tcW w:w="221"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75 </w:t>
            </w:r>
          </w:p>
        </w:tc>
        <w:tc>
          <w:tcPr>
            <w:tcW w:w="241"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(121)</w:t>
            </w:r>
          </w:p>
        </w:tc>
        <w:tc>
          <w:tcPr>
            <w:tcW w:w="362"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9"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4"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243782"/>
                <w:sz w:val="14"/>
              </w:rPr>
            </w:pPr>
            <w:r>
              <w:rPr>
                <w:rFonts w:ascii="Helvetica;sans-serif" w:hAnsi="Helvetica;sans-serif"/>
                <w:b/>
                <w:color w:val="243782"/>
                <w:sz w:val="14"/>
              </w:rPr>
              <w:t>Net revenues</w:t>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143A84"/>
                <w:sz w:val="14"/>
              </w:rPr>
              <w:t>18,193</w:t>
            </w:r>
            <w:r>
              <w:rPr>
                <w:color w:val="143A84"/>
              </w:rPr>
              <w:t> </w:t>
            </w:r>
          </w:p>
        </w:tc>
        <w:tc>
          <w:tcPr>
            <w:tcW w:w="221"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143A84"/>
                <w:sz w:val="14"/>
              </w:rPr>
              <w:t>16,426</w:t>
            </w:r>
            <w:r>
              <w:rPr>
                <w:color w:val="143A84"/>
              </w:rPr>
              <w:t> </w:t>
            </w:r>
          </w:p>
        </w:tc>
        <w:tc>
          <w:tcPr>
            <w:tcW w:w="232"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143A84"/>
                <w:sz w:val="14"/>
              </w:rPr>
              <w:t>2,565</w:t>
            </w:r>
            <w:r>
              <w:rPr>
                <w:color w:val="143A84"/>
              </w:rPr>
              <w:t> </w:t>
            </w:r>
          </w:p>
        </w:tc>
        <w:tc>
          <w:tcPr>
            <w:tcW w:w="221"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143A84"/>
                <w:sz w:val="14"/>
              </w:rPr>
              <w:t>4,338</w:t>
            </w:r>
            <w:r>
              <w:rPr>
                <w:color w:val="143A84"/>
              </w:rPr>
              <w:t> </w:t>
            </w:r>
          </w:p>
        </w:tc>
        <w:tc>
          <w:tcPr>
            <w:tcW w:w="221"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143A84"/>
                <w:sz w:val="14"/>
              </w:rPr>
              <w:t>499</w:t>
            </w:r>
            <w:r>
              <w:rPr>
                <w:color w:val="143A84"/>
              </w:rPr>
              <w:t> </w:t>
            </w:r>
          </w:p>
        </w:tc>
        <w:tc>
          <w:tcPr>
            <w:tcW w:w="190"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143A84"/>
                <w:sz w:val="14"/>
              </w:rPr>
              <w:t>1,582</w:t>
            </w:r>
            <w:r>
              <w:rPr>
                <w:color w:val="143A84"/>
              </w:rPr>
              <w:t> </w:t>
            </w:r>
          </w:p>
        </w:tc>
        <w:tc>
          <w:tcPr>
            <w:tcW w:w="241"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143A84"/>
                <w:sz w:val="14"/>
              </w:rPr>
            </w:pPr>
            <w:r>
              <w:rPr>
                <w:rFonts w:ascii="Helvetica;sans-serif" w:hAnsi="Helvetica;sans-serif"/>
                <w:b/>
                <w:color w:val="143A84"/>
                <w:sz w:val="14"/>
              </w:rPr>
              <w:t>(121)</w:t>
            </w:r>
          </w:p>
        </w:tc>
        <w:tc>
          <w:tcPr>
            <w:tcW w:w="362"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143A84"/>
                <w:sz w:val="14"/>
              </w:rPr>
              <w:t>43,482</w:t>
            </w:r>
            <w:r>
              <w:rPr>
                <w:color w:val="143A84"/>
              </w:rPr>
              <w:t> </w:t>
            </w:r>
          </w:p>
        </w:tc>
        <w:tc>
          <w:tcPr>
            <w:tcW w:w="329"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4"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4"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243782"/>
                <w:sz w:val="14"/>
              </w:rPr>
            </w:pPr>
            <w:r>
              <w:rPr>
                <w:rFonts w:ascii="Helvetica;sans-serif" w:hAnsi="Helvetica;sans-serif"/>
                <w:b/>
                <w:color w:val="243782"/>
                <w:sz w:val="14"/>
              </w:rPr>
              <w:t>Net profit/(loss)</w:t>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143A84"/>
                <w:sz w:val="14"/>
              </w:rPr>
              <w:t>293</w:t>
            </w:r>
            <w:r>
              <w:rPr>
                <w:color w:val="143A84"/>
              </w:rPr>
              <w:t> </w:t>
            </w:r>
          </w:p>
        </w:tc>
        <w:tc>
          <w:tcPr>
            <w:tcW w:w="329"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4"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4"/>
              </w:rPr>
            </w:pPr>
            <w:r>
              <w:rPr>
                <w:rFonts w:ascii="Helvetica;sans-serif" w:hAnsi="Helvetica;sans-serif"/>
                <w:b w:val="false"/>
                <w:color w:val="000000"/>
                <w:sz w:val="14"/>
              </w:rPr>
              <w:t>Tax expense/(benefit)</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207 </w:t>
            </w:r>
          </w:p>
        </w:tc>
        <w:tc>
          <w:tcPr>
            <w:tcW w:w="329"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4"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4"/>
              </w:rPr>
            </w:pPr>
            <w:r>
              <w:rPr>
                <w:rFonts w:ascii="Helvetica;sans-serif" w:hAnsi="Helvetica;sans-serif"/>
                <w:b w:val="false"/>
                <w:color w:val="000000"/>
                <w:sz w:val="14"/>
              </w:rPr>
              <w:t>Net financial expenses/(income)</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202 </w:t>
            </w:r>
          </w:p>
        </w:tc>
        <w:tc>
          <w:tcPr>
            <w:tcW w:w="329"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4"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243782"/>
                <w:sz w:val="14"/>
              </w:rPr>
            </w:pPr>
            <w:r>
              <w:rPr>
                <w:rFonts w:ascii="Helvetica;sans-serif" w:hAnsi="Helvetica;sans-serif"/>
                <w:b/>
                <w:color w:val="243782"/>
                <w:sz w:val="14"/>
              </w:rPr>
              <w:t>Operating income/(loss)</w:t>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143A84"/>
                <w:sz w:val="14"/>
              </w:rPr>
              <w:t>702</w:t>
            </w:r>
            <w:r>
              <w:rPr>
                <w:color w:val="143A84"/>
              </w:rPr>
              <w:t> </w:t>
            </w:r>
          </w:p>
        </w:tc>
        <w:tc>
          <w:tcPr>
            <w:tcW w:w="329"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4"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4"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243782"/>
                <w:sz w:val="14"/>
              </w:rPr>
            </w:pPr>
            <w:r>
              <w:rPr>
                <w:rFonts w:ascii="Helvetica;sans-serif" w:hAnsi="Helvetica;sans-serif"/>
                <w:b/>
                <w:color w:val="243782"/>
                <w:sz w:val="14"/>
              </w:rPr>
              <w:t>Adjustments:</w:t>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4"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0"/>
              <w:jc w:val="left"/>
              <w:rPr/>
            </w:pPr>
            <w:r>
              <w:rPr>
                <w:rFonts w:ascii="Helvetica;sans-serif" w:hAnsi="Helvetica;sans-serif"/>
                <w:b w:val="false"/>
                <w:color w:val="000000"/>
                <w:sz w:val="14"/>
              </w:rPr>
              <w:t>Restructuring and other costs, net of reversals</w:t>
            </w:r>
            <w:r>
              <w:rPr>
                <w:rFonts w:ascii="Helvetica;sans-serif" w:hAnsi="Helvetica;sans-serif"/>
                <w:b w:val="false"/>
                <w:color w:val="000000"/>
                <w:sz w:val="9"/>
              </w:rPr>
              <w:t>(1)</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(14)</w:t>
            </w:r>
          </w:p>
        </w:tc>
        <w:tc>
          <w:tcPr>
            <w:tcW w:w="221"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358 </w:t>
            </w:r>
          </w:p>
        </w:tc>
        <w:tc>
          <w:tcPr>
            <w:tcW w:w="232"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1"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37 </w:t>
            </w:r>
          </w:p>
        </w:tc>
        <w:tc>
          <w:tcPr>
            <w:tcW w:w="221"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1 </w:t>
            </w:r>
          </w:p>
        </w:tc>
        <w:tc>
          <w:tcPr>
            <w:tcW w:w="190"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2 </w:t>
            </w:r>
          </w:p>
        </w:tc>
        <w:tc>
          <w:tcPr>
            <w:tcW w:w="241"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2"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384 </w:t>
            </w:r>
          </w:p>
        </w:tc>
        <w:tc>
          <w:tcPr>
            <w:tcW w:w="329"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4"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0"/>
              <w:jc w:val="left"/>
              <w:rPr/>
            </w:pPr>
            <w:r>
              <w:rPr>
                <w:rFonts w:ascii="Helvetica;sans-serif" w:hAnsi="Helvetica;sans-serif"/>
                <w:b w:val="false"/>
                <w:color w:val="000000"/>
                <w:sz w:val="14"/>
              </w:rPr>
              <w:t>Takata airbags recall campaign</w:t>
            </w:r>
            <w:r>
              <w:rPr>
                <w:rFonts w:ascii="Helvetica;sans-serif" w:hAnsi="Helvetica;sans-serif"/>
                <w:b w:val="false"/>
                <w:color w:val="000000"/>
                <w:sz w:val="9"/>
              </w:rPr>
              <w:t>(2)</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1"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51 </w:t>
            </w:r>
          </w:p>
        </w:tc>
        <w:tc>
          <w:tcPr>
            <w:tcW w:w="232"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1"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1 </w:t>
            </w:r>
          </w:p>
        </w:tc>
        <w:tc>
          <w:tcPr>
            <w:tcW w:w="221"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2"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52 </w:t>
            </w:r>
          </w:p>
        </w:tc>
        <w:tc>
          <w:tcPr>
            <w:tcW w:w="329"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4"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0"/>
              <w:jc w:val="left"/>
              <w:rPr/>
            </w:pPr>
            <w:r>
              <w:rPr>
                <w:rFonts w:ascii="Helvetica;sans-serif" w:hAnsi="Helvetica;sans-serif"/>
                <w:b w:val="false"/>
                <w:color w:val="000000"/>
                <w:sz w:val="14"/>
              </w:rPr>
              <w:t>Costs related to product plan realignments and program cancellations</w:t>
            </w:r>
            <w:r>
              <w:rPr>
                <w:rFonts w:ascii="Helvetica;sans-serif" w:hAnsi="Helvetica;sans-serif"/>
                <w:b w:val="false"/>
                <w:color w:val="000000"/>
                <w:sz w:val="9"/>
              </w:rPr>
              <w:t>(3)</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40 </w:t>
            </w:r>
          </w:p>
        </w:tc>
        <w:tc>
          <w:tcPr>
            <w:tcW w:w="221"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2"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1"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1"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2"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40 </w:t>
            </w:r>
          </w:p>
        </w:tc>
        <w:tc>
          <w:tcPr>
            <w:tcW w:w="329"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4"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4"/>
              </w:rPr>
            </w:pPr>
            <w:r>
              <w:rPr>
                <w:rFonts w:ascii="Helvetica;sans-serif" w:hAnsi="Helvetica;sans-serif"/>
                <w:b w:val="false"/>
                <w:color w:val="000000"/>
                <w:sz w:val="14"/>
              </w:rPr>
              <w:t>U.S. GHG regulation change</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1"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2"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1"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1"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2"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9"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4"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0"/>
              <w:jc w:val="left"/>
              <w:rPr/>
            </w:pPr>
            <w:r>
              <w:rPr>
                <w:rFonts w:ascii="Helvetica;sans-serif" w:hAnsi="Helvetica;sans-serif"/>
                <w:b w:val="false"/>
                <w:color w:val="000000"/>
                <w:sz w:val="14"/>
              </w:rPr>
              <w:t>Renegotiated regulatory purchase commitments of credits</w:t>
            </w:r>
            <w:r>
              <w:rPr>
                <w:rFonts w:ascii="Helvetica;sans-serif" w:hAnsi="Helvetica;sans-serif"/>
                <w:b w:val="false"/>
                <w:color w:val="000000"/>
                <w:sz w:val="9"/>
              </w:rPr>
              <w:t>(4)</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(317)</w:t>
            </w:r>
          </w:p>
        </w:tc>
        <w:tc>
          <w:tcPr>
            <w:tcW w:w="221"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2"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1"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1"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2"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(317)</w:t>
            </w:r>
          </w:p>
        </w:tc>
        <w:tc>
          <w:tcPr>
            <w:tcW w:w="329"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4"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0"/>
              <w:jc w:val="left"/>
              <w:rPr/>
            </w:pPr>
            <w:r>
              <w:rPr>
                <w:rFonts w:ascii="Helvetica;sans-serif" w:hAnsi="Helvetica;sans-serif"/>
                <w:b w:val="false"/>
                <w:color w:val="000000"/>
                <w:sz w:val="14"/>
              </w:rPr>
              <w:t>(Gains)/losses on disposal of investments</w:t>
            </w:r>
            <w:r>
              <w:rPr>
                <w:rFonts w:ascii="Helvetica;sans-serif" w:hAnsi="Helvetica;sans-serif"/>
                <w:b w:val="false"/>
                <w:color w:val="000000"/>
                <w:sz w:val="9"/>
              </w:rPr>
              <w:t>(5)</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1"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2"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1"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(2)</w:t>
            </w:r>
          </w:p>
        </w:tc>
        <w:tc>
          <w:tcPr>
            <w:tcW w:w="221"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(69)</w:t>
            </w:r>
          </w:p>
        </w:tc>
        <w:tc>
          <w:tcPr>
            <w:tcW w:w="241"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2"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(71)</w:t>
            </w:r>
          </w:p>
        </w:tc>
        <w:tc>
          <w:tcPr>
            <w:tcW w:w="329"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4"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4"/>
              </w:rPr>
            </w:pPr>
            <w:r>
              <w:rPr>
                <w:rFonts w:ascii="Helvetica;sans-serif" w:hAnsi="Helvetica;sans-serif"/>
                <w:b w:val="false"/>
                <w:color w:val="000000"/>
                <w:sz w:val="14"/>
              </w:rPr>
              <w:t>Other</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(9)</w:t>
            </w:r>
          </w:p>
        </w:tc>
        <w:tc>
          <w:tcPr>
            <w:tcW w:w="221"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(4)</w:t>
            </w:r>
          </w:p>
        </w:tc>
        <w:tc>
          <w:tcPr>
            <w:tcW w:w="232"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2 </w:t>
            </w:r>
          </w:p>
        </w:tc>
        <w:tc>
          <w:tcPr>
            <w:tcW w:w="221"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1"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(4)</w:t>
            </w:r>
          </w:p>
        </w:tc>
        <w:tc>
          <w:tcPr>
            <w:tcW w:w="190"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(4)</w:t>
            </w:r>
          </w:p>
        </w:tc>
        <w:tc>
          <w:tcPr>
            <w:tcW w:w="241"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2 </w:t>
            </w:r>
          </w:p>
        </w:tc>
        <w:tc>
          <w:tcPr>
            <w:tcW w:w="362"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(17)</w:t>
            </w:r>
          </w:p>
        </w:tc>
        <w:tc>
          <w:tcPr>
            <w:tcW w:w="329"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4" w:type="dxa"/>
            <w:gridSpan w:val="3"/>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243782"/>
                <w:sz w:val="14"/>
              </w:rPr>
            </w:pPr>
            <w:r>
              <w:rPr>
                <w:rFonts w:ascii="Helvetica;sans-serif" w:hAnsi="Helvetica;sans-serif"/>
                <w:b/>
                <w:color w:val="243782"/>
                <w:sz w:val="14"/>
              </w:rPr>
              <w:t>Total adjustments</w:t>
            </w:r>
          </w:p>
        </w:tc>
        <w:tc>
          <w:tcPr>
            <w:tcW w:w="327" w:type="dxa"/>
            <w:gridSpan w:val="3"/>
            <w:tcBorders>
              <w:top w:val="single" w:sz="2" w:space="0" w:color="8E939F"/>
            </w:tcBorders>
            <w:shd w:fill="E6E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143A84"/>
                <w:sz w:val="14"/>
              </w:rPr>
            </w:pPr>
            <w:r>
              <w:rPr>
                <w:rFonts w:ascii="Helvetica;sans-serif" w:hAnsi="Helvetica;sans-serif"/>
                <w:b/>
                <w:color w:val="143A84"/>
                <w:sz w:val="14"/>
              </w:rPr>
              <w:t>(300)</w:t>
            </w:r>
          </w:p>
        </w:tc>
        <w:tc>
          <w:tcPr>
            <w:tcW w:w="221"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E6E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143A84"/>
                <w:sz w:val="14"/>
              </w:rPr>
              <w:t>405</w:t>
            </w:r>
            <w:r>
              <w:rPr>
                <w:color w:val="143A84"/>
              </w:rPr>
              <w:t> </w:t>
            </w:r>
          </w:p>
        </w:tc>
        <w:tc>
          <w:tcPr>
            <w:tcW w:w="232"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E6E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143A84"/>
                <w:sz w:val="14"/>
              </w:rPr>
              <w:t>2</w:t>
            </w:r>
            <w:r>
              <w:rPr>
                <w:color w:val="143A84"/>
              </w:rPr>
              <w:t> </w:t>
            </w:r>
          </w:p>
        </w:tc>
        <w:tc>
          <w:tcPr>
            <w:tcW w:w="221"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E6E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143A84"/>
                <w:sz w:val="14"/>
              </w:rPr>
              <w:t>36</w:t>
            </w:r>
            <w:r>
              <w:rPr>
                <w:color w:val="143A84"/>
              </w:rPr>
              <w:t> </w:t>
            </w:r>
          </w:p>
        </w:tc>
        <w:tc>
          <w:tcPr>
            <w:tcW w:w="221"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E6E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143A84"/>
                <w:sz w:val="14"/>
              </w:rPr>
            </w:pPr>
            <w:r>
              <w:rPr>
                <w:rFonts w:ascii="Helvetica;sans-serif" w:hAnsi="Helvetica;sans-serif"/>
                <w:b/>
                <w:color w:val="143A84"/>
                <w:sz w:val="14"/>
              </w:rPr>
              <w:t>(3)</w:t>
            </w:r>
          </w:p>
        </w:tc>
        <w:tc>
          <w:tcPr>
            <w:tcW w:w="190"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E6E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143A84"/>
                <w:sz w:val="14"/>
              </w:rPr>
            </w:pPr>
            <w:r>
              <w:rPr>
                <w:rFonts w:ascii="Helvetica;sans-serif" w:hAnsi="Helvetica;sans-serif"/>
                <w:b/>
                <w:color w:val="143A84"/>
                <w:sz w:val="14"/>
              </w:rPr>
              <w:t>(71)</w:t>
            </w:r>
          </w:p>
        </w:tc>
        <w:tc>
          <w:tcPr>
            <w:tcW w:w="241"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E6E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143A84"/>
                <w:sz w:val="14"/>
              </w:rPr>
              <w:t>2</w:t>
            </w:r>
            <w:r>
              <w:rPr>
                <w:color w:val="143A84"/>
              </w:rPr>
              <w:t> </w:t>
            </w:r>
          </w:p>
        </w:tc>
        <w:tc>
          <w:tcPr>
            <w:tcW w:w="362"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E6E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143A84"/>
                <w:sz w:val="14"/>
              </w:rPr>
              <w:t>71</w:t>
            </w:r>
            <w:r>
              <w:rPr>
                <w:color w:val="143A84"/>
              </w:rPr>
              <w:t> </w:t>
            </w:r>
          </w:p>
        </w:tc>
        <w:tc>
          <w:tcPr>
            <w:tcW w:w="329"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4"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243782"/>
                <w:sz w:val="14"/>
              </w:rPr>
            </w:pPr>
            <w:r>
              <w:rPr>
                <w:rFonts w:ascii="Helvetica;sans-serif" w:hAnsi="Helvetica;sans-serif"/>
                <w:b/>
                <w:color w:val="243782"/>
                <w:sz w:val="14"/>
              </w:rPr>
              <w:t>Adjusted operating income/(loss)</w:t>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143A84"/>
                <w:sz w:val="14"/>
              </w:rPr>
              <w:t>284</w:t>
            </w:r>
            <w:r>
              <w:rPr>
                <w:color w:val="143A84"/>
              </w:rPr>
              <w:t> </w:t>
            </w:r>
          </w:p>
        </w:tc>
        <w:tc>
          <w:tcPr>
            <w:tcW w:w="221"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143A84"/>
                <w:sz w:val="14"/>
              </w:rPr>
            </w:pPr>
            <w:r>
              <w:rPr>
                <w:rFonts w:ascii="Helvetica;sans-serif" w:hAnsi="Helvetica;sans-serif"/>
                <w:b/>
                <w:color w:val="143A84"/>
                <w:sz w:val="14"/>
              </w:rPr>
              <w:t>(94)</w:t>
            </w:r>
          </w:p>
        </w:tc>
        <w:tc>
          <w:tcPr>
            <w:tcW w:w="232"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143A84"/>
                <w:sz w:val="14"/>
              </w:rPr>
              <w:t>329</w:t>
            </w:r>
            <w:r>
              <w:rPr>
                <w:color w:val="143A84"/>
              </w:rPr>
              <w:t> </w:t>
            </w:r>
          </w:p>
        </w:tc>
        <w:tc>
          <w:tcPr>
            <w:tcW w:w="221"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143A84"/>
                <w:sz w:val="14"/>
              </w:rPr>
              <w:t>402</w:t>
            </w:r>
            <w:r>
              <w:rPr>
                <w:color w:val="143A84"/>
              </w:rPr>
              <w:t> </w:t>
            </w:r>
          </w:p>
        </w:tc>
        <w:tc>
          <w:tcPr>
            <w:tcW w:w="221"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143A84"/>
                <w:sz w:val="14"/>
              </w:rPr>
              <w:t>27</w:t>
            </w:r>
            <w:r>
              <w:rPr>
                <w:color w:val="143A84"/>
              </w:rPr>
              <w:t> </w:t>
            </w:r>
          </w:p>
        </w:tc>
        <w:tc>
          <w:tcPr>
            <w:tcW w:w="190"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143A84"/>
                <w:sz w:val="14"/>
              </w:rPr>
              <w:t>79</w:t>
            </w:r>
            <w:r>
              <w:rPr>
                <w:color w:val="143A84"/>
              </w:rPr>
              <w:t> </w:t>
            </w:r>
          </w:p>
        </w:tc>
        <w:tc>
          <w:tcPr>
            <w:tcW w:w="241"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143A84"/>
                <w:sz w:val="14"/>
              </w:rPr>
            </w:pPr>
            <w:r>
              <w:rPr>
                <w:rFonts w:ascii="Helvetica;sans-serif" w:hAnsi="Helvetica;sans-serif"/>
                <w:b/>
                <w:color w:val="143A84"/>
                <w:sz w:val="14"/>
              </w:rPr>
              <w:t>(254)</w:t>
            </w:r>
          </w:p>
        </w:tc>
        <w:tc>
          <w:tcPr>
            <w:tcW w:w="362"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143A84"/>
                <w:sz w:val="14"/>
              </w:rPr>
              <w:t>773</w:t>
            </w:r>
            <w:r>
              <w:rPr>
                <w:color w:val="143A84"/>
              </w:rPr>
              <w:t> </w:t>
            </w:r>
          </w:p>
        </w:tc>
        <w:tc>
          <w:tcPr>
            <w:tcW w:w="329"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4"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4" w:type="dxa"/>
            <w:gridSpan w:val="3"/>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14"/>
              </w:rPr>
            </w:pPr>
            <w:r>
              <w:rPr>
                <w:rFonts w:ascii="Helvetica;sans-serif" w:hAnsi="Helvetica;sans-serif"/>
                <w:b w:val="false"/>
                <w:color w:val="000000"/>
                <w:sz w:val="14"/>
              </w:rPr>
              <w:t>Share of profit of equity method investees, excluding adjustments</w:t>
            </w:r>
          </w:p>
        </w:tc>
        <w:tc>
          <w:tcPr>
            <w:tcW w:w="327" w:type="dxa"/>
            <w:gridSpan w:val="3"/>
            <w:tcBorders>
              <w:top w:val="single" w:sz="2" w:space="0" w:color="8E939F"/>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66 </w:t>
            </w:r>
          </w:p>
        </w:tc>
        <w:tc>
          <w:tcPr>
            <w:tcW w:w="221" w:type="dxa"/>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(111)</w:t>
            </w:r>
          </w:p>
        </w:tc>
        <w:tc>
          <w:tcPr>
            <w:tcW w:w="232" w:type="dxa"/>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20 </w:t>
            </w:r>
          </w:p>
        </w:tc>
        <w:tc>
          <w:tcPr>
            <w:tcW w:w="221" w:type="dxa"/>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21" w:type="dxa"/>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412" w:type="dxa"/>
            <w:gridSpan w:val="2"/>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12 </w:t>
            </w:r>
          </w:p>
        </w:tc>
        <w:tc>
          <w:tcPr>
            <w:tcW w:w="190" w:type="dxa"/>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45 </w:t>
            </w:r>
          </w:p>
        </w:tc>
        <w:tc>
          <w:tcPr>
            <w:tcW w:w="241" w:type="dxa"/>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362" w:type="dxa"/>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32 </w:t>
            </w:r>
          </w:p>
        </w:tc>
        <w:tc>
          <w:tcPr>
            <w:tcW w:w="329" w:type="dxa"/>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Helvetica Light;sans-serif" w:hAnsi="Helvetica Light;sans-serif"/>
          <w:b w:val="false"/>
          <w:color w:val="000000"/>
          <w:sz w:val="16"/>
        </w:rPr>
      </w:pPr>
      <w:r>
        <w:rPr>
          <w:rFonts w:ascii="Helvetica Light;sans-serif" w:hAnsi="Helvetica Light;sans-serif"/>
          <w:b w:val="false"/>
          <w:color w:val="000000"/>
          <w:sz w:val="16"/>
        </w:rPr>
        <w:t>(1) Primarily related to workforce reductions, mainly in Enlarged Europe</w:t>
      </w:r>
    </w:p>
    <w:p>
      <w:pPr>
        <w:pStyle w:val="TextBody"/>
        <w:bidi w:val="0"/>
        <w:spacing w:lineRule="auto" w:line="288" w:before="0" w:after="0"/>
        <w:jc w:val="left"/>
        <w:rPr>
          <w:rFonts w:ascii="Helvetica Light;sans-serif" w:hAnsi="Helvetica Light;sans-serif"/>
          <w:b w:val="false"/>
          <w:color w:val="000000"/>
          <w:sz w:val="16"/>
        </w:rPr>
      </w:pPr>
      <w:r>
        <w:rPr>
          <w:rFonts w:ascii="Helvetica Light;sans-serif" w:hAnsi="Helvetica Light;sans-serif"/>
          <w:b w:val="false"/>
          <w:color w:val="000000"/>
          <w:sz w:val="16"/>
        </w:rPr>
        <w:t>(2) Related to stop-drive campaign on certain vehicles mainly in Enlarged Europe</w:t>
      </w:r>
    </w:p>
    <w:p>
      <w:pPr>
        <w:pStyle w:val="TextBody"/>
        <w:bidi w:val="0"/>
        <w:spacing w:lineRule="auto" w:line="288" w:before="0" w:after="0"/>
        <w:jc w:val="left"/>
        <w:rPr>
          <w:rFonts w:ascii="Helvetica Light;sans-serif" w:hAnsi="Helvetica Light;sans-serif"/>
          <w:b w:val="false"/>
          <w:color w:val="000000"/>
          <w:sz w:val="16"/>
        </w:rPr>
      </w:pPr>
      <w:r>
        <w:rPr>
          <w:rFonts w:ascii="Helvetica Light;sans-serif" w:hAnsi="Helvetica Light;sans-serif"/>
          <w:b w:val="false"/>
          <w:color w:val="000000"/>
          <w:sz w:val="16"/>
        </w:rPr>
        <w:t>(3) Primarily related to costs incurred as result of product plan realignments and program cancellations in North America</w:t>
      </w:r>
    </w:p>
    <w:p>
      <w:pPr>
        <w:pStyle w:val="TextBody"/>
        <w:bidi w:val="0"/>
        <w:spacing w:lineRule="auto" w:line="288" w:before="0" w:after="0"/>
        <w:jc w:val="left"/>
        <w:rPr>
          <w:rFonts w:ascii="Helvetica Light;sans-serif" w:hAnsi="Helvetica Light;sans-serif"/>
          <w:b w:val="false"/>
          <w:color w:val="000000"/>
          <w:sz w:val="16"/>
        </w:rPr>
      </w:pPr>
      <w:r>
        <w:rPr>
          <w:rFonts w:ascii="Helvetica Light;sans-serif" w:hAnsi="Helvetica Light;sans-serif"/>
          <w:b w:val="false"/>
          <w:color w:val="000000"/>
          <w:sz w:val="16"/>
        </w:rPr>
        <w:t xml:space="preserve">(4) Includes a net gain of €317 million within Cost of revenues related to renegotiated contractual commitments for the purchase of regulatory compliance credits </w:t>
      </w:r>
    </w:p>
    <w:p>
      <w:pPr>
        <w:pStyle w:val="TextBody"/>
        <w:bidi w:val="0"/>
        <w:spacing w:lineRule="auto" w:line="288"/>
        <w:jc w:val="left"/>
        <w:rPr/>
      </w:pPr>
      <w:r>
        <w:rPr>
          <w:rFonts w:ascii="Helvetica Light;sans-serif" w:hAnsi="Helvetica Light;sans-serif"/>
          <w:b w:val="false"/>
          <w:color w:val="000000"/>
          <w:sz w:val="16"/>
        </w:rPr>
        <w:t xml:space="preserve">(5) Comprised primarily of gains recognized as a result of the loss of significant influence over Archer and the resulting termination of the equity method (refer to Note 2, </w:t>
      </w:r>
      <w:r>
        <w:rPr>
          <w:rFonts w:ascii="Helvetica Light;sans-serif" w:hAnsi="Helvetica Light;sans-serif"/>
          <w:b w:val="false"/>
          <w:i/>
          <w:color w:val="000000"/>
          <w:sz w:val="16"/>
        </w:rPr>
        <w:t>Scope of consolidation</w:t>
      </w:r>
      <w:r>
        <w:rPr>
          <w:color w:val="000000"/>
        </w:rPr>
        <w:t xml:space="preserve"> </w:t>
      </w:r>
      <w:r>
        <w:rPr>
          <w:rFonts w:ascii="Helvetica Light;sans-serif" w:hAnsi="Helvetica Light;sans-serif"/>
          <w:b w:val="false"/>
          <w:color w:val="000000"/>
          <w:sz w:val="16"/>
        </w:rPr>
        <w:t>for additional information), and a dilution gain related to the investment in Comau Group</w:t>
      </w:r>
    </w:p>
    <w:p>
      <w:pPr>
        <w:pStyle w:val="TextBody"/>
        <w:bidi w:val="0"/>
        <w:spacing w:before="0" w:after="24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503555"/>
                <wp:effectExtent l="0" t="0" r="0" b="0"/>
                <wp:wrapNone/>
                <wp:docPr id="102" name="Frame87"/>
                <a:graphic xmlns:a="http://schemas.openxmlformats.org/drawingml/2006/main">
                  <a:graphicData uri="http://schemas.microsoft.com/office/word/2010/wordprocessingShape">
                    <wps:wsp>
                      <wps:cNvSpPr txBox="1"/>
                      <wps:spPr>
                        <a:xfrm>
                          <a:off x="0" y="0"/>
                          <a:ext cx="6480175" cy="5035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83</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83</w:t>
                      </w:r>
                    </w:p>
                    <w:p>
                      <w:pPr>
                        <w:pStyle w:val="TextBody"/>
                        <w:bidi w:val="0"/>
                        <w:spacing w:before="0" w:after="24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tbl>
      <w:tblPr>
        <w:tblW w:w="10205" w:type="dxa"/>
        <w:jc w:val="left"/>
        <w:tblInd w:w="0" w:type="dxa"/>
        <w:tblLayout w:type="fixed"/>
        <w:tblCellMar>
          <w:top w:w="28" w:type="dxa"/>
          <w:left w:w="28" w:type="dxa"/>
          <w:bottom w:w="28" w:type="dxa"/>
          <w:right w:w="28" w:type="dxa"/>
        </w:tblCellMar>
      </w:tblPr>
      <w:tblGrid>
        <w:gridCol w:w="727"/>
        <w:gridCol w:w="214"/>
        <w:gridCol w:w="217"/>
        <w:gridCol w:w="109"/>
        <w:gridCol w:w="109"/>
        <w:gridCol w:w="109"/>
        <w:gridCol w:w="344"/>
        <w:gridCol w:w="244"/>
        <w:gridCol w:w="219"/>
        <w:gridCol w:w="109"/>
        <w:gridCol w:w="109"/>
        <w:gridCol w:w="109"/>
        <w:gridCol w:w="361"/>
        <w:gridCol w:w="229"/>
        <w:gridCol w:w="230"/>
        <w:gridCol w:w="109"/>
        <w:gridCol w:w="109"/>
        <w:gridCol w:w="109"/>
        <w:gridCol w:w="305"/>
        <w:gridCol w:w="216"/>
        <w:gridCol w:w="217"/>
        <w:gridCol w:w="109"/>
        <w:gridCol w:w="109"/>
        <w:gridCol w:w="109"/>
        <w:gridCol w:w="297"/>
        <w:gridCol w:w="218"/>
        <w:gridCol w:w="219"/>
        <w:gridCol w:w="109"/>
        <w:gridCol w:w="109"/>
        <w:gridCol w:w="109"/>
        <w:gridCol w:w="222"/>
        <w:gridCol w:w="187"/>
        <w:gridCol w:w="188"/>
        <w:gridCol w:w="109"/>
        <w:gridCol w:w="109"/>
        <w:gridCol w:w="109"/>
        <w:gridCol w:w="278"/>
        <w:gridCol w:w="238"/>
        <w:gridCol w:w="239"/>
        <w:gridCol w:w="109"/>
        <w:gridCol w:w="109"/>
        <w:gridCol w:w="109"/>
        <w:gridCol w:w="355"/>
        <w:gridCol w:w="355"/>
        <w:gridCol w:w="356"/>
        <w:gridCol w:w="109"/>
        <w:gridCol w:w="109"/>
        <w:gridCol w:w="109"/>
        <w:gridCol w:w="292"/>
        <w:gridCol w:w="294"/>
        <w:gridCol w:w="328"/>
      </w:tblGrid>
      <w:tr>
        <w:trPr/>
        <w:tc>
          <w:tcPr>
            <w:tcW w:w="72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r>
      <w:tr>
        <w:trPr/>
        <w:tc>
          <w:tcPr>
            <w:tcW w:w="115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243782"/>
                <w:sz w:val="14"/>
              </w:rPr>
            </w:pPr>
            <w:r>
              <w:rPr>
                <w:rFonts w:ascii="Helvetica;sans-serif" w:hAnsi="Helvetica;sans-serif"/>
                <w:b/>
                <w:color w:val="243782"/>
                <w:sz w:val="14"/>
              </w:rPr>
              <w:t>Three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4"/>
              </w:rPr>
            </w:pPr>
            <w:r>
              <w:rPr>
                <w:rFonts w:ascii="Helvetica;sans-serif" w:hAnsi="Helvetica;sans-serif"/>
                <w:b/>
                <w:color w:val="243782"/>
                <w:sz w:val="14"/>
              </w:rPr>
              <w:t>North America</w:t>
            </w:r>
          </w:p>
        </w:tc>
        <w:tc>
          <w:tcPr>
            <w:tcW w:w="327" w:type="dxa"/>
            <w:gridSpan w:val="3"/>
            <w:tcBorders>
              <w:bottom w:val="single" w:sz="2" w:space="0" w:color="143A8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bottom w:val="single" w:sz="2" w:space="0" w:color="143A84"/>
            </w:tcBorders>
            <w:tcMar>
              <w:top w:w="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color w:val="243782"/>
                <w:sz w:val="14"/>
              </w:rPr>
            </w:pPr>
            <w:r>
              <w:rPr>
                <w:rFonts w:ascii="Helvetica;sans-serif" w:hAnsi="Helvetica;sans-serif"/>
                <w:b/>
                <w:color w:val="243782"/>
                <w:sz w:val="14"/>
              </w:rPr>
              <w:t>Enlarged Europe</w:t>
            </w:r>
          </w:p>
        </w:tc>
        <w:tc>
          <w:tcPr>
            <w:tcW w:w="327" w:type="dxa"/>
            <w:gridSpan w:val="3"/>
            <w:tcBorders>
              <w:bottom w:val="single" w:sz="2" w:space="0" w:color="143A8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bottom w:val="single" w:sz="2" w:space="0" w:color="143A84"/>
            </w:tcBorders>
            <w:tcMar>
              <w:top w:w="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color w:val="243782"/>
                <w:sz w:val="14"/>
              </w:rPr>
            </w:pPr>
            <w:r>
              <w:rPr>
                <w:rFonts w:ascii="Helvetica;sans-serif" w:hAnsi="Helvetica;sans-serif"/>
                <w:b/>
                <w:color w:val="243782"/>
                <w:sz w:val="14"/>
              </w:rPr>
              <w:t>Middle East &amp; Africa</w:t>
            </w:r>
          </w:p>
        </w:tc>
        <w:tc>
          <w:tcPr>
            <w:tcW w:w="327" w:type="dxa"/>
            <w:gridSpan w:val="3"/>
            <w:tcBorders>
              <w:bottom w:val="single" w:sz="2" w:space="0" w:color="143A8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bottom w:val="single" w:sz="2" w:space="0" w:color="143A84"/>
            </w:tcBorders>
            <w:tcMar>
              <w:top w:w="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color w:val="243782"/>
                <w:sz w:val="14"/>
              </w:rPr>
            </w:pPr>
            <w:r>
              <w:rPr>
                <w:rFonts w:ascii="Helvetica;sans-serif" w:hAnsi="Helvetica;sans-serif"/>
                <w:b/>
                <w:color w:val="243782"/>
                <w:sz w:val="14"/>
              </w:rPr>
              <w:t>South America</w:t>
            </w:r>
          </w:p>
        </w:tc>
        <w:tc>
          <w:tcPr>
            <w:tcW w:w="327" w:type="dxa"/>
            <w:gridSpan w:val="3"/>
            <w:tcBorders>
              <w:bottom w:val="single" w:sz="2" w:space="0" w:color="143A8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bottom w:val="single" w:sz="2" w:space="0" w:color="143A84"/>
            </w:tcBorders>
            <w:tcMar>
              <w:top w:w="0" w:type="dxa"/>
              <w:left w:w="0" w:type="dxa"/>
              <w:bottom w:w="30" w:type="dxa"/>
              <w:right w:w="0" w:type="dxa"/>
            </w:tcMar>
            <w:vAlign w:val="center"/>
          </w:tcPr>
          <w:p>
            <w:pPr>
              <w:pStyle w:val="TableContents"/>
              <w:bidi w:val="0"/>
              <w:spacing w:lineRule="auto" w:line="288" w:before="0" w:after="0"/>
              <w:jc w:val="right"/>
              <w:rPr>
                <w:rFonts w:ascii="Helvetica;sans-serif" w:hAnsi="Helvetica;sans-serif"/>
                <w:b/>
                <w:color w:val="243782"/>
                <w:sz w:val="14"/>
              </w:rPr>
            </w:pPr>
            <w:r>
              <w:rPr>
                <w:rFonts w:ascii="Helvetica;sans-serif" w:hAnsi="Helvetica;sans-serif"/>
                <w:b/>
                <w:color w:val="243782"/>
                <w:sz w:val="14"/>
              </w:rPr>
              <w:t>Asia Pacific</w:t>
            </w:r>
          </w:p>
        </w:tc>
        <w:tc>
          <w:tcPr>
            <w:tcW w:w="327" w:type="dxa"/>
            <w:gridSpan w:val="3"/>
            <w:tcBorders>
              <w:bottom w:val="single" w:sz="2" w:space="0" w:color="143A8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bottom w:val="single" w:sz="2" w:space="0" w:color="143A84"/>
            </w:tcBorders>
            <w:tcMar>
              <w:top w:w="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color w:val="243782"/>
                <w:sz w:val="14"/>
              </w:rPr>
            </w:pPr>
            <w:r>
              <w:rPr>
                <w:rFonts w:ascii="Helvetica;sans-serif" w:hAnsi="Helvetica;sans-serif"/>
                <w:b/>
                <w:color w:val="243782"/>
                <w:sz w:val="14"/>
              </w:rPr>
              <w:t>Other activities</w:t>
            </w:r>
          </w:p>
        </w:tc>
        <w:tc>
          <w:tcPr>
            <w:tcW w:w="327" w:type="dxa"/>
            <w:gridSpan w:val="3"/>
            <w:tcBorders>
              <w:bottom w:val="single" w:sz="2" w:space="0" w:color="143A8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bottom w:val="single" w:sz="2" w:space="0" w:color="143A84"/>
            </w:tcBorders>
            <w:tcMar>
              <w:top w:w="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color w:val="243782"/>
                <w:sz w:val="14"/>
              </w:rPr>
            </w:pPr>
            <w:r>
              <w:rPr>
                <w:rFonts w:ascii="Helvetica;sans-serif" w:hAnsi="Helvetica;sans-serif"/>
                <w:b/>
                <w:color w:val="243782"/>
                <w:sz w:val="14"/>
              </w:rPr>
              <w:t>Unallocated items &amp; eliminations</w:t>
            </w:r>
          </w:p>
        </w:tc>
        <w:tc>
          <w:tcPr>
            <w:tcW w:w="327" w:type="dxa"/>
            <w:gridSpan w:val="3"/>
            <w:tcBorders>
              <w:bottom w:val="single" w:sz="2" w:space="0" w:color="143A8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bottom w:val="single" w:sz="2" w:space="0" w:color="143A84"/>
            </w:tcBorders>
            <w:tcMar>
              <w:top w:w="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color w:val="243782"/>
                <w:sz w:val="14"/>
              </w:rPr>
            </w:pPr>
            <w:r>
              <w:rPr>
                <w:rFonts w:ascii="Helvetica;sans-serif" w:hAnsi="Helvetica;sans-serif"/>
                <w:b/>
                <w:color w:val="243782"/>
                <w:sz w:val="14"/>
              </w:rPr>
              <w:t>Stellantis</w:t>
            </w:r>
          </w:p>
        </w:tc>
      </w:tr>
      <w:tr>
        <w:trPr/>
        <w:tc>
          <w:tcPr>
            <w:tcW w:w="1158" w:type="dxa"/>
            <w:gridSpan w:val="3"/>
            <w:tcBorders>
              <w:top w:val="single" w:sz="2" w:space="0" w:color="143A84"/>
            </w:tcBorders>
            <w:tcMar>
              <w:top w:w="52" w:type="dxa"/>
              <w:left w:w="0" w:type="dxa"/>
              <w:bottom w:w="0" w:type="dxa"/>
              <w:right w:w="0" w:type="dxa"/>
            </w:tcMar>
            <w:vAlign w:val="center"/>
          </w:tcPr>
          <w:p>
            <w:pPr>
              <w:pStyle w:val="TableContents"/>
              <w:bidi w:val="0"/>
              <w:spacing w:lineRule="auto" w:line="288" w:before="0" w:after="240"/>
              <w:jc w:val="left"/>
              <w:rPr>
                <w:rFonts w:ascii="Helvetica;sans-serif" w:hAnsi="Helvetica;sans-serif"/>
                <w:b w:val="false"/>
                <w:i/>
                <w:color w:val="000000"/>
                <w:sz w:val="14"/>
              </w:rPr>
            </w:pPr>
            <w:r>
              <w:rPr>
                <w:rFonts w:ascii="Helvetica;sans-serif" w:hAnsi="Helvetica;sans-serif"/>
                <w:b w:val="false"/>
                <w:i/>
                <w:color w:val="000000"/>
                <w:sz w:val="14"/>
              </w:rPr>
              <w:t>(€ million)</w:t>
            </w:r>
          </w:p>
        </w:tc>
        <w:tc>
          <w:tcPr>
            <w:tcW w:w="327"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0" w:type="dxa"/>
            <w:gridSpan w:val="45"/>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8"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4"/>
              </w:rPr>
            </w:pPr>
            <w:r>
              <w:rPr>
                <w:rFonts w:ascii="Helvetica;sans-serif" w:hAnsi="Helvetica;sans-serif"/>
                <w:b w:val="false"/>
                <w:color w:val="000000"/>
                <w:sz w:val="14"/>
              </w:rPr>
              <w:t>Net revenues from external customers</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13,834 </w:t>
            </w:r>
          </w:p>
        </w:tc>
        <w:tc>
          <w:tcPr>
            <w:tcW w:w="219"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16,387 </w:t>
            </w:r>
          </w:p>
        </w:tc>
        <w:tc>
          <w:tcPr>
            <w:tcW w:w="230"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2,674 </w:t>
            </w:r>
          </w:p>
        </w:tc>
        <w:tc>
          <w:tcPr>
            <w:tcW w:w="217"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4,030 </w:t>
            </w:r>
          </w:p>
        </w:tc>
        <w:tc>
          <w:tcPr>
            <w:tcW w:w="219"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521 </w:t>
            </w:r>
          </w:p>
        </w:tc>
        <w:tc>
          <w:tcPr>
            <w:tcW w:w="188"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1,002 </w:t>
            </w:r>
          </w:p>
        </w:tc>
        <w:tc>
          <w:tcPr>
            <w:tcW w:w="239"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38,448 </w:t>
            </w:r>
          </w:p>
        </w:tc>
        <w:tc>
          <w:tcPr>
            <w:tcW w:w="328"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8"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4"/>
              </w:rPr>
            </w:pPr>
            <w:r>
              <w:rPr>
                <w:rFonts w:ascii="Helvetica;sans-serif" w:hAnsi="Helvetica;sans-serif"/>
                <w:b w:val="false"/>
                <w:color w:val="000000"/>
                <w:sz w:val="14"/>
              </w:rPr>
              <w:t>Net revenues from transactions with other segments</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9"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0"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7"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62 </w:t>
            </w:r>
          </w:p>
        </w:tc>
        <w:tc>
          <w:tcPr>
            <w:tcW w:w="219"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3 </w:t>
            </w:r>
          </w:p>
        </w:tc>
        <w:tc>
          <w:tcPr>
            <w:tcW w:w="188"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29 </w:t>
            </w:r>
          </w:p>
        </w:tc>
        <w:tc>
          <w:tcPr>
            <w:tcW w:w="239"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(94)</w:t>
            </w:r>
          </w:p>
        </w:tc>
        <w:tc>
          <w:tcPr>
            <w:tcW w:w="35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8"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8"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0"/>
              <w:jc w:val="left"/>
              <w:rPr/>
            </w:pPr>
            <w:r>
              <w:rPr>
                <w:rFonts w:ascii="Helvetica;sans-serif" w:hAnsi="Helvetica;sans-serif"/>
                <w:b/>
                <w:color w:val="243782"/>
                <w:sz w:val="14"/>
              </w:rPr>
              <w:t>Net revenues</w:t>
            </w:r>
            <w:r>
              <w:rPr>
                <w:rFonts w:ascii="Helvetica;sans-serif" w:hAnsi="Helvetica;sans-serif"/>
                <w:b/>
                <w:color w:val="243782"/>
                <w:sz w:val="9"/>
              </w:rPr>
              <w:t>(1)</w:t>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143A84"/>
                <w:sz w:val="14"/>
              </w:rPr>
              <w:t>13,834</w:t>
            </w:r>
            <w:r>
              <w:rPr>
                <w:color w:val="143A84"/>
              </w:rPr>
              <w:t> </w:t>
            </w:r>
          </w:p>
        </w:tc>
        <w:tc>
          <w:tcPr>
            <w:tcW w:w="219"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143A84"/>
                <w:sz w:val="14"/>
              </w:rPr>
              <w:t>16,387</w:t>
            </w:r>
            <w:r>
              <w:rPr>
                <w:color w:val="143A84"/>
              </w:rPr>
              <w:t> </w:t>
            </w:r>
          </w:p>
        </w:tc>
        <w:tc>
          <w:tcPr>
            <w:tcW w:w="230"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143A84"/>
                <w:sz w:val="14"/>
              </w:rPr>
              <w:t>2,674</w:t>
            </w:r>
            <w:r>
              <w:rPr>
                <w:color w:val="143A84"/>
              </w:rPr>
              <w:t> </w:t>
            </w:r>
          </w:p>
        </w:tc>
        <w:tc>
          <w:tcPr>
            <w:tcW w:w="217"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143A84"/>
                <w:sz w:val="14"/>
              </w:rPr>
              <w:t>4,092</w:t>
            </w:r>
            <w:r>
              <w:rPr>
                <w:color w:val="143A84"/>
              </w:rPr>
              <w:t> </w:t>
            </w:r>
          </w:p>
        </w:tc>
        <w:tc>
          <w:tcPr>
            <w:tcW w:w="219"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143A84"/>
                <w:sz w:val="14"/>
              </w:rPr>
              <w:t>524</w:t>
            </w:r>
            <w:r>
              <w:rPr>
                <w:color w:val="143A84"/>
              </w:rPr>
              <w:t> </w:t>
            </w:r>
          </w:p>
        </w:tc>
        <w:tc>
          <w:tcPr>
            <w:tcW w:w="188"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143A84"/>
                <w:sz w:val="14"/>
              </w:rPr>
              <w:t>1,031</w:t>
            </w:r>
            <w:r>
              <w:rPr>
                <w:color w:val="143A84"/>
              </w:rPr>
              <w:t> </w:t>
            </w:r>
          </w:p>
        </w:tc>
        <w:tc>
          <w:tcPr>
            <w:tcW w:w="239"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143A84"/>
                <w:sz w:val="14"/>
              </w:rPr>
            </w:pPr>
            <w:r>
              <w:rPr>
                <w:rFonts w:ascii="Helvetica;sans-serif" w:hAnsi="Helvetica;sans-serif"/>
                <w:b/>
                <w:color w:val="143A84"/>
                <w:sz w:val="14"/>
              </w:rPr>
              <w:t>(94)</w:t>
            </w:r>
          </w:p>
        </w:tc>
        <w:tc>
          <w:tcPr>
            <w:tcW w:w="356"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143A84"/>
                <w:sz w:val="14"/>
              </w:rPr>
              <w:t>38,448</w:t>
            </w:r>
            <w:r>
              <w:rPr>
                <w:color w:val="143A84"/>
              </w:rPr>
              <w:t> </w:t>
            </w:r>
          </w:p>
        </w:tc>
        <w:tc>
          <w:tcPr>
            <w:tcW w:w="328"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8"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8"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243782"/>
                <w:sz w:val="14"/>
              </w:rPr>
            </w:pPr>
            <w:r>
              <w:rPr>
                <w:rFonts w:ascii="Helvetica;sans-serif" w:hAnsi="Helvetica;sans-serif"/>
                <w:b/>
                <w:color w:val="243782"/>
                <w:sz w:val="14"/>
              </w:rPr>
              <w:t>Net profit/(loss)</w:t>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143A84"/>
                <w:sz w:val="14"/>
              </w:rPr>
            </w:pPr>
            <w:r>
              <w:rPr>
                <w:rFonts w:ascii="Helvetica;sans-serif" w:hAnsi="Helvetica;sans-serif"/>
                <w:b/>
                <w:color w:val="143A84"/>
                <w:sz w:val="14"/>
              </w:rPr>
              <w:t>(1,869)</w:t>
            </w:r>
          </w:p>
        </w:tc>
        <w:tc>
          <w:tcPr>
            <w:tcW w:w="328"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8"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4"/>
              </w:rPr>
            </w:pPr>
            <w:r>
              <w:rPr>
                <w:rFonts w:ascii="Helvetica;sans-serif" w:hAnsi="Helvetica;sans-serif"/>
                <w:b w:val="false"/>
                <w:color w:val="000000"/>
                <w:sz w:val="14"/>
              </w:rPr>
              <w:t>Tax expense/(benefit)</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(588)</w:t>
            </w:r>
          </w:p>
        </w:tc>
        <w:tc>
          <w:tcPr>
            <w:tcW w:w="328"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8"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4"/>
              </w:rPr>
            </w:pPr>
            <w:r>
              <w:rPr>
                <w:rFonts w:ascii="Helvetica;sans-serif" w:hAnsi="Helvetica;sans-serif"/>
                <w:b w:val="false"/>
                <w:color w:val="000000"/>
                <w:sz w:val="14"/>
              </w:rPr>
              <w:t>Net financial expenses/(income)</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63 </w:t>
            </w:r>
          </w:p>
        </w:tc>
        <w:tc>
          <w:tcPr>
            <w:tcW w:w="328"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8"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243782"/>
                <w:sz w:val="14"/>
              </w:rPr>
            </w:pPr>
            <w:r>
              <w:rPr>
                <w:rFonts w:ascii="Helvetica;sans-serif" w:hAnsi="Helvetica;sans-serif"/>
                <w:b/>
                <w:color w:val="243782"/>
                <w:sz w:val="14"/>
              </w:rPr>
              <w:t>Operating income/(loss)</w:t>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143A84"/>
                <w:sz w:val="14"/>
              </w:rPr>
            </w:pPr>
            <w:r>
              <w:rPr>
                <w:rFonts w:ascii="Helvetica;sans-serif" w:hAnsi="Helvetica;sans-serif"/>
                <w:b/>
                <w:color w:val="143A84"/>
                <w:sz w:val="14"/>
              </w:rPr>
              <w:t>(2,394)</w:t>
            </w:r>
          </w:p>
        </w:tc>
        <w:tc>
          <w:tcPr>
            <w:tcW w:w="328"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8"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8"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243782"/>
                <w:sz w:val="14"/>
              </w:rPr>
            </w:pPr>
            <w:r>
              <w:rPr>
                <w:rFonts w:ascii="Helvetica;sans-serif" w:hAnsi="Helvetica;sans-serif"/>
                <w:b/>
                <w:color w:val="243782"/>
                <w:sz w:val="14"/>
              </w:rPr>
              <w:t>Adjustments:</w:t>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8"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0"/>
              <w:jc w:val="left"/>
              <w:rPr/>
            </w:pPr>
            <w:r>
              <w:rPr>
                <w:rFonts w:ascii="Helvetica;sans-serif" w:hAnsi="Helvetica;sans-serif"/>
                <w:b w:val="false"/>
                <w:color w:val="000000"/>
                <w:sz w:val="14"/>
              </w:rPr>
              <w:t>Restructuring and other costs, net of reversals</w:t>
            </w:r>
            <w:r>
              <w:rPr>
                <w:rFonts w:ascii="Helvetica;sans-serif" w:hAnsi="Helvetica;sans-serif"/>
                <w:b w:val="false"/>
                <w:color w:val="000000"/>
                <w:sz w:val="9"/>
              </w:rPr>
              <w:t>(2)</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(3)</w:t>
            </w:r>
          </w:p>
        </w:tc>
        <w:tc>
          <w:tcPr>
            <w:tcW w:w="219"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370 </w:t>
            </w:r>
          </w:p>
        </w:tc>
        <w:tc>
          <w:tcPr>
            <w:tcW w:w="230"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7"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4 </w:t>
            </w:r>
          </w:p>
        </w:tc>
        <w:tc>
          <w:tcPr>
            <w:tcW w:w="219"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8"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28 </w:t>
            </w:r>
          </w:p>
        </w:tc>
        <w:tc>
          <w:tcPr>
            <w:tcW w:w="239"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399 </w:t>
            </w:r>
          </w:p>
        </w:tc>
        <w:tc>
          <w:tcPr>
            <w:tcW w:w="328"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8"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0"/>
              <w:jc w:val="left"/>
              <w:rPr/>
            </w:pPr>
            <w:r>
              <w:rPr>
                <w:rFonts w:ascii="Helvetica;sans-serif" w:hAnsi="Helvetica;sans-serif"/>
                <w:b w:val="false"/>
                <w:color w:val="000000"/>
                <w:sz w:val="14"/>
              </w:rPr>
              <w:t>Takata airbags recall campaign</w:t>
            </w:r>
            <w:r>
              <w:rPr>
                <w:rFonts w:ascii="Helvetica;sans-serif" w:hAnsi="Helvetica;sans-serif"/>
                <w:b w:val="false"/>
                <w:color w:val="000000"/>
                <w:sz w:val="9"/>
              </w:rPr>
              <w:t>(3)</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9"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174 </w:t>
            </w:r>
          </w:p>
        </w:tc>
        <w:tc>
          <w:tcPr>
            <w:tcW w:w="230"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7"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9"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8"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9"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174 </w:t>
            </w:r>
          </w:p>
        </w:tc>
        <w:tc>
          <w:tcPr>
            <w:tcW w:w="328"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8"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0"/>
              <w:jc w:val="left"/>
              <w:rPr/>
            </w:pPr>
            <w:r>
              <w:rPr>
                <w:rFonts w:ascii="Helvetica;sans-serif" w:hAnsi="Helvetica;sans-serif"/>
                <w:b w:val="false"/>
                <w:color w:val="000000"/>
                <w:sz w:val="14"/>
              </w:rPr>
              <w:t>Platform impairments</w:t>
            </w:r>
            <w:r>
              <w:rPr>
                <w:rFonts w:ascii="Helvetica;sans-serif" w:hAnsi="Helvetica;sans-serif"/>
                <w:b w:val="false"/>
                <w:color w:val="000000"/>
                <w:sz w:val="9"/>
              </w:rPr>
              <w:t>(4)</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9"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578 </w:t>
            </w:r>
          </w:p>
        </w:tc>
        <w:tc>
          <w:tcPr>
            <w:tcW w:w="230"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7"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9"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8"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9"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578 </w:t>
            </w:r>
          </w:p>
        </w:tc>
        <w:tc>
          <w:tcPr>
            <w:tcW w:w="328"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8"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343" w:before="0" w:after="120"/>
              <w:jc w:val="left"/>
              <w:rPr/>
            </w:pPr>
            <w:r>
              <w:rPr>
                <w:rFonts w:ascii="Helvetica;sans-serif" w:hAnsi="Helvetica;sans-serif"/>
                <w:b w:val="false"/>
                <w:color w:val="000000"/>
                <w:sz w:val="14"/>
              </w:rPr>
              <w:t>Costs related to program cancellations</w:t>
            </w:r>
            <w:r>
              <w:rPr>
                <w:rFonts w:ascii="Helvetica;sans-serif" w:hAnsi="Helvetica;sans-serif"/>
                <w:b w:val="false"/>
                <w:color w:val="000000"/>
                <w:sz w:val="9"/>
              </w:rPr>
              <w:t>(5)</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165 </w:t>
            </w:r>
          </w:p>
        </w:tc>
        <w:tc>
          <w:tcPr>
            <w:tcW w:w="219"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122 </w:t>
            </w:r>
          </w:p>
        </w:tc>
        <w:tc>
          <w:tcPr>
            <w:tcW w:w="230"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8 </w:t>
            </w:r>
          </w:p>
        </w:tc>
        <w:tc>
          <w:tcPr>
            <w:tcW w:w="217"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9"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1 </w:t>
            </w:r>
          </w:p>
        </w:tc>
        <w:tc>
          <w:tcPr>
            <w:tcW w:w="188"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9"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296 </w:t>
            </w:r>
          </w:p>
        </w:tc>
        <w:tc>
          <w:tcPr>
            <w:tcW w:w="328"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8"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0"/>
              <w:jc w:val="left"/>
              <w:rPr/>
            </w:pPr>
            <w:r>
              <w:rPr>
                <w:rFonts w:ascii="Helvetica;sans-serif" w:hAnsi="Helvetica;sans-serif"/>
                <w:b w:val="false"/>
                <w:color w:val="000000"/>
                <w:sz w:val="14"/>
              </w:rPr>
              <w:t>Fuel cell program discontinuation</w:t>
            </w:r>
            <w:r>
              <w:rPr>
                <w:rFonts w:ascii="Helvetica;sans-serif" w:hAnsi="Helvetica;sans-serif"/>
                <w:b w:val="false"/>
                <w:color w:val="000000"/>
                <w:sz w:val="9"/>
              </w:rPr>
              <w:t>(6)</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9"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733 </w:t>
            </w:r>
          </w:p>
        </w:tc>
        <w:tc>
          <w:tcPr>
            <w:tcW w:w="230"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7"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9"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8"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9"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733 </w:t>
            </w:r>
          </w:p>
        </w:tc>
        <w:tc>
          <w:tcPr>
            <w:tcW w:w="328"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8"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0"/>
              <w:jc w:val="left"/>
              <w:rPr/>
            </w:pPr>
            <w:r>
              <w:rPr>
                <w:rFonts w:ascii="Helvetica;sans-serif" w:hAnsi="Helvetica;sans-serif"/>
                <w:b w:val="false"/>
                <w:color w:val="000000"/>
                <w:sz w:val="14"/>
              </w:rPr>
              <w:t>CAFE penalty rate</w:t>
            </w:r>
            <w:r>
              <w:rPr>
                <w:rFonts w:ascii="Helvetica;sans-serif" w:hAnsi="Helvetica;sans-serif"/>
                <w:b w:val="false"/>
                <w:color w:val="000000"/>
                <w:sz w:val="9"/>
              </w:rPr>
              <w:t>(7)</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269 </w:t>
            </w:r>
          </w:p>
        </w:tc>
        <w:tc>
          <w:tcPr>
            <w:tcW w:w="219"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0"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7"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9"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8"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9"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269 </w:t>
            </w:r>
          </w:p>
        </w:tc>
        <w:tc>
          <w:tcPr>
            <w:tcW w:w="328"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8"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0"/>
              <w:jc w:val="left"/>
              <w:rPr/>
            </w:pPr>
            <w:r>
              <w:rPr>
                <w:rFonts w:ascii="Helvetica;sans-serif" w:hAnsi="Helvetica;sans-serif"/>
                <w:b w:val="false"/>
                <w:color w:val="000000"/>
                <w:sz w:val="14"/>
              </w:rPr>
              <w:t>Stellantis Türkiye disposal</w:t>
            </w:r>
            <w:r>
              <w:rPr>
                <w:rFonts w:ascii="Helvetica;sans-serif" w:hAnsi="Helvetica;sans-serif"/>
                <w:b w:val="false"/>
                <w:color w:val="000000"/>
                <w:sz w:val="9"/>
              </w:rPr>
              <w:t>(8)</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9"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0"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246 </w:t>
            </w:r>
          </w:p>
        </w:tc>
        <w:tc>
          <w:tcPr>
            <w:tcW w:w="217"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9"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8"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9"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246 </w:t>
            </w:r>
          </w:p>
        </w:tc>
        <w:tc>
          <w:tcPr>
            <w:tcW w:w="328"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8"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0"/>
              <w:jc w:val="left"/>
              <w:rPr/>
            </w:pPr>
            <w:r>
              <w:rPr>
                <w:rFonts w:ascii="Helvetica;sans-serif" w:hAnsi="Helvetica;sans-serif"/>
                <w:b w:val="false"/>
                <w:color w:val="000000"/>
                <w:sz w:val="14"/>
              </w:rPr>
              <w:t>Other</w:t>
            </w:r>
            <w:r>
              <w:rPr>
                <w:rFonts w:ascii="Helvetica;sans-serif" w:hAnsi="Helvetica;sans-serif"/>
                <w:b w:val="false"/>
                <w:color w:val="000000"/>
                <w:sz w:val="9"/>
              </w:rPr>
              <w:t>(9)</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(63)</w:t>
            </w:r>
          </w:p>
        </w:tc>
        <w:tc>
          <w:tcPr>
            <w:tcW w:w="219"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5 </w:t>
            </w:r>
          </w:p>
        </w:tc>
        <w:tc>
          <w:tcPr>
            <w:tcW w:w="230"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7"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(1)</w:t>
            </w:r>
          </w:p>
        </w:tc>
        <w:tc>
          <w:tcPr>
            <w:tcW w:w="219"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(1)</w:t>
            </w:r>
          </w:p>
        </w:tc>
        <w:tc>
          <w:tcPr>
            <w:tcW w:w="188"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(33)</w:t>
            </w:r>
          </w:p>
        </w:tc>
        <w:tc>
          <w:tcPr>
            <w:tcW w:w="239"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5 </w:t>
            </w:r>
          </w:p>
        </w:tc>
        <w:tc>
          <w:tcPr>
            <w:tcW w:w="356"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(88)</w:t>
            </w:r>
          </w:p>
        </w:tc>
        <w:tc>
          <w:tcPr>
            <w:tcW w:w="328"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8" w:type="dxa"/>
            <w:gridSpan w:val="3"/>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243782"/>
                <w:sz w:val="14"/>
              </w:rPr>
            </w:pPr>
            <w:r>
              <w:rPr>
                <w:rFonts w:ascii="Helvetica;sans-serif" w:hAnsi="Helvetica;sans-serif"/>
                <w:b/>
                <w:color w:val="243782"/>
                <w:sz w:val="14"/>
              </w:rPr>
              <w:t>Total adjustments</w:t>
            </w:r>
          </w:p>
        </w:tc>
        <w:tc>
          <w:tcPr>
            <w:tcW w:w="327" w:type="dxa"/>
            <w:gridSpan w:val="3"/>
            <w:tcBorders>
              <w:top w:val="single" w:sz="2" w:space="0" w:color="8E939F"/>
            </w:tcBorders>
            <w:shd w:fill="E6E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143A84"/>
                <w:sz w:val="14"/>
              </w:rPr>
              <w:t>368</w:t>
            </w:r>
            <w:r>
              <w:rPr>
                <w:color w:val="143A84"/>
              </w:rPr>
              <w:t> </w:t>
            </w:r>
          </w:p>
        </w:tc>
        <w:tc>
          <w:tcPr>
            <w:tcW w:w="219"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E6E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143A84"/>
                <w:sz w:val="14"/>
              </w:rPr>
              <w:t>1,982</w:t>
            </w:r>
            <w:r>
              <w:rPr>
                <w:color w:val="143A84"/>
              </w:rPr>
              <w:t> </w:t>
            </w:r>
          </w:p>
        </w:tc>
        <w:tc>
          <w:tcPr>
            <w:tcW w:w="230"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E6E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143A84"/>
                <w:sz w:val="14"/>
              </w:rPr>
              <w:t>254</w:t>
            </w:r>
            <w:r>
              <w:rPr>
                <w:color w:val="143A84"/>
              </w:rPr>
              <w:t> </w:t>
            </w:r>
          </w:p>
        </w:tc>
        <w:tc>
          <w:tcPr>
            <w:tcW w:w="217"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E6E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143A84"/>
                <w:sz w:val="14"/>
              </w:rPr>
              <w:t>3</w:t>
            </w:r>
            <w:r>
              <w:rPr>
                <w:color w:val="143A84"/>
              </w:rPr>
              <w:t> </w:t>
            </w:r>
          </w:p>
        </w:tc>
        <w:tc>
          <w:tcPr>
            <w:tcW w:w="219"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E6E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color w:val="143A84"/>
              </w:rPr>
            </w:pPr>
            <w:r>
              <w:rPr>
                <w:color w:val="143A84"/>
              </w:rPr>
              <w:t>— </w:t>
            </w:r>
          </w:p>
        </w:tc>
        <w:tc>
          <w:tcPr>
            <w:tcW w:w="188"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E6E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143A84"/>
                <w:sz w:val="14"/>
              </w:rPr>
            </w:pPr>
            <w:r>
              <w:rPr>
                <w:rFonts w:ascii="Helvetica;sans-serif" w:hAnsi="Helvetica;sans-serif"/>
                <w:b/>
                <w:color w:val="143A84"/>
                <w:sz w:val="14"/>
              </w:rPr>
              <w:t>(5)</w:t>
            </w:r>
          </w:p>
        </w:tc>
        <w:tc>
          <w:tcPr>
            <w:tcW w:w="239"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E6E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143A84"/>
                <w:sz w:val="14"/>
              </w:rPr>
              <w:t>5</w:t>
            </w:r>
            <w:r>
              <w:rPr>
                <w:color w:val="143A84"/>
              </w:rPr>
              <w:t> </w:t>
            </w:r>
          </w:p>
        </w:tc>
        <w:tc>
          <w:tcPr>
            <w:tcW w:w="356"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E6E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143A84"/>
                <w:sz w:val="14"/>
              </w:rPr>
              <w:t>2,607</w:t>
            </w:r>
            <w:r>
              <w:rPr>
                <w:color w:val="143A84"/>
              </w:rPr>
              <w:t> </w:t>
            </w:r>
          </w:p>
        </w:tc>
        <w:tc>
          <w:tcPr>
            <w:tcW w:w="328"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8"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243782"/>
                <w:sz w:val="14"/>
              </w:rPr>
            </w:pPr>
            <w:r>
              <w:rPr>
                <w:rFonts w:ascii="Helvetica;sans-serif" w:hAnsi="Helvetica;sans-serif"/>
                <w:b/>
                <w:color w:val="243782"/>
                <w:sz w:val="14"/>
              </w:rPr>
              <w:t xml:space="preserve">Adjusted operating income </w:t>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143A84"/>
                <w:sz w:val="14"/>
              </w:rPr>
            </w:pPr>
            <w:r>
              <w:rPr>
                <w:rFonts w:ascii="Helvetica;sans-serif" w:hAnsi="Helvetica;sans-serif"/>
                <w:b/>
                <w:color w:val="143A84"/>
                <w:sz w:val="14"/>
              </w:rPr>
              <w:t>(440)</w:t>
            </w:r>
          </w:p>
        </w:tc>
        <w:tc>
          <w:tcPr>
            <w:tcW w:w="219"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143A84"/>
                <w:sz w:val="14"/>
              </w:rPr>
            </w:pPr>
            <w:r>
              <w:rPr>
                <w:rFonts w:ascii="Helvetica;sans-serif" w:hAnsi="Helvetica;sans-serif"/>
                <w:b/>
                <w:color w:val="143A84"/>
                <w:sz w:val="14"/>
              </w:rPr>
              <w:t>(359)</w:t>
            </w:r>
          </w:p>
        </w:tc>
        <w:tc>
          <w:tcPr>
            <w:tcW w:w="230"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143A84"/>
                <w:sz w:val="14"/>
              </w:rPr>
              <w:t>392</w:t>
            </w:r>
            <w:r>
              <w:rPr>
                <w:color w:val="143A84"/>
              </w:rPr>
              <w:t> </w:t>
            </w:r>
          </w:p>
        </w:tc>
        <w:tc>
          <w:tcPr>
            <w:tcW w:w="217"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143A84"/>
                <w:sz w:val="14"/>
              </w:rPr>
              <w:t>782</w:t>
            </w:r>
            <w:r>
              <w:rPr>
                <w:color w:val="143A84"/>
              </w:rPr>
              <w:t> </w:t>
            </w:r>
          </w:p>
        </w:tc>
        <w:tc>
          <w:tcPr>
            <w:tcW w:w="219"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143A84"/>
                <w:sz w:val="14"/>
              </w:rPr>
              <w:t>20</w:t>
            </w:r>
            <w:r>
              <w:rPr>
                <w:color w:val="143A84"/>
              </w:rPr>
              <w:t> </w:t>
            </w:r>
          </w:p>
        </w:tc>
        <w:tc>
          <w:tcPr>
            <w:tcW w:w="188"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143A84"/>
                <w:sz w:val="14"/>
              </w:rPr>
            </w:pPr>
            <w:r>
              <w:rPr>
                <w:rFonts w:ascii="Helvetica;sans-serif" w:hAnsi="Helvetica;sans-serif"/>
                <w:b/>
                <w:color w:val="143A84"/>
                <w:sz w:val="14"/>
              </w:rPr>
              <w:t>(164)</w:t>
            </w:r>
          </w:p>
        </w:tc>
        <w:tc>
          <w:tcPr>
            <w:tcW w:w="239"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143A84"/>
                <w:sz w:val="14"/>
              </w:rPr>
            </w:pPr>
            <w:r>
              <w:rPr>
                <w:rFonts w:ascii="Helvetica;sans-serif" w:hAnsi="Helvetica;sans-serif"/>
                <w:b/>
                <w:color w:val="143A84"/>
                <w:sz w:val="14"/>
              </w:rPr>
              <w:t>(18)</w:t>
            </w:r>
          </w:p>
        </w:tc>
        <w:tc>
          <w:tcPr>
            <w:tcW w:w="356"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143A84"/>
                <w:sz w:val="14"/>
              </w:rPr>
              <w:t>213</w:t>
            </w:r>
            <w:r>
              <w:rPr>
                <w:color w:val="143A84"/>
              </w:rPr>
              <w:t> </w:t>
            </w:r>
          </w:p>
        </w:tc>
        <w:tc>
          <w:tcPr>
            <w:tcW w:w="328"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8"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8" w:type="dxa"/>
            <w:gridSpan w:val="3"/>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14"/>
              </w:rPr>
            </w:pPr>
            <w:r>
              <w:rPr>
                <w:rFonts w:ascii="Helvetica;sans-serif" w:hAnsi="Helvetica;sans-serif"/>
                <w:b w:val="false"/>
                <w:color w:val="000000"/>
                <w:sz w:val="14"/>
              </w:rPr>
              <w:t>Share of profit of equity method investees, excluding adjustments</w:t>
            </w:r>
          </w:p>
        </w:tc>
        <w:tc>
          <w:tcPr>
            <w:tcW w:w="327" w:type="dxa"/>
            <w:gridSpan w:val="3"/>
            <w:tcBorders>
              <w:top w:val="single" w:sz="2" w:space="0" w:color="8E939F"/>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1 </w:t>
            </w:r>
          </w:p>
        </w:tc>
        <w:tc>
          <w:tcPr>
            <w:tcW w:w="219" w:type="dxa"/>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(481)</w:t>
            </w:r>
          </w:p>
        </w:tc>
        <w:tc>
          <w:tcPr>
            <w:tcW w:w="230" w:type="dxa"/>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13 </w:t>
            </w:r>
          </w:p>
        </w:tc>
        <w:tc>
          <w:tcPr>
            <w:tcW w:w="217" w:type="dxa"/>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515" w:type="dxa"/>
            <w:gridSpan w:val="2"/>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2 </w:t>
            </w:r>
          </w:p>
        </w:tc>
        <w:tc>
          <w:tcPr>
            <w:tcW w:w="219" w:type="dxa"/>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409" w:type="dxa"/>
            <w:gridSpan w:val="2"/>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7 </w:t>
            </w:r>
          </w:p>
        </w:tc>
        <w:tc>
          <w:tcPr>
            <w:tcW w:w="188" w:type="dxa"/>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62 </w:t>
            </w:r>
          </w:p>
        </w:tc>
        <w:tc>
          <w:tcPr>
            <w:tcW w:w="239" w:type="dxa"/>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356" w:type="dxa"/>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(396)</w:t>
            </w:r>
          </w:p>
        </w:tc>
        <w:tc>
          <w:tcPr>
            <w:tcW w:w="328" w:type="dxa"/>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Helvetica Light;sans-serif" w:hAnsi="Helvetica Light;sans-serif"/>
          <w:b w:val="false"/>
          <w:color w:val="000000"/>
          <w:sz w:val="16"/>
        </w:rPr>
        <w:t xml:space="preserve">(1) With effect from January 1, 2026, the Company’s segment structure was updated to align with how the CODM reviews performance and allocates resources. Under the revised structure, the CODM reviews the business through the following operating and reportable segments: North America; Enlarged Europe; Middle East &amp; Africa; South America; and Asia Pacific. Refer to Note 1, </w:t>
      </w:r>
      <w:r>
        <w:rPr>
          <w:rFonts w:ascii="Helvetica Light;sans-serif" w:hAnsi="Helvetica Light;sans-serif"/>
          <w:b w:val="false"/>
          <w:i/>
          <w:color w:val="000000"/>
          <w:sz w:val="16"/>
        </w:rPr>
        <w:t>Basis of Preparation</w:t>
      </w:r>
      <w:r>
        <w:rPr>
          <w:color w:val="000000"/>
        </w:rPr>
        <w:t xml:space="preserve"> </w:t>
      </w:r>
      <w:r>
        <w:rPr>
          <w:rFonts w:ascii="Helvetica Light;sans-serif" w:hAnsi="Helvetica Light;sans-serif"/>
          <w:b w:val="false"/>
          <w:color w:val="000000"/>
          <w:sz w:val="16"/>
        </w:rPr>
        <w:t>for additional information</w:t>
      </w:r>
    </w:p>
    <w:p>
      <w:pPr>
        <w:pStyle w:val="TextBody"/>
        <w:bidi w:val="0"/>
        <w:spacing w:lineRule="auto" w:line="288" w:before="0" w:after="0"/>
        <w:jc w:val="left"/>
        <w:rPr>
          <w:rFonts w:ascii="Helvetica Light;sans-serif" w:hAnsi="Helvetica Light;sans-serif"/>
          <w:b w:val="false"/>
          <w:color w:val="000000"/>
          <w:sz w:val="16"/>
        </w:rPr>
      </w:pPr>
      <w:r>
        <w:rPr>
          <w:rFonts w:ascii="Helvetica Light;sans-serif" w:hAnsi="Helvetica Light;sans-serif"/>
          <w:b w:val="false"/>
          <w:color w:val="000000"/>
          <w:sz w:val="16"/>
        </w:rPr>
        <w:t>(2) Primarily related to workforce reductions, mainly in Enlarged Europe</w:t>
      </w:r>
    </w:p>
    <w:p>
      <w:pPr>
        <w:pStyle w:val="TextBody"/>
        <w:bidi w:val="0"/>
        <w:spacing w:lineRule="auto" w:line="288" w:before="0" w:after="0"/>
        <w:jc w:val="left"/>
        <w:rPr>
          <w:rFonts w:ascii="Helvetica Light;sans-serif" w:hAnsi="Helvetica Light;sans-serif"/>
          <w:b w:val="false"/>
          <w:color w:val="000000"/>
          <w:sz w:val="16"/>
        </w:rPr>
      </w:pPr>
      <w:r>
        <w:rPr>
          <w:rFonts w:ascii="Helvetica Light;sans-serif" w:hAnsi="Helvetica Light;sans-serif"/>
          <w:b w:val="false"/>
          <w:color w:val="000000"/>
          <w:sz w:val="16"/>
        </w:rPr>
        <w:t>(3) Related to stop-drive campaign on certain vehicles in Enlarged Europe announced in June 2025</w:t>
      </w:r>
    </w:p>
    <w:p>
      <w:pPr>
        <w:pStyle w:val="TextBody"/>
        <w:bidi w:val="0"/>
        <w:spacing w:lineRule="auto" w:line="288" w:before="0" w:after="0"/>
        <w:jc w:val="left"/>
        <w:rPr>
          <w:rFonts w:ascii="Helvetica Light;sans-serif" w:hAnsi="Helvetica Light;sans-serif"/>
          <w:b w:val="false"/>
          <w:color w:val="000000"/>
          <w:sz w:val="16"/>
        </w:rPr>
      </w:pPr>
      <w:r>
        <w:rPr>
          <w:rFonts w:ascii="Helvetica Light;sans-serif" w:hAnsi="Helvetica Light;sans-serif"/>
          <w:b w:val="false"/>
          <w:color w:val="000000"/>
          <w:sz w:val="16"/>
        </w:rPr>
        <w:t>(4) Due to reduced volumes, platforms used for Maserati and Alfa Romeo vehicles were impaired and recognized in Enlarged Europe for €578 million</w:t>
      </w:r>
    </w:p>
    <w:p>
      <w:pPr>
        <w:pStyle w:val="TextBody"/>
        <w:bidi w:val="0"/>
        <w:spacing w:lineRule="auto" w:line="288" w:before="0" w:after="0"/>
        <w:jc w:val="left"/>
        <w:rPr>
          <w:rFonts w:ascii="Helvetica Light;sans-serif" w:hAnsi="Helvetica Light;sans-serif"/>
          <w:b w:val="false"/>
          <w:color w:val="000000"/>
          <w:sz w:val="16"/>
        </w:rPr>
      </w:pPr>
      <w:r>
        <w:rPr>
          <w:rFonts w:ascii="Helvetica Light;sans-serif" w:hAnsi="Helvetica Light;sans-serif"/>
          <w:b w:val="false"/>
          <w:color w:val="000000"/>
          <w:sz w:val="16"/>
        </w:rPr>
        <w:t>(5) Primarily related to costs incurred as result of program cancellations</w:t>
      </w:r>
    </w:p>
    <w:p>
      <w:pPr>
        <w:pStyle w:val="TextBody"/>
        <w:bidi w:val="0"/>
        <w:spacing w:lineRule="auto" w:line="288" w:before="0" w:after="0"/>
        <w:jc w:val="left"/>
        <w:rPr>
          <w:rFonts w:ascii="Helvetica Light;sans-serif" w:hAnsi="Helvetica Light;sans-serif"/>
          <w:b w:val="false"/>
          <w:color w:val="000000"/>
          <w:sz w:val="16"/>
        </w:rPr>
      </w:pPr>
      <w:r>
        <w:rPr>
          <w:rFonts w:ascii="Helvetica Light;sans-serif" w:hAnsi="Helvetica Light;sans-serif"/>
          <w:b w:val="false"/>
          <w:color w:val="000000"/>
          <w:sz w:val="16"/>
        </w:rPr>
        <w:t>(6) During the three months ended June 30, 2025, Stellantis decided to discontinue its fuel cell strategy. As a result, the following items have been impaired: (i) investment in Symbio (€179 million), (ii) loans granted to Symbio (€162 million), (iii) capitalized development expenditures and property, plant and equipment related to fuel cells (€329 million) and (iv) in addition, provisions for risks were recognized (€63 million)</w:t>
      </w:r>
    </w:p>
    <w:p>
      <w:pPr>
        <w:pStyle w:val="TextBody"/>
        <w:bidi w:val="0"/>
        <w:spacing w:lineRule="auto" w:line="288" w:before="0" w:after="0"/>
        <w:jc w:val="left"/>
        <w:rPr>
          <w:rFonts w:ascii="Helvetica Light;sans-serif" w:hAnsi="Helvetica Light;sans-serif"/>
          <w:b w:val="false"/>
          <w:color w:val="000000"/>
          <w:sz w:val="16"/>
        </w:rPr>
      </w:pPr>
      <w:r>
        <w:rPr>
          <w:rFonts w:ascii="Helvetica Light;sans-serif" w:hAnsi="Helvetica Light;sans-serif"/>
          <w:b w:val="false"/>
          <w:color w:val="000000"/>
          <w:sz w:val="16"/>
        </w:rPr>
        <w:t>(7) As a result of the elimination of CAFE fines with the enactment of One Big Beautiful Bill Act, net expense of €269 million included (i) elimination of the CAFE provision of €844 million, (ii) impairment of the regulatory credit assets of €609 million, and (iii) onerous contracts related to contractual purchase commitments for CAFE credits of €504 million</w:t>
      </w:r>
    </w:p>
    <w:p>
      <w:pPr>
        <w:pStyle w:val="TextBody"/>
        <w:bidi w:val="0"/>
        <w:spacing w:lineRule="auto" w:line="288" w:before="0" w:after="0"/>
        <w:jc w:val="left"/>
        <w:rPr>
          <w:rFonts w:ascii="Helvetica Light;sans-serif" w:hAnsi="Helvetica Light;sans-serif"/>
          <w:b w:val="false"/>
          <w:color w:val="000000"/>
          <w:sz w:val="16"/>
        </w:rPr>
      </w:pPr>
      <w:r>
        <w:rPr>
          <w:rFonts w:ascii="Helvetica Light;sans-serif" w:hAnsi="Helvetica Light;sans-serif"/>
          <w:b w:val="false"/>
          <w:color w:val="000000"/>
          <w:sz w:val="16"/>
        </w:rPr>
        <w:t>(8) Sale of Stellantis Türkiye to the Company’s joint venture, Tofas, for which the Company recognized an estimated loss on disposal of €246 million, driven primarily by the recycling of the cumulative translation reserve from Equity to the Consolidated Income Statement upon disposal</w:t>
      </w:r>
    </w:p>
    <w:p>
      <w:pPr>
        <w:pStyle w:val="TextBody"/>
        <w:bidi w:val="0"/>
        <w:spacing w:lineRule="auto" w:line="288"/>
        <w:jc w:val="left"/>
        <w:rPr>
          <w:rFonts w:ascii="Helvetica Light;sans-serif" w:hAnsi="Helvetica Light;sans-serif"/>
          <w:b w:val="false"/>
          <w:color w:val="000000"/>
          <w:sz w:val="16"/>
        </w:rPr>
      </w:pPr>
      <w:r>
        <w:rPr>
          <w:rFonts w:ascii="Helvetica Light;sans-serif" w:hAnsi="Helvetica Light;sans-serif"/>
          <w:b w:val="false"/>
          <w:color w:val="000000"/>
          <w:sz w:val="16"/>
        </w:rPr>
        <w:t xml:space="preserve">(9) Comprised primarily of (i) adjustments to costs previously recognized to support the workforce during the transformation of certain plants in North America, (ii) gains on disposal of investments in Enlarged Europe and (iii) a gain from dilution related to the investment in Archer </w:t>
      </w:r>
    </w:p>
    <w:p>
      <w:pPr>
        <w:pStyle w:val="TextBody"/>
        <w:bidi w:val="0"/>
        <w:spacing w:before="0" w:after="24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503555"/>
                <wp:effectExtent l="0" t="0" r="0" b="0"/>
                <wp:wrapNone/>
                <wp:docPr id="103" name="Frame88"/>
                <a:graphic xmlns:a="http://schemas.openxmlformats.org/drawingml/2006/main">
                  <a:graphicData uri="http://schemas.microsoft.com/office/word/2010/wordprocessingShape">
                    <wps:wsp>
                      <wps:cNvSpPr txBox="1"/>
                      <wps:spPr>
                        <a:xfrm>
                          <a:off x="0" y="0"/>
                          <a:ext cx="6480175" cy="5035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84</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84</w:t>
                      </w:r>
                    </w:p>
                    <w:p>
                      <w:pPr>
                        <w:pStyle w:val="TextBody"/>
                        <w:bidi w:val="0"/>
                        <w:spacing w:before="0" w:after="24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tbl>
      <w:tblPr>
        <w:tblW w:w="10205" w:type="dxa"/>
        <w:jc w:val="left"/>
        <w:tblInd w:w="0" w:type="dxa"/>
        <w:tblLayout w:type="fixed"/>
        <w:tblCellMar>
          <w:top w:w="28" w:type="dxa"/>
          <w:left w:w="28" w:type="dxa"/>
          <w:bottom w:w="28" w:type="dxa"/>
          <w:right w:w="28" w:type="dxa"/>
        </w:tblCellMar>
      </w:tblPr>
      <w:tblGrid>
        <w:gridCol w:w="629"/>
        <w:gridCol w:w="236"/>
        <w:gridCol w:w="239"/>
        <w:gridCol w:w="109"/>
        <w:gridCol w:w="109"/>
        <w:gridCol w:w="109"/>
        <w:gridCol w:w="344"/>
        <w:gridCol w:w="246"/>
        <w:gridCol w:w="221"/>
        <w:gridCol w:w="109"/>
        <w:gridCol w:w="109"/>
        <w:gridCol w:w="109"/>
        <w:gridCol w:w="362"/>
        <w:gridCol w:w="231"/>
        <w:gridCol w:w="232"/>
        <w:gridCol w:w="109"/>
        <w:gridCol w:w="109"/>
        <w:gridCol w:w="109"/>
        <w:gridCol w:w="308"/>
        <w:gridCol w:w="220"/>
        <w:gridCol w:w="221"/>
        <w:gridCol w:w="109"/>
        <w:gridCol w:w="109"/>
        <w:gridCol w:w="109"/>
        <w:gridCol w:w="298"/>
        <w:gridCol w:w="220"/>
        <w:gridCol w:w="221"/>
        <w:gridCol w:w="109"/>
        <w:gridCol w:w="109"/>
        <w:gridCol w:w="109"/>
        <w:gridCol w:w="223"/>
        <w:gridCol w:w="189"/>
        <w:gridCol w:w="190"/>
        <w:gridCol w:w="109"/>
        <w:gridCol w:w="109"/>
        <w:gridCol w:w="109"/>
        <w:gridCol w:w="279"/>
        <w:gridCol w:w="240"/>
        <w:gridCol w:w="241"/>
        <w:gridCol w:w="109"/>
        <w:gridCol w:w="109"/>
        <w:gridCol w:w="109"/>
        <w:gridCol w:w="361"/>
        <w:gridCol w:w="361"/>
        <w:gridCol w:w="362"/>
        <w:gridCol w:w="109"/>
        <w:gridCol w:w="109"/>
        <w:gridCol w:w="109"/>
        <w:gridCol w:w="292"/>
        <w:gridCol w:w="294"/>
        <w:gridCol w:w="329"/>
      </w:tblGrid>
      <w:tr>
        <w:trPr/>
        <w:tc>
          <w:tcPr>
            <w:tcW w:w="62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r>
      <w:tr>
        <w:trPr/>
        <w:tc>
          <w:tcPr>
            <w:tcW w:w="11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243782"/>
                <w:sz w:val="14"/>
              </w:rPr>
            </w:pPr>
            <w:r>
              <w:rPr>
                <w:rFonts w:ascii="Helvetica;sans-serif" w:hAnsi="Helvetica;sans-serif"/>
                <w:b/>
                <w:color w:val="243782"/>
                <w:sz w:val="14"/>
              </w:rPr>
              <w:t>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4"/>
              </w:rPr>
            </w:pPr>
            <w:r>
              <w:rPr>
                <w:rFonts w:ascii="Helvetica;sans-serif" w:hAnsi="Helvetica;sans-serif"/>
                <w:b/>
                <w:color w:val="243782"/>
                <w:sz w:val="14"/>
              </w:rPr>
              <w:t>North America</w:t>
            </w:r>
          </w:p>
        </w:tc>
        <w:tc>
          <w:tcPr>
            <w:tcW w:w="327" w:type="dxa"/>
            <w:gridSpan w:val="3"/>
            <w:tcBorders>
              <w:bottom w:val="single" w:sz="2" w:space="0" w:color="143A8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bottom w:val="single" w:sz="2" w:space="0" w:color="143A84"/>
            </w:tcBorders>
            <w:tcMar>
              <w:top w:w="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color w:val="243782"/>
                <w:sz w:val="14"/>
              </w:rPr>
            </w:pPr>
            <w:r>
              <w:rPr>
                <w:rFonts w:ascii="Helvetica;sans-serif" w:hAnsi="Helvetica;sans-serif"/>
                <w:b/>
                <w:color w:val="243782"/>
                <w:sz w:val="14"/>
              </w:rPr>
              <w:t>Enlarged Europe</w:t>
            </w:r>
          </w:p>
        </w:tc>
        <w:tc>
          <w:tcPr>
            <w:tcW w:w="327" w:type="dxa"/>
            <w:gridSpan w:val="3"/>
            <w:tcBorders>
              <w:bottom w:val="single" w:sz="2" w:space="0" w:color="143A8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bottom w:val="single" w:sz="2" w:space="0" w:color="143A84"/>
            </w:tcBorders>
            <w:tcMar>
              <w:top w:w="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color w:val="243782"/>
                <w:sz w:val="14"/>
              </w:rPr>
            </w:pPr>
            <w:r>
              <w:rPr>
                <w:rFonts w:ascii="Helvetica;sans-serif" w:hAnsi="Helvetica;sans-serif"/>
                <w:b/>
                <w:color w:val="243782"/>
                <w:sz w:val="14"/>
              </w:rPr>
              <w:t>Middle East &amp; Africa</w:t>
            </w:r>
          </w:p>
        </w:tc>
        <w:tc>
          <w:tcPr>
            <w:tcW w:w="327" w:type="dxa"/>
            <w:gridSpan w:val="3"/>
            <w:tcBorders>
              <w:bottom w:val="single" w:sz="2" w:space="0" w:color="143A8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bottom w:val="single" w:sz="2" w:space="0" w:color="143A84"/>
            </w:tcBorders>
            <w:tcMar>
              <w:top w:w="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color w:val="243782"/>
                <w:sz w:val="14"/>
              </w:rPr>
            </w:pPr>
            <w:r>
              <w:rPr>
                <w:rFonts w:ascii="Helvetica;sans-serif" w:hAnsi="Helvetica;sans-serif"/>
                <w:b/>
                <w:color w:val="243782"/>
                <w:sz w:val="14"/>
              </w:rPr>
              <w:t>South America</w:t>
            </w:r>
          </w:p>
        </w:tc>
        <w:tc>
          <w:tcPr>
            <w:tcW w:w="327" w:type="dxa"/>
            <w:gridSpan w:val="3"/>
            <w:tcBorders>
              <w:bottom w:val="single" w:sz="2" w:space="0" w:color="143A8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bottom w:val="single" w:sz="2" w:space="0" w:color="143A84"/>
            </w:tcBorders>
            <w:tcMar>
              <w:top w:w="0" w:type="dxa"/>
              <w:left w:w="0" w:type="dxa"/>
              <w:bottom w:w="30" w:type="dxa"/>
              <w:right w:w="0" w:type="dxa"/>
            </w:tcMar>
            <w:vAlign w:val="center"/>
          </w:tcPr>
          <w:p>
            <w:pPr>
              <w:pStyle w:val="TableContents"/>
              <w:bidi w:val="0"/>
              <w:spacing w:lineRule="auto" w:line="288" w:before="0" w:after="0"/>
              <w:jc w:val="right"/>
              <w:rPr>
                <w:rFonts w:ascii="Helvetica;sans-serif" w:hAnsi="Helvetica;sans-serif"/>
                <w:b/>
                <w:color w:val="243782"/>
                <w:sz w:val="14"/>
              </w:rPr>
            </w:pPr>
            <w:r>
              <w:rPr>
                <w:rFonts w:ascii="Helvetica;sans-serif" w:hAnsi="Helvetica;sans-serif"/>
                <w:b/>
                <w:color w:val="243782"/>
                <w:sz w:val="14"/>
              </w:rPr>
              <w:t>Asia Pacific</w:t>
            </w:r>
          </w:p>
        </w:tc>
        <w:tc>
          <w:tcPr>
            <w:tcW w:w="327" w:type="dxa"/>
            <w:gridSpan w:val="3"/>
            <w:tcBorders>
              <w:bottom w:val="single" w:sz="2" w:space="0" w:color="143A8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bottom w:val="single" w:sz="2" w:space="0" w:color="143A84"/>
            </w:tcBorders>
            <w:tcMar>
              <w:top w:w="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color w:val="243782"/>
                <w:sz w:val="14"/>
              </w:rPr>
            </w:pPr>
            <w:r>
              <w:rPr>
                <w:rFonts w:ascii="Helvetica;sans-serif" w:hAnsi="Helvetica;sans-serif"/>
                <w:b/>
                <w:color w:val="243782"/>
                <w:sz w:val="14"/>
              </w:rPr>
              <w:t>Other activities</w:t>
            </w:r>
          </w:p>
        </w:tc>
        <w:tc>
          <w:tcPr>
            <w:tcW w:w="327" w:type="dxa"/>
            <w:gridSpan w:val="3"/>
            <w:tcBorders>
              <w:bottom w:val="single" w:sz="2" w:space="0" w:color="143A8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bottom w:val="single" w:sz="2" w:space="0" w:color="143A84"/>
            </w:tcBorders>
            <w:tcMar>
              <w:top w:w="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color w:val="243782"/>
                <w:sz w:val="14"/>
              </w:rPr>
            </w:pPr>
            <w:r>
              <w:rPr>
                <w:rFonts w:ascii="Helvetica;sans-serif" w:hAnsi="Helvetica;sans-serif"/>
                <w:b/>
                <w:color w:val="243782"/>
                <w:sz w:val="14"/>
              </w:rPr>
              <w:t>Unallocated items &amp; eliminations</w:t>
            </w:r>
          </w:p>
        </w:tc>
        <w:tc>
          <w:tcPr>
            <w:tcW w:w="327" w:type="dxa"/>
            <w:gridSpan w:val="3"/>
            <w:tcBorders>
              <w:bottom w:val="single" w:sz="2" w:space="0" w:color="143A8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bottom w:val="single" w:sz="2" w:space="0" w:color="143A84"/>
            </w:tcBorders>
            <w:tcMar>
              <w:top w:w="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color w:val="243782"/>
                <w:sz w:val="14"/>
              </w:rPr>
            </w:pPr>
            <w:r>
              <w:rPr>
                <w:rFonts w:ascii="Helvetica;sans-serif" w:hAnsi="Helvetica;sans-serif"/>
                <w:b/>
                <w:color w:val="243782"/>
                <w:sz w:val="14"/>
              </w:rPr>
              <w:t>Stellantis</w:t>
            </w:r>
          </w:p>
        </w:tc>
      </w:tr>
      <w:tr>
        <w:trPr/>
        <w:tc>
          <w:tcPr>
            <w:tcW w:w="1104" w:type="dxa"/>
            <w:gridSpan w:val="3"/>
            <w:tcBorders>
              <w:top w:val="single" w:sz="2" w:space="0" w:color="143A84"/>
            </w:tcBorders>
            <w:tcMar>
              <w:top w:w="52" w:type="dxa"/>
              <w:left w:w="0" w:type="dxa"/>
              <w:bottom w:w="0" w:type="dxa"/>
              <w:right w:w="0" w:type="dxa"/>
            </w:tcMar>
            <w:vAlign w:val="center"/>
          </w:tcPr>
          <w:p>
            <w:pPr>
              <w:pStyle w:val="TableContents"/>
              <w:bidi w:val="0"/>
              <w:spacing w:lineRule="auto" w:line="288" w:before="0" w:after="240"/>
              <w:jc w:val="left"/>
              <w:rPr>
                <w:rFonts w:ascii="Helvetica;sans-serif" w:hAnsi="Helvetica;sans-serif"/>
                <w:b w:val="false"/>
                <w:i/>
                <w:color w:val="000000"/>
                <w:sz w:val="14"/>
              </w:rPr>
            </w:pPr>
            <w:r>
              <w:rPr>
                <w:rFonts w:ascii="Helvetica;sans-serif" w:hAnsi="Helvetica;sans-serif"/>
                <w:b w:val="false"/>
                <w:i/>
                <w:color w:val="000000"/>
                <w:sz w:val="14"/>
              </w:rPr>
              <w:t>(€ million)</w:t>
            </w:r>
          </w:p>
        </w:tc>
        <w:tc>
          <w:tcPr>
            <w:tcW w:w="327"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4" w:type="dxa"/>
            <w:gridSpan w:val="45"/>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4"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4"/>
              </w:rPr>
            </w:pPr>
            <w:r>
              <w:rPr>
                <w:rFonts w:ascii="Helvetica;sans-serif" w:hAnsi="Helvetica;sans-serif"/>
                <w:b w:val="false"/>
                <w:color w:val="000000"/>
                <w:sz w:val="14"/>
              </w:rPr>
              <w:t>Net revenues from external customers</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34,307 </w:t>
            </w:r>
          </w:p>
        </w:tc>
        <w:tc>
          <w:tcPr>
            <w:tcW w:w="221"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30,797 </w:t>
            </w:r>
          </w:p>
        </w:tc>
        <w:tc>
          <w:tcPr>
            <w:tcW w:w="232"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4,953 </w:t>
            </w:r>
          </w:p>
        </w:tc>
        <w:tc>
          <w:tcPr>
            <w:tcW w:w="221"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7,877 </w:t>
            </w:r>
          </w:p>
        </w:tc>
        <w:tc>
          <w:tcPr>
            <w:tcW w:w="221"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934 </w:t>
            </w:r>
          </w:p>
        </w:tc>
        <w:tc>
          <w:tcPr>
            <w:tcW w:w="190"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2,746 </w:t>
            </w:r>
          </w:p>
        </w:tc>
        <w:tc>
          <w:tcPr>
            <w:tcW w:w="241"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2"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81,614 </w:t>
            </w:r>
          </w:p>
        </w:tc>
        <w:tc>
          <w:tcPr>
            <w:tcW w:w="329"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4"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4"/>
              </w:rPr>
            </w:pPr>
            <w:r>
              <w:rPr>
                <w:rFonts w:ascii="Helvetica;sans-serif" w:hAnsi="Helvetica;sans-serif"/>
                <w:b w:val="false"/>
                <w:color w:val="000000"/>
                <w:sz w:val="14"/>
              </w:rPr>
              <w:t>Net revenues from transactions with other segments</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1"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4 </w:t>
            </w:r>
          </w:p>
        </w:tc>
        <w:tc>
          <w:tcPr>
            <w:tcW w:w="232"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1"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84 </w:t>
            </w:r>
          </w:p>
        </w:tc>
        <w:tc>
          <w:tcPr>
            <w:tcW w:w="221"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129 </w:t>
            </w:r>
          </w:p>
        </w:tc>
        <w:tc>
          <w:tcPr>
            <w:tcW w:w="241"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(217)</w:t>
            </w:r>
          </w:p>
        </w:tc>
        <w:tc>
          <w:tcPr>
            <w:tcW w:w="362"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9"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4"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243782"/>
                <w:sz w:val="14"/>
              </w:rPr>
            </w:pPr>
            <w:r>
              <w:rPr>
                <w:rFonts w:ascii="Helvetica;sans-serif" w:hAnsi="Helvetica;sans-serif"/>
                <w:b/>
                <w:color w:val="243782"/>
                <w:sz w:val="14"/>
              </w:rPr>
              <w:t>Net revenues</w:t>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143A84"/>
                <w:sz w:val="14"/>
              </w:rPr>
              <w:t>34,307</w:t>
            </w:r>
            <w:r>
              <w:rPr>
                <w:color w:val="143A84"/>
              </w:rPr>
              <w:t> </w:t>
            </w:r>
          </w:p>
        </w:tc>
        <w:tc>
          <w:tcPr>
            <w:tcW w:w="221"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143A84"/>
                <w:sz w:val="14"/>
              </w:rPr>
              <w:t>30,801</w:t>
            </w:r>
            <w:r>
              <w:rPr>
                <w:color w:val="143A84"/>
              </w:rPr>
              <w:t> </w:t>
            </w:r>
          </w:p>
        </w:tc>
        <w:tc>
          <w:tcPr>
            <w:tcW w:w="232"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143A84"/>
                <w:sz w:val="14"/>
              </w:rPr>
              <w:t>4,953</w:t>
            </w:r>
            <w:r>
              <w:rPr>
                <w:color w:val="143A84"/>
              </w:rPr>
              <w:t> </w:t>
            </w:r>
          </w:p>
        </w:tc>
        <w:tc>
          <w:tcPr>
            <w:tcW w:w="221"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143A84"/>
                <w:sz w:val="14"/>
              </w:rPr>
              <w:t>7,961</w:t>
            </w:r>
            <w:r>
              <w:rPr>
                <w:color w:val="143A84"/>
              </w:rPr>
              <w:t> </w:t>
            </w:r>
          </w:p>
        </w:tc>
        <w:tc>
          <w:tcPr>
            <w:tcW w:w="221"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143A84"/>
                <w:sz w:val="14"/>
              </w:rPr>
              <w:t>934</w:t>
            </w:r>
            <w:r>
              <w:rPr>
                <w:color w:val="143A84"/>
              </w:rPr>
              <w:t> </w:t>
            </w:r>
          </w:p>
        </w:tc>
        <w:tc>
          <w:tcPr>
            <w:tcW w:w="190"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143A84"/>
                <w:sz w:val="14"/>
              </w:rPr>
              <w:t>2,875</w:t>
            </w:r>
            <w:r>
              <w:rPr>
                <w:color w:val="143A84"/>
              </w:rPr>
              <w:t> </w:t>
            </w:r>
          </w:p>
        </w:tc>
        <w:tc>
          <w:tcPr>
            <w:tcW w:w="241"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143A84"/>
                <w:sz w:val="14"/>
              </w:rPr>
            </w:pPr>
            <w:r>
              <w:rPr>
                <w:rFonts w:ascii="Helvetica;sans-serif" w:hAnsi="Helvetica;sans-serif"/>
                <w:b/>
                <w:color w:val="143A84"/>
                <w:sz w:val="14"/>
              </w:rPr>
              <w:t>(217)</w:t>
            </w:r>
          </w:p>
        </w:tc>
        <w:tc>
          <w:tcPr>
            <w:tcW w:w="362"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143A84"/>
                <w:sz w:val="14"/>
              </w:rPr>
              <w:t>81,614</w:t>
            </w:r>
            <w:r>
              <w:rPr>
                <w:color w:val="143A84"/>
              </w:rPr>
              <w:t> </w:t>
            </w:r>
          </w:p>
        </w:tc>
        <w:tc>
          <w:tcPr>
            <w:tcW w:w="329"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4"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4"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243782"/>
                <w:sz w:val="14"/>
              </w:rPr>
            </w:pPr>
            <w:r>
              <w:rPr>
                <w:rFonts w:ascii="Helvetica;sans-serif" w:hAnsi="Helvetica;sans-serif"/>
                <w:b/>
                <w:color w:val="243782"/>
                <w:sz w:val="14"/>
              </w:rPr>
              <w:t>Net profit/(loss)</w:t>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143A84"/>
                <w:sz w:val="14"/>
              </w:rPr>
              <w:t>670</w:t>
            </w:r>
            <w:r>
              <w:rPr>
                <w:color w:val="143A84"/>
              </w:rPr>
              <w:t> </w:t>
            </w:r>
          </w:p>
        </w:tc>
        <w:tc>
          <w:tcPr>
            <w:tcW w:w="329"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4"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4"/>
              </w:rPr>
            </w:pPr>
            <w:r>
              <w:rPr>
                <w:rFonts w:ascii="Helvetica;sans-serif" w:hAnsi="Helvetica;sans-serif"/>
                <w:b w:val="false"/>
                <w:color w:val="000000"/>
                <w:sz w:val="14"/>
              </w:rPr>
              <w:t>Tax expense/(benefit)</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368 </w:t>
            </w:r>
          </w:p>
        </w:tc>
        <w:tc>
          <w:tcPr>
            <w:tcW w:w="329"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4"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4"/>
              </w:rPr>
            </w:pPr>
            <w:r>
              <w:rPr>
                <w:rFonts w:ascii="Helvetica;sans-serif" w:hAnsi="Helvetica;sans-serif"/>
                <w:b w:val="false"/>
                <w:color w:val="000000"/>
                <w:sz w:val="14"/>
              </w:rPr>
              <w:t>Net financial expenses/(income)</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352 </w:t>
            </w:r>
          </w:p>
        </w:tc>
        <w:tc>
          <w:tcPr>
            <w:tcW w:w="329"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4"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243782"/>
                <w:sz w:val="14"/>
              </w:rPr>
            </w:pPr>
            <w:r>
              <w:rPr>
                <w:rFonts w:ascii="Helvetica;sans-serif" w:hAnsi="Helvetica;sans-serif"/>
                <w:b/>
                <w:color w:val="243782"/>
                <w:sz w:val="14"/>
              </w:rPr>
              <w:t>Operating income/(loss)</w:t>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143A84"/>
                <w:sz w:val="14"/>
              </w:rPr>
              <w:t>1,390</w:t>
            </w:r>
            <w:r>
              <w:rPr>
                <w:color w:val="143A84"/>
              </w:rPr>
              <w:t> </w:t>
            </w:r>
          </w:p>
        </w:tc>
        <w:tc>
          <w:tcPr>
            <w:tcW w:w="329"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4"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4"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243782"/>
                <w:sz w:val="14"/>
              </w:rPr>
            </w:pPr>
            <w:r>
              <w:rPr>
                <w:rFonts w:ascii="Helvetica;sans-serif" w:hAnsi="Helvetica;sans-serif"/>
                <w:b/>
                <w:color w:val="243782"/>
                <w:sz w:val="14"/>
              </w:rPr>
              <w:t>Adjustments:</w:t>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4"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0"/>
              <w:jc w:val="left"/>
              <w:rPr/>
            </w:pPr>
            <w:r>
              <w:rPr>
                <w:rFonts w:ascii="Helvetica;sans-serif" w:hAnsi="Helvetica;sans-serif"/>
                <w:b w:val="false"/>
                <w:color w:val="000000"/>
                <w:sz w:val="14"/>
              </w:rPr>
              <w:t>Restructuring and other costs, net of reversals</w:t>
            </w:r>
            <w:r>
              <w:rPr>
                <w:rFonts w:ascii="Helvetica;sans-serif" w:hAnsi="Helvetica;sans-serif"/>
                <w:b w:val="false"/>
                <w:color w:val="000000"/>
                <w:sz w:val="9"/>
              </w:rPr>
              <w:t>(1)</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(21)</w:t>
            </w:r>
          </w:p>
        </w:tc>
        <w:tc>
          <w:tcPr>
            <w:tcW w:w="221"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458 </w:t>
            </w:r>
          </w:p>
        </w:tc>
        <w:tc>
          <w:tcPr>
            <w:tcW w:w="232"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4 </w:t>
            </w:r>
          </w:p>
        </w:tc>
        <w:tc>
          <w:tcPr>
            <w:tcW w:w="221"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37 </w:t>
            </w:r>
          </w:p>
        </w:tc>
        <w:tc>
          <w:tcPr>
            <w:tcW w:w="221"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2 </w:t>
            </w:r>
          </w:p>
        </w:tc>
        <w:tc>
          <w:tcPr>
            <w:tcW w:w="190"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2 </w:t>
            </w:r>
          </w:p>
        </w:tc>
        <w:tc>
          <w:tcPr>
            <w:tcW w:w="241"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2"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482 </w:t>
            </w:r>
          </w:p>
        </w:tc>
        <w:tc>
          <w:tcPr>
            <w:tcW w:w="329"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4"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0"/>
              <w:jc w:val="left"/>
              <w:rPr/>
            </w:pPr>
            <w:r>
              <w:rPr>
                <w:rFonts w:ascii="Helvetica;sans-serif" w:hAnsi="Helvetica;sans-serif"/>
                <w:b w:val="false"/>
                <w:color w:val="000000"/>
                <w:sz w:val="14"/>
              </w:rPr>
              <w:t>Takata airbags recall campaign</w:t>
            </w:r>
            <w:r>
              <w:rPr>
                <w:rFonts w:ascii="Helvetica;sans-serif" w:hAnsi="Helvetica;sans-serif"/>
                <w:b w:val="false"/>
                <w:color w:val="000000"/>
                <w:sz w:val="9"/>
              </w:rPr>
              <w:t>(2)</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1"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100 </w:t>
            </w:r>
          </w:p>
        </w:tc>
        <w:tc>
          <w:tcPr>
            <w:tcW w:w="232"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5 </w:t>
            </w:r>
          </w:p>
        </w:tc>
        <w:tc>
          <w:tcPr>
            <w:tcW w:w="221"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1 </w:t>
            </w:r>
          </w:p>
        </w:tc>
        <w:tc>
          <w:tcPr>
            <w:tcW w:w="221"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2"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106 </w:t>
            </w:r>
          </w:p>
        </w:tc>
        <w:tc>
          <w:tcPr>
            <w:tcW w:w="329"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4"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0"/>
              <w:jc w:val="left"/>
              <w:rPr/>
            </w:pPr>
            <w:r>
              <w:rPr>
                <w:rFonts w:ascii="Helvetica;sans-serif" w:hAnsi="Helvetica;sans-serif"/>
                <w:b w:val="false"/>
                <w:color w:val="000000"/>
                <w:sz w:val="14"/>
              </w:rPr>
              <w:t>Costs related to product plan realignments and program cancellations</w:t>
            </w:r>
            <w:r>
              <w:rPr>
                <w:rFonts w:ascii="Helvetica;sans-serif" w:hAnsi="Helvetica;sans-serif"/>
                <w:b w:val="false"/>
                <w:color w:val="000000"/>
                <w:sz w:val="9"/>
              </w:rPr>
              <w:t>(3)</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221 </w:t>
            </w:r>
          </w:p>
        </w:tc>
        <w:tc>
          <w:tcPr>
            <w:tcW w:w="221"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(25)</w:t>
            </w:r>
          </w:p>
        </w:tc>
        <w:tc>
          <w:tcPr>
            <w:tcW w:w="232"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1"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1"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2"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196 </w:t>
            </w:r>
          </w:p>
        </w:tc>
        <w:tc>
          <w:tcPr>
            <w:tcW w:w="329"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4"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0"/>
              <w:jc w:val="left"/>
              <w:rPr/>
            </w:pPr>
            <w:r>
              <w:rPr>
                <w:rFonts w:ascii="Helvetica;sans-serif" w:hAnsi="Helvetica;sans-serif"/>
                <w:b w:val="false"/>
                <w:color w:val="000000"/>
                <w:sz w:val="14"/>
              </w:rPr>
              <w:t>U.S. GHG regulation change</w:t>
            </w:r>
            <w:r>
              <w:rPr>
                <w:rFonts w:ascii="Helvetica;sans-serif" w:hAnsi="Helvetica;sans-serif"/>
                <w:b w:val="false"/>
                <w:color w:val="000000"/>
                <w:sz w:val="9"/>
              </w:rPr>
              <w:t>(4)</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(66)</w:t>
            </w:r>
          </w:p>
        </w:tc>
        <w:tc>
          <w:tcPr>
            <w:tcW w:w="221"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2"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1"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1"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2"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(66)</w:t>
            </w:r>
          </w:p>
        </w:tc>
        <w:tc>
          <w:tcPr>
            <w:tcW w:w="329"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4"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0"/>
              <w:jc w:val="left"/>
              <w:rPr/>
            </w:pPr>
            <w:r>
              <w:rPr>
                <w:rFonts w:ascii="Helvetica;sans-serif" w:hAnsi="Helvetica;sans-serif"/>
                <w:b w:val="false"/>
                <w:color w:val="000000"/>
                <w:sz w:val="14"/>
              </w:rPr>
              <w:t>Renegotiated regulatory purchase commitments of credits</w:t>
            </w:r>
            <w:r>
              <w:rPr>
                <w:rFonts w:ascii="Helvetica;sans-serif" w:hAnsi="Helvetica;sans-serif"/>
                <w:b w:val="false"/>
                <w:color w:val="000000"/>
                <w:sz w:val="9"/>
              </w:rPr>
              <w:t>(5)</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(317)</w:t>
            </w:r>
          </w:p>
        </w:tc>
        <w:tc>
          <w:tcPr>
            <w:tcW w:w="221"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2"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1"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1"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2"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(317)</w:t>
            </w:r>
          </w:p>
        </w:tc>
        <w:tc>
          <w:tcPr>
            <w:tcW w:w="329"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4"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0"/>
              <w:jc w:val="left"/>
              <w:rPr/>
            </w:pPr>
            <w:r>
              <w:rPr>
                <w:rFonts w:ascii="Helvetica;sans-serif" w:hAnsi="Helvetica;sans-serif"/>
                <w:b w:val="false"/>
                <w:color w:val="000000"/>
                <w:sz w:val="14"/>
              </w:rPr>
              <w:t>(Gains)/losses on disposal of investments</w:t>
            </w:r>
            <w:r>
              <w:rPr>
                <w:rFonts w:ascii="Helvetica;sans-serif" w:hAnsi="Helvetica;sans-serif"/>
                <w:b w:val="false"/>
                <w:color w:val="000000"/>
                <w:sz w:val="9"/>
              </w:rPr>
              <w:t>(6)</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1"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12 </w:t>
            </w:r>
          </w:p>
        </w:tc>
        <w:tc>
          <w:tcPr>
            <w:tcW w:w="232"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1"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(2)</w:t>
            </w:r>
          </w:p>
        </w:tc>
        <w:tc>
          <w:tcPr>
            <w:tcW w:w="221"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(69)</w:t>
            </w:r>
          </w:p>
        </w:tc>
        <w:tc>
          <w:tcPr>
            <w:tcW w:w="241"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2"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(59)</w:t>
            </w:r>
          </w:p>
        </w:tc>
        <w:tc>
          <w:tcPr>
            <w:tcW w:w="329"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4"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4"/>
              </w:rPr>
            </w:pPr>
            <w:r>
              <w:rPr>
                <w:rFonts w:ascii="Helvetica;sans-serif" w:hAnsi="Helvetica;sans-serif"/>
                <w:b w:val="false"/>
                <w:color w:val="000000"/>
                <w:sz w:val="14"/>
              </w:rPr>
              <w:t>Other</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8 </w:t>
            </w:r>
          </w:p>
        </w:tc>
        <w:tc>
          <w:tcPr>
            <w:tcW w:w="221"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(3)</w:t>
            </w:r>
          </w:p>
        </w:tc>
        <w:tc>
          <w:tcPr>
            <w:tcW w:w="232"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2 </w:t>
            </w:r>
          </w:p>
        </w:tc>
        <w:tc>
          <w:tcPr>
            <w:tcW w:w="221"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1"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(4)</w:t>
            </w:r>
          </w:p>
        </w:tc>
        <w:tc>
          <w:tcPr>
            <w:tcW w:w="190"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(3)</w:t>
            </w:r>
          </w:p>
        </w:tc>
        <w:tc>
          <w:tcPr>
            <w:tcW w:w="241"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1 </w:t>
            </w:r>
          </w:p>
        </w:tc>
        <w:tc>
          <w:tcPr>
            <w:tcW w:w="362"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1 </w:t>
            </w:r>
          </w:p>
        </w:tc>
        <w:tc>
          <w:tcPr>
            <w:tcW w:w="329"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4" w:type="dxa"/>
            <w:gridSpan w:val="3"/>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243782"/>
                <w:sz w:val="14"/>
              </w:rPr>
            </w:pPr>
            <w:r>
              <w:rPr>
                <w:rFonts w:ascii="Helvetica;sans-serif" w:hAnsi="Helvetica;sans-serif"/>
                <w:b/>
                <w:color w:val="243782"/>
                <w:sz w:val="14"/>
              </w:rPr>
              <w:t>Total adjustments</w:t>
            </w:r>
          </w:p>
        </w:tc>
        <w:tc>
          <w:tcPr>
            <w:tcW w:w="327" w:type="dxa"/>
            <w:gridSpan w:val="3"/>
            <w:tcBorders>
              <w:top w:val="single" w:sz="2" w:space="0" w:color="8E939F"/>
            </w:tcBorders>
            <w:shd w:fill="E6E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143A84"/>
                <w:sz w:val="14"/>
              </w:rPr>
            </w:pPr>
            <w:r>
              <w:rPr>
                <w:rFonts w:ascii="Helvetica;sans-serif" w:hAnsi="Helvetica;sans-serif"/>
                <w:b/>
                <w:color w:val="143A84"/>
                <w:sz w:val="14"/>
              </w:rPr>
              <w:t>(175)</w:t>
            </w:r>
          </w:p>
        </w:tc>
        <w:tc>
          <w:tcPr>
            <w:tcW w:w="221"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E6E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143A84"/>
                <w:sz w:val="14"/>
              </w:rPr>
              <w:t>542</w:t>
            </w:r>
            <w:r>
              <w:rPr>
                <w:color w:val="143A84"/>
              </w:rPr>
              <w:t> </w:t>
            </w:r>
          </w:p>
        </w:tc>
        <w:tc>
          <w:tcPr>
            <w:tcW w:w="232"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E6E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143A84"/>
                <w:sz w:val="14"/>
              </w:rPr>
              <w:t>11</w:t>
            </w:r>
            <w:r>
              <w:rPr>
                <w:color w:val="143A84"/>
              </w:rPr>
              <w:t> </w:t>
            </w:r>
          </w:p>
        </w:tc>
        <w:tc>
          <w:tcPr>
            <w:tcW w:w="221"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E6E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143A84"/>
                <w:sz w:val="14"/>
              </w:rPr>
              <w:t>36</w:t>
            </w:r>
            <w:r>
              <w:rPr>
                <w:color w:val="143A84"/>
              </w:rPr>
              <w:t> </w:t>
            </w:r>
          </w:p>
        </w:tc>
        <w:tc>
          <w:tcPr>
            <w:tcW w:w="221"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E6E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143A84"/>
                <w:sz w:val="14"/>
              </w:rPr>
            </w:pPr>
            <w:r>
              <w:rPr>
                <w:rFonts w:ascii="Helvetica;sans-serif" w:hAnsi="Helvetica;sans-serif"/>
                <w:b/>
                <w:color w:val="143A84"/>
                <w:sz w:val="14"/>
              </w:rPr>
              <w:t>(2)</w:t>
            </w:r>
          </w:p>
        </w:tc>
        <w:tc>
          <w:tcPr>
            <w:tcW w:w="190"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E6E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143A84"/>
                <w:sz w:val="14"/>
              </w:rPr>
            </w:pPr>
            <w:r>
              <w:rPr>
                <w:rFonts w:ascii="Helvetica;sans-serif" w:hAnsi="Helvetica;sans-serif"/>
                <w:b/>
                <w:color w:val="143A84"/>
                <w:sz w:val="14"/>
              </w:rPr>
              <w:t>(70)</w:t>
            </w:r>
          </w:p>
        </w:tc>
        <w:tc>
          <w:tcPr>
            <w:tcW w:w="241"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E6E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143A84"/>
                <w:sz w:val="14"/>
              </w:rPr>
              <w:t>1</w:t>
            </w:r>
            <w:r>
              <w:rPr>
                <w:color w:val="143A84"/>
              </w:rPr>
              <w:t> </w:t>
            </w:r>
          </w:p>
        </w:tc>
        <w:tc>
          <w:tcPr>
            <w:tcW w:w="362"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E6E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143A84"/>
                <w:sz w:val="14"/>
              </w:rPr>
              <w:t>343</w:t>
            </w:r>
            <w:r>
              <w:rPr>
                <w:color w:val="143A84"/>
              </w:rPr>
              <w:t> </w:t>
            </w:r>
          </w:p>
        </w:tc>
        <w:tc>
          <w:tcPr>
            <w:tcW w:w="329"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4"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243782"/>
                <w:sz w:val="14"/>
              </w:rPr>
            </w:pPr>
            <w:r>
              <w:rPr>
                <w:rFonts w:ascii="Helvetica;sans-serif" w:hAnsi="Helvetica;sans-serif"/>
                <w:b/>
                <w:color w:val="243782"/>
                <w:sz w:val="14"/>
              </w:rPr>
              <w:t>Adjusted operating income/(loss)</w:t>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143A84"/>
                <w:sz w:val="14"/>
              </w:rPr>
              <w:t>547</w:t>
            </w:r>
            <w:r>
              <w:rPr>
                <w:color w:val="143A84"/>
              </w:rPr>
              <w:t> </w:t>
            </w:r>
          </w:p>
        </w:tc>
        <w:tc>
          <w:tcPr>
            <w:tcW w:w="221"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143A84"/>
                <w:sz w:val="14"/>
              </w:rPr>
            </w:pPr>
            <w:r>
              <w:rPr>
                <w:rFonts w:ascii="Helvetica;sans-serif" w:hAnsi="Helvetica;sans-serif"/>
                <w:b/>
                <w:color w:val="143A84"/>
                <w:sz w:val="14"/>
              </w:rPr>
              <w:t>(86)</w:t>
            </w:r>
          </w:p>
        </w:tc>
        <w:tc>
          <w:tcPr>
            <w:tcW w:w="232"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143A84"/>
                <w:sz w:val="14"/>
              </w:rPr>
              <w:t>611</w:t>
            </w:r>
            <w:r>
              <w:rPr>
                <w:color w:val="143A84"/>
              </w:rPr>
              <w:t> </w:t>
            </w:r>
          </w:p>
        </w:tc>
        <w:tc>
          <w:tcPr>
            <w:tcW w:w="221"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143A84"/>
                <w:sz w:val="14"/>
              </w:rPr>
              <w:t>795</w:t>
            </w:r>
            <w:r>
              <w:rPr>
                <w:color w:val="143A84"/>
              </w:rPr>
              <w:t> </w:t>
            </w:r>
          </w:p>
        </w:tc>
        <w:tc>
          <w:tcPr>
            <w:tcW w:w="221"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143A84"/>
                <w:sz w:val="14"/>
              </w:rPr>
            </w:pPr>
            <w:r>
              <w:rPr>
                <w:rFonts w:ascii="Helvetica;sans-serif" w:hAnsi="Helvetica;sans-serif"/>
                <w:b/>
                <w:color w:val="143A84"/>
                <w:sz w:val="14"/>
              </w:rPr>
              <w:t>(3)</w:t>
            </w:r>
          </w:p>
        </w:tc>
        <w:tc>
          <w:tcPr>
            <w:tcW w:w="190"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143A84"/>
                <w:sz w:val="14"/>
              </w:rPr>
              <w:t>265</w:t>
            </w:r>
            <w:r>
              <w:rPr>
                <w:color w:val="143A84"/>
              </w:rPr>
              <w:t> </w:t>
            </w:r>
          </w:p>
        </w:tc>
        <w:tc>
          <w:tcPr>
            <w:tcW w:w="241"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143A84"/>
                <w:sz w:val="14"/>
              </w:rPr>
            </w:pPr>
            <w:r>
              <w:rPr>
                <w:rFonts w:ascii="Helvetica;sans-serif" w:hAnsi="Helvetica;sans-serif"/>
                <w:b/>
                <w:color w:val="143A84"/>
                <w:sz w:val="14"/>
              </w:rPr>
              <w:t>(396)</w:t>
            </w:r>
          </w:p>
        </w:tc>
        <w:tc>
          <w:tcPr>
            <w:tcW w:w="362"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143A84"/>
                <w:sz w:val="14"/>
              </w:rPr>
              <w:t>1,733</w:t>
            </w:r>
            <w:r>
              <w:rPr>
                <w:color w:val="143A84"/>
              </w:rPr>
              <w:t> </w:t>
            </w:r>
          </w:p>
        </w:tc>
        <w:tc>
          <w:tcPr>
            <w:tcW w:w="329"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4"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4" w:type="dxa"/>
            <w:gridSpan w:val="3"/>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14"/>
              </w:rPr>
            </w:pPr>
            <w:r>
              <w:rPr>
                <w:rFonts w:ascii="Helvetica;sans-serif" w:hAnsi="Helvetica;sans-serif"/>
                <w:b w:val="false"/>
                <w:color w:val="000000"/>
                <w:sz w:val="14"/>
              </w:rPr>
              <w:t>Share of profit of equity method investees, excluding adjustments</w:t>
            </w:r>
          </w:p>
        </w:tc>
        <w:tc>
          <w:tcPr>
            <w:tcW w:w="327" w:type="dxa"/>
            <w:gridSpan w:val="3"/>
            <w:tcBorders>
              <w:top w:val="single" w:sz="2" w:space="0" w:color="8E939F"/>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96 </w:t>
            </w:r>
          </w:p>
        </w:tc>
        <w:tc>
          <w:tcPr>
            <w:tcW w:w="221" w:type="dxa"/>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(93)</w:t>
            </w:r>
          </w:p>
        </w:tc>
        <w:tc>
          <w:tcPr>
            <w:tcW w:w="232" w:type="dxa"/>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29 </w:t>
            </w:r>
          </w:p>
        </w:tc>
        <w:tc>
          <w:tcPr>
            <w:tcW w:w="221" w:type="dxa"/>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1 </w:t>
            </w:r>
          </w:p>
        </w:tc>
        <w:tc>
          <w:tcPr>
            <w:tcW w:w="221" w:type="dxa"/>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412" w:type="dxa"/>
            <w:gridSpan w:val="2"/>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(5)</w:t>
            </w:r>
          </w:p>
        </w:tc>
        <w:tc>
          <w:tcPr>
            <w:tcW w:w="190" w:type="dxa"/>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115 </w:t>
            </w:r>
          </w:p>
        </w:tc>
        <w:tc>
          <w:tcPr>
            <w:tcW w:w="241" w:type="dxa"/>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362" w:type="dxa"/>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143 </w:t>
            </w:r>
          </w:p>
        </w:tc>
        <w:tc>
          <w:tcPr>
            <w:tcW w:w="329" w:type="dxa"/>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Helvetica Light;sans-serif" w:hAnsi="Helvetica Light;sans-serif"/>
          <w:b w:val="false"/>
          <w:color w:val="000000"/>
          <w:sz w:val="16"/>
        </w:rPr>
      </w:pPr>
      <w:r>
        <w:rPr>
          <w:rFonts w:ascii="Helvetica Light;sans-serif" w:hAnsi="Helvetica Light;sans-serif"/>
          <w:b w:val="false"/>
          <w:color w:val="000000"/>
          <w:sz w:val="16"/>
        </w:rPr>
        <w:t>(1) Primarily related to workforce reductions, mainly in Enlarged Europe</w:t>
      </w:r>
    </w:p>
    <w:p>
      <w:pPr>
        <w:pStyle w:val="TextBody"/>
        <w:bidi w:val="0"/>
        <w:spacing w:lineRule="auto" w:line="288" w:before="0" w:after="0"/>
        <w:jc w:val="left"/>
        <w:rPr>
          <w:rFonts w:ascii="Helvetica Light;sans-serif" w:hAnsi="Helvetica Light;sans-serif"/>
          <w:b w:val="false"/>
          <w:color w:val="000000"/>
          <w:sz w:val="16"/>
        </w:rPr>
      </w:pPr>
      <w:r>
        <w:rPr>
          <w:rFonts w:ascii="Helvetica Light;sans-serif" w:hAnsi="Helvetica Light;sans-serif"/>
          <w:b w:val="false"/>
          <w:color w:val="000000"/>
          <w:sz w:val="16"/>
        </w:rPr>
        <w:t>(2) Related to stop-drive campaign on certain vehicles mainly in Enlarged Europe</w:t>
      </w:r>
    </w:p>
    <w:p>
      <w:pPr>
        <w:pStyle w:val="TextBody"/>
        <w:bidi w:val="0"/>
        <w:spacing w:lineRule="auto" w:line="288" w:before="0" w:after="0"/>
        <w:jc w:val="left"/>
        <w:rPr>
          <w:rFonts w:ascii="Helvetica Light;sans-serif" w:hAnsi="Helvetica Light;sans-serif"/>
          <w:b w:val="false"/>
          <w:color w:val="000000"/>
          <w:sz w:val="16"/>
        </w:rPr>
      </w:pPr>
      <w:r>
        <w:rPr>
          <w:rFonts w:ascii="Helvetica Light;sans-serif" w:hAnsi="Helvetica Light;sans-serif"/>
          <w:b w:val="false"/>
          <w:color w:val="000000"/>
          <w:sz w:val="16"/>
        </w:rPr>
        <w:t>(3) Primarily related to costs incurred as result of product plan realignments and program cancellations, including €221 million recognized in North America, as well as a provision reversal of €25 million in Enlarged Europe</w:t>
      </w:r>
    </w:p>
    <w:p>
      <w:pPr>
        <w:pStyle w:val="TextBody"/>
        <w:bidi w:val="0"/>
        <w:spacing w:lineRule="auto" w:line="288" w:before="0" w:after="0"/>
        <w:jc w:val="left"/>
        <w:rPr>
          <w:rFonts w:ascii="Helvetica Light;sans-serif" w:hAnsi="Helvetica Light;sans-serif"/>
          <w:b w:val="false"/>
          <w:color w:val="000000"/>
          <w:sz w:val="16"/>
        </w:rPr>
      </w:pPr>
      <w:r>
        <w:rPr>
          <w:rFonts w:ascii="Helvetica Light;sans-serif" w:hAnsi="Helvetica Light;sans-serif"/>
          <w:b w:val="false"/>
          <w:color w:val="000000"/>
          <w:sz w:val="16"/>
        </w:rPr>
        <w:t>(4) Following the repeal of the U.S. GHG emissions standards, the Company recognized a gain of €66 million within Cost of revenues. The net gain consisted of an impairment of GHG-related Other intangible assets of €284 million and the elimination of the related GHG provision of €350 million</w:t>
      </w:r>
    </w:p>
    <w:p>
      <w:pPr>
        <w:pStyle w:val="TextBody"/>
        <w:bidi w:val="0"/>
        <w:spacing w:lineRule="auto" w:line="288" w:before="0" w:after="0"/>
        <w:jc w:val="left"/>
        <w:rPr>
          <w:rFonts w:ascii="Helvetica Light;sans-serif" w:hAnsi="Helvetica Light;sans-serif"/>
          <w:b w:val="false"/>
          <w:color w:val="000000"/>
          <w:sz w:val="16"/>
        </w:rPr>
      </w:pPr>
      <w:r>
        <w:rPr>
          <w:rFonts w:ascii="Helvetica Light;sans-serif" w:hAnsi="Helvetica Light;sans-serif"/>
          <w:b w:val="false"/>
          <w:color w:val="000000"/>
          <w:sz w:val="16"/>
        </w:rPr>
        <w:t xml:space="preserve">(5) Includes a net gain of €317 million within Cost of revenues related to renegotiated contractual commitments for the purchase of regulatory compliance credits </w:t>
      </w:r>
    </w:p>
    <w:p>
      <w:pPr>
        <w:pStyle w:val="TextBody"/>
        <w:bidi w:val="0"/>
        <w:spacing w:lineRule="auto" w:line="288" w:before="0" w:after="0"/>
        <w:jc w:val="left"/>
        <w:rPr/>
      </w:pPr>
      <w:r>
        <w:rPr>
          <w:rFonts w:ascii="Helvetica Light;sans-serif" w:hAnsi="Helvetica Light;sans-serif"/>
          <w:b w:val="false"/>
          <w:color w:val="000000"/>
          <w:sz w:val="16"/>
        </w:rPr>
        <w:t xml:space="preserve">(6) Comprised primarily of (i) gains recognized as a result of the loss of significant influence over Archer and the resulting termination of the equity method (refer to Note 2, </w:t>
      </w:r>
      <w:r>
        <w:rPr>
          <w:rFonts w:ascii="Helvetica Light;sans-serif" w:hAnsi="Helvetica Light;sans-serif"/>
          <w:b w:val="false"/>
          <w:i/>
          <w:color w:val="000000"/>
          <w:sz w:val="16"/>
        </w:rPr>
        <w:t>Scope of consolidation</w:t>
      </w:r>
      <w:r>
        <w:rPr>
          <w:color w:val="000000"/>
        </w:rPr>
        <w:t xml:space="preserve"> </w:t>
      </w:r>
      <w:r>
        <w:rPr>
          <w:rFonts w:ascii="Helvetica Light;sans-serif" w:hAnsi="Helvetica Light;sans-serif"/>
          <w:b w:val="false"/>
          <w:color w:val="000000"/>
          <w:sz w:val="16"/>
        </w:rPr>
        <w:t>for additional information), and a dilution gain related to the investment in Comau Group, and (ii) gains/(losses) recognized on the disposal of non-significant assets in Enlarged Europe</w:t>
      </w:r>
    </w:p>
    <w:p>
      <w:pPr>
        <w:pStyle w:val="TextBody"/>
        <w:bidi w:val="0"/>
        <w:spacing w:before="0" w:after="283"/>
        <w:jc w:val="left"/>
        <w:rPr/>
      </w:pPr>
      <w:r>
        <w:rPr/>
      </w:r>
    </w:p>
    <w:p>
      <w:pPr>
        <w:pStyle w:val="TextBody"/>
        <w:bidi w:val="0"/>
        <w:spacing w:before="0" w:after="24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503555"/>
                <wp:effectExtent l="0" t="0" r="0" b="0"/>
                <wp:wrapNone/>
                <wp:docPr id="104" name="Frame89"/>
                <a:graphic xmlns:a="http://schemas.openxmlformats.org/drawingml/2006/main">
                  <a:graphicData uri="http://schemas.microsoft.com/office/word/2010/wordprocessingShape">
                    <wps:wsp>
                      <wps:cNvSpPr txBox="1"/>
                      <wps:spPr>
                        <a:xfrm>
                          <a:off x="0" y="0"/>
                          <a:ext cx="6480175" cy="5035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85</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85</w:t>
                      </w:r>
                    </w:p>
                    <w:p>
                      <w:pPr>
                        <w:pStyle w:val="TextBody"/>
                        <w:bidi w:val="0"/>
                        <w:spacing w:before="0" w:after="24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tbl>
      <w:tblPr>
        <w:tblW w:w="10205" w:type="dxa"/>
        <w:jc w:val="left"/>
        <w:tblInd w:w="0" w:type="dxa"/>
        <w:tblLayout w:type="fixed"/>
        <w:tblCellMar>
          <w:top w:w="28" w:type="dxa"/>
          <w:left w:w="28" w:type="dxa"/>
          <w:bottom w:w="28" w:type="dxa"/>
          <w:right w:w="28" w:type="dxa"/>
        </w:tblCellMar>
      </w:tblPr>
      <w:tblGrid>
        <w:gridCol w:w="724"/>
        <w:gridCol w:w="191"/>
        <w:gridCol w:w="193"/>
        <w:gridCol w:w="109"/>
        <w:gridCol w:w="109"/>
        <w:gridCol w:w="109"/>
        <w:gridCol w:w="344"/>
        <w:gridCol w:w="242"/>
        <w:gridCol w:w="217"/>
        <w:gridCol w:w="109"/>
        <w:gridCol w:w="109"/>
        <w:gridCol w:w="109"/>
        <w:gridCol w:w="361"/>
        <w:gridCol w:w="226"/>
        <w:gridCol w:w="227"/>
        <w:gridCol w:w="109"/>
        <w:gridCol w:w="109"/>
        <w:gridCol w:w="109"/>
        <w:gridCol w:w="302"/>
        <w:gridCol w:w="212"/>
        <w:gridCol w:w="213"/>
        <w:gridCol w:w="109"/>
        <w:gridCol w:w="109"/>
        <w:gridCol w:w="109"/>
        <w:gridCol w:w="296"/>
        <w:gridCol w:w="216"/>
        <w:gridCol w:w="217"/>
        <w:gridCol w:w="109"/>
        <w:gridCol w:w="109"/>
        <w:gridCol w:w="109"/>
        <w:gridCol w:w="294"/>
        <w:gridCol w:w="217"/>
        <w:gridCol w:w="187"/>
        <w:gridCol w:w="109"/>
        <w:gridCol w:w="109"/>
        <w:gridCol w:w="109"/>
        <w:gridCol w:w="276"/>
        <w:gridCol w:w="236"/>
        <w:gridCol w:w="237"/>
        <w:gridCol w:w="109"/>
        <w:gridCol w:w="109"/>
        <w:gridCol w:w="109"/>
        <w:gridCol w:w="348"/>
        <w:gridCol w:w="348"/>
        <w:gridCol w:w="349"/>
        <w:gridCol w:w="109"/>
        <w:gridCol w:w="109"/>
        <w:gridCol w:w="109"/>
        <w:gridCol w:w="292"/>
        <w:gridCol w:w="294"/>
        <w:gridCol w:w="330"/>
      </w:tblGrid>
      <w:tr>
        <w:trPr/>
        <w:tc>
          <w:tcPr>
            <w:tcW w:w="72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r>
      <w:tr>
        <w:trPr/>
        <w:tc>
          <w:tcPr>
            <w:tcW w:w="110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243782"/>
                <w:sz w:val="14"/>
              </w:rPr>
            </w:pPr>
            <w:r>
              <w:rPr>
                <w:rFonts w:ascii="Helvetica;sans-serif" w:hAnsi="Helvetica;sans-serif"/>
                <w:b/>
                <w:color w:val="243782"/>
                <w:sz w:val="14"/>
              </w:rPr>
              <w:t>Six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243782"/>
                <w:sz w:val="14"/>
              </w:rPr>
            </w:pPr>
            <w:r>
              <w:rPr>
                <w:rFonts w:ascii="Helvetica;sans-serif" w:hAnsi="Helvetica;sans-serif"/>
                <w:b/>
                <w:color w:val="243782"/>
                <w:sz w:val="14"/>
              </w:rPr>
              <w:t>North America</w:t>
            </w:r>
          </w:p>
        </w:tc>
        <w:tc>
          <w:tcPr>
            <w:tcW w:w="327" w:type="dxa"/>
            <w:gridSpan w:val="3"/>
            <w:tcBorders>
              <w:bottom w:val="single" w:sz="2" w:space="0" w:color="143A8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bottom w:val="single" w:sz="2" w:space="0" w:color="143A84"/>
            </w:tcBorders>
            <w:tcMar>
              <w:top w:w="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color w:val="243782"/>
                <w:sz w:val="14"/>
              </w:rPr>
            </w:pPr>
            <w:r>
              <w:rPr>
                <w:rFonts w:ascii="Helvetica;sans-serif" w:hAnsi="Helvetica;sans-serif"/>
                <w:b/>
                <w:color w:val="243782"/>
                <w:sz w:val="14"/>
              </w:rPr>
              <w:t>Enlarged Europe</w:t>
            </w:r>
          </w:p>
        </w:tc>
        <w:tc>
          <w:tcPr>
            <w:tcW w:w="327" w:type="dxa"/>
            <w:gridSpan w:val="3"/>
            <w:tcBorders>
              <w:bottom w:val="single" w:sz="2" w:space="0" w:color="143A8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bottom w:val="single" w:sz="2" w:space="0" w:color="143A84"/>
            </w:tcBorders>
            <w:tcMar>
              <w:top w:w="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color w:val="243782"/>
                <w:sz w:val="14"/>
              </w:rPr>
            </w:pPr>
            <w:r>
              <w:rPr>
                <w:rFonts w:ascii="Helvetica;sans-serif" w:hAnsi="Helvetica;sans-serif"/>
                <w:b/>
                <w:color w:val="243782"/>
                <w:sz w:val="14"/>
              </w:rPr>
              <w:t>Middle East &amp; Africa</w:t>
            </w:r>
          </w:p>
        </w:tc>
        <w:tc>
          <w:tcPr>
            <w:tcW w:w="327" w:type="dxa"/>
            <w:gridSpan w:val="3"/>
            <w:tcBorders>
              <w:bottom w:val="single" w:sz="2" w:space="0" w:color="143A8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bottom w:val="single" w:sz="2" w:space="0" w:color="143A84"/>
            </w:tcBorders>
            <w:tcMar>
              <w:top w:w="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color w:val="243782"/>
                <w:sz w:val="14"/>
              </w:rPr>
            </w:pPr>
            <w:r>
              <w:rPr>
                <w:rFonts w:ascii="Helvetica;sans-serif" w:hAnsi="Helvetica;sans-serif"/>
                <w:b/>
                <w:color w:val="243782"/>
                <w:sz w:val="14"/>
              </w:rPr>
              <w:t>South America</w:t>
            </w:r>
          </w:p>
        </w:tc>
        <w:tc>
          <w:tcPr>
            <w:tcW w:w="327" w:type="dxa"/>
            <w:gridSpan w:val="3"/>
            <w:tcBorders>
              <w:bottom w:val="single" w:sz="2" w:space="0" w:color="143A8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bottom w:val="single" w:sz="2" w:space="0" w:color="143A84"/>
            </w:tcBorders>
            <w:tcMar>
              <w:top w:w="0" w:type="dxa"/>
              <w:left w:w="0" w:type="dxa"/>
              <w:bottom w:w="30" w:type="dxa"/>
              <w:right w:w="0" w:type="dxa"/>
            </w:tcMar>
            <w:vAlign w:val="center"/>
          </w:tcPr>
          <w:p>
            <w:pPr>
              <w:pStyle w:val="TableContents"/>
              <w:bidi w:val="0"/>
              <w:spacing w:lineRule="auto" w:line="288" w:before="0" w:after="0"/>
              <w:jc w:val="right"/>
              <w:rPr>
                <w:rFonts w:ascii="Helvetica;sans-serif" w:hAnsi="Helvetica;sans-serif"/>
                <w:b/>
                <w:color w:val="243782"/>
                <w:sz w:val="14"/>
              </w:rPr>
            </w:pPr>
            <w:r>
              <w:rPr>
                <w:rFonts w:ascii="Helvetica;sans-serif" w:hAnsi="Helvetica;sans-serif"/>
                <w:b/>
                <w:color w:val="243782"/>
                <w:sz w:val="14"/>
              </w:rPr>
              <w:t>Asia Pacific</w:t>
            </w:r>
          </w:p>
        </w:tc>
        <w:tc>
          <w:tcPr>
            <w:tcW w:w="327" w:type="dxa"/>
            <w:gridSpan w:val="3"/>
            <w:tcBorders>
              <w:bottom w:val="single" w:sz="2" w:space="0" w:color="143A8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bottom w:val="single" w:sz="2" w:space="0" w:color="143A84"/>
            </w:tcBorders>
            <w:tcMar>
              <w:top w:w="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color w:val="243782"/>
                <w:sz w:val="14"/>
              </w:rPr>
            </w:pPr>
            <w:r>
              <w:rPr>
                <w:rFonts w:ascii="Helvetica;sans-serif" w:hAnsi="Helvetica;sans-serif"/>
                <w:b/>
                <w:color w:val="243782"/>
                <w:sz w:val="14"/>
              </w:rPr>
              <w:t>Other activities</w:t>
            </w:r>
          </w:p>
        </w:tc>
        <w:tc>
          <w:tcPr>
            <w:tcW w:w="327" w:type="dxa"/>
            <w:gridSpan w:val="3"/>
            <w:tcBorders>
              <w:bottom w:val="single" w:sz="2" w:space="0" w:color="143A8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bottom w:val="single" w:sz="2" w:space="0" w:color="143A84"/>
            </w:tcBorders>
            <w:tcMar>
              <w:top w:w="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color w:val="243782"/>
                <w:sz w:val="14"/>
              </w:rPr>
            </w:pPr>
            <w:r>
              <w:rPr>
                <w:rFonts w:ascii="Helvetica;sans-serif" w:hAnsi="Helvetica;sans-serif"/>
                <w:b/>
                <w:color w:val="243782"/>
                <w:sz w:val="14"/>
              </w:rPr>
              <w:t>Unallocated items &amp; eliminations</w:t>
            </w:r>
          </w:p>
        </w:tc>
        <w:tc>
          <w:tcPr>
            <w:tcW w:w="327" w:type="dxa"/>
            <w:gridSpan w:val="3"/>
            <w:tcBorders>
              <w:bottom w:val="single" w:sz="2" w:space="0" w:color="143A8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bottom w:val="single" w:sz="2" w:space="0" w:color="143A84"/>
            </w:tcBorders>
            <w:tcMar>
              <w:top w:w="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color w:val="243782"/>
                <w:sz w:val="14"/>
              </w:rPr>
            </w:pPr>
            <w:r>
              <w:rPr>
                <w:rFonts w:ascii="Helvetica;sans-serif" w:hAnsi="Helvetica;sans-serif"/>
                <w:b/>
                <w:color w:val="243782"/>
                <w:sz w:val="14"/>
              </w:rPr>
              <w:t>Stellantis</w:t>
            </w:r>
          </w:p>
        </w:tc>
      </w:tr>
      <w:tr>
        <w:trPr/>
        <w:tc>
          <w:tcPr>
            <w:tcW w:w="1108" w:type="dxa"/>
            <w:gridSpan w:val="3"/>
            <w:tcBorders>
              <w:top w:val="single" w:sz="2" w:space="0" w:color="143A84"/>
            </w:tcBorders>
            <w:tcMar>
              <w:top w:w="52" w:type="dxa"/>
              <w:left w:w="0" w:type="dxa"/>
              <w:bottom w:w="0" w:type="dxa"/>
              <w:right w:w="0" w:type="dxa"/>
            </w:tcMar>
            <w:vAlign w:val="center"/>
          </w:tcPr>
          <w:p>
            <w:pPr>
              <w:pStyle w:val="TableContents"/>
              <w:bidi w:val="0"/>
              <w:spacing w:lineRule="auto" w:line="288" w:before="0" w:after="240"/>
              <w:jc w:val="left"/>
              <w:rPr>
                <w:rFonts w:ascii="Helvetica;sans-serif" w:hAnsi="Helvetica;sans-serif"/>
                <w:b w:val="false"/>
                <w:i/>
                <w:color w:val="000000"/>
                <w:sz w:val="14"/>
              </w:rPr>
            </w:pPr>
            <w:r>
              <w:rPr>
                <w:rFonts w:ascii="Helvetica;sans-serif" w:hAnsi="Helvetica;sans-serif"/>
                <w:b w:val="false"/>
                <w:i/>
                <w:color w:val="000000"/>
                <w:sz w:val="14"/>
              </w:rPr>
              <w:t>(€ million)</w:t>
            </w:r>
          </w:p>
        </w:tc>
        <w:tc>
          <w:tcPr>
            <w:tcW w:w="327" w:type="dxa"/>
            <w:gridSpan w:val="3"/>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0" w:type="dxa"/>
            <w:gridSpan w:val="45"/>
            <w:tcBorders>
              <w:top w:val="single" w:sz="2" w:space="0" w:color="143A8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8"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4"/>
              </w:rPr>
            </w:pPr>
            <w:r>
              <w:rPr>
                <w:rFonts w:ascii="Helvetica;sans-serif" w:hAnsi="Helvetica;sans-serif"/>
                <w:b w:val="false"/>
                <w:color w:val="000000"/>
                <w:sz w:val="14"/>
              </w:rPr>
              <w:t>Net revenues from external customers</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28,303 </w:t>
            </w:r>
          </w:p>
        </w:tc>
        <w:tc>
          <w:tcPr>
            <w:tcW w:w="217"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30,555 </w:t>
            </w:r>
          </w:p>
        </w:tc>
        <w:tc>
          <w:tcPr>
            <w:tcW w:w="227"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4,956 </w:t>
            </w:r>
          </w:p>
        </w:tc>
        <w:tc>
          <w:tcPr>
            <w:tcW w:w="213"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7,698 </w:t>
            </w:r>
          </w:p>
        </w:tc>
        <w:tc>
          <w:tcPr>
            <w:tcW w:w="217"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1,006 </w:t>
            </w:r>
          </w:p>
        </w:tc>
        <w:tc>
          <w:tcPr>
            <w:tcW w:w="187"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1,743 </w:t>
            </w:r>
          </w:p>
        </w:tc>
        <w:tc>
          <w:tcPr>
            <w:tcW w:w="237"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9"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74,261 </w:t>
            </w:r>
          </w:p>
        </w:tc>
        <w:tc>
          <w:tcPr>
            <w:tcW w:w="330"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8"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4"/>
              </w:rPr>
            </w:pPr>
            <w:r>
              <w:rPr>
                <w:rFonts w:ascii="Helvetica;sans-serif" w:hAnsi="Helvetica;sans-serif"/>
                <w:b w:val="false"/>
                <w:color w:val="000000"/>
                <w:sz w:val="14"/>
              </w:rPr>
              <w:t>Net revenues from transactions with other segments</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7"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2 </w:t>
            </w:r>
          </w:p>
        </w:tc>
        <w:tc>
          <w:tcPr>
            <w:tcW w:w="227"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6 </w:t>
            </w:r>
          </w:p>
        </w:tc>
        <w:tc>
          <w:tcPr>
            <w:tcW w:w="213"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73 </w:t>
            </w:r>
          </w:p>
        </w:tc>
        <w:tc>
          <w:tcPr>
            <w:tcW w:w="217"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4 </w:t>
            </w:r>
          </w:p>
        </w:tc>
        <w:tc>
          <w:tcPr>
            <w:tcW w:w="187"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130 </w:t>
            </w:r>
          </w:p>
        </w:tc>
        <w:tc>
          <w:tcPr>
            <w:tcW w:w="237"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(215)</w:t>
            </w:r>
          </w:p>
        </w:tc>
        <w:tc>
          <w:tcPr>
            <w:tcW w:w="349"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0"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8"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0"/>
              <w:jc w:val="left"/>
              <w:rPr/>
            </w:pPr>
            <w:r>
              <w:rPr>
                <w:rFonts w:ascii="Helvetica;sans-serif" w:hAnsi="Helvetica;sans-serif"/>
                <w:b/>
                <w:color w:val="243782"/>
                <w:sz w:val="14"/>
              </w:rPr>
              <w:t>Net revenues</w:t>
            </w:r>
            <w:r>
              <w:rPr>
                <w:rFonts w:ascii="Helvetica;sans-serif" w:hAnsi="Helvetica;sans-serif"/>
                <w:b/>
                <w:color w:val="243782"/>
                <w:sz w:val="9"/>
              </w:rPr>
              <w:t>(1)</w:t>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143A84"/>
                <w:sz w:val="14"/>
              </w:rPr>
              <w:t>28,303</w:t>
            </w:r>
            <w:r>
              <w:rPr>
                <w:color w:val="143A84"/>
              </w:rPr>
              <w:t> </w:t>
            </w:r>
          </w:p>
        </w:tc>
        <w:tc>
          <w:tcPr>
            <w:tcW w:w="217"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143A84"/>
                <w:sz w:val="14"/>
              </w:rPr>
              <w:t>30,557</w:t>
            </w:r>
            <w:r>
              <w:rPr>
                <w:color w:val="143A84"/>
              </w:rPr>
              <w:t> </w:t>
            </w:r>
          </w:p>
        </w:tc>
        <w:tc>
          <w:tcPr>
            <w:tcW w:w="227"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143A84"/>
                <w:sz w:val="14"/>
              </w:rPr>
              <w:t>4,962</w:t>
            </w:r>
            <w:r>
              <w:rPr>
                <w:color w:val="143A84"/>
              </w:rPr>
              <w:t> </w:t>
            </w:r>
          </w:p>
        </w:tc>
        <w:tc>
          <w:tcPr>
            <w:tcW w:w="213"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143A84"/>
                <w:sz w:val="14"/>
              </w:rPr>
              <w:t>7,771</w:t>
            </w:r>
            <w:r>
              <w:rPr>
                <w:color w:val="143A84"/>
              </w:rPr>
              <w:t> </w:t>
            </w:r>
          </w:p>
        </w:tc>
        <w:tc>
          <w:tcPr>
            <w:tcW w:w="217"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143A84"/>
                <w:sz w:val="14"/>
              </w:rPr>
              <w:t>1,010</w:t>
            </w:r>
            <w:r>
              <w:rPr>
                <w:color w:val="143A84"/>
              </w:rPr>
              <w:t> </w:t>
            </w:r>
          </w:p>
        </w:tc>
        <w:tc>
          <w:tcPr>
            <w:tcW w:w="187"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143A84"/>
                <w:sz w:val="14"/>
              </w:rPr>
              <w:t>1,873</w:t>
            </w:r>
            <w:r>
              <w:rPr>
                <w:color w:val="143A84"/>
              </w:rPr>
              <w:t> </w:t>
            </w:r>
          </w:p>
        </w:tc>
        <w:tc>
          <w:tcPr>
            <w:tcW w:w="237"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143A84"/>
                <w:sz w:val="14"/>
              </w:rPr>
            </w:pPr>
            <w:r>
              <w:rPr>
                <w:rFonts w:ascii="Helvetica;sans-serif" w:hAnsi="Helvetica;sans-serif"/>
                <w:b/>
                <w:color w:val="143A84"/>
                <w:sz w:val="14"/>
              </w:rPr>
              <w:t>(215)</w:t>
            </w:r>
          </w:p>
        </w:tc>
        <w:tc>
          <w:tcPr>
            <w:tcW w:w="349"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143A84"/>
                <w:sz w:val="14"/>
              </w:rPr>
              <w:t>74,261</w:t>
            </w:r>
            <w:r>
              <w:rPr>
                <w:color w:val="143A84"/>
              </w:rPr>
              <w:t> </w:t>
            </w:r>
          </w:p>
        </w:tc>
        <w:tc>
          <w:tcPr>
            <w:tcW w:w="330"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8"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8"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243782"/>
                <w:sz w:val="14"/>
              </w:rPr>
            </w:pPr>
            <w:r>
              <w:rPr>
                <w:rFonts w:ascii="Helvetica;sans-serif" w:hAnsi="Helvetica;sans-serif"/>
                <w:b/>
                <w:color w:val="243782"/>
                <w:sz w:val="14"/>
              </w:rPr>
              <w:t>Net profit/(loss)</w:t>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143A84"/>
                <w:sz w:val="14"/>
              </w:rPr>
            </w:pPr>
            <w:r>
              <w:rPr>
                <w:rFonts w:ascii="Helvetica;sans-serif" w:hAnsi="Helvetica;sans-serif"/>
                <w:b/>
                <w:color w:val="143A84"/>
                <w:sz w:val="14"/>
              </w:rPr>
              <w:t>(2,256)</w:t>
            </w:r>
          </w:p>
        </w:tc>
        <w:tc>
          <w:tcPr>
            <w:tcW w:w="330"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8"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4"/>
              </w:rPr>
            </w:pPr>
            <w:r>
              <w:rPr>
                <w:rFonts w:ascii="Helvetica;sans-serif" w:hAnsi="Helvetica;sans-serif"/>
                <w:b w:val="false"/>
                <w:color w:val="000000"/>
                <w:sz w:val="14"/>
              </w:rPr>
              <w:t>Tax expense/(benefit)</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(614)</w:t>
            </w:r>
          </w:p>
        </w:tc>
        <w:tc>
          <w:tcPr>
            <w:tcW w:w="330"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8"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4"/>
              </w:rPr>
            </w:pPr>
            <w:r>
              <w:rPr>
                <w:rFonts w:ascii="Helvetica;sans-serif" w:hAnsi="Helvetica;sans-serif"/>
                <w:b w:val="false"/>
                <w:color w:val="000000"/>
                <w:sz w:val="14"/>
              </w:rPr>
              <w:t>Net financial expenses/(income)</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160 </w:t>
            </w:r>
          </w:p>
        </w:tc>
        <w:tc>
          <w:tcPr>
            <w:tcW w:w="330"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8"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243782"/>
                <w:sz w:val="14"/>
              </w:rPr>
            </w:pPr>
            <w:r>
              <w:rPr>
                <w:rFonts w:ascii="Helvetica;sans-serif" w:hAnsi="Helvetica;sans-serif"/>
                <w:b/>
                <w:color w:val="243782"/>
                <w:sz w:val="14"/>
              </w:rPr>
              <w:t>Operating income/(loss)</w:t>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143A84"/>
                <w:sz w:val="14"/>
              </w:rPr>
            </w:pPr>
            <w:r>
              <w:rPr>
                <w:rFonts w:ascii="Helvetica;sans-serif" w:hAnsi="Helvetica;sans-serif"/>
                <w:b/>
                <w:color w:val="143A84"/>
                <w:sz w:val="14"/>
              </w:rPr>
              <w:t>(2,710)</w:t>
            </w:r>
          </w:p>
        </w:tc>
        <w:tc>
          <w:tcPr>
            <w:tcW w:w="330"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8"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8"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243782"/>
                <w:sz w:val="14"/>
              </w:rPr>
            </w:pPr>
            <w:r>
              <w:rPr>
                <w:rFonts w:ascii="Helvetica;sans-serif" w:hAnsi="Helvetica;sans-serif"/>
                <w:b/>
                <w:color w:val="243782"/>
                <w:sz w:val="14"/>
              </w:rPr>
              <w:t>Adjustments:</w:t>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8"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0"/>
              <w:jc w:val="left"/>
              <w:rPr/>
            </w:pPr>
            <w:r>
              <w:rPr>
                <w:rFonts w:ascii="Helvetica;sans-serif" w:hAnsi="Helvetica;sans-serif"/>
                <w:b w:val="false"/>
                <w:color w:val="000000"/>
                <w:sz w:val="14"/>
              </w:rPr>
              <w:t>Restructuring and other costs, net of reversals</w:t>
            </w:r>
            <w:r>
              <w:rPr>
                <w:rFonts w:ascii="Helvetica;sans-serif" w:hAnsi="Helvetica;sans-serif"/>
                <w:b w:val="false"/>
                <w:color w:val="000000"/>
                <w:sz w:val="9"/>
              </w:rPr>
              <w:t>(2)</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(41)</w:t>
            </w:r>
          </w:p>
        </w:tc>
        <w:tc>
          <w:tcPr>
            <w:tcW w:w="217"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531 </w:t>
            </w:r>
          </w:p>
        </w:tc>
        <w:tc>
          <w:tcPr>
            <w:tcW w:w="227"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3"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4 </w:t>
            </w:r>
          </w:p>
        </w:tc>
        <w:tc>
          <w:tcPr>
            <w:tcW w:w="217"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7"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28 </w:t>
            </w:r>
          </w:p>
        </w:tc>
        <w:tc>
          <w:tcPr>
            <w:tcW w:w="237"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9"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522 </w:t>
            </w:r>
          </w:p>
        </w:tc>
        <w:tc>
          <w:tcPr>
            <w:tcW w:w="330"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8"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0"/>
              <w:jc w:val="left"/>
              <w:rPr/>
            </w:pPr>
            <w:r>
              <w:rPr>
                <w:rFonts w:ascii="Helvetica;sans-serif" w:hAnsi="Helvetica;sans-serif"/>
                <w:b w:val="false"/>
                <w:color w:val="000000"/>
                <w:sz w:val="14"/>
              </w:rPr>
              <w:t>Takata airbags recall campaign</w:t>
            </w:r>
            <w:r>
              <w:rPr>
                <w:rFonts w:ascii="Helvetica;sans-serif" w:hAnsi="Helvetica;sans-serif"/>
                <w:b w:val="false"/>
                <w:color w:val="000000"/>
                <w:sz w:val="9"/>
              </w:rPr>
              <w:t>(3)</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7"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239 </w:t>
            </w:r>
          </w:p>
        </w:tc>
        <w:tc>
          <w:tcPr>
            <w:tcW w:w="227"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3"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7"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7"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7"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9"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239 </w:t>
            </w:r>
          </w:p>
        </w:tc>
        <w:tc>
          <w:tcPr>
            <w:tcW w:w="330"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8"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0"/>
              <w:jc w:val="left"/>
              <w:rPr/>
            </w:pPr>
            <w:r>
              <w:rPr>
                <w:rFonts w:ascii="Helvetica;sans-serif" w:hAnsi="Helvetica;sans-serif"/>
                <w:b w:val="false"/>
                <w:color w:val="000000"/>
                <w:sz w:val="14"/>
              </w:rPr>
              <w:t>Platform impairments</w:t>
            </w:r>
            <w:r>
              <w:rPr>
                <w:rFonts w:ascii="Helvetica;sans-serif" w:hAnsi="Helvetica;sans-serif"/>
                <w:b w:val="false"/>
                <w:color w:val="000000"/>
                <w:sz w:val="9"/>
              </w:rPr>
              <w:t>(4)</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7"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578 </w:t>
            </w:r>
          </w:p>
        </w:tc>
        <w:tc>
          <w:tcPr>
            <w:tcW w:w="227"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3"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7"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7"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7"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9"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578 </w:t>
            </w:r>
          </w:p>
        </w:tc>
        <w:tc>
          <w:tcPr>
            <w:tcW w:w="330"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8"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343" w:before="0" w:after="120"/>
              <w:jc w:val="left"/>
              <w:rPr/>
            </w:pPr>
            <w:r>
              <w:rPr>
                <w:rFonts w:ascii="Helvetica;sans-serif" w:hAnsi="Helvetica;sans-serif"/>
                <w:b w:val="false"/>
                <w:color w:val="000000"/>
                <w:sz w:val="14"/>
              </w:rPr>
              <w:t>Costs related to program cancellations</w:t>
            </w:r>
            <w:r>
              <w:rPr>
                <w:rFonts w:ascii="Helvetica;sans-serif" w:hAnsi="Helvetica;sans-serif"/>
                <w:b w:val="false"/>
                <w:color w:val="000000"/>
                <w:sz w:val="9"/>
              </w:rPr>
              <w:t>(5)</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327 </w:t>
            </w:r>
          </w:p>
        </w:tc>
        <w:tc>
          <w:tcPr>
            <w:tcW w:w="217"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134 </w:t>
            </w:r>
          </w:p>
        </w:tc>
        <w:tc>
          <w:tcPr>
            <w:tcW w:w="227"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8 </w:t>
            </w:r>
          </w:p>
        </w:tc>
        <w:tc>
          <w:tcPr>
            <w:tcW w:w="213"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319 </w:t>
            </w:r>
          </w:p>
        </w:tc>
        <w:tc>
          <w:tcPr>
            <w:tcW w:w="217"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1 </w:t>
            </w:r>
          </w:p>
        </w:tc>
        <w:tc>
          <w:tcPr>
            <w:tcW w:w="187"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7"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9"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789 </w:t>
            </w:r>
          </w:p>
        </w:tc>
        <w:tc>
          <w:tcPr>
            <w:tcW w:w="330"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8"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0"/>
              <w:jc w:val="left"/>
              <w:rPr/>
            </w:pPr>
            <w:r>
              <w:rPr>
                <w:rFonts w:ascii="Helvetica;sans-serif" w:hAnsi="Helvetica;sans-serif"/>
                <w:b w:val="false"/>
                <w:color w:val="000000"/>
                <w:sz w:val="14"/>
              </w:rPr>
              <w:t>Fuel cell program discontinuation</w:t>
            </w:r>
            <w:r>
              <w:rPr>
                <w:rFonts w:ascii="Helvetica;sans-serif" w:hAnsi="Helvetica;sans-serif"/>
                <w:b w:val="false"/>
                <w:color w:val="000000"/>
                <w:sz w:val="9"/>
              </w:rPr>
              <w:t>(6)</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7"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733 </w:t>
            </w:r>
          </w:p>
        </w:tc>
        <w:tc>
          <w:tcPr>
            <w:tcW w:w="227"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3"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7"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7"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7"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9"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733 </w:t>
            </w:r>
          </w:p>
        </w:tc>
        <w:tc>
          <w:tcPr>
            <w:tcW w:w="330"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8"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0"/>
              <w:jc w:val="left"/>
              <w:rPr/>
            </w:pPr>
            <w:r>
              <w:rPr>
                <w:rFonts w:ascii="Helvetica;sans-serif" w:hAnsi="Helvetica;sans-serif"/>
                <w:b w:val="false"/>
                <w:color w:val="000000"/>
                <w:sz w:val="14"/>
              </w:rPr>
              <w:t>CAFE penalty rate</w:t>
            </w:r>
            <w:r>
              <w:rPr>
                <w:rFonts w:ascii="Helvetica;sans-serif" w:hAnsi="Helvetica;sans-serif"/>
                <w:b w:val="false"/>
                <w:color w:val="000000"/>
                <w:sz w:val="9"/>
              </w:rPr>
              <w:t>(7)</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269 </w:t>
            </w:r>
          </w:p>
        </w:tc>
        <w:tc>
          <w:tcPr>
            <w:tcW w:w="217"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7"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3"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7"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7"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7"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9"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269 </w:t>
            </w:r>
          </w:p>
        </w:tc>
        <w:tc>
          <w:tcPr>
            <w:tcW w:w="330"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8"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0"/>
              <w:jc w:val="left"/>
              <w:rPr/>
            </w:pPr>
            <w:r>
              <w:rPr>
                <w:rFonts w:ascii="Helvetica;sans-serif" w:hAnsi="Helvetica;sans-serif"/>
                <w:b w:val="false"/>
                <w:color w:val="000000"/>
                <w:sz w:val="14"/>
              </w:rPr>
              <w:t>Stellantis Türkiye disposal</w:t>
            </w:r>
            <w:r>
              <w:rPr>
                <w:rFonts w:ascii="Helvetica;sans-serif" w:hAnsi="Helvetica;sans-serif"/>
                <w:b w:val="false"/>
                <w:color w:val="000000"/>
                <w:sz w:val="9"/>
              </w:rPr>
              <w:t>(8)</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7"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7"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246 </w:t>
            </w:r>
          </w:p>
        </w:tc>
        <w:tc>
          <w:tcPr>
            <w:tcW w:w="213"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7"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7"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7"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9"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246 </w:t>
            </w:r>
          </w:p>
        </w:tc>
        <w:tc>
          <w:tcPr>
            <w:tcW w:w="330"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8" w:type="dxa"/>
            <w:gridSpan w:val="3"/>
            <w:tcBorders>
              <w:top w:val="single" w:sz="2" w:space="0" w:color="8E939F"/>
            </w:tcBorders>
            <w:tcMar>
              <w:top w:w="52" w:type="dxa"/>
              <w:left w:w="0" w:type="dxa"/>
              <w:bottom w:w="0" w:type="dxa"/>
              <w:right w:w="0" w:type="dxa"/>
            </w:tcMar>
            <w:vAlign w:val="center"/>
          </w:tcPr>
          <w:p>
            <w:pPr>
              <w:pStyle w:val="TableContents"/>
              <w:bidi w:val="0"/>
              <w:spacing w:lineRule="auto" w:line="288" w:before="0" w:after="0"/>
              <w:jc w:val="left"/>
              <w:rPr/>
            </w:pPr>
            <w:r>
              <w:rPr>
                <w:rFonts w:ascii="Helvetica;sans-serif" w:hAnsi="Helvetica;sans-serif"/>
                <w:b w:val="false"/>
                <w:color w:val="000000"/>
                <w:sz w:val="14"/>
              </w:rPr>
              <w:t>Other</w:t>
            </w:r>
            <w:r>
              <w:rPr>
                <w:rFonts w:ascii="Helvetica;sans-serif" w:hAnsi="Helvetica;sans-serif"/>
                <w:b w:val="false"/>
                <w:color w:val="000000"/>
                <w:sz w:val="9"/>
              </w:rPr>
              <w:t>(9)</w:t>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(83)</w:t>
            </w:r>
          </w:p>
        </w:tc>
        <w:tc>
          <w:tcPr>
            <w:tcW w:w="217"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(23)</w:t>
            </w:r>
          </w:p>
        </w:tc>
        <w:tc>
          <w:tcPr>
            <w:tcW w:w="227"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3"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7"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2 </w:t>
            </w:r>
          </w:p>
        </w:tc>
        <w:tc>
          <w:tcPr>
            <w:tcW w:w="187"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(17)</w:t>
            </w:r>
          </w:p>
        </w:tc>
        <w:tc>
          <w:tcPr>
            <w:tcW w:w="237"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(5)</w:t>
            </w:r>
          </w:p>
        </w:tc>
        <w:tc>
          <w:tcPr>
            <w:tcW w:w="349"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2" w:space="0" w:color="8E939F"/>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(126)</w:t>
            </w:r>
          </w:p>
        </w:tc>
        <w:tc>
          <w:tcPr>
            <w:tcW w:w="330" w:type="dxa"/>
            <w:tcBorders>
              <w:top w:val="single" w:sz="2" w:space="0" w:color="8E939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8" w:type="dxa"/>
            <w:gridSpan w:val="3"/>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243782"/>
                <w:sz w:val="14"/>
              </w:rPr>
            </w:pPr>
            <w:r>
              <w:rPr>
                <w:rFonts w:ascii="Helvetica;sans-serif" w:hAnsi="Helvetica;sans-serif"/>
                <w:b/>
                <w:color w:val="243782"/>
                <w:sz w:val="14"/>
              </w:rPr>
              <w:t>Total adjustments</w:t>
            </w:r>
          </w:p>
        </w:tc>
        <w:tc>
          <w:tcPr>
            <w:tcW w:w="327" w:type="dxa"/>
            <w:gridSpan w:val="3"/>
            <w:tcBorders>
              <w:top w:val="single" w:sz="2" w:space="0" w:color="8E939F"/>
            </w:tcBorders>
            <w:shd w:fill="E6E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143A84"/>
                <w:sz w:val="14"/>
              </w:rPr>
              <w:t>472</w:t>
            </w:r>
            <w:r>
              <w:rPr>
                <w:color w:val="143A84"/>
              </w:rPr>
              <w:t> </w:t>
            </w:r>
          </w:p>
        </w:tc>
        <w:tc>
          <w:tcPr>
            <w:tcW w:w="217"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E6E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143A84"/>
                <w:sz w:val="14"/>
              </w:rPr>
              <w:t>2,192</w:t>
            </w:r>
            <w:r>
              <w:rPr>
                <w:color w:val="143A84"/>
              </w:rPr>
              <w:t> </w:t>
            </w:r>
          </w:p>
        </w:tc>
        <w:tc>
          <w:tcPr>
            <w:tcW w:w="227"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E6E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143A84"/>
                <w:sz w:val="14"/>
              </w:rPr>
              <w:t>254</w:t>
            </w:r>
            <w:r>
              <w:rPr>
                <w:color w:val="143A84"/>
              </w:rPr>
              <w:t> </w:t>
            </w:r>
          </w:p>
        </w:tc>
        <w:tc>
          <w:tcPr>
            <w:tcW w:w="213"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E6E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143A84"/>
                <w:sz w:val="14"/>
              </w:rPr>
              <w:t>323</w:t>
            </w:r>
            <w:r>
              <w:rPr>
                <w:color w:val="143A84"/>
              </w:rPr>
              <w:t> </w:t>
            </w:r>
          </w:p>
        </w:tc>
        <w:tc>
          <w:tcPr>
            <w:tcW w:w="217"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E6E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143A84"/>
                <w:sz w:val="14"/>
              </w:rPr>
              <w:t>3</w:t>
            </w:r>
            <w:r>
              <w:rPr>
                <w:color w:val="143A84"/>
              </w:rPr>
              <w:t> </w:t>
            </w:r>
          </w:p>
        </w:tc>
        <w:tc>
          <w:tcPr>
            <w:tcW w:w="187"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E6E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143A84"/>
                <w:sz w:val="14"/>
              </w:rPr>
              <w:t>11</w:t>
            </w:r>
            <w:r>
              <w:rPr>
                <w:color w:val="143A84"/>
              </w:rPr>
              <w:t> </w:t>
            </w:r>
          </w:p>
        </w:tc>
        <w:tc>
          <w:tcPr>
            <w:tcW w:w="237"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E6E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143A84"/>
                <w:sz w:val="14"/>
              </w:rPr>
            </w:pPr>
            <w:r>
              <w:rPr>
                <w:rFonts w:ascii="Helvetica;sans-serif" w:hAnsi="Helvetica;sans-serif"/>
                <w:b/>
                <w:color w:val="143A84"/>
                <w:sz w:val="14"/>
              </w:rPr>
              <w:t>(5)</w:t>
            </w:r>
          </w:p>
        </w:tc>
        <w:tc>
          <w:tcPr>
            <w:tcW w:w="349"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E6E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2" w:space="0" w:color="8E939F"/>
            </w:tcBorders>
            <w:shd w:fill="E6E7F4"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143A84"/>
                <w:sz w:val="14"/>
              </w:rPr>
              <w:t>3,250</w:t>
            </w:r>
            <w:r>
              <w:rPr>
                <w:color w:val="143A84"/>
              </w:rPr>
              <w:t> </w:t>
            </w:r>
          </w:p>
        </w:tc>
        <w:tc>
          <w:tcPr>
            <w:tcW w:w="330" w:type="dxa"/>
            <w:tcBorders>
              <w:top w:val="single" w:sz="2" w:space="0" w:color="8E939F"/>
            </w:tcBorders>
            <w:shd w:fill="E6E7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8" w:type="dxa"/>
            <w:gridSpan w:val="3"/>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243782"/>
                <w:sz w:val="14"/>
              </w:rPr>
            </w:pPr>
            <w:r>
              <w:rPr>
                <w:rFonts w:ascii="Helvetica;sans-serif" w:hAnsi="Helvetica;sans-serif"/>
                <w:b/>
                <w:color w:val="243782"/>
                <w:sz w:val="14"/>
              </w:rPr>
              <w:t xml:space="preserve">Adjusted operating income </w:t>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143A84"/>
                <w:sz w:val="14"/>
              </w:rPr>
            </w:pPr>
            <w:r>
              <w:rPr>
                <w:rFonts w:ascii="Helvetica;sans-serif" w:hAnsi="Helvetica;sans-serif"/>
                <w:b/>
                <w:color w:val="143A84"/>
                <w:sz w:val="14"/>
              </w:rPr>
              <w:t>(982)</w:t>
            </w:r>
          </w:p>
        </w:tc>
        <w:tc>
          <w:tcPr>
            <w:tcW w:w="217"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143A84"/>
                <w:sz w:val="14"/>
              </w:rPr>
            </w:pPr>
            <w:r>
              <w:rPr>
                <w:rFonts w:ascii="Helvetica;sans-serif" w:hAnsi="Helvetica;sans-serif"/>
                <w:b/>
                <w:color w:val="143A84"/>
                <w:sz w:val="14"/>
              </w:rPr>
              <w:t>(67)</w:t>
            </w:r>
          </w:p>
        </w:tc>
        <w:tc>
          <w:tcPr>
            <w:tcW w:w="227"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143A84"/>
                <w:sz w:val="14"/>
              </w:rPr>
              <w:t>768</w:t>
            </w:r>
            <w:r>
              <w:rPr>
                <w:color w:val="143A84"/>
              </w:rPr>
              <w:t> </w:t>
            </w:r>
          </w:p>
        </w:tc>
        <w:tc>
          <w:tcPr>
            <w:tcW w:w="213"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143A84"/>
                <w:sz w:val="14"/>
              </w:rPr>
              <w:t>1,189</w:t>
            </w:r>
            <w:r>
              <w:rPr>
                <w:color w:val="143A84"/>
              </w:rPr>
              <w:t> </w:t>
            </w:r>
          </w:p>
        </w:tc>
        <w:tc>
          <w:tcPr>
            <w:tcW w:w="217"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color w:val="143A84"/>
              </w:rPr>
            </w:pPr>
            <w:r>
              <w:rPr>
                <w:color w:val="143A84"/>
              </w:rPr>
              <w:t>— </w:t>
            </w:r>
          </w:p>
        </w:tc>
        <w:tc>
          <w:tcPr>
            <w:tcW w:w="187"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143A84"/>
                <w:sz w:val="14"/>
              </w:rPr>
            </w:pPr>
            <w:r>
              <w:rPr>
                <w:rFonts w:ascii="Helvetica;sans-serif" w:hAnsi="Helvetica;sans-serif"/>
                <w:b/>
                <w:color w:val="143A84"/>
                <w:sz w:val="14"/>
              </w:rPr>
              <w:t>(73)</w:t>
            </w:r>
          </w:p>
        </w:tc>
        <w:tc>
          <w:tcPr>
            <w:tcW w:w="237"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143A84"/>
                <w:sz w:val="14"/>
              </w:rPr>
            </w:pPr>
            <w:r>
              <w:rPr>
                <w:rFonts w:ascii="Helvetica;sans-serif" w:hAnsi="Helvetica;sans-serif"/>
                <w:b/>
                <w:color w:val="143A84"/>
                <w:sz w:val="14"/>
              </w:rPr>
              <w:t>(295)</w:t>
            </w:r>
          </w:p>
        </w:tc>
        <w:tc>
          <w:tcPr>
            <w:tcW w:w="349"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shd w:fill="F3F3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2" w:space="0" w:color="8E939F"/>
            </w:tcBorders>
            <w:shd w:fill="F3F3F9" w:val="clear"/>
            <w:tcMar>
              <w:top w:w="52" w:type="dxa"/>
              <w:left w:w="0" w:type="dxa"/>
              <w:bottom w:w="0" w:type="dxa"/>
              <w:right w:w="0" w:type="dxa"/>
            </w:tcMar>
            <w:vAlign w:val="center"/>
          </w:tcPr>
          <w:p>
            <w:pPr>
              <w:pStyle w:val="TableContents"/>
              <w:bidi w:val="0"/>
              <w:spacing w:lineRule="auto" w:line="288" w:before="0" w:after="283"/>
              <w:jc w:val="right"/>
              <w:rPr/>
            </w:pPr>
            <w:r>
              <w:rPr>
                <w:rFonts w:ascii="Helvetica;sans-serif" w:hAnsi="Helvetica;sans-serif"/>
                <w:b/>
                <w:color w:val="143A84"/>
                <w:sz w:val="14"/>
              </w:rPr>
              <w:t>540</w:t>
            </w:r>
            <w:r>
              <w:rPr>
                <w:color w:val="143A84"/>
              </w:rPr>
              <w:t> </w:t>
            </w:r>
          </w:p>
        </w:tc>
        <w:tc>
          <w:tcPr>
            <w:tcW w:w="330" w:type="dxa"/>
            <w:tcBorders>
              <w:top w:val="single" w:sz="2" w:space="0" w:color="8E939F"/>
            </w:tcBorders>
            <w:shd w:fill="F3F3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8"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2" w:space="0" w:color="8E939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8" w:type="dxa"/>
            <w:gridSpan w:val="3"/>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14"/>
              </w:rPr>
            </w:pPr>
            <w:r>
              <w:rPr>
                <w:rFonts w:ascii="Helvetica;sans-serif" w:hAnsi="Helvetica;sans-serif"/>
                <w:b w:val="false"/>
                <w:color w:val="000000"/>
                <w:sz w:val="14"/>
              </w:rPr>
              <w:t>Share of profit of equity method investees, excluding adjustments</w:t>
            </w:r>
          </w:p>
        </w:tc>
        <w:tc>
          <w:tcPr>
            <w:tcW w:w="327" w:type="dxa"/>
            <w:gridSpan w:val="3"/>
            <w:tcBorders>
              <w:top w:val="single" w:sz="2" w:space="0" w:color="8E939F"/>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6 </w:t>
            </w:r>
          </w:p>
        </w:tc>
        <w:tc>
          <w:tcPr>
            <w:tcW w:w="217" w:type="dxa"/>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(555)</w:t>
            </w:r>
          </w:p>
        </w:tc>
        <w:tc>
          <w:tcPr>
            <w:tcW w:w="227" w:type="dxa"/>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8 </w:t>
            </w:r>
          </w:p>
        </w:tc>
        <w:tc>
          <w:tcPr>
            <w:tcW w:w="213" w:type="dxa"/>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17" w:type="dxa"/>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(15)</w:t>
            </w:r>
          </w:p>
        </w:tc>
        <w:tc>
          <w:tcPr>
            <w:tcW w:w="187" w:type="dxa"/>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123 </w:t>
            </w:r>
          </w:p>
        </w:tc>
        <w:tc>
          <w:tcPr>
            <w:tcW w:w="237" w:type="dxa"/>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349" w:type="dxa"/>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E939F"/>
              <w:bottom w:val="single" w:sz="2" w:space="0" w:color="8E939F"/>
            </w:tcBorders>
            <w:tcMar>
              <w:left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(433)</w:t>
            </w:r>
          </w:p>
        </w:tc>
        <w:tc>
          <w:tcPr>
            <w:tcW w:w="330" w:type="dxa"/>
            <w:tcBorders>
              <w:top w:val="single" w:sz="2" w:space="0" w:color="8E939F"/>
              <w:bottom w:val="single" w:sz="2" w:space="0" w:color="8E939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Helvetica Light;sans-serif" w:hAnsi="Helvetica Light;sans-serif"/>
          <w:b w:val="false"/>
          <w:color w:val="000000"/>
          <w:sz w:val="16"/>
        </w:rPr>
        <w:t xml:space="preserve">(1) With effect from January 1, 2026, the Company’s segment structure was updated to align with how the CODM reviews performance and allocates resources. Under the revised structure, the CODM reviews the business through the following operating and reportable segments: North America; Enlarged Europe; Middle East &amp; Africa; South America; and Asia Pacific. Refer to Note 1, </w:t>
      </w:r>
      <w:r>
        <w:rPr>
          <w:rFonts w:ascii="Helvetica Light;sans-serif" w:hAnsi="Helvetica Light;sans-serif"/>
          <w:b w:val="false"/>
          <w:i/>
          <w:color w:val="000000"/>
          <w:sz w:val="16"/>
        </w:rPr>
        <w:t>Basis of Preparation</w:t>
      </w:r>
      <w:r>
        <w:rPr>
          <w:color w:val="000000"/>
        </w:rPr>
        <w:t xml:space="preserve"> </w:t>
      </w:r>
      <w:r>
        <w:rPr>
          <w:rFonts w:ascii="Helvetica Light;sans-serif" w:hAnsi="Helvetica Light;sans-serif"/>
          <w:b w:val="false"/>
          <w:color w:val="000000"/>
          <w:sz w:val="16"/>
        </w:rPr>
        <w:t>for additional information</w:t>
      </w:r>
    </w:p>
    <w:p>
      <w:pPr>
        <w:pStyle w:val="TextBody"/>
        <w:bidi w:val="0"/>
        <w:spacing w:lineRule="auto" w:line="288" w:before="0" w:after="0"/>
        <w:jc w:val="left"/>
        <w:rPr>
          <w:rFonts w:ascii="Helvetica Light;sans-serif" w:hAnsi="Helvetica Light;sans-serif"/>
          <w:b w:val="false"/>
          <w:color w:val="000000"/>
          <w:sz w:val="16"/>
        </w:rPr>
      </w:pPr>
      <w:r>
        <w:rPr>
          <w:rFonts w:ascii="Helvetica Light;sans-serif" w:hAnsi="Helvetica Light;sans-serif"/>
          <w:b w:val="false"/>
          <w:color w:val="000000"/>
          <w:sz w:val="16"/>
        </w:rPr>
        <w:t>(2) Primarily related to workforce reductions, mainly in Enlarged Europe, partially offset by a €41 million reduction in estimated North America restructuring costs</w:t>
      </w:r>
    </w:p>
    <w:p>
      <w:pPr>
        <w:pStyle w:val="TextBody"/>
        <w:bidi w:val="0"/>
        <w:spacing w:lineRule="auto" w:line="288" w:before="0" w:after="0"/>
        <w:jc w:val="left"/>
        <w:rPr>
          <w:rFonts w:ascii="Helvetica Light;sans-serif" w:hAnsi="Helvetica Light;sans-serif"/>
          <w:b w:val="false"/>
          <w:color w:val="000000"/>
          <w:sz w:val="16"/>
        </w:rPr>
      </w:pPr>
      <w:r>
        <w:rPr>
          <w:rFonts w:ascii="Helvetica Light;sans-serif" w:hAnsi="Helvetica Light;sans-serif"/>
          <w:b w:val="false"/>
          <w:color w:val="000000"/>
          <w:sz w:val="16"/>
        </w:rPr>
        <w:t>(3) Related to stop-drive campaign on certain vehicles in Enlarged Europe announced in June 2025</w:t>
      </w:r>
    </w:p>
    <w:p>
      <w:pPr>
        <w:pStyle w:val="TextBody"/>
        <w:bidi w:val="0"/>
        <w:spacing w:lineRule="auto" w:line="288" w:before="0" w:after="0"/>
        <w:jc w:val="left"/>
        <w:rPr>
          <w:rFonts w:ascii="Helvetica Light;sans-serif" w:hAnsi="Helvetica Light;sans-serif"/>
          <w:b w:val="false"/>
          <w:color w:val="000000"/>
          <w:sz w:val="16"/>
        </w:rPr>
      </w:pPr>
      <w:r>
        <w:rPr>
          <w:rFonts w:ascii="Helvetica Light;sans-serif" w:hAnsi="Helvetica Light;sans-serif"/>
          <w:b w:val="false"/>
          <w:color w:val="000000"/>
          <w:sz w:val="16"/>
        </w:rPr>
        <w:t>(4) Due to reduced volumes, platforms used for Maserati and Alfa Romeo vehicles were impaired and recognized in Enlarged Europe for €578 million</w:t>
      </w:r>
    </w:p>
    <w:p>
      <w:pPr>
        <w:pStyle w:val="TextBody"/>
        <w:bidi w:val="0"/>
        <w:spacing w:lineRule="auto" w:line="288" w:before="0" w:after="0"/>
        <w:jc w:val="left"/>
        <w:rPr>
          <w:rFonts w:ascii="Helvetica Light;sans-serif" w:hAnsi="Helvetica Light;sans-serif"/>
          <w:b w:val="false"/>
          <w:color w:val="000000"/>
          <w:sz w:val="16"/>
        </w:rPr>
      </w:pPr>
      <w:r>
        <w:rPr>
          <w:rFonts w:ascii="Helvetica Light;sans-serif" w:hAnsi="Helvetica Light;sans-serif"/>
          <w:b w:val="false"/>
          <w:color w:val="000000"/>
          <w:sz w:val="16"/>
        </w:rPr>
        <w:t>(5) Primarily related to costs incurred as result of program cancellations</w:t>
      </w:r>
    </w:p>
    <w:p>
      <w:pPr>
        <w:pStyle w:val="TextBody"/>
        <w:bidi w:val="0"/>
        <w:spacing w:lineRule="auto" w:line="288" w:before="0" w:after="0"/>
        <w:jc w:val="left"/>
        <w:rPr>
          <w:rFonts w:ascii="Helvetica Light;sans-serif" w:hAnsi="Helvetica Light;sans-serif"/>
          <w:b w:val="false"/>
          <w:color w:val="000000"/>
          <w:sz w:val="16"/>
        </w:rPr>
      </w:pPr>
      <w:r>
        <w:rPr>
          <w:rFonts w:ascii="Helvetica Light;sans-serif" w:hAnsi="Helvetica Light;sans-serif"/>
          <w:b w:val="false"/>
          <w:color w:val="000000"/>
          <w:sz w:val="16"/>
        </w:rPr>
        <w:t>(6) During the six months ended June 30, 2025, Stellantis decided to discontinue its fuel cell strategy. As a result, the following items have been impaired: (i) investment in Symbio (€179 million), (ii) loans granted to Symbio (€162 million), (iii) capitalized development expenditures and property, plant and equipment related to fuel cells (€329 million) and (iv) in addition, provisions for risks were recognized (€63 million)</w:t>
      </w:r>
    </w:p>
    <w:p>
      <w:pPr>
        <w:pStyle w:val="TextBody"/>
        <w:bidi w:val="0"/>
        <w:spacing w:lineRule="auto" w:line="288" w:before="0" w:after="0"/>
        <w:jc w:val="left"/>
        <w:rPr>
          <w:rFonts w:ascii="Helvetica Light;sans-serif" w:hAnsi="Helvetica Light;sans-serif"/>
          <w:b w:val="false"/>
          <w:color w:val="000000"/>
          <w:sz w:val="16"/>
        </w:rPr>
      </w:pPr>
      <w:r>
        <w:rPr>
          <w:rFonts w:ascii="Helvetica Light;sans-serif" w:hAnsi="Helvetica Light;sans-serif"/>
          <w:b w:val="false"/>
          <w:color w:val="000000"/>
          <w:sz w:val="16"/>
        </w:rPr>
        <w:t>(7) As a result of the elimination of CAFE fines with the enactment of OBBB, the Company recognized a net expense of €97 million, comprised of net €172 million of CAFE credits recognized as a reduction of Cost of revenues, which remains included in Adjusted operating income as these amounts reduced prior year CAFE fines, and a net expense of €269 million, which is excluded from AOI and comprised of (i) elimination of the CAFE provision of €844 million, (ii) impairment of the regulatory credit assets of €609 million, and (iii) onerous contracts related to contractual purchase commitments for CAFE credits of €504 million</w:t>
      </w:r>
    </w:p>
    <w:p>
      <w:pPr>
        <w:pStyle w:val="TextBody"/>
        <w:bidi w:val="0"/>
        <w:spacing w:lineRule="auto" w:line="288" w:before="0" w:after="0"/>
        <w:jc w:val="left"/>
        <w:rPr>
          <w:rFonts w:ascii="Helvetica Light;sans-serif" w:hAnsi="Helvetica Light;sans-serif"/>
          <w:b w:val="false"/>
          <w:color w:val="000000"/>
          <w:sz w:val="16"/>
        </w:rPr>
      </w:pPr>
      <w:r>
        <w:rPr>
          <w:rFonts w:ascii="Helvetica Light;sans-serif" w:hAnsi="Helvetica Light;sans-serif"/>
          <w:b w:val="false"/>
          <w:color w:val="000000"/>
          <w:sz w:val="16"/>
        </w:rPr>
        <w:t>(8) Sale of Stellantis Türkiye to the Company’s joint venture, Tofas, for which the Company recognized an estimated loss on disposal of €246 million, driven primarily by the recycling of the cumulative translation reserve from Equity to the Consolidated Income Statement upon disposal</w:t>
      </w:r>
    </w:p>
    <w:p>
      <w:pPr>
        <w:pStyle w:val="TextBody"/>
        <w:bidi w:val="0"/>
        <w:spacing w:lineRule="auto" w:line="288" w:before="0" w:after="0"/>
        <w:jc w:val="left"/>
        <w:rPr>
          <w:rFonts w:ascii="Helvetica Light;sans-serif" w:hAnsi="Helvetica Light;sans-serif"/>
          <w:b w:val="false"/>
          <w:color w:val="000000"/>
          <w:sz w:val="16"/>
        </w:rPr>
      </w:pPr>
      <w:r>
        <w:rPr>
          <w:rFonts w:ascii="Helvetica Light;sans-serif" w:hAnsi="Helvetica Light;sans-serif"/>
          <w:b w:val="false"/>
          <w:color w:val="000000"/>
          <w:sz w:val="16"/>
        </w:rPr>
        <w:t>(9) Comprised primarily of (i) adjustments to costs previously recognized to support the workforce during the transformation of certain plants in North America, (ii) gains on sales of real estate in Enlarged Europe, and (iii) a gain from dilution related to the investment in Archer</w:t>
      </w:r>
    </w:p>
    <w:p>
      <w:pPr>
        <w:pStyle w:val="TextBody"/>
        <w:bidi w:val="0"/>
        <w:spacing w:before="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503555"/>
                <wp:effectExtent l="0" t="0" r="0" b="0"/>
                <wp:wrapNone/>
                <wp:docPr id="105" name="Frame90"/>
                <a:graphic xmlns:a="http://schemas.openxmlformats.org/drawingml/2006/main">
                  <a:graphicData uri="http://schemas.microsoft.com/office/word/2010/wordprocessingShape">
                    <wps:wsp>
                      <wps:cNvSpPr txBox="1"/>
                      <wps:spPr>
                        <a:xfrm>
                          <a:off x="0" y="0"/>
                          <a:ext cx="6480175" cy="5035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86</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86</w:t>
                      </w:r>
                    </w:p>
                    <w:p>
                      <w:pPr>
                        <w:pStyle w:val="TextBody"/>
                        <w:bidi w:val="0"/>
                        <w:spacing w:before="0" w:after="24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88" w:before="0" w:after="240"/>
        <w:jc w:val="left"/>
        <w:rPr>
          <w:rFonts w:ascii="Helvetica;sans-serif" w:hAnsi="Helvetica;sans-serif"/>
          <w:b/>
          <w:color w:val="143A84"/>
          <w:sz w:val="20"/>
        </w:rPr>
      </w:pPr>
      <w:r>
        <w:rPr>
          <w:rFonts w:ascii="Helvetica;sans-serif" w:hAnsi="Helvetica;sans-serif"/>
          <w:b/>
          <w:color w:val="143A84"/>
          <w:sz w:val="20"/>
        </w:rPr>
        <w:t>21. Subsequent events</w:t>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In July 2026, SFS U.S., through Stellantis Financial Underwritten Enhanced Trust 2026-B, issued six classes of ABS Term Notes totaling €0.9 billion ($1.0 billion) in aggregate principal amount. One class of notes bears interest at fixed and floating rates with the remainder bearing interest rate at fixed rate. The ABS Term Notes are secured by a pool of leases.</w:t>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 xml:space="preserve">In July 2026, SFS Funding, LLC, the Company’s primary syndicated secured warehouse facility, was upsized from U.S.$8 billion to U.S.$12 billion. In connection with the upsizing, the number of participating banks increased from 12 to 16. No material changes were made to the facility’s terms and conditions, and the scheduled termination date was extended to July 24, 2028. The facility continues to bear interest at variable commercial paper rates plus a spread or SOFR plus a spread.The facility was originally established in August 2022 and has subsequently been renewed and expanded. </w:t>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In July 2026, the Company announced that it had entered into an agreement to dispose of its entire interest in Free2move's car-sharing business. Completion of the transaction remains subject to customary closing conditions and regulatory approvals. The transaction is not expected to have a material effect on the Company's Consolidated Financial Statements.</w:t>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503555"/>
                <wp:effectExtent l="0" t="0" r="0" b="0"/>
                <wp:wrapNone/>
                <wp:docPr id="106" name="Frame91"/>
                <a:graphic xmlns:a="http://schemas.openxmlformats.org/drawingml/2006/main">
                  <a:graphicData uri="http://schemas.microsoft.com/office/word/2010/wordprocessingShape">
                    <wps:wsp>
                      <wps:cNvSpPr txBox="1"/>
                      <wps:spPr>
                        <a:xfrm>
                          <a:off x="0" y="0"/>
                          <a:ext cx="6480175" cy="5035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87</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87</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left"/>
        <w:rPr>
          <w:rFonts w:ascii="Helvetica Light;sans-serif" w:hAnsi="Helvetica Light;sans-serif"/>
          <w:b w:val="false"/>
          <w:color w:val="143A84"/>
          <w:sz w:val="36"/>
        </w:rPr>
      </w:pPr>
      <w:r>
        <w:rPr>
          <w:rFonts w:ascii="Helvetica Light;sans-serif" w:hAnsi="Helvetica Light;sans-serif"/>
          <w:b w:val="false"/>
          <w:color w:val="143A84"/>
          <w:sz w:val="36"/>
        </w:rPr>
        <w:t>Responsibility statement</w:t>
      </w:r>
    </w:p>
    <w:p>
      <w:pPr>
        <w:pStyle w:val="TextBody"/>
        <w:bidi w:val="0"/>
        <w:spacing w:lineRule="auto" w:line="343" w:before="0" w:after="240"/>
        <w:jc w:val="left"/>
        <w:rPr/>
      </w:pPr>
      <w:r>
        <w:rPr>
          <w:rFonts w:ascii="Helvetica Light;sans-serif" w:hAnsi="Helvetica Light;sans-serif"/>
          <w:b w:val="false"/>
          <w:color w:val="000000"/>
          <w:sz w:val="20"/>
        </w:rPr>
        <w:t xml:space="preserve">The Board of Directors is responsible for preparing the Interim Report, inclusive of the Interim Condensed Consolidated Financial Statements and the Management Discussion and Analysis, in accordance with the Dutch Financial Supervision Act and the applicable International Financial Reporting Standards (IFRS) for interim reporting, IAS 34 - </w:t>
      </w:r>
      <w:r>
        <w:rPr>
          <w:rFonts w:ascii="Helvetica Light;sans-serif" w:hAnsi="Helvetica Light;sans-serif"/>
          <w:b w:val="false"/>
          <w:i/>
          <w:color w:val="000000"/>
          <w:sz w:val="20"/>
        </w:rPr>
        <w:t>Interim Financial Reporting</w:t>
      </w:r>
      <w:r>
        <w:rPr>
          <w:rFonts w:ascii="Helvetica Light;sans-serif" w:hAnsi="Helvetica Light;sans-serif"/>
          <w:b w:val="false"/>
          <w:color w:val="000000"/>
          <w:sz w:val="20"/>
        </w:rPr>
        <w:t>.</w:t>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In accordance with Section 5:25d, paragraph 2 of the Dutch Financial Supervision Act, the Board of Directors states that, to the best of its knowledge, the Interim Condensed Consolidated Financial Statements prepared in accordance with applicable accounting standards provide a true and fair view of the assets, liabilities, financial position and profit or loss of Stellantis and its subsidiaries, and the undertakings included in the consolidation as a whole, and the Management Discussion and Analysis provides a fair review of the information required pursuant to Section 5:25d, paragraphs 8 and 9 of the Dutch Financial Supervision Act.</w:t>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July 30, 2026</w:t>
      </w:r>
    </w:p>
    <w:p>
      <w:pPr>
        <w:pStyle w:val="TextBody"/>
        <w:bidi w:val="0"/>
        <w:spacing w:lineRule="auto" w:line="343" w:before="0" w:after="240"/>
        <w:jc w:val="left"/>
        <w:rPr>
          <w:rFonts w:ascii="Helvetica Light;sans-serif" w:hAnsi="Helvetica Light;sans-serif"/>
          <w:b w:val="false"/>
          <w:color w:val="000000"/>
          <w:sz w:val="20"/>
        </w:rPr>
      </w:pPr>
      <w:r>
        <w:rPr>
          <w:rFonts w:ascii="Helvetica Light;sans-serif" w:hAnsi="Helvetica Light;sans-serif"/>
          <w:b w:val="false"/>
          <w:color w:val="000000"/>
          <w:sz w:val="20"/>
        </w:rPr>
        <w:t>The Board of Directors</w:t>
      </w:r>
    </w:p>
    <w:p>
      <w:pPr>
        <w:pStyle w:val="TextBody"/>
        <w:bidi w:val="0"/>
        <w:spacing w:lineRule="auto" w:line="343" w:before="0" w:after="120"/>
        <w:jc w:val="left"/>
        <w:rPr>
          <w:rFonts w:ascii="Helvetica Light;sans-serif" w:hAnsi="Helvetica Light;sans-serif"/>
          <w:b w:val="false"/>
          <w:color w:val="000000"/>
          <w:sz w:val="20"/>
        </w:rPr>
      </w:pPr>
      <w:r>
        <w:rPr>
          <w:rFonts w:ascii="Helvetica Light;sans-serif" w:hAnsi="Helvetica Light;sans-serif"/>
          <w:b w:val="false"/>
          <w:color w:val="000000"/>
          <w:sz w:val="20"/>
        </w:rPr>
        <w:t>John Elkann</w:t>
      </w:r>
    </w:p>
    <w:p>
      <w:pPr>
        <w:pStyle w:val="TextBody"/>
        <w:bidi w:val="0"/>
        <w:spacing w:lineRule="auto" w:line="343" w:before="0" w:after="120"/>
        <w:jc w:val="left"/>
        <w:rPr>
          <w:rFonts w:ascii="Helvetica Light;sans-serif" w:hAnsi="Helvetica Light;sans-serif"/>
          <w:b w:val="false"/>
          <w:color w:val="000000"/>
          <w:sz w:val="20"/>
        </w:rPr>
      </w:pPr>
      <w:r>
        <w:rPr>
          <w:rFonts w:ascii="Helvetica Light;sans-serif" w:hAnsi="Helvetica Light;sans-serif"/>
          <w:b w:val="false"/>
          <w:color w:val="000000"/>
          <w:sz w:val="20"/>
        </w:rPr>
        <w:t>Antonio Filosa</w:t>
      </w:r>
    </w:p>
    <w:p>
      <w:pPr>
        <w:pStyle w:val="TextBody"/>
        <w:bidi w:val="0"/>
        <w:spacing w:lineRule="auto" w:line="343" w:before="0" w:after="120"/>
        <w:jc w:val="left"/>
        <w:rPr>
          <w:rFonts w:ascii="Helvetica Light;sans-serif" w:hAnsi="Helvetica Light;sans-serif"/>
          <w:b w:val="false"/>
          <w:color w:val="000000"/>
          <w:sz w:val="20"/>
        </w:rPr>
      </w:pPr>
      <w:r>
        <w:rPr>
          <w:rFonts w:ascii="Helvetica Light;sans-serif" w:hAnsi="Helvetica Light;sans-serif"/>
          <w:b w:val="false"/>
          <w:color w:val="000000"/>
          <w:sz w:val="20"/>
        </w:rPr>
        <w:t>Robert Peugeot</w:t>
      </w:r>
    </w:p>
    <w:p>
      <w:pPr>
        <w:pStyle w:val="TextBody"/>
        <w:bidi w:val="0"/>
        <w:spacing w:lineRule="auto" w:line="343" w:before="0" w:after="120"/>
        <w:jc w:val="left"/>
        <w:rPr>
          <w:rFonts w:ascii="Helvetica Light;sans-serif" w:hAnsi="Helvetica Light;sans-serif"/>
          <w:b w:val="false"/>
          <w:color w:val="000000"/>
          <w:sz w:val="20"/>
        </w:rPr>
      </w:pPr>
      <w:r>
        <w:rPr>
          <w:rFonts w:ascii="Helvetica Light;sans-serif" w:hAnsi="Helvetica Light;sans-serif"/>
          <w:b w:val="false"/>
          <w:color w:val="000000"/>
          <w:sz w:val="20"/>
        </w:rPr>
        <w:t>Henri de Castries</w:t>
      </w:r>
    </w:p>
    <w:p>
      <w:pPr>
        <w:pStyle w:val="TextBody"/>
        <w:bidi w:val="0"/>
        <w:spacing w:lineRule="auto" w:line="343" w:before="0" w:after="120"/>
        <w:jc w:val="left"/>
        <w:rPr>
          <w:rFonts w:ascii="Helvetica Light;sans-serif" w:hAnsi="Helvetica Light;sans-serif"/>
          <w:b w:val="false"/>
          <w:color w:val="000000"/>
          <w:sz w:val="20"/>
        </w:rPr>
      </w:pPr>
      <w:r>
        <w:rPr>
          <w:rFonts w:ascii="Helvetica Light;sans-serif" w:hAnsi="Helvetica Light;sans-serif"/>
          <w:b w:val="false"/>
          <w:color w:val="000000"/>
          <w:sz w:val="20"/>
        </w:rPr>
        <w:t>Fiona Clare Cicconi</w:t>
      </w:r>
    </w:p>
    <w:p>
      <w:pPr>
        <w:pStyle w:val="TextBody"/>
        <w:bidi w:val="0"/>
        <w:spacing w:lineRule="auto" w:line="343" w:before="0" w:after="120"/>
        <w:jc w:val="left"/>
        <w:rPr>
          <w:rFonts w:ascii="Helvetica Light;sans-serif" w:hAnsi="Helvetica Light;sans-serif"/>
          <w:b w:val="false"/>
          <w:color w:val="000000"/>
          <w:sz w:val="20"/>
        </w:rPr>
      </w:pPr>
      <w:r>
        <w:rPr>
          <w:rFonts w:ascii="Helvetica Light;sans-serif" w:hAnsi="Helvetica Light;sans-serif"/>
          <w:b w:val="false"/>
          <w:color w:val="000000"/>
          <w:sz w:val="20"/>
        </w:rPr>
        <w:t>Nicolas Dufourcq</w:t>
      </w:r>
    </w:p>
    <w:p>
      <w:pPr>
        <w:pStyle w:val="TextBody"/>
        <w:bidi w:val="0"/>
        <w:spacing w:lineRule="auto" w:line="343" w:before="0" w:after="120"/>
        <w:jc w:val="left"/>
        <w:rPr>
          <w:rFonts w:ascii="Helvetica Light;sans-serif" w:hAnsi="Helvetica Light;sans-serif"/>
          <w:b w:val="false"/>
          <w:color w:val="000000"/>
          <w:sz w:val="20"/>
        </w:rPr>
      </w:pPr>
      <w:r>
        <w:rPr>
          <w:rFonts w:ascii="Helvetica Light;sans-serif" w:hAnsi="Helvetica Light;sans-serif"/>
          <w:b w:val="false"/>
          <w:color w:val="000000"/>
          <w:sz w:val="20"/>
        </w:rPr>
        <w:t>Juergen Esser</w:t>
      </w:r>
    </w:p>
    <w:p>
      <w:pPr>
        <w:pStyle w:val="TextBody"/>
        <w:bidi w:val="0"/>
        <w:spacing w:lineRule="auto" w:line="343" w:before="0" w:after="120"/>
        <w:jc w:val="left"/>
        <w:rPr>
          <w:rFonts w:ascii="Helvetica Light;sans-serif" w:hAnsi="Helvetica Light;sans-serif"/>
          <w:b w:val="false"/>
          <w:color w:val="000000"/>
          <w:sz w:val="20"/>
        </w:rPr>
      </w:pPr>
      <w:r>
        <w:rPr>
          <w:rFonts w:ascii="Helvetica Light;sans-serif" w:hAnsi="Helvetica Light;sans-serif"/>
          <w:b w:val="false"/>
          <w:color w:val="000000"/>
          <w:sz w:val="20"/>
        </w:rPr>
        <w:t>Ann Godbehere</w:t>
      </w:r>
    </w:p>
    <w:p>
      <w:pPr>
        <w:pStyle w:val="TextBody"/>
        <w:bidi w:val="0"/>
        <w:spacing w:lineRule="auto" w:line="343" w:before="0" w:after="120"/>
        <w:jc w:val="left"/>
        <w:rPr>
          <w:rFonts w:ascii="Helvetica Light;sans-serif" w:hAnsi="Helvetica Light;sans-serif"/>
          <w:b w:val="false"/>
          <w:color w:val="000000"/>
          <w:sz w:val="20"/>
        </w:rPr>
      </w:pPr>
      <w:r>
        <w:rPr>
          <w:rFonts w:ascii="Helvetica Light;sans-serif" w:hAnsi="Helvetica Light;sans-serif"/>
          <w:b w:val="false"/>
          <w:color w:val="000000"/>
          <w:sz w:val="20"/>
        </w:rPr>
        <w:t>Claudia Parzani</w:t>
      </w:r>
    </w:p>
    <w:p>
      <w:pPr>
        <w:pStyle w:val="TextBody"/>
        <w:bidi w:val="0"/>
        <w:spacing w:lineRule="auto" w:line="343" w:before="0" w:after="120"/>
        <w:jc w:val="left"/>
        <w:rPr>
          <w:rFonts w:ascii="Helvetica Light;sans-serif" w:hAnsi="Helvetica Light;sans-serif"/>
          <w:b w:val="false"/>
          <w:color w:val="000000"/>
          <w:sz w:val="20"/>
        </w:rPr>
      </w:pPr>
      <w:r>
        <w:rPr>
          <w:rFonts w:ascii="Helvetica Light;sans-serif" w:hAnsi="Helvetica Light;sans-serif"/>
          <w:b w:val="false"/>
          <w:color w:val="000000"/>
          <w:sz w:val="20"/>
        </w:rPr>
        <w:t>Daniel Ramot</w:t>
      </w:r>
    </w:p>
    <w:p>
      <w:pPr>
        <w:pStyle w:val="TextBody"/>
        <w:bidi w:val="0"/>
        <w:spacing w:lineRule="auto" w:line="343" w:before="0" w:after="120"/>
        <w:jc w:val="left"/>
        <w:rPr>
          <w:rFonts w:ascii="Helvetica Light;sans-serif" w:hAnsi="Helvetica Light;sans-serif"/>
          <w:b w:val="false"/>
          <w:color w:val="000000"/>
          <w:sz w:val="20"/>
        </w:rPr>
      </w:pPr>
      <w:r>
        <w:rPr>
          <w:rFonts w:ascii="Helvetica Light;sans-serif" w:hAnsi="Helvetica Light;sans-serif"/>
          <w:b w:val="false"/>
          <w:color w:val="000000"/>
          <w:sz w:val="20"/>
        </w:rPr>
        <w:t>Benoît Ribadeau-Dumas</w:t>
      </w:r>
    </w:p>
    <w:p>
      <w:pPr>
        <w:pStyle w:val="TextBody"/>
        <w:bidi w:val="0"/>
        <w:spacing w:lineRule="auto" w:line="343" w:before="0" w:after="120"/>
        <w:jc w:val="left"/>
        <w:rPr>
          <w:rFonts w:ascii="Helvetica Light;sans-serif" w:hAnsi="Helvetica Light;sans-serif"/>
          <w:b w:val="false"/>
          <w:color w:val="000000"/>
          <w:sz w:val="20"/>
        </w:rPr>
      </w:pPr>
      <w:r>
        <w:rPr>
          <w:rFonts w:ascii="Helvetica Light;sans-serif" w:hAnsi="Helvetica Light;sans-serif"/>
          <w:b w:val="false"/>
          <w:color w:val="000000"/>
          <w:sz w:val="20"/>
        </w:rPr>
        <w:t>Alice Davey Schroeder</w:t>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503555"/>
                <wp:effectExtent l="0" t="0" r="0" b="0"/>
                <wp:wrapNone/>
                <wp:docPr id="107" name="Frame92"/>
                <a:graphic xmlns:a="http://schemas.openxmlformats.org/drawingml/2006/main">
                  <a:graphicData uri="http://schemas.microsoft.com/office/word/2010/wordprocessingShape">
                    <wps:wsp>
                      <wps:cNvSpPr txBox="1"/>
                      <wps:spPr>
                        <a:xfrm>
                          <a:off x="0" y="0"/>
                          <a:ext cx="6480175" cy="5035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88</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88</w:t>
                      </w:r>
                    </w:p>
                    <w:p>
                      <w:pPr>
                        <w:pStyle w:val="TextBody"/>
                        <w:bidi w:val="0"/>
                        <w:spacing w:before="0" w:after="24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Helvetica">
    <w:altName w:val="Arial"/>
    <w:charset w:val="01"/>
    <w:family w:val="auto"/>
    <w:pitch w:val="default"/>
  </w:font>
  <w:font w:name="Helvetica Light">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fontTable" Target="fontTable.xml"/><Relationship Id="rId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92</Pages>
  <Words>30650</Words>
  <Characters>170689</Characters>
  <CharactersWithSpaces>198683</CharactersWithSpaces>
  <Paragraphs>5523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