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93902dfwp.htm"/>
      <w:bookmarkStart w:id="1" w:name="ksd93902dfwp"/>
      <w:bookmarkStart w:id="2" w:name="d93902dfwp.htm"/>
      <w:bookmarkStart w:id="3" w:name="ksd93902dfwp"/>
      <w:bookmarkEnd w:id="2"/>
      <w:bookmarkEnd w:id="3"/>
    </w:p>
    <w:tbl>
      <w:tblPr>
        <w:tblW w:w="5000" w:type="pct"/>
        <w:jc w:val="center"/>
        <w:tblInd w:w="0" w:type="dxa"/>
        <w:tblLayout w:type="fixed"/>
        <w:tblCellMar>
          <w:top w:w="0" w:type="dxa"/>
          <w:left w:w="0" w:type="dxa"/>
          <w:bottom w:w="0" w:type="dxa"/>
          <w:right w:w="0" w:type="dxa"/>
        </w:tblCellMar>
      </w:tblPr>
      <w:tblGrid>
        <w:gridCol w:w="5180"/>
        <w:gridCol w:w="123"/>
        <w:gridCol w:w="4902"/>
      </w:tblGrid>
      <w:tr>
        <w:trPr/>
        <w:tc>
          <w:tcPr>
            <w:tcW w:w="518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02" w:type="dxa"/>
            <w:tcBorders/>
            <w:vAlign w:val="center"/>
          </w:tcPr>
          <w:p>
            <w:pPr>
              <w:pStyle w:val="TableContents"/>
              <w:bidi w:val="0"/>
              <w:spacing w:before="0" w:after="283"/>
              <w:jc w:val="left"/>
              <w:rPr>
                <w:sz w:val="4"/>
                <w:szCs w:val="4"/>
              </w:rPr>
            </w:pPr>
            <w:r>
              <w:rPr>
                <w:sz w:val="4"/>
                <w:szCs w:val="4"/>
              </w:rPr>
            </w:r>
          </w:p>
        </w:tc>
      </w:tr>
      <w:tr>
        <w:trPr/>
        <w:tc>
          <w:tcPr>
            <w:tcW w:w="5180" w:type="dxa"/>
            <w:tcBorders/>
          </w:tcPr>
          <w:p>
            <w:pPr>
              <w:pStyle w:val="TableContents"/>
              <w:bidi w:val="0"/>
              <w:spacing w:before="0" w:after="283"/>
              <w:jc w:val="left"/>
              <w:rPr>
                <w:b/>
              </w:rPr>
            </w:pPr>
            <w:r>
              <w:rPr>
                <w:b/>
              </w:rPr>
              <w:t xml:space="preserve">Free Writing Prospectus dated September 10, 2026 </w:t>
              <w:br/>
              <w:t>(to the prospectus dated August 3, 2026 and</w:t>
              <w:br/>
              <w:t xml:space="preserve">Preliminary Prospectus Supplement dated </w:t>
              <w:br/>
              <w:t>September 10, 2026)</w:t>
            </w:r>
          </w:p>
        </w:tc>
        <w:tc>
          <w:tcPr>
            <w:tcW w:w="123" w:type="dxa"/>
            <w:tcBorders/>
            <w:vAlign w:val="bottom"/>
          </w:tcPr>
          <w:p>
            <w:pPr>
              <w:pStyle w:val="TableContents"/>
              <w:bidi w:val="0"/>
              <w:spacing w:before="0" w:after="283"/>
              <w:jc w:val="left"/>
              <w:rPr/>
            </w:pPr>
            <w:r>
              <w:rPr/>
              <w:t>  </w:t>
            </w:r>
          </w:p>
        </w:tc>
        <w:tc>
          <w:tcPr>
            <w:tcW w:w="4902" w:type="dxa"/>
            <w:tcBorders/>
          </w:tcPr>
          <w:p>
            <w:pPr>
              <w:pStyle w:val="TableContents"/>
              <w:bidi w:val="0"/>
              <w:spacing w:before="0" w:after="283"/>
              <w:jc w:val="right"/>
              <w:rPr>
                <w:b/>
              </w:rPr>
            </w:pPr>
            <w:r>
              <w:rPr>
                <w:b/>
              </w:rPr>
              <w:t>Filed Pursuant to Rule 433</w:t>
              <w:br/>
              <w:t>Registration Statement Nos.</w:t>
              <w:br/>
              <w:t>333-297933 and 333-297933-01</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FINAL TERM SHEET </w:t>
      </w:r>
    </w:p>
    <w:p>
      <w:pPr>
        <w:pStyle w:val="TextBody"/>
        <w:bidi w:val="0"/>
        <w:spacing w:before="120" w:after="0"/>
        <w:jc w:val="center"/>
        <w:rPr>
          <w:rFonts w:ascii="Times New Roman" w:hAnsi="Times New Roman"/>
          <w:b/>
          <w:sz w:val="20"/>
        </w:rPr>
      </w:pPr>
      <w:r>
        <w:rPr>
          <w:rFonts w:ascii="Times New Roman" w:hAnsi="Times New Roman"/>
          <w:b/>
          <w:sz w:val="20"/>
        </w:rPr>
        <w:t xml:space="preserve">STELLANTIS FINANCE US INC. </w:t>
      </w:r>
    </w:p>
    <w:p>
      <w:pPr>
        <w:pStyle w:val="TextBody"/>
        <w:bidi w:val="0"/>
        <w:spacing w:before="120" w:after="0"/>
        <w:jc w:val="center"/>
        <w:rPr>
          <w:rFonts w:ascii="Times New Roman" w:hAnsi="Times New Roman"/>
          <w:b/>
          <w:sz w:val="20"/>
        </w:rPr>
      </w:pPr>
      <w:r>
        <w:rPr>
          <w:rFonts w:ascii="Times New Roman" w:hAnsi="Times New Roman"/>
          <w:b/>
          <w:sz w:val="20"/>
        </w:rPr>
        <w:t xml:space="preserve">$1,250,000,000 6.750% Fixed Rate Notes due 2031 </w:t>
      </w:r>
    </w:p>
    <w:p>
      <w:pPr>
        <w:pStyle w:val="TextBody"/>
        <w:bidi w:val="0"/>
        <w:spacing w:before="0" w:after="0"/>
        <w:jc w:val="center"/>
        <w:rPr>
          <w:rFonts w:ascii="Times New Roman" w:hAnsi="Times New Roman"/>
          <w:b/>
          <w:sz w:val="20"/>
        </w:rPr>
      </w:pPr>
      <w:r>
        <w:rPr>
          <w:rFonts w:ascii="Times New Roman" w:hAnsi="Times New Roman"/>
          <w:b/>
          <w:sz w:val="20"/>
        </w:rPr>
        <w:t xml:space="preserve">$1,250,000,000 7.400% Fixed Rate Notes due 2036 </w:t>
      </w:r>
    </w:p>
    <w:p>
      <w:pPr>
        <w:pStyle w:val="TextBody"/>
        <w:bidi w:val="0"/>
        <w:spacing w:before="120" w:after="0"/>
        <w:jc w:val="center"/>
        <w:rPr>
          <w:rFonts w:ascii="Times New Roman" w:hAnsi="Times New Roman"/>
          <w:i/>
          <w:sz w:val="20"/>
        </w:rPr>
      </w:pPr>
      <w:r>
        <w:rPr>
          <w:rFonts w:ascii="Times New Roman" w:hAnsi="Times New Roman"/>
          <w:i/>
          <w:sz w:val="20"/>
        </w:rPr>
        <w:t xml:space="preserve">Fully and unconditionally guaranteed by </w:t>
      </w:r>
    </w:p>
    <w:p>
      <w:pPr>
        <w:pStyle w:val="TextBody"/>
        <w:bidi w:val="0"/>
        <w:spacing w:before="0" w:after="0"/>
        <w:jc w:val="center"/>
        <w:rPr>
          <w:rFonts w:ascii="Times New Roman" w:hAnsi="Times New Roman"/>
          <w:b/>
          <w:sz w:val="20"/>
        </w:rPr>
      </w:pPr>
      <w:r>
        <w:rPr>
          <w:rFonts w:ascii="Times New Roman" w:hAnsi="Times New Roman"/>
          <w:b/>
          <w:sz w:val="20"/>
        </w:rPr>
        <w:t xml:space="preserve">STELLANTIS N.V.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1"/>
        <w:gridCol w:w="120"/>
        <w:gridCol w:w="7124"/>
      </w:tblGrid>
      <w:tr>
        <w:trPr/>
        <w:tc>
          <w:tcPr>
            <w:tcW w:w="29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24" w:type="dxa"/>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Stellantis Finance US Inc. (the “</w:t>
            </w:r>
            <w:r>
              <w:rPr>
                <w:u w:val="single"/>
              </w:rPr>
              <w:t>Company</w:t>
            </w:r>
            <w:r>
              <w:rPr/>
              <w:t>”)</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Guarantor:</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Stellantis N.V. (the “</w:t>
            </w:r>
            <w:r>
              <w:rPr>
                <w:u w:val="single"/>
              </w:rPr>
              <w:t>Guarantor</w:t>
            </w:r>
            <w:r>
              <w:rPr/>
              <w:t>”)</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Title of Securities:</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0"/>
              <w:jc w:val="left"/>
              <w:rPr>
                <w:rFonts w:ascii="Times New Roman" w:hAnsi="Times New Roman"/>
                <w:sz w:val="20"/>
              </w:rPr>
            </w:pPr>
            <w:r>
              <w:rPr>
                <w:rFonts w:ascii="Times New Roman" w:hAnsi="Times New Roman"/>
                <w:sz w:val="20"/>
              </w:rPr>
              <w:t>6.750% Fixed Rate Notes due 2031 (the “</w:t>
            </w:r>
            <w:r>
              <w:rPr>
                <w:rFonts w:ascii="Times New Roman" w:hAnsi="Times New Roman"/>
                <w:sz w:val="20"/>
                <w:u w:val="single"/>
              </w:rPr>
              <w:t>2031 Notes</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7.400% Fixed Rate Notes due 2036 (the “</w:t>
            </w:r>
            <w:r>
              <w:rPr>
                <w:rFonts w:ascii="Times New Roman" w:hAnsi="Times New Roman"/>
                <w:sz w:val="20"/>
                <w:u w:val="single"/>
              </w:rPr>
              <w:t>2036 Notes</w:t>
            </w:r>
            <w:r>
              <w:rPr>
                <w:rFonts w:ascii="Times New Roman" w:hAnsi="Times New Roman"/>
                <w:sz w:val="20"/>
              </w:rPr>
              <w:t>” and, together with the 2031 Notes, the “</w:t>
            </w:r>
            <w:r>
              <w:rPr>
                <w:rFonts w:ascii="Times New Roman" w:hAnsi="Times New Roman"/>
                <w:sz w:val="20"/>
                <w:u w:val="single"/>
              </w:rPr>
              <w:t>Notes</w:t>
            </w:r>
            <w:r>
              <w:rPr>
                <w:rFonts w:ascii="Times New Roman" w:hAnsi="Times New Roman"/>
                <w:sz w:val="20"/>
              </w:rPr>
              <w:t>”)</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Expected Ratings*:</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Baa3 / BBB- (Moody’s / S&amp;P)</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Aggregate Principal Amount:</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Notes:   $1,250,000,000</w:t>
            </w:r>
          </w:p>
          <w:p>
            <w:pPr>
              <w:pStyle w:val="TableContents"/>
              <w:bidi w:val="0"/>
              <w:spacing w:before="0" w:after="20"/>
              <w:jc w:val="left"/>
              <w:rPr>
                <w:rFonts w:ascii="Times New Roman" w:hAnsi="Times New Roman"/>
                <w:sz w:val="20"/>
              </w:rPr>
            </w:pPr>
            <w:r>
              <w:rPr>
                <w:rFonts w:ascii="Times New Roman" w:hAnsi="Times New Roman"/>
                <w:sz w:val="20"/>
              </w:rPr>
              <w:t>2036 Notes:   $1,250,000,000</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Trade Date:</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September 10, 2026</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Settlement Date**:</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September 16, 2026 (T+4)</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Notes:   September 16, 2031</w:t>
            </w:r>
          </w:p>
          <w:p>
            <w:pPr>
              <w:pStyle w:val="TableContents"/>
              <w:bidi w:val="0"/>
              <w:spacing w:before="0" w:after="20"/>
              <w:jc w:val="left"/>
              <w:rPr>
                <w:rFonts w:ascii="Times New Roman" w:hAnsi="Times New Roman"/>
                <w:sz w:val="20"/>
              </w:rPr>
            </w:pPr>
            <w:r>
              <w:rPr>
                <w:rFonts w:ascii="Times New Roman" w:hAnsi="Times New Roman"/>
                <w:sz w:val="20"/>
              </w:rPr>
              <w:t>2036 Notes:   September 16, 2036</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Public Offering Price:</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0"/>
              <w:jc w:val="left"/>
              <w:rPr>
                <w:rFonts w:ascii="Times New Roman" w:hAnsi="Times New Roman"/>
                <w:sz w:val="20"/>
              </w:rPr>
            </w:pPr>
            <w:r>
              <w:rPr>
                <w:rFonts w:ascii="Times New Roman" w:hAnsi="Times New Roman"/>
                <w:sz w:val="20"/>
              </w:rPr>
              <w:t>Per 2031 Note:   99.950%; Total $1,249,375,000</w:t>
            </w:r>
          </w:p>
          <w:p>
            <w:pPr>
              <w:pStyle w:val="TableContents"/>
              <w:bidi w:val="0"/>
              <w:spacing w:before="0" w:after="20"/>
              <w:jc w:val="left"/>
              <w:rPr>
                <w:rFonts w:ascii="Times New Roman" w:hAnsi="Times New Roman"/>
                <w:sz w:val="20"/>
              </w:rPr>
            </w:pPr>
            <w:r>
              <w:rPr>
                <w:rFonts w:ascii="Times New Roman" w:hAnsi="Times New Roman"/>
                <w:sz w:val="20"/>
              </w:rPr>
              <w:t>Per 2036 Note:   99.909%; Total $1,248,862,500</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Net Proceeds, After Underwriting Discount, but Before Expenses to the Company:</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0"/>
              <w:jc w:val="left"/>
              <w:rPr>
                <w:rFonts w:ascii="Times New Roman" w:hAnsi="Times New Roman"/>
                <w:sz w:val="20"/>
              </w:rPr>
            </w:pPr>
            <w:r>
              <w:rPr>
                <w:rFonts w:ascii="Times New Roman" w:hAnsi="Times New Roman"/>
                <w:sz w:val="20"/>
              </w:rPr>
              <w:t>Per 2031 Note:   99.600%; Total $1,245,000,000</w:t>
            </w:r>
          </w:p>
          <w:p>
            <w:pPr>
              <w:pStyle w:val="TableContents"/>
              <w:bidi w:val="0"/>
              <w:spacing w:before="0" w:after="20"/>
              <w:jc w:val="left"/>
              <w:rPr>
                <w:rFonts w:ascii="Times New Roman" w:hAnsi="Times New Roman"/>
                <w:sz w:val="20"/>
              </w:rPr>
            </w:pPr>
            <w:r>
              <w:rPr>
                <w:rFonts w:ascii="Times New Roman" w:hAnsi="Times New Roman"/>
                <w:sz w:val="20"/>
              </w:rPr>
              <w:t>Per 2036 Note:   99.459%; Total $1,243,237,500</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Underwriting Discount:</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0"/>
              <w:jc w:val="left"/>
              <w:rPr>
                <w:rFonts w:ascii="Times New Roman" w:hAnsi="Times New Roman"/>
                <w:sz w:val="20"/>
              </w:rPr>
            </w:pPr>
            <w:r>
              <w:rPr>
                <w:rFonts w:ascii="Times New Roman" w:hAnsi="Times New Roman"/>
                <w:sz w:val="20"/>
              </w:rPr>
              <w:t>Per 2031 Note:   0.350%; Total $4,375,000</w:t>
            </w:r>
          </w:p>
          <w:p>
            <w:pPr>
              <w:pStyle w:val="TableContents"/>
              <w:bidi w:val="0"/>
              <w:spacing w:before="0" w:after="20"/>
              <w:jc w:val="left"/>
              <w:rPr>
                <w:rFonts w:ascii="Times New Roman" w:hAnsi="Times New Roman"/>
                <w:sz w:val="20"/>
              </w:rPr>
            </w:pPr>
            <w:r>
              <w:rPr>
                <w:rFonts w:ascii="Times New Roman" w:hAnsi="Times New Roman"/>
                <w:sz w:val="20"/>
              </w:rPr>
              <w:t>Per 2036 Note:   0.450%; Total $5,625,000</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Interest Rate:</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0"/>
              <w:jc w:val="left"/>
              <w:rPr>
                <w:rFonts w:ascii="Times New Roman" w:hAnsi="Times New Roman"/>
                <w:sz w:val="20"/>
              </w:rPr>
            </w:pPr>
            <w:r>
              <w:rPr>
                <w:rFonts w:ascii="Times New Roman" w:hAnsi="Times New Roman"/>
                <w:sz w:val="20"/>
              </w:rPr>
              <w:t>2031 Notes:   6.750% per annum</w:t>
            </w:r>
          </w:p>
          <w:p>
            <w:pPr>
              <w:pStyle w:val="TableContents"/>
              <w:bidi w:val="0"/>
              <w:spacing w:before="0" w:after="20"/>
              <w:jc w:val="left"/>
              <w:rPr>
                <w:rFonts w:ascii="Times New Roman" w:hAnsi="Times New Roman"/>
                <w:sz w:val="20"/>
              </w:rPr>
            </w:pPr>
            <w:r>
              <w:rPr>
                <w:rFonts w:ascii="Times New Roman" w:hAnsi="Times New Roman"/>
                <w:sz w:val="20"/>
              </w:rPr>
              <w:t>2036 Notes:   7.400% per annum</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Day Count Convention:</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30/360</w:t>
            </w:r>
          </w:p>
        </w:tc>
      </w:tr>
      <w:tr>
        <w:trPr>
          <w:trHeight w:val="120" w:hRule="atLeast"/>
        </w:trPr>
        <w:tc>
          <w:tcPr>
            <w:tcW w:w="2961" w:type="dxa"/>
            <w:tcBorders/>
            <w:vAlign w:val="center"/>
          </w:tcPr>
          <w:p>
            <w:pPr>
              <w:pStyle w:val="TableContents"/>
              <w:bidi w:val="0"/>
              <w:spacing w:before="0" w:after="283"/>
              <w:jc w:val="left"/>
              <w:rPr>
                <w:sz w:val="4"/>
                <w:szCs w:val="4"/>
              </w:rPr>
            </w:pPr>
            <w:r>
              <w:rPr>
                <w:sz w:val="4"/>
                <w:szCs w:val="4"/>
              </w:rPr>
            </w:r>
          </w:p>
        </w:tc>
        <w:tc>
          <w:tcPr>
            <w:tcW w:w="7244" w:type="dxa"/>
            <w:gridSpan w:val="2"/>
            <w:tcBorders/>
            <w:vAlign w:val="center"/>
          </w:tcPr>
          <w:p>
            <w:pPr>
              <w:pStyle w:val="TableContents"/>
              <w:bidi w:val="0"/>
              <w:spacing w:before="0" w:after="283"/>
              <w:jc w:val="left"/>
              <w:rPr>
                <w:sz w:val="4"/>
                <w:szCs w:val="4"/>
              </w:rPr>
            </w:pPr>
            <w:r>
              <w:rPr>
                <w:sz w:val="4"/>
                <w:szCs w:val="4"/>
              </w:rPr>
            </w:r>
          </w:p>
        </w:tc>
      </w:tr>
      <w:tr>
        <w:trPr/>
        <w:tc>
          <w:tcPr>
            <w:tcW w:w="2961" w:type="dxa"/>
            <w:tcBorders/>
          </w:tcPr>
          <w:p>
            <w:pPr>
              <w:pStyle w:val="TableContents"/>
              <w:bidi w:val="0"/>
              <w:spacing w:before="0" w:after="283"/>
              <w:jc w:val="left"/>
              <w:rPr>
                <w:b/>
              </w:rPr>
            </w:pPr>
            <w:r>
              <w:rPr>
                <w:b/>
              </w:rPr>
              <w:t>Business Day Convention:</w:t>
            </w:r>
          </w:p>
        </w:tc>
        <w:tc>
          <w:tcPr>
            <w:tcW w:w="120" w:type="dxa"/>
            <w:tcBorders/>
            <w:vAlign w:val="bottom"/>
          </w:tcPr>
          <w:p>
            <w:pPr>
              <w:pStyle w:val="TableContents"/>
              <w:bidi w:val="0"/>
              <w:spacing w:before="0" w:after="283"/>
              <w:jc w:val="left"/>
              <w:rPr/>
            </w:pPr>
            <w:r>
              <w:rPr/>
              <w:t>  </w:t>
            </w:r>
          </w:p>
        </w:tc>
        <w:tc>
          <w:tcPr>
            <w:tcW w:w="7124" w:type="dxa"/>
            <w:tcBorders/>
          </w:tcPr>
          <w:p>
            <w:pPr>
              <w:pStyle w:val="TableContents"/>
              <w:bidi w:val="0"/>
              <w:spacing w:before="0" w:after="283"/>
              <w:jc w:val="left"/>
              <w:rPr/>
            </w:pPr>
            <w:r>
              <w:rPr/>
              <w:t>Following unadjusted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53"/>
        <w:gridCol w:w="120"/>
        <w:gridCol w:w="7132"/>
      </w:tblGrid>
      <w:tr>
        <w:trPr/>
        <w:tc>
          <w:tcPr>
            <w:tcW w:w="29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32" w:type="dxa"/>
            <w:tcBorders/>
            <w:vAlign w:val="center"/>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b/>
              </w:rPr>
            </w:pPr>
            <w:r>
              <w:rPr>
                <w:b/>
              </w:rPr>
              <w:t>Date Interest Starts Accruing:</w:t>
            </w:r>
          </w:p>
        </w:tc>
        <w:tc>
          <w:tcPr>
            <w:tcW w:w="120"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283"/>
              <w:jc w:val="left"/>
              <w:rPr/>
            </w:pPr>
            <w:r>
              <w:rPr/>
              <w:t>September 16, 2026</w:t>
            </w:r>
          </w:p>
        </w:tc>
      </w:tr>
      <w:tr>
        <w:trPr>
          <w:trHeight w:val="120" w:hRule="atLeast"/>
        </w:trPr>
        <w:tc>
          <w:tcPr>
            <w:tcW w:w="2953" w:type="dxa"/>
            <w:tcBorders/>
            <w:vAlign w:val="center"/>
          </w:tcPr>
          <w:p>
            <w:pPr>
              <w:pStyle w:val="TableContents"/>
              <w:bidi w:val="0"/>
              <w:spacing w:before="0" w:after="283"/>
              <w:jc w:val="left"/>
              <w:rPr>
                <w:sz w:val="4"/>
                <w:szCs w:val="4"/>
              </w:rPr>
            </w:pPr>
            <w:r>
              <w:rPr>
                <w:sz w:val="4"/>
                <w:szCs w:val="4"/>
              </w:rPr>
            </w:r>
          </w:p>
        </w:tc>
        <w:tc>
          <w:tcPr>
            <w:tcW w:w="7252" w:type="dxa"/>
            <w:gridSpan w:val="2"/>
            <w:tcBorders/>
            <w:vAlign w:val="center"/>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b/>
              </w:rPr>
            </w:pPr>
            <w:r>
              <w:rPr>
                <w:b/>
              </w:rPr>
              <w:t>Interest Payment Dates:</w:t>
            </w:r>
          </w:p>
        </w:tc>
        <w:tc>
          <w:tcPr>
            <w:tcW w:w="120"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0"/>
              <w:jc w:val="left"/>
              <w:rPr>
                <w:rFonts w:ascii="Times New Roman" w:hAnsi="Times New Roman"/>
                <w:sz w:val="20"/>
              </w:rPr>
            </w:pPr>
            <w:r>
              <w:rPr>
                <w:rFonts w:ascii="Times New Roman" w:hAnsi="Times New Roman"/>
                <w:sz w:val="20"/>
              </w:rPr>
              <w:t>2031 Notes:   March 16 and September 16 of each year, subject to the Business Day Convention, commencing March 16, 2027, to and including the maturity date, or, if redeemed early, the date of such redemption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2036 Notes:   March 16 and September 16 of each year, subject to the Business Day Convention, commencing March 16, 2027, to and including the maturity date, or, if redeemed early, the date of such redemption</w:t>
            </w:r>
          </w:p>
        </w:tc>
      </w:tr>
      <w:tr>
        <w:trPr>
          <w:trHeight w:val="120" w:hRule="atLeast"/>
        </w:trPr>
        <w:tc>
          <w:tcPr>
            <w:tcW w:w="2953" w:type="dxa"/>
            <w:tcBorders/>
            <w:vAlign w:val="center"/>
          </w:tcPr>
          <w:p>
            <w:pPr>
              <w:pStyle w:val="TableContents"/>
              <w:bidi w:val="0"/>
              <w:spacing w:before="0" w:after="283"/>
              <w:jc w:val="left"/>
              <w:rPr>
                <w:sz w:val="4"/>
                <w:szCs w:val="4"/>
              </w:rPr>
            </w:pPr>
            <w:r>
              <w:rPr>
                <w:sz w:val="4"/>
                <w:szCs w:val="4"/>
              </w:rPr>
            </w:r>
          </w:p>
        </w:tc>
        <w:tc>
          <w:tcPr>
            <w:tcW w:w="7252" w:type="dxa"/>
            <w:gridSpan w:val="2"/>
            <w:tcBorders/>
            <w:vAlign w:val="center"/>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0"/>
              <w:jc w:val="left"/>
              <w:rPr>
                <w:rFonts w:ascii="Times New Roman" w:hAnsi="Times New Roman"/>
                <w:sz w:val="20"/>
              </w:rPr>
            </w:pPr>
            <w:r>
              <w:rPr>
                <w:rFonts w:ascii="Times New Roman" w:hAnsi="Times New Roman"/>
                <w:sz w:val="20"/>
              </w:rPr>
              <w:t>2031 Notes:   T+200bps</w:t>
            </w:r>
          </w:p>
          <w:p>
            <w:pPr>
              <w:pStyle w:val="TableContents"/>
              <w:bidi w:val="0"/>
              <w:spacing w:before="0" w:after="20"/>
              <w:jc w:val="left"/>
              <w:rPr>
                <w:rFonts w:ascii="Times New Roman" w:hAnsi="Times New Roman"/>
                <w:sz w:val="20"/>
              </w:rPr>
            </w:pPr>
            <w:r>
              <w:rPr>
                <w:rFonts w:ascii="Times New Roman" w:hAnsi="Times New Roman"/>
                <w:sz w:val="20"/>
              </w:rPr>
              <w:t>2036 Notes:   T+245bps</w:t>
            </w:r>
          </w:p>
        </w:tc>
      </w:tr>
      <w:tr>
        <w:trPr>
          <w:trHeight w:val="120" w:hRule="atLeast"/>
        </w:trPr>
        <w:tc>
          <w:tcPr>
            <w:tcW w:w="2953" w:type="dxa"/>
            <w:tcBorders/>
            <w:vAlign w:val="center"/>
          </w:tcPr>
          <w:p>
            <w:pPr>
              <w:pStyle w:val="TableContents"/>
              <w:bidi w:val="0"/>
              <w:spacing w:before="0" w:after="283"/>
              <w:jc w:val="left"/>
              <w:rPr>
                <w:sz w:val="4"/>
                <w:szCs w:val="4"/>
              </w:rPr>
            </w:pPr>
            <w:r>
              <w:rPr>
                <w:sz w:val="4"/>
                <w:szCs w:val="4"/>
              </w:rPr>
            </w:r>
          </w:p>
        </w:tc>
        <w:tc>
          <w:tcPr>
            <w:tcW w:w="7252" w:type="dxa"/>
            <w:gridSpan w:val="2"/>
            <w:tcBorders/>
            <w:vAlign w:val="center"/>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0"/>
              <w:jc w:val="left"/>
              <w:rPr>
                <w:rFonts w:ascii="Times New Roman" w:hAnsi="Times New Roman"/>
                <w:sz w:val="20"/>
              </w:rPr>
            </w:pPr>
            <w:r>
              <w:rPr>
                <w:rFonts w:ascii="Times New Roman" w:hAnsi="Times New Roman"/>
                <w:sz w:val="20"/>
              </w:rPr>
              <w:t>2031 Notes:   UST 4.375% due August 31, 2031</w:t>
            </w:r>
          </w:p>
          <w:p>
            <w:pPr>
              <w:pStyle w:val="TableContents"/>
              <w:bidi w:val="0"/>
              <w:spacing w:before="0" w:after="20"/>
              <w:jc w:val="left"/>
              <w:rPr>
                <w:rFonts w:ascii="Times New Roman" w:hAnsi="Times New Roman"/>
                <w:sz w:val="20"/>
              </w:rPr>
            </w:pPr>
            <w:r>
              <w:rPr>
                <w:rFonts w:ascii="Times New Roman" w:hAnsi="Times New Roman"/>
                <w:sz w:val="20"/>
              </w:rPr>
              <w:t>2036 Notes:   UST 4.625% due August 15, 2036</w:t>
            </w:r>
          </w:p>
        </w:tc>
      </w:tr>
      <w:tr>
        <w:trPr>
          <w:trHeight w:val="120" w:hRule="atLeast"/>
        </w:trPr>
        <w:tc>
          <w:tcPr>
            <w:tcW w:w="2953" w:type="dxa"/>
            <w:tcBorders/>
            <w:vAlign w:val="center"/>
          </w:tcPr>
          <w:p>
            <w:pPr>
              <w:pStyle w:val="TableContents"/>
              <w:bidi w:val="0"/>
              <w:spacing w:before="0" w:after="283"/>
              <w:jc w:val="left"/>
              <w:rPr>
                <w:sz w:val="4"/>
                <w:szCs w:val="4"/>
              </w:rPr>
            </w:pPr>
            <w:r>
              <w:rPr>
                <w:sz w:val="4"/>
                <w:szCs w:val="4"/>
              </w:rPr>
            </w:r>
          </w:p>
        </w:tc>
        <w:tc>
          <w:tcPr>
            <w:tcW w:w="7252" w:type="dxa"/>
            <w:gridSpan w:val="2"/>
            <w:tcBorders/>
            <w:vAlign w:val="center"/>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b/>
              </w:rPr>
            </w:pPr>
            <w:r>
              <w:rPr>
                <w:b/>
              </w:rPr>
              <w:t>Benchmark Treasury Price and Yield:</w:t>
            </w:r>
          </w:p>
        </w:tc>
        <w:tc>
          <w:tcPr>
            <w:tcW w:w="120"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0"/>
              <w:jc w:val="left"/>
              <w:rPr>
                <w:rFonts w:ascii="Times New Roman" w:hAnsi="Times New Roman"/>
                <w:sz w:val="20"/>
              </w:rPr>
            </w:pPr>
            <w:r>
              <w:rPr>
                <w:rFonts w:ascii="Times New Roman" w:hAnsi="Times New Roman"/>
                <w:sz w:val="20"/>
              </w:rPr>
              <w:t>2031 Notes:   98-09 3⁄4; 4.762%</w:t>
            </w:r>
          </w:p>
          <w:p>
            <w:pPr>
              <w:pStyle w:val="TableContents"/>
              <w:bidi w:val="0"/>
              <w:spacing w:before="0" w:after="20"/>
              <w:jc w:val="left"/>
              <w:rPr>
                <w:rFonts w:ascii="Times New Roman" w:hAnsi="Times New Roman"/>
                <w:sz w:val="20"/>
              </w:rPr>
            </w:pPr>
            <w:r>
              <w:rPr>
                <w:rFonts w:ascii="Times New Roman" w:hAnsi="Times New Roman"/>
                <w:sz w:val="20"/>
              </w:rPr>
              <w:t>2036 Notes:   97-12; 4.963%</w:t>
            </w:r>
          </w:p>
        </w:tc>
      </w:tr>
      <w:tr>
        <w:trPr>
          <w:trHeight w:val="120" w:hRule="atLeast"/>
        </w:trPr>
        <w:tc>
          <w:tcPr>
            <w:tcW w:w="2953" w:type="dxa"/>
            <w:tcBorders/>
            <w:vAlign w:val="center"/>
          </w:tcPr>
          <w:p>
            <w:pPr>
              <w:pStyle w:val="TableContents"/>
              <w:bidi w:val="0"/>
              <w:spacing w:before="0" w:after="283"/>
              <w:jc w:val="left"/>
              <w:rPr>
                <w:sz w:val="4"/>
                <w:szCs w:val="4"/>
              </w:rPr>
            </w:pPr>
            <w:r>
              <w:rPr>
                <w:sz w:val="4"/>
                <w:szCs w:val="4"/>
              </w:rPr>
            </w:r>
          </w:p>
        </w:tc>
        <w:tc>
          <w:tcPr>
            <w:tcW w:w="7252" w:type="dxa"/>
            <w:gridSpan w:val="2"/>
            <w:tcBorders/>
            <w:vAlign w:val="center"/>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b/>
              </w:rPr>
            </w:pPr>
            <w:r>
              <w:rPr>
                <w:b/>
              </w:rPr>
              <w:t>Yield to Maturity:</w:t>
            </w:r>
          </w:p>
        </w:tc>
        <w:tc>
          <w:tcPr>
            <w:tcW w:w="120"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0"/>
              <w:jc w:val="left"/>
              <w:rPr>
                <w:rFonts w:ascii="Times New Roman" w:hAnsi="Times New Roman"/>
                <w:sz w:val="20"/>
              </w:rPr>
            </w:pPr>
            <w:r>
              <w:rPr>
                <w:rFonts w:ascii="Times New Roman" w:hAnsi="Times New Roman"/>
                <w:sz w:val="20"/>
              </w:rPr>
              <w:t>2031 Notes:   6.762%</w:t>
            </w:r>
          </w:p>
          <w:p>
            <w:pPr>
              <w:pStyle w:val="TableContents"/>
              <w:bidi w:val="0"/>
              <w:spacing w:before="0" w:after="20"/>
              <w:jc w:val="left"/>
              <w:rPr>
                <w:rFonts w:ascii="Times New Roman" w:hAnsi="Times New Roman"/>
                <w:sz w:val="20"/>
              </w:rPr>
            </w:pPr>
            <w:r>
              <w:rPr>
                <w:rFonts w:ascii="Times New Roman" w:hAnsi="Times New Roman"/>
                <w:sz w:val="20"/>
              </w:rPr>
              <w:t>2036 Notes:   7.413%</w:t>
            </w:r>
          </w:p>
        </w:tc>
      </w:tr>
      <w:tr>
        <w:trPr>
          <w:trHeight w:val="120" w:hRule="atLeast"/>
        </w:trPr>
        <w:tc>
          <w:tcPr>
            <w:tcW w:w="2953" w:type="dxa"/>
            <w:tcBorders/>
            <w:vAlign w:val="center"/>
          </w:tcPr>
          <w:p>
            <w:pPr>
              <w:pStyle w:val="TableContents"/>
              <w:bidi w:val="0"/>
              <w:spacing w:before="0" w:after="283"/>
              <w:jc w:val="left"/>
              <w:rPr>
                <w:sz w:val="4"/>
                <w:szCs w:val="4"/>
              </w:rPr>
            </w:pPr>
            <w:r>
              <w:rPr>
                <w:sz w:val="4"/>
                <w:szCs w:val="4"/>
              </w:rPr>
            </w:r>
          </w:p>
        </w:tc>
        <w:tc>
          <w:tcPr>
            <w:tcW w:w="7252" w:type="dxa"/>
            <w:gridSpan w:val="2"/>
            <w:tcBorders/>
            <w:vAlign w:val="center"/>
          </w:tcPr>
          <w:p>
            <w:pPr>
              <w:pStyle w:val="TableContents"/>
              <w:bidi w:val="0"/>
              <w:spacing w:before="0" w:after="283"/>
              <w:jc w:val="left"/>
              <w:rPr>
                <w:sz w:val="4"/>
                <w:szCs w:val="4"/>
              </w:rPr>
            </w:pPr>
            <w:r>
              <w:rPr>
                <w:sz w:val="4"/>
                <w:szCs w:val="4"/>
              </w:rPr>
            </w:r>
          </w:p>
        </w:tc>
      </w:tr>
      <w:tr>
        <w:trPr/>
        <w:tc>
          <w:tcPr>
            <w:tcW w:w="2953" w:type="dxa"/>
            <w:tcBorders/>
          </w:tcPr>
          <w:p>
            <w:pPr>
              <w:pStyle w:val="TableContents"/>
              <w:bidi w:val="0"/>
              <w:spacing w:before="0" w:after="283"/>
              <w:jc w:val="left"/>
              <w:rPr>
                <w:b/>
              </w:rPr>
            </w:pPr>
            <w:r>
              <w:rPr>
                <w:b/>
              </w:rPr>
              <w:t>Optional Redemption:</w:t>
            </w:r>
          </w:p>
        </w:tc>
        <w:tc>
          <w:tcPr>
            <w:tcW w:w="120" w:type="dxa"/>
            <w:tcBorders/>
            <w:vAlign w:val="bottom"/>
          </w:tcPr>
          <w:p>
            <w:pPr>
              <w:pStyle w:val="TableContents"/>
              <w:bidi w:val="0"/>
              <w:spacing w:before="0" w:after="283"/>
              <w:jc w:val="left"/>
              <w:rPr/>
            </w:pPr>
            <w:r>
              <w:rPr/>
              <w:t>  </w:t>
            </w:r>
          </w:p>
        </w:tc>
        <w:tc>
          <w:tcPr>
            <w:tcW w:w="7132"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may redeem any series of the Notes, in whole or in part, at its option, at any time and from time to time before the applicable “Par Call Date” (as set out in the table below) at a redemption price (expressed as a percentage of principal amount and rounded to three decimal places) equal to the greater of: (1) (a) the sum of the present values of the remaining scheduled payments of principal and interest on the Notes to be redeemed discounted to the redemption date (assuming the Notes matured on the applicable “Par Call Date”) on a semi-annual basis (assuming a 360-day year consisting of twelve 30-day months) at the treasury rate (as defined in the preliminary prospectus supplement) plus the applicable “Make-Whole Spread” (as set out in the table below), less (b) interest accrued to the date of redemption, and (2) 100% of the principal amount of the Notes of the series to be redeemed, plus, in either case, accrued and unpaid interest thereon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applicable “Par Call Date”, the Company may at its option redeem any series of the Notes, in whole or in part, at any time and from time to time, at a redemption price equal to 100% of the principal amount of the Notes to be redeemed, plus accrued and unpaid interest thereon to the redemption date.</w:t>
            </w:r>
          </w:p>
        </w:tc>
      </w:tr>
    </w:tbl>
    <w:p>
      <w:pPr>
        <w:pStyle w:val="TextBody"/>
        <w:bidi w:val="0"/>
        <w:spacing w:before="0" w:after="0"/>
        <w:jc w:val="left"/>
        <w:rPr/>
      </w:pPr>
      <w:r>
        <w:rPr/>
        <w:t> </w:t>
      </w:r>
    </w:p>
    <w:tbl>
      <w:tblPr>
        <w:tblW w:w="3550" w:type="pct"/>
        <w:jc w:val="right"/>
        <w:tblInd w:w="0" w:type="dxa"/>
        <w:tblLayout w:type="fixed"/>
        <w:tblCellMar>
          <w:top w:w="0" w:type="dxa"/>
          <w:left w:w="0" w:type="dxa"/>
          <w:bottom w:w="0" w:type="dxa"/>
          <w:right w:w="0" w:type="dxa"/>
        </w:tblCellMar>
      </w:tblPr>
      <w:tblGrid>
        <w:gridCol w:w="1122"/>
        <w:gridCol w:w="120"/>
        <w:gridCol w:w="1667"/>
        <w:gridCol w:w="120"/>
        <w:gridCol w:w="4216"/>
      </w:tblGrid>
      <w:tr>
        <w:trPr/>
        <w:tc>
          <w:tcPr>
            <w:tcW w:w="11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Series</w:t>
            </w:r>
          </w:p>
        </w:tc>
        <w:tc>
          <w:tcPr>
            <w:tcW w:w="120" w:type="dxa"/>
            <w:tcBorders/>
            <w:vAlign w:val="bottom"/>
          </w:tcPr>
          <w:p>
            <w:pPr>
              <w:pStyle w:val="TableContents"/>
              <w:bidi w:val="0"/>
              <w:spacing w:before="0" w:after="283"/>
              <w:jc w:val="left"/>
              <w:rPr/>
            </w:pPr>
            <w:r>
              <w:rPr/>
              <w:t>  </w:t>
            </w:r>
          </w:p>
        </w:tc>
        <w:tc>
          <w:tcPr>
            <w:tcW w:w="16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 Call Date</w:t>
            </w:r>
          </w:p>
        </w:tc>
        <w:tc>
          <w:tcPr>
            <w:tcW w:w="120" w:type="dxa"/>
            <w:tcBorders/>
            <w:vAlign w:val="bottom"/>
          </w:tcPr>
          <w:p>
            <w:pPr>
              <w:pStyle w:val="TableContents"/>
              <w:bidi w:val="0"/>
              <w:spacing w:before="0" w:after="283"/>
              <w:jc w:val="left"/>
              <w:rPr/>
            </w:pPr>
            <w:r>
              <w:rPr/>
              <w:t>  </w:t>
            </w:r>
          </w:p>
        </w:tc>
        <w:tc>
          <w:tcPr>
            <w:tcW w:w="42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Make-Whole Spread</w:t>
            </w:r>
          </w:p>
        </w:tc>
      </w:tr>
      <w:tr>
        <w:trPr/>
        <w:tc>
          <w:tcPr>
            <w:tcW w:w="1122" w:type="dxa"/>
            <w:tcBorders/>
            <w:vAlign w:val="bottom"/>
          </w:tcPr>
          <w:p>
            <w:pPr>
              <w:pStyle w:val="TableContents"/>
              <w:bidi w:val="0"/>
              <w:spacing w:before="0" w:after="283"/>
              <w:jc w:val="left"/>
              <w:rPr/>
            </w:pPr>
            <w:r>
              <w:rPr/>
              <w:t>2031 Notes</w:t>
            </w:r>
          </w:p>
        </w:tc>
        <w:tc>
          <w:tcPr>
            <w:tcW w:w="120" w:type="dxa"/>
            <w:tcBorders/>
            <w:vAlign w:val="bottom"/>
          </w:tcPr>
          <w:p>
            <w:pPr>
              <w:pStyle w:val="TableContents"/>
              <w:bidi w:val="0"/>
              <w:spacing w:before="0" w:after="283"/>
              <w:jc w:val="left"/>
              <w:rPr/>
            </w:pPr>
            <w:r>
              <w:rPr/>
              <w:t>  </w:t>
            </w:r>
          </w:p>
        </w:tc>
        <w:tc>
          <w:tcPr>
            <w:tcW w:w="1667" w:type="dxa"/>
            <w:tcBorders/>
            <w:vAlign w:val="bottom"/>
          </w:tcPr>
          <w:p>
            <w:pPr>
              <w:pStyle w:val="TableContents"/>
              <w:bidi w:val="0"/>
              <w:spacing w:before="0" w:after="283"/>
              <w:jc w:val="left"/>
              <w:rPr/>
            </w:pPr>
            <w:r>
              <w:rPr/>
              <w:t>August 16, 2031</w:t>
            </w:r>
          </w:p>
        </w:tc>
        <w:tc>
          <w:tcPr>
            <w:tcW w:w="120" w:type="dxa"/>
            <w:tcBorders/>
            <w:vAlign w:val="bottom"/>
          </w:tcPr>
          <w:p>
            <w:pPr>
              <w:pStyle w:val="TableContents"/>
              <w:bidi w:val="0"/>
              <w:spacing w:before="0" w:after="283"/>
              <w:jc w:val="left"/>
              <w:rPr/>
            </w:pPr>
            <w:r>
              <w:rPr/>
              <w:t>  </w:t>
            </w:r>
          </w:p>
        </w:tc>
        <w:tc>
          <w:tcPr>
            <w:tcW w:w="4216" w:type="dxa"/>
            <w:tcBorders/>
            <w:vAlign w:val="bottom"/>
          </w:tcPr>
          <w:p>
            <w:pPr>
              <w:pStyle w:val="TableContents"/>
              <w:bidi w:val="0"/>
              <w:spacing w:before="0" w:after="283"/>
              <w:jc w:val="left"/>
              <w:rPr/>
            </w:pPr>
            <w:r>
              <w:rPr/>
              <w:t>30 basis points</w:t>
            </w:r>
          </w:p>
        </w:tc>
      </w:tr>
      <w:tr>
        <w:trPr>
          <w:trHeight w:val="120" w:hRule="atLeast"/>
        </w:trPr>
        <w:tc>
          <w:tcPr>
            <w:tcW w:w="1122" w:type="dxa"/>
            <w:tcBorders/>
            <w:vAlign w:val="center"/>
          </w:tcPr>
          <w:p>
            <w:pPr>
              <w:pStyle w:val="TableContents"/>
              <w:bidi w:val="0"/>
              <w:spacing w:before="0" w:after="283"/>
              <w:jc w:val="left"/>
              <w:rPr>
                <w:sz w:val="4"/>
                <w:szCs w:val="4"/>
              </w:rPr>
            </w:pPr>
            <w:r>
              <w:rPr>
                <w:sz w:val="4"/>
                <w:szCs w:val="4"/>
              </w:rPr>
            </w:r>
          </w:p>
        </w:tc>
        <w:tc>
          <w:tcPr>
            <w:tcW w:w="1787" w:type="dxa"/>
            <w:gridSpan w:val="2"/>
            <w:tcBorders/>
            <w:vAlign w:val="center"/>
          </w:tcPr>
          <w:p>
            <w:pPr>
              <w:pStyle w:val="TableContents"/>
              <w:bidi w:val="0"/>
              <w:spacing w:before="0" w:after="283"/>
              <w:jc w:val="left"/>
              <w:rPr>
                <w:sz w:val="4"/>
                <w:szCs w:val="4"/>
              </w:rPr>
            </w:pPr>
            <w:r>
              <w:rPr>
                <w:sz w:val="4"/>
                <w:szCs w:val="4"/>
              </w:rPr>
            </w:r>
          </w:p>
        </w:tc>
        <w:tc>
          <w:tcPr>
            <w:tcW w:w="4336"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bottom"/>
          </w:tcPr>
          <w:p>
            <w:pPr>
              <w:pStyle w:val="TableContents"/>
              <w:bidi w:val="0"/>
              <w:spacing w:before="0" w:after="283"/>
              <w:jc w:val="left"/>
              <w:rPr/>
            </w:pPr>
            <w:r>
              <w:rPr/>
              <w:t>2036 Notes</w:t>
            </w:r>
          </w:p>
        </w:tc>
        <w:tc>
          <w:tcPr>
            <w:tcW w:w="120" w:type="dxa"/>
            <w:tcBorders/>
            <w:vAlign w:val="bottom"/>
          </w:tcPr>
          <w:p>
            <w:pPr>
              <w:pStyle w:val="TableContents"/>
              <w:bidi w:val="0"/>
              <w:spacing w:before="0" w:after="283"/>
              <w:jc w:val="left"/>
              <w:rPr/>
            </w:pPr>
            <w:r>
              <w:rPr/>
              <w:t>  </w:t>
            </w:r>
          </w:p>
        </w:tc>
        <w:tc>
          <w:tcPr>
            <w:tcW w:w="1667" w:type="dxa"/>
            <w:tcBorders/>
            <w:vAlign w:val="bottom"/>
          </w:tcPr>
          <w:p>
            <w:pPr>
              <w:pStyle w:val="TableContents"/>
              <w:bidi w:val="0"/>
              <w:spacing w:before="0" w:after="283"/>
              <w:jc w:val="left"/>
              <w:rPr/>
            </w:pPr>
            <w:r>
              <w:rPr/>
              <w:t>June 16, 2036</w:t>
            </w:r>
          </w:p>
        </w:tc>
        <w:tc>
          <w:tcPr>
            <w:tcW w:w="120" w:type="dxa"/>
            <w:tcBorders/>
            <w:vAlign w:val="bottom"/>
          </w:tcPr>
          <w:p>
            <w:pPr>
              <w:pStyle w:val="TableContents"/>
              <w:bidi w:val="0"/>
              <w:spacing w:before="0" w:after="283"/>
              <w:jc w:val="left"/>
              <w:rPr/>
            </w:pPr>
            <w:r>
              <w:rPr/>
              <w:t>  </w:t>
            </w:r>
          </w:p>
        </w:tc>
        <w:tc>
          <w:tcPr>
            <w:tcW w:w="4216" w:type="dxa"/>
            <w:tcBorders/>
            <w:vAlign w:val="bottom"/>
          </w:tcPr>
          <w:p>
            <w:pPr>
              <w:pStyle w:val="TableContents"/>
              <w:bidi w:val="0"/>
              <w:spacing w:before="0" w:after="283"/>
              <w:jc w:val="left"/>
              <w:rPr/>
            </w:pPr>
            <w:r>
              <w:rPr/>
              <w:t>40 basis points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95"/>
        <w:gridCol w:w="122"/>
        <w:gridCol w:w="7088"/>
      </w:tblGrid>
      <w:tr>
        <w:trPr/>
        <w:tc>
          <w:tcPr>
            <w:tcW w:w="299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08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Change of Control:</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As described in the preliminary prospectus supplement.</w:t>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Optional Tax Redemption:</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As described in the preliminary prospectus supplement.</w:t>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Issuer Substitution Provisions:</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As described in the preliminary prospectus supplement.</w:t>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Ranking:</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As described in the preliminary prospectus supplement.</w:t>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Use of Proceeds:</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We intend to use the net proceeds from the sale of the Notes for general corporate purposes.</w:t>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Minimum Denominations:</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$2,000 and integral multiples of $1,000 in excess thereof</w:t>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CUSIP/ISIN:</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0"/>
              <w:jc w:val="left"/>
              <w:rPr>
                <w:rFonts w:ascii="Times New Roman" w:hAnsi="Times New Roman"/>
                <w:sz w:val="20"/>
              </w:rPr>
            </w:pPr>
            <w:r>
              <w:rPr>
                <w:rFonts w:ascii="Times New Roman" w:hAnsi="Times New Roman"/>
                <w:sz w:val="20"/>
              </w:rPr>
              <w:t>2031 Notes:   85855C AR1 / US85855CAR16</w:t>
            </w:r>
          </w:p>
          <w:p>
            <w:pPr>
              <w:pStyle w:val="TableContents"/>
              <w:bidi w:val="0"/>
              <w:spacing w:before="0" w:after="20"/>
              <w:jc w:val="left"/>
              <w:rPr>
                <w:rFonts w:ascii="Times New Roman" w:hAnsi="Times New Roman"/>
                <w:sz w:val="20"/>
              </w:rPr>
            </w:pPr>
            <w:r>
              <w:rPr>
                <w:rFonts w:ascii="Times New Roman" w:hAnsi="Times New Roman"/>
                <w:sz w:val="20"/>
              </w:rPr>
              <w:t>2036 Notes:   85855C AS9 / US85855CAS98</w:t>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Joint Book-Running Managers:</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Intesa Sanpaolo IMI Securities Corp.</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20"/>
              <w:jc w:val="left"/>
              <w:rPr>
                <w:rFonts w:ascii="Times New Roman" w:hAnsi="Times New Roman"/>
                <w:sz w:val="20"/>
              </w:rPr>
            </w:pPr>
            <w:r>
              <w:rPr>
                <w:rFonts w:ascii="Times New Roman" w:hAnsi="Times New Roman"/>
                <w:sz w:val="20"/>
              </w:rPr>
              <w:t>SMBC Nikko Securities America, Inc.</w:t>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Senior Co-Managers:</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0"/>
              <w:jc w:val="left"/>
              <w:rPr>
                <w:rFonts w:ascii="Times New Roman" w:hAnsi="Times New Roman"/>
                <w:sz w:val="20"/>
              </w:rPr>
            </w:pPr>
            <w:r>
              <w:rPr>
                <w:rFonts w:ascii="Times New Roman" w:hAnsi="Times New Roman"/>
                <w:sz w:val="20"/>
              </w:rPr>
              <w:t>Bank of China (Europe) S.A.</w:t>
            </w:r>
          </w:p>
          <w:p>
            <w:pPr>
              <w:pStyle w:val="TableContents"/>
              <w:bidi w:val="0"/>
              <w:spacing w:before="0" w:after="0"/>
              <w:jc w:val="left"/>
              <w:rPr>
                <w:rFonts w:ascii="Times New Roman" w:hAnsi="Times New Roman"/>
                <w:sz w:val="20"/>
              </w:rPr>
            </w:pPr>
            <w:r>
              <w:rPr>
                <w:rFonts w:ascii="Times New Roman" w:hAnsi="Times New Roman"/>
                <w:sz w:val="20"/>
              </w:rPr>
              <w:t>Commerz Markets LLC</w:t>
            </w:r>
          </w:p>
          <w:p>
            <w:pPr>
              <w:pStyle w:val="TableContents"/>
              <w:bidi w:val="0"/>
              <w:spacing w:before="0" w:after="0"/>
              <w:jc w:val="left"/>
              <w:rPr>
                <w:rFonts w:ascii="Times New Roman" w:hAnsi="Times New Roman"/>
                <w:sz w:val="20"/>
              </w:rPr>
            </w:pPr>
            <w:r>
              <w:rPr>
                <w:rFonts w:ascii="Times New Roman" w:hAnsi="Times New Roman"/>
                <w:sz w:val="20"/>
              </w:rPr>
              <w:t>ING Financial Markets LLC</w:t>
            </w:r>
          </w:p>
          <w:p>
            <w:pPr>
              <w:pStyle w:val="TableContents"/>
              <w:bidi w:val="0"/>
              <w:spacing w:before="0" w:after="20"/>
              <w:jc w:val="left"/>
              <w:rPr>
                <w:rFonts w:ascii="Times New Roman" w:hAnsi="Times New Roman"/>
                <w:sz w:val="20"/>
              </w:rPr>
            </w:pPr>
            <w:r>
              <w:rPr>
                <w:rFonts w:ascii="Times New Roman" w:hAnsi="Times New Roman"/>
                <w:sz w:val="20"/>
              </w:rPr>
              <w:t>Santander US Capital Markets LLC</w:t>
            </w:r>
          </w:p>
        </w:tc>
      </w:tr>
      <w:tr>
        <w:trPr>
          <w:trHeight w:val="120" w:hRule="atLeast"/>
        </w:trPr>
        <w:tc>
          <w:tcPr>
            <w:tcW w:w="2995" w:type="dxa"/>
            <w:tcBorders/>
            <w:vAlign w:val="center"/>
          </w:tcPr>
          <w:p>
            <w:pPr>
              <w:pStyle w:val="TableContents"/>
              <w:bidi w:val="0"/>
              <w:spacing w:before="0" w:after="283"/>
              <w:jc w:val="left"/>
              <w:rPr>
                <w:sz w:val="4"/>
                <w:szCs w:val="4"/>
              </w:rPr>
            </w:pPr>
            <w:r>
              <w:rPr>
                <w:sz w:val="4"/>
                <w:szCs w:val="4"/>
              </w:rPr>
            </w:r>
          </w:p>
        </w:tc>
        <w:tc>
          <w:tcPr>
            <w:tcW w:w="7210" w:type="dxa"/>
            <w:gridSpan w:val="2"/>
            <w:tcBorders/>
            <w:vAlign w:val="center"/>
          </w:tcPr>
          <w:p>
            <w:pPr>
              <w:pStyle w:val="TableContents"/>
              <w:bidi w:val="0"/>
              <w:spacing w:before="0" w:after="283"/>
              <w:jc w:val="left"/>
              <w:rPr>
                <w:sz w:val="4"/>
                <w:szCs w:val="4"/>
              </w:rPr>
            </w:pPr>
            <w:r>
              <w:rPr>
                <w:sz w:val="4"/>
                <w:szCs w:val="4"/>
              </w:rPr>
            </w:r>
          </w:p>
        </w:tc>
      </w:tr>
      <w:tr>
        <w:trPr/>
        <w:tc>
          <w:tcPr>
            <w:tcW w:w="2995" w:type="dxa"/>
            <w:tcBorders/>
          </w:tcPr>
          <w:p>
            <w:pPr>
              <w:pStyle w:val="TableContents"/>
              <w:bidi w:val="0"/>
              <w:spacing w:before="0" w:after="283"/>
              <w:jc w:val="left"/>
              <w:rPr>
                <w:b/>
              </w:rPr>
            </w:pPr>
            <w:r>
              <w:rPr>
                <w:b/>
              </w:rPr>
              <w:t>Co-Managers:</w:t>
            </w:r>
          </w:p>
        </w:tc>
        <w:tc>
          <w:tcPr>
            <w:tcW w:w="122"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p>
            <w:pPr>
              <w:pStyle w:val="TableContents"/>
              <w:bidi w:val="0"/>
              <w:spacing w:before="0" w:after="20"/>
              <w:jc w:val="left"/>
              <w:rPr>
                <w:rFonts w:ascii="Times New Roman" w:hAnsi="Times New Roman"/>
                <w:sz w:val="20"/>
              </w:rPr>
            </w:pPr>
            <w:r>
              <w:rPr>
                <w:rFonts w:ascii="Times New Roman" w:hAnsi="Times New Roman"/>
                <w:sz w:val="20"/>
              </w:rPr>
              <w:t>Siebert Williams Shank &amp; Co.,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A securities rating is not a recommendation to purchase, hold or sell securities, and may be changed, superseded or withdrawn at any time.</w:t>
            </w:r>
            <w:r>
              <w:rPr>
                <w:rFonts w:ascii="Times New Roman" w:hAnsi="Times New Roman"/>
                <w:sz w:val="20"/>
              </w:rPr>
              <w:t xml:space="preserve"> </w:t>
            </w:r>
            <w:r>
              <w:rPr>
                <w:rFonts w:ascii="Times New Roman" w:hAnsi="Times New Roman"/>
                <w:b/>
                <w:i/>
                <w:sz w:val="20"/>
              </w:rPr>
              <w:t>Each rating should be evaluated independently of any other rating.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The Company expects that delivery of the Notes will be made against payment therefor on or about September 16, 2026, which will be the fourth business day following the date of pricing of the Notes (this settlement cycle being herein referred to as “T+4”). Under Rule 15c6-1 under the U.S. Securities Exchange Act of 1934, as amended, trades in the secondary market generally are required to settle in one business day, unless the parties to any such trade expressly agree otherwise. Accordingly, purchasers who wish to trade the Notes prior to the first business day before the delivery of the Notes will be required, by virtue of the fact that the Notes initially will settle in T+4, to specify an alternative settlement cycle at the time of any such trade to prevent a failed settlement. Purchasers of the Notes who wish to make such trades should consult their own advisor.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Company and the Guarantor have filed a registration statement (including a prospectus and a preliminary prospectus supplement) with the Securities and Exchange Commission (the “SEC”) for the offering to which this communication relates. Before you invest, you should read the prospectus and the preliminary prospectus supplement in that registration statement and other documents the Company and the Guarantor have filed with the SEC for more complete information about the Company, the Guarantor and this offering. You may get these documents for free by visiting EDGAR on the SEC website at www.sec.gov. </w:t>
      </w:r>
    </w:p>
    <w:p>
      <w:pPr>
        <w:pStyle w:val="TextBody"/>
        <w:bidi w:val="0"/>
        <w:spacing w:before="240" w:after="0"/>
        <w:jc w:val="left"/>
        <w:rPr>
          <w:rFonts w:ascii="Times New Roman" w:hAnsi="Times New Roman"/>
          <w:b/>
          <w:i/>
          <w:sz w:val="20"/>
        </w:rPr>
      </w:pPr>
      <w:r>
        <w:rPr>
          <w:rFonts w:ascii="Times New Roman" w:hAnsi="Times New Roman"/>
          <w:b/>
          <w:i/>
          <w:sz w:val="20"/>
        </w:rPr>
        <w:t xml:space="preserve">Alternatively, the Company, any underwriter or any dealer participating in the offering will arrange to send you the prospectus if you request it by calling Citigroup Global Markets Inc. toll-free at +1-800-831-9146, Deutsche Bank Securities Inc. at +1-800-503-4611, Goldman Sachs &amp; Co. LLC at +1-866-471-2526, Intesa Sanpaolo IMI Securities Corp. at +1-877-792-1374, Morgan Stanley &amp; Co. LLC at +1-866-718-1649, Natixis Securities Americas LLC at +1-866-425-1819, RBC Capital Markets, LLC at +1-866-375-6829 and SMBC Nikko Securities America, Inc. at +1-888-868-6856. </w:t>
      </w:r>
    </w:p>
    <w:p>
      <w:pPr>
        <w:pStyle w:val="TextBody"/>
        <w:bidi w:val="0"/>
        <w:spacing w:before="240" w:after="0"/>
        <w:jc w:val="left"/>
        <w:rPr>
          <w:rFonts w:ascii="Times New Roman" w:hAnsi="Times New Roman"/>
          <w:i/>
          <w:sz w:val="20"/>
        </w:rPr>
      </w:pPr>
      <w:r>
        <w:rPr>
          <w:rFonts w:ascii="Times New Roman" w:hAnsi="Times New Roman"/>
          <w:i/>
          <w:sz w:val="20"/>
        </w:rPr>
        <w:t>Not for retail investors in the European Economic Area (“</w:t>
      </w:r>
      <w:r>
        <w:rPr>
          <w:rFonts w:ascii="Times New Roman" w:hAnsi="Times New Roman"/>
          <w:i/>
          <w:sz w:val="20"/>
          <w:u w:val="single"/>
        </w:rPr>
        <w:t>EEA</w:t>
      </w:r>
      <w:r>
        <w:rPr>
          <w:rFonts w:ascii="Times New Roman" w:hAnsi="Times New Roman"/>
          <w:i/>
          <w:sz w:val="20"/>
        </w:rPr>
        <w:t>”) or the United Kingdom. No key information document (KID) as required by Regulation (EU) No 1286/2014 (as amended, the “</w:t>
      </w:r>
      <w:r>
        <w:rPr>
          <w:rFonts w:ascii="Times New Roman" w:hAnsi="Times New Roman"/>
          <w:i/>
          <w:sz w:val="20"/>
          <w:u w:val="single"/>
        </w:rPr>
        <w:t>PRIIPs Regulation</w:t>
      </w:r>
      <w:r>
        <w:rPr>
          <w:rFonts w:ascii="Times New Roman" w:hAnsi="Times New Roman"/>
          <w:i/>
          <w:sz w:val="20"/>
        </w:rPr>
        <w:t xml:space="preserve">”) or as required by the PRIIPs Regulation as it forms part of domestic UK law by virtue of the European Union (Withdrawal) Act 2018, as amended, has been prepared as the Notes are not available to retail investors in the EEA or the United Kingdom, respectively. </w:t>
      </w:r>
    </w:p>
    <w:p>
      <w:pPr>
        <w:pStyle w:val="TextBody"/>
        <w:bidi w:val="0"/>
        <w:spacing w:before="240" w:after="0"/>
        <w:jc w:val="left"/>
        <w:rPr>
          <w:rFonts w:ascii="Times New Roman" w:hAnsi="Times New Roman"/>
          <w:i/>
          <w:sz w:val="20"/>
        </w:rPr>
      </w:pPr>
      <w:r>
        <w:rPr>
          <w:rFonts w:ascii="Times New Roman" w:hAnsi="Times New Roman"/>
          <w:i/>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1235</Words>
  <Characters>6632</Characters>
  <CharactersWithSpaces>7902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