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13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01" w:lineRule="exact"/>
        <w:rPr>
          <w:sz w:val="24"/>
          <w:szCs w:val="24"/>
          <w:color w:val="auto"/>
        </w:rPr>
      </w:pPr>
    </w:p>
    <w:p>
      <w:pPr>
        <w:jc w:val="center"/>
        <w:ind w:left="420" w:right="439"/>
        <w:spacing w:after="0" w:line="264" w:lineRule="auto"/>
        <w:rPr>
          <w:sz w:val="20"/>
          <w:szCs w:val="20"/>
          <w:color w:val="auto"/>
        </w:rPr>
      </w:pPr>
      <w:r>
        <w:rPr>
          <w:rFonts w:ascii="Times New Roman" w:cs="Times New Roman" w:eastAsia="Times New Roman" w:hAnsi="Times New Roman"/>
          <w:sz w:val="24"/>
          <w:szCs w:val="24"/>
          <w:b w:val="1"/>
          <w:bCs w:val="1"/>
          <w:color w:val="auto"/>
        </w:rPr>
        <w:t>REPORT OF FOREIGN PRIVATE ISSUER PURSUANT TO RULE 13a-16 OR 15d-16 OF THE SECURITIES EXCHANGE ACT OF 1934</w:t>
      </w:r>
    </w:p>
    <w:p>
      <w:pPr>
        <w:spacing w:after="0" w:line="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month of October 2026</w:t>
      </w:r>
    </w:p>
    <w:p>
      <w:pPr>
        <w:spacing w:after="0" w:line="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Commission File No. 001-36675</w:t>
      </w:r>
    </w:p>
    <w:p>
      <w:pPr>
        <w:spacing w:after="0" w:line="9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STELLANTIS N.V.</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32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Taurusavenue 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2132 LS Hoofddorp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No.: +31 23 700 1511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Form 20-F </w:t>
      </w:r>
      <w:r>
        <w:rPr>
          <w:rFonts w:ascii="Wingdings" w:cs="Wingdings" w:eastAsia="Wingdings" w:hAnsi="Wingdings"/>
          <w:sz w:val="14"/>
          <w:szCs w:val="14"/>
          <w:b w:val="1"/>
          <w:bCs w:val="1"/>
          <w:color w:val="auto"/>
        </w:rPr>
        <w:t>x</w:t>
      </w:r>
      <w:r>
        <w:rPr>
          <w:rFonts w:ascii="Times New Roman" w:cs="Times New Roman" w:eastAsia="Times New Roman" w:hAnsi="Times New Roman"/>
          <w:sz w:val="16"/>
          <w:szCs w:val="16"/>
          <w:color w:val="auto"/>
        </w:rPr>
        <w:t xml:space="preserve"> Form 40-F </w:t>
      </w:r>
      <w:r>
        <w:rPr>
          <w:rFonts w:ascii="Wingdings" w:cs="Wingdings" w:eastAsia="Wingdings" w:hAnsi="Wingdings"/>
          <w:sz w:val="14"/>
          <w:szCs w:val="14"/>
          <w:b w:val="1"/>
          <w:bCs w:val="1"/>
          <w:color w:val="auto"/>
        </w:rPr>
        <w: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Rule101(b)(1): </w:t>
      </w:r>
      <w:r>
        <w:rPr>
          <w:rFonts w:ascii="Wingdings" w:cs="Wingdings" w:eastAsia="Wingdings" w:hAnsi="Wingdings"/>
          <w:sz w:val="14"/>
          <w:szCs w:val="14"/>
          <w:b w:val="1"/>
          <w:bCs w:val="1"/>
          <w:color w:val="auto"/>
        </w:rPr>
        <w:t>o</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Rule101(b)(7):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3115310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3081020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019"/>
          </w:cols>
          <w:pgMar w:left="1440" w:top="14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The following exhibit is furnished herewith:</w:t>
      </w:r>
    </w:p>
    <w:p>
      <w:pPr>
        <w:spacing w:after="0" w:line="20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20"/>
          <w:szCs w:val="20"/>
          <w:color w:val="auto"/>
        </w:rPr>
        <w:t>Exhibit 99.1</w:t>
      </w:r>
      <w:r>
        <w:rPr>
          <w:sz w:val="20"/>
          <w:szCs w:val="20"/>
          <w:color w:val="auto"/>
        </w:rPr>
        <w:tab/>
      </w:r>
      <w:r>
        <w:rPr>
          <w:rFonts w:ascii="Times New Roman" w:cs="Times New Roman" w:eastAsia="Times New Roman" w:hAnsi="Times New Roman"/>
          <w:sz w:val="19"/>
          <w:szCs w:val="19"/>
          <w:color w:val="auto"/>
        </w:rPr>
        <w:t>Stellantis N.V. Interim Report as of and for the three and nine months ended September 30, 2026</w:t>
      </w:r>
    </w:p>
    <w:p>
      <w:pPr>
        <w:sectPr>
          <w:pgSz w:w="11900" w:h="16838" w:orient="portrait"/>
          <w:cols w:equalWidth="0" w:num="1">
            <w:col w:w="10139"/>
          </w:cols>
          <w:pgMar w:left="320" w:top="873"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74" w:lineRule="exact"/>
        <w:rPr>
          <w:sz w:val="20"/>
          <w:szCs w:val="20"/>
          <w:color w:val="auto"/>
        </w:rPr>
      </w:pPr>
    </w:p>
    <w:p>
      <w:pPr>
        <w:ind w:firstLine="180"/>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0"/>
        <w:spacing w:after="0"/>
        <w:tabs>
          <w:tab w:leader="none" w:pos="5460" w:val="left"/>
        </w:tabs>
        <w:rPr>
          <w:sz w:val="20"/>
          <w:szCs w:val="20"/>
          <w:color w:val="auto"/>
        </w:rPr>
      </w:pPr>
      <w:r>
        <w:rPr>
          <w:rFonts w:ascii="Times New Roman" w:cs="Times New Roman" w:eastAsia="Times New Roman" w:hAnsi="Times New Roman"/>
          <w:sz w:val="20"/>
          <w:szCs w:val="20"/>
          <w:color w:val="auto"/>
        </w:rPr>
        <w:t>Date: October 28, 2026</w:t>
      </w:r>
      <w:r>
        <w:rPr>
          <w:sz w:val="20"/>
          <w:szCs w:val="20"/>
          <w:color w:val="auto"/>
        </w:rPr>
        <w:tab/>
      </w:r>
      <w:r>
        <w:rPr>
          <w:rFonts w:ascii="Times New Roman" w:cs="Times New Roman" w:eastAsia="Times New Roman" w:hAnsi="Times New Roman"/>
          <w:sz w:val="19"/>
          <w:szCs w:val="19"/>
          <w:color w:val="auto"/>
        </w:rPr>
        <w:t>STELLANTIS N.V.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By: /s/ Joao Laranjo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22860</wp:posOffset>
            </wp:positionV>
            <wp:extent cx="2520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Name: Joao Laranjo</w:t>
      </w:r>
    </w:p>
    <w:p>
      <w:pPr>
        <w:spacing w:after="0" w:line="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00"/>
          </w:cols>
          <w:pgMar w:left="320" w:top="1152" w:right="37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20"/>
          <w:szCs w:val="20"/>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w:t>
      </w:r>
    </w:p>
    <w:p>
      <w:pPr>
        <w:spacing w:after="0" w:line="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u w:val="single" w:color="auto"/>
          <w:color w:val="auto"/>
        </w:rPr>
        <w:t>Number</w:t>
      </w:r>
      <w:r>
        <w:rPr>
          <w:sz w:val="20"/>
          <w:szCs w:val="20"/>
          <w:color w:val="auto"/>
        </w:rPr>
        <w:tab/>
      </w:r>
      <w:r>
        <w:rPr>
          <w:rFonts w:ascii="Times New Roman" w:cs="Times New Roman" w:eastAsia="Times New Roman" w:hAnsi="Times New Roman"/>
          <w:sz w:val="19"/>
          <w:szCs w:val="19"/>
          <w:u w:val="single" w:color="auto"/>
          <w:color w:val="auto"/>
        </w:rPr>
        <w:t>Description of Exhibit</w:t>
      </w:r>
    </w:p>
    <w:p>
      <w:pPr>
        <w:spacing w:after="0" w:line="227"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Stellantis N.V. Interim Report as of and for the three and nine months ended September 30, 2026</w:t>
      </w:r>
    </w:p>
    <w:p>
      <w:pPr>
        <w:sectPr>
          <w:pgSz w:w="11900" w:h="16838" w:orient="portrait"/>
          <w:cols w:equalWidth="0" w:num="1">
            <w:col w:w="10139"/>
          </w:cols>
          <w:pgMar w:left="320" w:top="909"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154940</wp:posOffset>
            </wp:positionV>
            <wp:extent cx="3008630" cy="84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863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36"/>
          <w:szCs w:val="36"/>
          <w:color w:val="auto"/>
        </w:rPr>
        <w:t>Interim Report</w:t>
      </w:r>
    </w:p>
    <w:p>
      <w:pPr>
        <w:spacing w:after="0" w:line="54" w:lineRule="exact"/>
        <w:rPr>
          <w:sz w:val="20"/>
          <w:szCs w:val="20"/>
          <w:color w:val="auto"/>
        </w:rPr>
      </w:pPr>
    </w:p>
    <w:p>
      <w:pPr>
        <w:jc w:val="center"/>
        <w:ind w:right="220"/>
        <w:spacing w:after="0"/>
        <w:rPr>
          <w:sz w:val="20"/>
          <w:szCs w:val="20"/>
          <w:color w:val="auto"/>
        </w:rPr>
      </w:pPr>
      <w:r>
        <w:rPr>
          <w:rFonts w:ascii="Arial" w:cs="Arial" w:eastAsia="Arial" w:hAnsi="Arial"/>
          <w:sz w:val="35"/>
          <w:szCs w:val="35"/>
          <w:color w:val="auto"/>
        </w:rPr>
        <w:t>As of and for the three and nine months ended September 30, 2026</w:t>
      </w:r>
    </w:p>
    <w:p>
      <w:pPr>
        <w:sectPr>
          <w:pgSz w:w="11900" w:h="16838" w:orient="portrait"/>
          <w:cols w:equalWidth="0" w:num="1">
            <w:col w:w="11000"/>
          </w:cols>
          <w:pgMar w:left="56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color w:val="143A84"/>
        </w:rPr>
        <w:t>TABLE OF CONTENTS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580" w:type="dxa"/>
            <w:vAlign w:val="bottom"/>
          </w:tcPr>
          <w:p>
            <w:pPr>
              <w:spacing w:after="0"/>
              <w:rPr>
                <w:sz w:val="21"/>
                <w:szCs w:val="21"/>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143A84"/>
              </w:rPr>
              <w:t>Page</w:t>
            </w:r>
          </w:p>
        </w:tc>
        <w:tc>
          <w:tcPr>
            <w:tcW w:w="0" w:type="dxa"/>
            <w:vAlign w:val="bottom"/>
          </w:tcPr>
          <w:p>
            <w:pPr>
              <w:spacing w:after="0"/>
              <w:rPr>
                <w:sz w:val="1"/>
                <w:szCs w:val="1"/>
                <w:color w:val="auto"/>
              </w:rPr>
            </w:pPr>
          </w:p>
        </w:tc>
      </w:tr>
      <w:tr>
        <w:trPr>
          <w:trHeight w:val="69"/>
        </w:trPr>
        <w:tc>
          <w:tcPr>
            <w:tcW w:w="10100" w:type="dxa"/>
            <w:vAlign w:val="bottom"/>
            <w:tcBorders>
              <w:bottom w:val="single" w:sz="8" w:color="8E939F"/>
            </w:tcBorders>
            <w:gridSpan w:val="3"/>
          </w:tcPr>
          <w:p>
            <w:pPr>
              <w:spacing w:after="0"/>
              <w:rPr>
                <w:sz w:val="6"/>
                <w:szCs w:val="6"/>
                <w:color w:val="auto"/>
              </w:rPr>
            </w:pPr>
          </w:p>
        </w:tc>
        <w:tc>
          <w:tcPr>
            <w:tcW w:w="1140" w:type="dxa"/>
            <w:vAlign w:val="bottom"/>
            <w:tcBorders>
              <w:bottom w:val="single" w:sz="8" w:color="8E939F"/>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10100" w:type="dxa"/>
            <w:vAlign w:val="bottom"/>
            <w:tcBorders>
              <w:bottom w:val="single" w:sz="8" w:color="8E939F"/>
            </w:tcBorders>
            <w:gridSpan w:val="3"/>
          </w:tcPr>
          <w:p>
            <w:pPr>
              <w:ind w:left="20"/>
              <w:spacing w:after="0"/>
              <w:rPr>
                <w:sz w:val="20"/>
                <w:szCs w:val="20"/>
                <w:color w:val="auto"/>
              </w:rPr>
            </w:pPr>
            <w:r>
              <w:rPr>
                <w:rFonts w:ascii="Arial" w:cs="Arial" w:eastAsia="Arial" w:hAnsi="Arial"/>
                <w:sz w:val="18"/>
                <w:szCs w:val="18"/>
                <w:b w:val="1"/>
                <w:bCs w:val="1"/>
                <w:color w:val="auto"/>
              </w:rPr>
              <w:t>CAUTIONARY STATEMENTS CONCERNING FORWARD-LOOKING STATEMENTS</w:t>
            </w:r>
          </w:p>
        </w:tc>
        <w:tc>
          <w:tcPr>
            <w:tcW w:w="1140" w:type="dxa"/>
            <w:vAlign w:val="bottom"/>
            <w:tcBorders>
              <w:bottom w:val="single" w:sz="8" w:color="8E939F"/>
            </w:tcBorders>
          </w:tcPr>
          <w:p>
            <w:pPr>
              <w:jc w:val="center"/>
              <w:ind w:right="30"/>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68"/>
        </w:trPr>
        <w:tc>
          <w:tcPr>
            <w:tcW w:w="10100" w:type="dxa"/>
            <w:vAlign w:val="bottom"/>
            <w:gridSpan w:val="3"/>
          </w:tcPr>
          <w:p>
            <w:pPr>
              <w:ind w:left="20"/>
              <w:spacing w:after="0"/>
              <w:rPr>
                <w:sz w:val="20"/>
                <w:szCs w:val="20"/>
                <w:color w:val="auto"/>
              </w:rPr>
            </w:pPr>
            <w:r>
              <w:rPr>
                <w:rFonts w:ascii="Arial" w:cs="Arial" w:eastAsia="Arial" w:hAnsi="Arial"/>
                <w:sz w:val="18"/>
                <w:szCs w:val="18"/>
                <w:b w:val="1"/>
                <w:bCs w:val="1"/>
                <w:color w:val="auto"/>
              </w:rPr>
              <w:t>CERTAIN DEFINED TERMS</w:t>
            </w: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20"/>
              <w:spacing w:after="0"/>
              <w:rPr>
                <w:sz w:val="20"/>
                <w:szCs w:val="20"/>
                <w:color w:val="auto"/>
              </w:rPr>
            </w:pPr>
            <w:r>
              <w:rPr>
                <w:rFonts w:ascii="Arial" w:cs="Arial" w:eastAsia="Arial" w:hAnsi="Arial"/>
                <w:sz w:val="18"/>
                <w:szCs w:val="18"/>
                <w:b w:val="1"/>
                <w:bCs w:val="1"/>
                <w:color w:val="auto"/>
              </w:rPr>
              <w:t>MANAGEMENT DISCUSSION AND ANALYSIS</w:t>
            </w: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76"/>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Highlights</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Non-GAAP financial measures</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84"/>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Company results</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Results by segment</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Liquidity and capital resources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Risks and uncertainties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300"/>
        </w:trPr>
        <w:tc>
          <w:tcPr>
            <w:tcW w:w="10100" w:type="dxa"/>
            <w:vAlign w:val="bottom"/>
            <w:tcBorders>
              <w:bottom w:val="single" w:sz="8" w:color="8E939F"/>
            </w:tcBorders>
            <w:gridSpan w:val="3"/>
          </w:tcPr>
          <w:p>
            <w:pPr>
              <w:ind w:left="20"/>
              <w:spacing w:after="0"/>
              <w:rPr>
                <w:sz w:val="20"/>
                <w:szCs w:val="20"/>
                <w:color w:val="auto"/>
              </w:rPr>
            </w:pPr>
            <w:r>
              <w:rPr>
                <w:rFonts w:ascii="Arial" w:cs="Arial" w:eastAsia="Arial" w:hAnsi="Arial"/>
                <w:sz w:val="18"/>
                <w:szCs w:val="18"/>
                <w:b w:val="1"/>
                <w:bCs w:val="1"/>
                <w:color w:val="auto"/>
              </w:rPr>
              <w:t>GUIDANCE AND OUTLOOK</w:t>
            </w:r>
          </w:p>
        </w:tc>
        <w:tc>
          <w:tcPr>
            <w:tcW w:w="1140" w:type="dxa"/>
            <w:vAlign w:val="bottom"/>
            <w:tcBorders>
              <w:bottom w:val="single" w:sz="8" w:color="8E939F"/>
            </w:tcBorders>
          </w:tcPr>
          <w:p>
            <w:pPr>
              <w:jc w:val="center"/>
              <w:ind w:right="50"/>
              <w:spacing w:after="0"/>
              <w:rPr>
                <w:sz w:val="20"/>
                <w:szCs w:val="20"/>
                <w:color w:val="auto"/>
              </w:rPr>
            </w:pPr>
            <w:r>
              <w:rPr>
                <w:rFonts w:ascii="Arial" w:cs="Arial" w:eastAsia="Arial" w:hAnsi="Arial"/>
                <w:sz w:val="18"/>
                <w:szCs w:val="18"/>
                <w:b w:val="1"/>
                <w:bCs w:val="1"/>
                <w:color w:val="auto"/>
                <w:w w:val="99"/>
              </w:rPr>
              <w:t>51</w:t>
            </w:r>
          </w:p>
        </w:tc>
        <w:tc>
          <w:tcPr>
            <w:tcW w:w="0" w:type="dxa"/>
            <w:vAlign w:val="bottom"/>
          </w:tcPr>
          <w:p>
            <w:pPr>
              <w:spacing w:after="0"/>
              <w:rPr>
                <w:sz w:val="1"/>
                <w:szCs w:val="1"/>
                <w:color w:val="auto"/>
              </w:rPr>
            </w:pPr>
          </w:p>
        </w:tc>
      </w:tr>
      <w:tr>
        <w:trPr>
          <w:trHeight w:val="189"/>
        </w:trPr>
        <w:tc>
          <w:tcPr>
            <w:tcW w:w="101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INTERIM CONDENSED CONSOLIDATED FINANCIAL STATEMENTS AND NOTES AS OF AND FOR THE THREE AND</w:t>
            </w: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52</w:t>
            </w:r>
          </w:p>
        </w:tc>
        <w:tc>
          <w:tcPr>
            <w:tcW w:w="0" w:type="dxa"/>
            <w:vAlign w:val="bottom"/>
          </w:tcPr>
          <w:p>
            <w:pPr>
              <w:spacing w:after="0"/>
              <w:rPr>
                <w:sz w:val="1"/>
                <w:szCs w:val="1"/>
                <w:color w:val="auto"/>
              </w:rPr>
            </w:pPr>
          </w:p>
        </w:tc>
      </w:tr>
      <w:tr>
        <w:trPr>
          <w:trHeight w:val="147"/>
        </w:trPr>
        <w:tc>
          <w:tcPr>
            <w:tcW w:w="10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NINE MONTHS ENDED SEPTEMBER 30, 2026</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0100" w:type="dxa"/>
            <w:vAlign w:val="bottom"/>
            <w:tcBorders>
              <w:bottom w:val="single" w:sz="8" w:color="8E939F"/>
            </w:tcBorders>
            <w:gridSpan w:val="3"/>
            <w:vMerge w:val="continue"/>
          </w:tcPr>
          <w:p>
            <w:pPr>
              <w:spacing w:after="0"/>
              <w:rPr>
                <w:sz w:val="8"/>
                <w:szCs w:val="8"/>
                <w:color w:val="auto"/>
              </w:rPr>
            </w:pPr>
          </w:p>
        </w:tc>
        <w:tc>
          <w:tcPr>
            <w:tcW w:w="114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Interim Condensed Consolidated Income Statement</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84"/>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Interim Condensed Consolidated Statement of Comprehensive Income</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Interim Condensed Consolidated Statement of Financial Position</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84"/>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Interim Condensed Consolidated Statement of Cash Flows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Interim Condensed Consolidated Statement of Changes in Equity</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140"/>
              <w:spacing w:after="0"/>
              <w:rPr>
                <w:sz w:val="20"/>
                <w:szCs w:val="20"/>
                <w:color w:val="auto"/>
              </w:rPr>
            </w:pPr>
            <w:r>
              <w:rPr>
                <w:rFonts w:ascii="Arial" w:cs="Arial" w:eastAsia="Arial" w:hAnsi="Arial"/>
                <w:sz w:val="18"/>
                <w:szCs w:val="18"/>
                <w:color w:val="auto"/>
              </w:rPr>
              <w:t>Notes to the Interim Condensed Consolidated Financial Statements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84"/>
        </w:trPr>
        <w:tc>
          <w:tcPr>
            <w:tcW w:w="420" w:type="dxa"/>
            <w:vAlign w:val="bottom"/>
          </w:tcPr>
          <w:p>
            <w:pPr>
              <w:ind w:left="240"/>
              <w:spacing w:after="0"/>
              <w:rPr>
                <w:sz w:val="20"/>
                <w:szCs w:val="20"/>
                <w:color w:val="auto"/>
              </w:rPr>
            </w:pPr>
            <w:r>
              <w:rPr>
                <w:rFonts w:ascii="Arial" w:cs="Arial" w:eastAsia="Arial" w:hAnsi="Arial"/>
                <w:sz w:val="18"/>
                <w:szCs w:val="18"/>
                <w:color w:val="auto"/>
              </w:rPr>
              <w:t>1.</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Basis of preparation</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2.</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Scope of consolidation</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3.</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Net revenues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84"/>
        </w:trPr>
        <w:tc>
          <w:tcPr>
            <w:tcW w:w="420" w:type="dxa"/>
            <w:vAlign w:val="bottom"/>
          </w:tcPr>
          <w:p>
            <w:pPr>
              <w:ind w:left="240"/>
              <w:spacing w:after="0"/>
              <w:rPr>
                <w:sz w:val="20"/>
                <w:szCs w:val="20"/>
                <w:color w:val="auto"/>
              </w:rPr>
            </w:pPr>
            <w:r>
              <w:rPr>
                <w:rFonts w:ascii="Arial" w:cs="Arial" w:eastAsia="Arial" w:hAnsi="Arial"/>
                <w:sz w:val="18"/>
                <w:szCs w:val="18"/>
                <w:color w:val="auto"/>
              </w:rPr>
              <w:t>4.</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Net financial expenses/(income)</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5.</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Tax expense/(benefit)</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6.</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Goodwill and intangible assets with indefinite useful lives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84"/>
        </w:trPr>
        <w:tc>
          <w:tcPr>
            <w:tcW w:w="420" w:type="dxa"/>
            <w:vAlign w:val="bottom"/>
          </w:tcPr>
          <w:p>
            <w:pPr>
              <w:ind w:left="240"/>
              <w:spacing w:after="0"/>
              <w:rPr>
                <w:sz w:val="20"/>
                <w:szCs w:val="20"/>
                <w:color w:val="auto"/>
              </w:rPr>
            </w:pPr>
            <w:r>
              <w:rPr>
                <w:rFonts w:ascii="Arial" w:cs="Arial" w:eastAsia="Arial" w:hAnsi="Arial"/>
                <w:sz w:val="18"/>
                <w:szCs w:val="18"/>
                <w:color w:val="auto"/>
              </w:rPr>
              <w:t>7.</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Investments accounted for using equity method</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8.</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Other assets and prepaid expenses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83"/>
        </w:trPr>
        <w:tc>
          <w:tcPr>
            <w:tcW w:w="420" w:type="dxa"/>
            <w:vAlign w:val="bottom"/>
          </w:tcPr>
          <w:p>
            <w:pPr>
              <w:ind w:left="240"/>
              <w:spacing w:after="0"/>
              <w:rPr>
                <w:sz w:val="20"/>
                <w:szCs w:val="20"/>
                <w:color w:val="auto"/>
              </w:rPr>
            </w:pPr>
            <w:r>
              <w:rPr>
                <w:rFonts w:ascii="Arial" w:cs="Arial" w:eastAsia="Arial" w:hAnsi="Arial"/>
                <w:sz w:val="18"/>
                <w:szCs w:val="18"/>
                <w:color w:val="auto"/>
              </w:rPr>
              <w:t>9.</w:t>
            </w:r>
          </w:p>
        </w:tc>
        <w:tc>
          <w:tcPr>
            <w:tcW w:w="9680" w:type="dxa"/>
            <w:vAlign w:val="bottom"/>
            <w:gridSpan w:val="2"/>
          </w:tcPr>
          <w:p>
            <w:pPr>
              <w:ind w:left="20"/>
              <w:spacing w:after="0"/>
              <w:rPr>
                <w:sz w:val="20"/>
                <w:szCs w:val="20"/>
                <w:color w:val="auto"/>
              </w:rPr>
            </w:pPr>
            <w:r>
              <w:rPr>
                <w:rFonts w:ascii="Arial" w:cs="Arial" w:eastAsia="Arial" w:hAnsi="Arial"/>
                <w:sz w:val="18"/>
                <w:szCs w:val="18"/>
                <w:color w:val="auto"/>
              </w:rPr>
              <w:t>Financial assets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10.</w:t>
            </w:r>
          </w:p>
        </w:tc>
        <w:tc>
          <w:tcPr>
            <w:tcW w:w="9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83"/>
        </w:trPr>
        <w:tc>
          <w:tcPr>
            <w:tcW w:w="10100" w:type="dxa"/>
            <w:vAlign w:val="bottom"/>
            <w:gridSpan w:val="3"/>
          </w:tcPr>
          <w:p>
            <w:pPr>
              <w:ind w:left="240"/>
              <w:spacing w:after="0"/>
              <w:rPr>
                <w:sz w:val="20"/>
                <w:szCs w:val="20"/>
                <w:color w:val="auto"/>
              </w:rPr>
            </w:pPr>
            <w:r>
              <w:rPr>
                <w:rFonts w:ascii="Arial" w:cs="Arial" w:eastAsia="Arial" w:hAnsi="Arial"/>
                <w:sz w:val="18"/>
                <w:szCs w:val="18"/>
                <w:color w:val="auto"/>
              </w:rPr>
              <w:t>11. Share-based compensation</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83"/>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12.</w:t>
            </w:r>
          </w:p>
        </w:tc>
        <w:tc>
          <w:tcPr>
            <w:tcW w:w="9580" w:type="dxa"/>
            <w:vAlign w:val="bottom"/>
          </w:tcPr>
          <w:p>
            <w:pPr>
              <w:ind w:left="20"/>
              <w:spacing w:after="0"/>
              <w:rPr>
                <w:sz w:val="20"/>
                <w:szCs w:val="20"/>
                <w:color w:val="auto"/>
              </w:rPr>
            </w:pPr>
            <w:r>
              <w:rPr>
                <w:rFonts w:ascii="Arial" w:cs="Arial" w:eastAsia="Arial" w:hAnsi="Arial"/>
                <w:sz w:val="18"/>
                <w:szCs w:val="18"/>
                <w:color w:val="auto"/>
              </w:rPr>
              <w:t>Employee benefits liabilities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13.</w:t>
            </w:r>
          </w:p>
        </w:tc>
        <w:tc>
          <w:tcPr>
            <w:tcW w:w="9580" w:type="dxa"/>
            <w:vAlign w:val="bottom"/>
          </w:tcPr>
          <w:p>
            <w:pPr>
              <w:ind w:left="20"/>
              <w:spacing w:after="0"/>
              <w:rPr>
                <w:sz w:val="20"/>
                <w:szCs w:val="20"/>
                <w:color w:val="auto"/>
              </w:rPr>
            </w:pPr>
            <w:r>
              <w:rPr>
                <w:rFonts w:ascii="Arial" w:cs="Arial" w:eastAsia="Arial" w:hAnsi="Arial"/>
                <w:sz w:val="18"/>
                <w:szCs w:val="18"/>
                <w:color w:val="auto"/>
              </w:rPr>
              <w:t>Provisions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83"/>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14.</w:t>
            </w:r>
          </w:p>
        </w:tc>
        <w:tc>
          <w:tcPr>
            <w:tcW w:w="9580" w:type="dxa"/>
            <w:vAlign w:val="bottom"/>
          </w:tcPr>
          <w:p>
            <w:pPr>
              <w:ind w:left="20"/>
              <w:spacing w:after="0"/>
              <w:rPr>
                <w:sz w:val="20"/>
                <w:szCs w:val="20"/>
                <w:color w:val="auto"/>
              </w:rPr>
            </w:pPr>
            <w:r>
              <w:rPr>
                <w:rFonts w:ascii="Arial" w:cs="Arial" w:eastAsia="Arial" w:hAnsi="Arial"/>
                <w:sz w:val="18"/>
                <w:szCs w:val="18"/>
                <w:color w:val="auto"/>
              </w:rPr>
              <w:t>Debt</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15.</w:t>
            </w:r>
          </w:p>
        </w:tc>
        <w:tc>
          <w:tcPr>
            <w:tcW w:w="9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16.</w:t>
            </w:r>
          </w:p>
        </w:tc>
        <w:tc>
          <w:tcPr>
            <w:tcW w:w="9580" w:type="dxa"/>
            <w:vAlign w:val="bottom"/>
          </w:tcPr>
          <w:p>
            <w:pPr>
              <w:ind w:left="20"/>
              <w:spacing w:after="0"/>
              <w:rPr>
                <w:sz w:val="20"/>
                <w:szCs w:val="20"/>
                <w:color w:val="auto"/>
              </w:rPr>
            </w:pPr>
            <w:r>
              <w:rPr>
                <w:rFonts w:ascii="Arial" w:cs="Arial" w:eastAsia="Arial" w:hAnsi="Arial"/>
                <w:sz w:val="18"/>
                <w:szCs w:val="18"/>
                <w:color w:val="auto"/>
              </w:rPr>
              <w:t>Fair value measurement</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83"/>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17.</w:t>
            </w:r>
          </w:p>
        </w:tc>
        <w:tc>
          <w:tcPr>
            <w:tcW w:w="9580" w:type="dxa"/>
            <w:vAlign w:val="bottom"/>
          </w:tcPr>
          <w:p>
            <w:pPr>
              <w:ind w:left="20"/>
              <w:spacing w:after="0"/>
              <w:rPr>
                <w:sz w:val="20"/>
                <w:szCs w:val="20"/>
                <w:color w:val="auto"/>
              </w:rPr>
            </w:pPr>
            <w:r>
              <w:rPr>
                <w:rFonts w:ascii="Arial" w:cs="Arial" w:eastAsia="Arial" w:hAnsi="Arial"/>
                <w:sz w:val="18"/>
                <w:szCs w:val="18"/>
                <w:color w:val="auto"/>
              </w:rPr>
              <w:t>Related party transactions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18.</w:t>
            </w:r>
          </w:p>
        </w:tc>
        <w:tc>
          <w:tcPr>
            <w:tcW w:w="9580" w:type="dxa"/>
            <w:vAlign w:val="bottom"/>
          </w:tcPr>
          <w:p>
            <w:pPr>
              <w:ind w:left="20"/>
              <w:spacing w:after="0"/>
              <w:rPr>
                <w:sz w:val="20"/>
                <w:szCs w:val="20"/>
                <w:color w:val="auto"/>
              </w:rPr>
            </w:pPr>
            <w:r>
              <w:rPr>
                <w:rFonts w:ascii="Arial" w:cs="Arial" w:eastAsia="Arial" w:hAnsi="Arial"/>
                <w:sz w:val="18"/>
                <w:szCs w:val="18"/>
                <w:color w:val="auto"/>
              </w:rPr>
              <w:t>Guarantees granted, commitments and contingent liabilities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19.</w:t>
            </w:r>
          </w:p>
        </w:tc>
        <w:tc>
          <w:tcPr>
            <w:tcW w:w="9580" w:type="dxa"/>
            <w:vAlign w:val="bottom"/>
          </w:tcPr>
          <w:p>
            <w:pPr>
              <w:ind w:left="20"/>
              <w:spacing w:after="0"/>
              <w:rPr>
                <w:sz w:val="20"/>
                <w:szCs w:val="20"/>
                <w:color w:val="auto"/>
              </w:rPr>
            </w:pPr>
            <w:r>
              <w:rPr>
                <w:rFonts w:ascii="Arial" w:cs="Arial" w:eastAsia="Arial" w:hAnsi="Arial"/>
                <w:sz w:val="18"/>
                <w:szCs w:val="18"/>
                <w:color w:val="auto"/>
              </w:rPr>
              <w:t>Equity</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83"/>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20.</w:t>
            </w:r>
          </w:p>
        </w:tc>
        <w:tc>
          <w:tcPr>
            <w:tcW w:w="9580" w:type="dxa"/>
            <w:vAlign w:val="bottom"/>
          </w:tcPr>
          <w:p>
            <w:pPr>
              <w:ind w:left="20"/>
              <w:spacing w:after="0"/>
              <w:rPr>
                <w:sz w:val="20"/>
                <w:szCs w:val="20"/>
                <w:color w:val="auto"/>
              </w:rPr>
            </w:pPr>
            <w:r>
              <w:rPr>
                <w:rFonts w:ascii="Arial" w:cs="Arial" w:eastAsia="Arial" w:hAnsi="Arial"/>
                <w:sz w:val="18"/>
                <w:szCs w:val="18"/>
                <w:color w:val="auto"/>
              </w:rPr>
              <w:t>Earnings/(loss) per share</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81</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21.</w:t>
            </w:r>
          </w:p>
        </w:tc>
        <w:tc>
          <w:tcPr>
            <w:tcW w:w="9580" w:type="dxa"/>
            <w:vAlign w:val="bottom"/>
          </w:tcPr>
          <w:p>
            <w:pPr>
              <w:ind w:left="20"/>
              <w:spacing w:after="0"/>
              <w:rPr>
                <w:sz w:val="20"/>
                <w:szCs w:val="20"/>
                <w:color w:val="auto"/>
              </w:rPr>
            </w:pPr>
            <w:r>
              <w:rPr>
                <w:rFonts w:ascii="Arial" w:cs="Arial" w:eastAsia="Arial" w:hAnsi="Arial"/>
                <w:sz w:val="18"/>
                <w:szCs w:val="18"/>
                <w:color w:val="auto"/>
              </w:rPr>
              <w:t>Segment reporting</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82</w:t>
            </w:r>
          </w:p>
        </w:tc>
        <w:tc>
          <w:tcPr>
            <w:tcW w:w="0" w:type="dxa"/>
            <w:vAlign w:val="bottom"/>
          </w:tcPr>
          <w:p>
            <w:pPr>
              <w:spacing w:after="0"/>
              <w:rPr>
                <w:sz w:val="1"/>
                <w:szCs w:val="1"/>
                <w:color w:val="auto"/>
              </w:rPr>
            </w:pPr>
          </w:p>
        </w:tc>
      </w:tr>
      <w:tr>
        <w:trPr>
          <w:trHeight w:val="284"/>
        </w:trPr>
        <w:tc>
          <w:tcPr>
            <w:tcW w:w="520" w:type="dxa"/>
            <w:vAlign w:val="bottom"/>
            <w:gridSpan w:val="2"/>
          </w:tcPr>
          <w:p>
            <w:pPr>
              <w:ind w:left="240"/>
              <w:spacing w:after="0"/>
              <w:rPr>
                <w:sz w:val="20"/>
                <w:szCs w:val="20"/>
                <w:color w:val="auto"/>
              </w:rPr>
            </w:pPr>
            <w:r>
              <w:rPr>
                <w:rFonts w:ascii="Arial" w:cs="Arial" w:eastAsia="Arial" w:hAnsi="Arial"/>
                <w:sz w:val="18"/>
                <w:szCs w:val="18"/>
                <w:color w:val="auto"/>
              </w:rPr>
              <w:t>22.</w:t>
            </w:r>
          </w:p>
        </w:tc>
        <w:tc>
          <w:tcPr>
            <w:tcW w:w="9580" w:type="dxa"/>
            <w:vAlign w:val="bottom"/>
          </w:tcPr>
          <w:p>
            <w:pPr>
              <w:ind w:left="20"/>
              <w:spacing w:after="0"/>
              <w:rPr>
                <w:sz w:val="20"/>
                <w:szCs w:val="20"/>
                <w:color w:val="auto"/>
              </w:rPr>
            </w:pPr>
            <w:r>
              <w:rPr>
                <w:rFonts w:ascii="Arial" w:cs="Arial" w:eastAsia="Arial" w:hAnsi="Arial"/>
                <w:sz w:val="18"/>
                <w:szCs w:val="18"/>
                <w:color w:val="auto"/>
              </w:rPr>
              <w:t>Subsequent events</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3"/>
        </w:trPr>
        <w:tc>
          <w:tcPr>
            <w:tcW w:w="42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958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5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592"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color w:val="143A84"/>
        </w:rPr>
        <w:t>CAUTIONARY STATEMENTS CONCERNING FORWARD-LOOKING STATEMENTS</w:t>
      </w:r>
    </w:p>
    <w:p>
      <w:pPr>
        <w:spacing w:after="0" w:line="256"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Statements contained in this report, particularly those regarding possible or assumed future performance, competitive strengths, costs, dividends, reserves, our growth, industry growth and other trends and projections and estimated company earnings are “forward-looking statements” that contain risks and uncertainties. In some cases, words such as “may”, “will”, “expect”, “could”, “should”, “intend”, “estimate”, “anticipate”, “believe”, “remain”, “on track”, “design”, “target”, “objective”, “goal”, “forecast”, “projection”, “outlook”, “prospects”, “plan”, or similar terms are used to identify forward-looking statements. These forward-looking statements reflect our current views with respect to future events and involve significant risks and uncertainties that could cause actual results to differ materially.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without limitation:</w:t>
      </w:r>
    </w:p>
    <w:p>
      <w:pPr>
        <w:spacing w:after="0" w:line="26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maintain vehicle shipment volumes;</w:t>
      </w:r>
    </w:p>
    <w:p>
      <w:pPr>
        <w:spacing w:after="0" w:line="157" w:lineRule="exact"/>
        <w:rPr>
          <w:rFonts w:ascii="Arial" w:cs="Arial" w:eastAsia="Arial" w:hAnsi="Arial"/>
          <w:sz w:val="18"/>
          <w:szCs w:val="18"/>
          <w:color w:val="143A84"/>
        </w:rPr>
      </w:pPr>
    </w:p>
    <w:p>
      <w:pPr>
        <w:ind w:left="160" w:right="20" w:hanging="152"/>
        <w:spacing w:after="0" w:line="334" w:lineRule="auto"/>
        <w:tabs>
          <w:tab w:leader="none" w:pos="121" w:val="left"/>
        </w:tabs>
        <w:numPr>
          <w:ilvl w:val="0"/>
          <w:numId w:val="1"/>
        </w:numPr>
        <w:rPr>
          <w:rFonts w:ascii="Arial" w:cs="Arial" w:eastAsia="Arial" w:hAnsi="Arial"/>
          <w:sz w:val="18"/>
          <w:szCs w:val="18"/>
          <w:color w:val="143A84"/>
        </w:rPr>
      </w:pPr>
      <w:r>
        <w:rPr>
          <w:rFonts w:ascii="Arial" w:cs="Arial" w:eastAsia="Arial" w:hAnsi="Arial"/>
          <w:sz w:val="18"/>
          <w:szCs w:val="18"/>
          <w:color w:val="auto"/>
        </w:rPr>
        <w:t>changes in the global financial markets, general economic environment and changes in demand for automotive products, which is subject to cyclicality;</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changes in trade policy, the imposition of global and regional tariffs or tariffs targeted to the automotive industry;</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accurately predict the market demand for electrified vehicles;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offer innovative, attractive and relevant products;</w:t>
      </w:r>
    </w:p>
    <w:p>
      <w:pPr>
        <w:spacing w:after="0" w:line="157" w:lineRule="exact"/>
        <w:rPr>
          <w:rFonts w:ascii="Arial" w:cs="Arial" w:eastAsia="Arial" w:hAnsi="Arial"/>
          <w:sz w:val="18"/>
          <w:szCs w:val="18"/>
          <w:color w:val="143A84"/>
        </w:rPr>
      </w:pPr>
    </w:p>
    <w:p>
      <w:pPr>
        <w:ind w:left="160" w:right="280" w:hanging="152"/>
        <w:spacing w:after="0" w:line="334" w:lineRule="auto"/>
        <w:tabs>
          <w:tab w:leader="none" w:pos="121" w:val="left"/>
        </w:tabs>
        <w:numPr>
          <w:ilvl w:val="0"/>
          <w:numId w:val="1"/>
        </w:numPr>
        <w:rPr>
          <w:rFonts w:ascii="Arial" w:cs="Arial" w:eastAsia="Arial" w:hAnsi="Arial"/>
          <w:sz w:val="18"/>
          <w:szCs w:val="18"/>
          <w:color w:val="143A84"/>
        </w:rPr>
      </w:pPr>
      <w:r>
        <w:rPr>
          <w:rFonts w:ascii="Arial" w:cs="Arial" w:eastAsia="Arial" w:hAnsi="Arial"/>
          <w:sz w:val="18"/>
          <w:szCs w:val="18"/>
          <w:color w:val="auto"/>
        </w:rPr>
        <w:t>a significant malfunction, disruption or security breach compromising information technology systems or the electronic control systems contained in our vehicles;</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the level of competition in the automotive industry, which may increase due to consolidation and new entrants;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attract and retain experienced management and employees;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exchange rate fluctuations, interest rate changes, credit risk and other market risks;</w:t>
      </w:r>
    </w:p>
    <w:p>
      <w:pPr>
        <w:spacing w:after="0" w:line="171"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increases in costs, disruptions of supply or shortages of raw materials, parts, components and systems used in our vehicles;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changes in local economic and political conditions;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the enactment of tax reforms or other changes in laws and regulations;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the level of governmental economic incentives available to support the adoption of battery electric vehicles;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the impact of increasingly stringent regulations regarding fuel efficiency and greenhouse gas (“GHG”) and tailpipe emissions;</w:t>
      </w:r>
    </w:p>
    <w:p>
      <w:pPr>
        <w:spacing w:after="0" w:line="157" w:lineRule="exact"/>
        <w:rPr>
          <w:rFonts w:ascii="Arial" w:cs="Arial" w:eastAsia="Arial" w:hAnsi="Arial"/>
          <w:sz w:val="18"/>
          <w:szCs w:val="18"/>
          <w:color w:val="143A84"/>
        </w:rPr>
      </w:pPr>
    </w:p>
    <w:p>
      <w:pPr>
        <w:ind w:left="160" w:right="40" w:hanging="152"/>
        <w:spacing w:after="0" w:line="334" w:lineRule="auto"/>
        <w:tabs>
          <w:tab w:leader="none" w:pos="121" w:val="left"/>
        </w:tabs>
        <w:numPr>
          <w:ilvl w:val="0"/>
          <w:numId w:val="1"/>
        </w:numPr>
        <w:rPr>
          <w:rFonts w:ascii="Arial" w:cs="Arial" w:eastAsia="Arial" w:hAnsi="Arial"/>
          <w:sz w:val="18"/>
          <w:szCs w:val="18"/>
          <w:color w:val="143A84"/>
        </w:rPr>
      </w:pPr>
      <w:r>
        <w:rPr>
          <w:rFonts w:ascii="Arial" w:cs="Arial" w:eastAsia="Arial" w:hAnsi="Arial"/>
          <w:sz w:val="18"/>
          <w:szCs w:val="18"/>
          <w:color w:val="auto"/>
        </w:rPr>
        <w:t>various types of claims, lawsuits, governmental investigations and other contingencies, including product liability and warranty claims and environmental claims, investigations and lawsuits;</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material operating expenditures in relation to compliance with environmental, health and safety regulations;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exposure to shortfalls in the funding of our defined benefit pension plans;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provide or arrange for access to adequate financing for dealers and retail customers;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risks related to the operation of financial services companies;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1"/>
        </w:numPr>
        <w:rPr>
          <w:rFonts w:ascii="Arial" w:cs="Arial" w:eastAsia="Arial" w:hAnsi="Arial"/>
          <w:sz w:val="18"/>
          <w:szCs w:val="18"/>
          <w:color w:val="143A84"/>
        </w:rPr>
      </w:pPr>
      <w:r>
        <w:rPr>
          <w:rFonts w:ascii="Arial" w:cs="Arial" w:eastAsia="Arial" w:hAnsi="Arial"/>
          <w:sz w:val="18"/>
          <w:szCs w:val="18"/>
          <w:color w:val="auto"/>
        </w:rPr>
        <w:t>our ability to access funding to execute our business plan;</w:t>
      </w:r>
    </w:p>
    <w:p>
      <w:pPr>
        <w:sectPr>
          <w:pgSz w:w="11900" w:h="16838" w:orient="portrait"/>
          <w:cols w:equalWidth="0" w:num="1">
            <w:col w:w="11060"/>
          </w:cols>
          <w:pgMar w:left="32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60"/>
          </w:cols>
          <w:pgMar w:left="320" w:top="1440" w:right="51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our ability to realize anticipated benefits from joint venture arrangements;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disruptions arising from political, social and economic instability;</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risks associated with our relationships with employees, dealers and suppliers;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our ability to maintain effective internal controls over financial reporting;</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developments in labor and industrial relations and developments in applicable labor laws;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earthquakes or other disasters; and</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2"/>
        </w:numPr>
        <w:rPr>
          <w:rFonts w:ascii="Arial" w:cs="Arial" w:eastAsia="Arial" w:hAnsi="Arial"/>
          <w:sz w:val="18"/>
          <w:szCs w:val="18"/>
          <w:color w:val="143A84"/>
        </w:rPr>
      </w:pPr>
      <w:r>
        <w:rPr>
          <w:rFonts w:ascii="Arial" w:cs="Arial" w:eastAsia="Arial" w:hAnsi="Arial"/>
          <w:sz w:val="18"/>
          <w:szCs w:val="18"/>
          <w:color w:val="auto"/>
        </w:rPr>
        <w:t>other factors discussed elsewhere in this report.</w:t>
      </w:r>
    </w:p>
    <w:p>
      <w:pPr>
        <w:spacing w:after="0" w:line="266"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Furthermore, in light of the inherent difficulty in forecasting future results, any estimates or forecasts of particular periods that are provided in this report are uncertain. We expressly disclaim and do not assume any liability in connection with any inaccuracies in any of the forward-looking statements in this report or in connection with any use by any third party of such forward-looking statements. Actual results could differ materially from those anticipated in such forward-looking statements. We do not undertake an obligation to update or revise publicly any forward-looking statements.</w:t>
      </w:r>
    </w:p>
    <w:p>
      <w:pPr>
        <w:spacing w:after="0" w:line="175" w:lineRule="exact"/>
        <w:rPr>
          <w:sz w:val="20"/>
          <w:szCs w:val="20"/>
          <w:color w:val="auto"/>
        </w:rPr>
      </w:pPr>
    </w:p>
    <w:p>
      <w:pPr>
        <w:ind w:right="520"/>
        <w:spacing w:after="0" w:line="334" w:lineRule="auto"/>
        <w:rPr>
          <w:sz w:val="20"/>
          <w:szCs w:val="20"/>
          <w:color w:val="auto"/>
        </w:rPr>
      </w:pPr>
      <w:r>
        <w:rPr>
          <w:rFonts w:ascii="Arial" w:cs="Arial" w:eastAsia="Arial" w:hAnsi="Arial"/>
          <w:sz w:val="18"/>
          <w:szCs w:val="18"/>
          <w:color w:val="auto"/>
        </w:rPr>
        <w:t xml:space="preserve">Additional factors which could cause actual results and developments to differ from those expressed or implied by the forward-looking statements are included in the section — </w:t>
      </w:r>
      <w:r>
        <w:rPr>
          <w:rFonts w:ascii="Arial" w:cs="Arial" w:eastAsia="Arial" w:hAnsi="Arial"/>
          <w:sz w:val="18"/>
          <w:szCs w:val="18"/>
          <w:i w:val="1"/>
          <w:iCs w:val="1"/>
          <w:color w:val="auto"/>
        </w:rPr>
        <w:t>Risks and uncertainties</w:t>
      </w:r>
      <w:r>
        <w:rPr>
          <w:rFonts w:ascii="Arial" w:cs="Arial" w:eastAsia="Arial" w:hAnsi="Arial"/>
          <w:sz w:val="18"/>
          <w:szCs w:val="18"/>
          <w:color w:val="auto"/>
        </w:rPr>
        <w:t xml:space="preserve"> of this Interim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1440" w:right="4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color w:val="143A84"/>
        </w:rPr>
        <w:t>CERTAIN DEFINED TERMS</w:t>
      </w:r>
    </w:p>
    <w:p>
      <w:pPr>
        <w:spacing w:after="0" w:line="256"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color w:val="auto"/>
        </w:rPr>
        <w:t>In this Interim Report, unless otherwise specified, the terms “we”, “our”, “us”, the “Company” and “Stellantis” refer to Stellantis N.V., together with its consolidated subsidiaries, or any one or more of them, as the context may require. This terminology does not affect the separate corporate status of the referenced legal entities, each of which is only responsible for its own obligations.</w:t>
      </w:r>
    </w:p>
    <w:p>
      <w:pPr>
        <w:spacing w:after="0" w:line="163" w:lineRule="exact"/>
        <w:rPr>
          <w:sz w:val="20"/>
          <w:szCs w:val="20"/>
          <w:color w:val="auto"/>
        </w:rPr>
      </w:pPr>
    </w:p>
    <w:p>
      <w:pPr>
        <w:ind w:right="540"/>
        <w:spacing w:after="0" w:line="334" w:lineRule="auto"/>
        <w:rPr>
          <w:sz w:val="20"/>
          <w:szCs w:val="20"/>
          <w:color w:val="auto"/>
        </w:rPr>
      </w:pPr>
      <w:r>
        <w:rPr>
          <w:rFonts w:ascii="Arial" w:cs="Arial" w:eastAsia="Arial" w:hAnsi="Arial"/>
          <w:sz w:val="18"/>
          <w:szCs w:val="18"/>
          <w:color w:val="auto"/>
        </w:rPr>
        <w:t>References to “the merger” refer to the merger between PSA and FCA completed on January 16, 2021 and resulting in the creation of Stellantis.</w:t>
      </w:r>
    </w:p>
    <w:p>
      <w:pPr>
        <w:spacing w:after="0" w:line="153" w:lineRule="exact"/>
        <w:rPr>
          <w:sz w:val="20"/>
          <w:szCs w:val="20"/>
          <w:color w:val="auto"/>
        </w:rPr>
      </w:pPr>
    </w:p>
    <w:p>
      <w:pPr>
        <w:ind w:right="300"/>
        <w:spacing w:after="0" w:line="334" w:lineRule="auto"/>
        <w:rPr>
          <w:sz w:val="20"/>
          <w:szCs w:val="20"/>
          <w:color w:val="auto"/>
        </w:rPr>
      </w:pPr>
      <w:r>
        <w:rPr>
          <w:rFonts w:ascii="Arial" w:cs="Arial" w:eastAsia="Arial" w:hAnsi="Arial"/>
          <w:sz w:val="18"/>
          <w:szCs w:val="18"/>
          <w:color w:val="auto"/>
        </w:rPr>
        <w:t>References to “FCA” mean Fiat Chrysler Automobiles N.V. together with its consolidated subsidiaries, or any one or more of them, as the context may require.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References to “PSA” mean Peugeot S.A. together with its consolidated subsidiaries, or any one or more of them, as the context may require.</w:t>
      </w:r>
    </w:p>
    <w:p>
      <w:pPr>
        <w:spacing w:after="0" w:line="266"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 xml:space="preserve">References to “Leapmotor” or “LPM” mean Zhejiang Leapmotor Technology Co., Ltd. For further details on this relationship, refer to Note 12, </w:t>
      </w:r>
      <w:r>
        <w:rPr>
          <w:rFonts w:ascii="Arial" w:cs="Arial" w:eastAsia="Arial" w:hAnsi="Arial"/>
          <w:sz w:val="18"/>
          <w:szCs w:val="18"/>
          <w:i w:val="1"/>
          <w:iCs w:val="1"/>
          <w:color w:val="auto"/>
        </w:rPr>
        <w:t xml:space="preserve">Investments accounted for using the equity method </w:t>
      </w:r>
      <w:r>
        <w:rPr>
          <w:rFonts w:ascii="Arial" w:cs="Arial" w:eastAsia="Arial" w:hAnsi="Arial"/>
          <w:sz w:val="18"/>
          <w:szCs w:val="18"/>
          <w:color w:val="auto"/>
        </w:rPr>
        <w:t>of the Consolidated Financial Statements for the year ended December 31, 2025.</w:t>
      </w:r>
    </w:p>
    <w:p>
      <w:pPr>
        <w:spacing w:after="0" w:line="153"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auto"/>
        </w:rPr>
        <w:t>References to “Leapmotor International” mean a jointly established Stellantis-controlled company created in 2024 and owned 51 percent by Stellantis and 49 percent by Leapmotor, to distribute Leapmotor-branded vehicles outside of China.</w:t>
      </w:r>
    </w:p>
    <w:p>
      <w:pPr>
        <w:spacing w:after="0" w:line="153"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References to “SFS U.S.” means Stellantis Financial Services U.S. Corp together with its consolidated subsidiaries, or any one or more of them, as the context may require.</w:t>
      </w:r>
    </w:p>
    <w:p>
      <w:pPr>
        <w:spacing w:after="0" w:line="153"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All references in this Interim Report to “Euro” and “€” refer to the currency issued by the European Central Bank. Stellantis’ financial information is presented in Euro. All references to “U.S. Dollars”, “U.S. Dollar”, “USD” and “$” refer to the currency of the United States of America (“U.S.”). All figures shown are rounded to the nearest tenth of unit presented. Certain totals in the tables included in this report may not add due to rounding.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Interim Report is furnished to the U.S. Securities and Exchange Commission (“SEC”) on Form 6-K.</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440" w:right="3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color w:val="143A84"/>
        </w:rPr>
        <w:t>MANAGEMENT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Highlights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80" w:type="dxa"/>
            <w:vAlign w:val="bottom"/>
            <w:tcBorders>
              <w:bottom w:val="single" w:sz="8" w:color="8E939F"/>
            </w:tcBorders>
            <w:gridSpan w:val="3"/>
          </w:tcPr>
          <w:p>
            <w:pPr>
              <w:jc w:val="right"/>
              <w:ind w:right="339"/>
              <w:spacing w:after="0"/>
              <w:rPr>
                <w:sz w:val="20"/>
                <w:szCs w:val="20"/>
                <w:color w:val="auto"/>
              </w:rPr>
            </w:pPr>
            <w:r>
              <w:rPr>
                <w:rFonts w:ascii="Arial" w:cs="Arial" w:eastAsia="Arial" w:hAnsi="Arial"/>
                <w:sz w:val="16"/>
                <w:szCs w:val="16"/>
                <w:b w:val="1"/>
                <w:bCs w:val="1"/>
                <w:color w:val="243782"/>
              </w:rPr>
              <w:t>Three months ended September 30,</w:t>
            </w:r>
          </w:p>
        </w:tc>
        <w:tc>
          <w:tcPr>
            <w:tcW w:w="3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Borders>
              <w:bottom w:val="single" w:sz="8" w:color="8E939F"/>
            </w:tcBorders>
            <w:gridSpan w:val="5"/>
          </w:tcPr>
          <w:p>
            <w:pPr>
              <w:jc w:val="right"/>
              <w:ind w:right="420"/>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195"/>
        </w:trPr>
        <w:tc>
          <w:tcPr>
            <w:tcW w:w="1660" w:type="dxa"/>
            <w:vAlign w:val="bottom"/>
            <w:shd w:val="clear" w:color="auto" w:fill="F3F3F9"/>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 except shipments, which are in thousands of units,</w:t>
            </w:r>
          </w:p>
        </w:tc>
        <w:tc>
          <w:tcPr>
            <w:tcW w:w="1000" w:type="dxa"/>
            <w:vAlign w:val="bottom"/>
            <w:shd w:val="clear" w:color="auto" w:fill="F3F3F9"/>
          </w:tcPr>
          <w:p>
            <w:pPr>
              <w:spacing w:after="0"/>
              <w:rPr>
                <w:sz w:val="16"/>
                <w:szCs w:val="16"/>
                <w:color w:val="auto"/>
              </w:rPr>
            </w:pPr>
          </w:p>
        </w:tc>
        <w:tc>
          <w:tcPr>
            <w:tcW w:w="200" w:type="dxa"/>
            <w:vAlign w:val="bottom"/>
            <w:tcBorders>
              <w:right w:val="single" w:sz="8" w:color="F3F3F9"/>
            </w:tcBorders>
            <w:shd w:val="clear" w:color="auto" w:fill="F3F3F9"/>
          </w:tcPr>
          <w:p>
            <w:pPr>
              <w:spacing w:after="0"/>
              <w:rPr>
                <w:sz w:val="16"/>
                <w:szCs w:val="16"/>
                <w:color w:val="auto"/>
              </w:rPr>
            </w:pPr>
          </w:p>
        </w:tc>
        <w:tc>
          <w:tcPr>
            <w:tcW w:w="420" w:type="dxa"/>
            <w:vAlign w:val="bottom"/>
            <w:shd w:val="clear" w:color="auto" w:fill="F3F3F9"/>
          </w:tcPr>
          <w:p>
            <w:pPr>
              <w:spacing w:after="0"/>
              <w:rPr>
                <w:sz w:val="16"/>
                <w:szCs w:val="16"/>
                <w:color w:val="auto"/>
              </w:rPr>
            </w:pPr>
          </w:p>
        </w:tc>
        <w:tc>
          <w:tcPr>
            <w:tcW w:w="220" w:type="dxa"/>
            <w:vAlign w:val="bottom"/>
            <w:tcBorders>
              <w:left w:val="single" w:sz="8" w:color="F3F3F9"/>
            </w:tcBorders>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60" w:type="dxa"/>
            <w:vAlign w:val="bottom"/>
            <w:shd w:val="clear" w:color="auto" w:fill="F3F3F9"/>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i w:val="1"/>
                <w:iCs w:val="1"/>
                <w:color w:val="auto"/>
              </w:rPr>
              <w:t>and per share amounts)</w:t>
            </w:r>
          </w:p>
        </w:tc>
        <w:tc>
          <w:tcPr>
            <w:tcW w:w="1000" w:type="dxa"/>
            <w:vAlign w:val="bottom"/>
            <w:shd w:val="clear" w:color="auto" w:fill="F3F3F9"/>
          </w:tcPr>
          <w:p>
            <w:pPr>
              <w:spacing w:after="0"/>
              <w:rPr>
                <w:sz w:val="16"/>
                <w:szCs w:val="16"/>
                <w:color w:val="auto"/>
              </w:rPr>
            </w:pPr>
          </w:p>
        </w:tc>
        <w:tc>
          <w:tcPr>
            <w:tcW w:w="200" w:type="dxa"/>
            <w:vAlign w:val="bottom"/>
            <w:tcBorders>
              <w:right w:val="single" w:sz="8" w:color="F3F3F9"/>
            </w:tcBorders>
            <w:shd w:val="clear" w:color="auto" w:fill="F3F3F9"/>
          </w:tcPr>
          <w:p>
            <w:pPr>
              <w:spacing w:after="0"/>
              <w:rPr>
                <w:sz w:val="16"/>
                <w:szCs w:val="16"/>
                <w:color w:val="auto"/>
              </w:rPr>
            </w:pPr>
          </w:p>
        </w:tc>
        <w:tc>
          <w:tcPr>
            <w:tcW w:w="420" w:type="dxa"/>
            <w:vAlign w:val="bottom"/>
            <w:shd w:val="clear" w:color="auto" w:fill="F3F3F9"/>
          </w:tcPr>
          <w:p>
            <w:pPr>
              <w:spacing w:after="0"/>
              <w:rPr>
                <w:sz w:val="16"/>
                <w:szCs w:val="16"/>
                <w:color w:val="auto"/>
              </w:rPr>
            </w:pPr>
          </w:p>
        </w:tc>
        <w:tc>
          <w:tcPr>
            <w:tcW w:w="220" w:type="dxa"/>
            <w:vAlign w:val="bottom"/>
            <w:tcBorders>
              <w:left w:val="single" w:sz="8" w:color="F3F3F9"/>
            </w:tcBorders>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6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b w:val="1"/>
                <w:bCs w:val="1"/>
                <w:color w:val="243782"/>
                <w:highlight w:val="white"/>
              </w:rPr>
              <w:t>2026</w:t>
            </w:r>
          </w:p>
        </w:tc>
        <w:tc>
          <w:tcPr>
            <w:tcW w:w="1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243782"/>
              </w:rPr>
              <w:t>2025</w:t>
            </w:r>
          </w:p>
        </w:tc>
        <w:tc>
          <w:tcPr>
            <w:tcW w:w="3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Borders>
              <w:bottom w:val="single" w:sz="8" w:color="F3F3F9"/>
            </w:tcBorders>
            <w:shd w:val="clear" w:color="auto" w:fill="F3F3F9"/>
          </w:tcPr>
          <w:p>
            <w:pPr>
              <w:spacing w:after="0"/>
              <w:rPr>
                <w:sz w:val="20"/>
                <w:szCs w:val="20"/>
                <w:color w:val="auto"/>
              </w:rPr>
            </w:pPr>
          </w:p>
        </w:tc>
        <w:tc>
          <w:tcPr>
            <w:tcW w:w="200" w:type="dxa"/>
            <w:vAlign w:val="bottom"/>
            <w:tcBorders>
              <w:bottom w:val="single" w:sz="8" w:color="F3F3F9"/>
              <w:right w:val="single" w:sz="8" w:color="F3F3F9"/>
            </w:tcBorders>
            <w:shd w:val="clear" w:color="auto" w:fill="F3F3F9"/>
          </w:tcPr>
          <w:p>
            <w:pPr>
              <w:spacing w:after="0"/>
              <w:rPr>
                <w:sz w:val="20"/>
                <w:szCs w:val="20"/>
                <w:color w:val="auto"/>
              </w:rPr>
            </w:pPr>
          </w:p>
        </w:tc>
        <w:tc>
          <w:tcPr>
            <w:tcW w:w="42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b w:val="1"/>
                <w:bCs w:val="1"/>
                <w:color w:val="243782"/>
                <w:highlight w:val="white"/>
              </w:rPr>
              <w:t>2026</w:t>
            </w:r>
          </w:p>
        </w:tc>
        <w:tc>
          <w:tcPr>
            <w:tcW w:w="1900" w:type="dxa"/>
            <w:vAlign w:val="bottom"/>
            <w:tcBorders>
              <w:left w:val="single" w:sz="8" w:color="F3F3F9"/>
            </w:tcBorders>
            <w:gridSpan w:val="2"/>
          </w:tcPr>
          <w:p>
            <w:pPr>
              <w:jc w:val="right"/>
              <w:ind w:right="20"/>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50"/>
        </w:trPr>
        <w:tc>
          <w:tcPr>
            <w:tcW w:w="1660" w:type="dxa"/>
            <w:vAlign w:val="bottom"/>
            <w:tcBorders>
              <w:top w:val="single" w:sz="8" w:color="143A84"/>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1,308</w:t>
            </w:r>
          </w:p>
        </w:tc>
        <w:tc>
          <w:tcPr>
            <w:tcW w:w="1180" w:type="dxa"/>
            <w:vAlign w:val="bottom"/>
            <w:tcBorders>
              <w:top w:val="single" w:sz="8" w:color="143A84"/>
            </w:tcBorders>
          </w:tcPr>
          <w:p>
            <w:pPr>
              <w:spacing w:after="0"/>
              <w:rPr>
                <w:sz w:val="21"/>
                <w:szCs w:val="21"/>
                <w:color w:val="auto"/>
              </w:rPr>
            </w:pPr>
          </w:p>
        </w:tc>
        <w:tc>
          <w:tcPr>
            <w:tcW w:w="740" w:type="dxa"/>
            <w:vAlign w:val="bottom"/>
            <w:tcBorders>
              <w:top w:val="single" w:sz="8" w:color="143A84"/>
            </w:tcBorders>
          </w:tcPr>
          <w:p>
            <w:pPr>
              <w:jc w:val="right"/>
              <w:spacing w:after="0"/>
              <w:rPr>
                <w:sz w:val="20"/>
                <w:szCs w:val="20"/>
                <w:color w:val="auto"/>
              </w:rPr>
            </w:pPr>
            <w:r>
              <w:rPr>
                <w:rFonts w:ascii="Arial" w:cs="Arial" w:eastAsia="Arial" w:hAnsi="Arial"/>
                <w:sz w:val="16"/>
                <w:szCs w:val="16"/>
                <w:color w:val="auto"/>
              </w:rPr>
              <w:t>1,334</w:t>
            </w:r>
          </w:p>
        </w:tc>
        <w:tc>
          <w:tcPr>
            <w:tcW w:w="4140" w:type="dxa"/>
            <w:vAlign w:val="bottom"/>
            <w:tcBorders>
              <w:top w:val="single" w:sz="8" w:color="143A84"/>
            </w:tcBorders>
            <w:gridSpan w:val="2"/>
          </w:tcPr>
          <w:p>
            <w:pPr>
              <w:ind w:left="20"/>
              <w:spacing w:after="0" w:line="223" w:lineRule="exact"/>
              <w:rPr>
                <w:sz w:val="20"/>
                <w:szCs w:val="20"/>
                <w:color w:val="auto"/>
              </w:rPr>
            </w:pPr>
            <w:r>
              <w:rPr>
                <w:rFonts w:ascii="Arial" w:cs="Arial" w:eastAsia="Arial" w:hAnsi="Arial"/>
                <w:sz w:val="16"/>
                <w:szCs w:val="16"/>
                <w:color w:val="auto"/>
              </w:rPr>
              <w:t>Combined shipments</w:t>
            </w:r>
            <w:r>
              <w:rPr>
                <w:rFonts w:ascii="Arial" w:cs="Arial" w:eastAsia="Arial" w:hAnsi="Arial"/>
                <w:sz w:val="21"/>
                <w:szCs w:val="21"/>
                <w:color w:val="auto"/>
                <w:vertAlign w:val="superscript"/>
              </w:rPr>
              <w:t>(1)</w:t>
            </w:r>
          </w:p>
        </w:tc>
        <w:tc>
          <w:tcPr>
            <w:tcW w:w="1000" w:type="dxa"/>
            <w:vAlign w:val="bottom"/>
            <w:tcBorders>
              <w:top w:val="single" w:sz="8" w:color="143A84"/>
              <w:bottom w:val="single" w:sz="8" w:color="F3F3F9"/>
            </w:tcBorders>
            <w:shd w:val="clear" w:color="auto" w:fill="F3F3F9"/>
          </w:tcPr>
          <w:p>
            <w:pPr>
              <w:spacing w:after="0"/>
              <w:rPr>
                <w:sz w:val="21"/>
                <w:szCs w:val="21"/>
                <w:color w:val="auto"/>
              </w:rPr>
            </w:pPr>
          </w:p>
        </w:tc>
        <w:tc>
          <w:tcPr>
            <w:tcW w:w="200" w:type="dxa"/>
            <w:vAlign w:val="bottom"/>
            <w:tcBorders>
              <w:top w:val="single" w:sz="8" w:color="143A84"/>
              <w:bottom w:val="single" w:sz="8" w:color="F3F3F9"/>
              <w:right w:val="single" w:sz="8" w:color="F3F3F9"/>
            </w:tcBorders>
            <w:shd w:val="clear" w:color="auto" w:fill="F3F3F9"/>
          </w:tcPr>
          <w:p>
            <w:pPr>
              <w:spacing w:after="0"/>
              <w:rPr>
                <w:sz w:val="21"/>
                <w:szCs w:val="21"/>
                <w:color w:val="auto"/>
              </w:rPr>
            </w:pPr>
          </w:p>
        </w:tc>
        <w:tc>
          <w:tcPr>
            <w:tcW w:w="420" w:type="dxa"/>
            <w:vAlign w:val="bottom"/>
            <w:tcBorders>
              <w:top w:val="single" w:sz="8" w:color="143A84"/>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9"/>
              </w:rPr>
              <w:t>4,276</w:t>
            </w:r>
          </w:p>
        </w:tc>
        <w:tc>
          <w:tcPr>
            <w:tcW w:w="1900" w:type="dxa"/>
            <w:vAlign w:val="bottom"/>
            <w:tcBorders>
              <w:top w:val="single" w:sz="8" w:color="143A84"/>
              <w:left w:val="single" w:sz="8" w:color="F3F3F9"/>
            </w:tcBorders>
            <w:gridSpan w:val="2"/>
          </w:tcPr>
          <w:p>
            <w:pPr>
              <w:jc w:val="right"/>
              <w:ind w:right="80"/>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1,286</w:t>
            </w:r>
          </w:p>
        </w:tc>
        <w:tc>
          <w:tcPr>
            <w:tcW w:w="1180" w:type="dxa"/>
            <w:vAlign w:val="bottom"/>
            <w:tcBorders>
              <w:top w:val="single" w:sz="8" w:color="8E939F"/>
            </w:tcBorders>
          </w:tcPr>
          <w:p>
            <w:pPr>
              <w:spacing w:after="0"/>
              <w:rPr>
                <w:sz w:val="21"/>
                <w:szCs w:val="21"/>
                <w:color w:val="auto"/>
              </w:rPr>
            </w:pPr>
          </w:p>
        </w:tc>
        <w:tc>
          <w:tcPr>
            <w:tcW w:w="74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1,300</w:t>
            </w:r>
          </w:p>
        </w:tc>
        <w:tc>
          <w:tcPr>
            <w:tcW w:w="4140" w:type="dxa"/>
            <w:vAlign w:val="bottom"/>
            <w:tcBorders>
              <w:top w:val="single" w:sz="8" w:color="8E939F"/>
            </w:tcBorders>
            <w:gridSpan w:val="2"/>
          </w:tcPr>
          <w:p>
            <w:pPr>
              <w:ind w:left="20"/>
              <w:spacing w:after="0" w:line="223" w:lineRule="exact"/>
              <w:rPr>
                <w:sz w:val="20"/>
                <w:szCs w:val="20"/>
                <w:color w:val="auto"/>
              </w:rPr>
            </w:pPr>
            <w:r>
              <w:rPr>
                <w:rFonts w:ascii="Arial" w:cs="Arial" w:eastAsia="Arial" w:hAnsi="Arial"/>
                <w:sz w:val="16"/>
                <w:szCs w:val="16"/>
                <w:color w:val="auto"/>
              </w:rPr>
              <w:t>Consolidated shipments</w:t>
            </w:r>
            <w:r>
              <w:rPr>
                <w:rFonts w:ascii="Arial" w:cs="Arial" w:eastAsia="Arial" w:hAnsi="Arial"/>
                <w:sz w:val="21"/>
                <w:szCs w:val="21"/>
                <w:color w:val="auto"/>
                <w:vertAlign w:val="superscript"/>
              </w:rPr>
              <w:t>(2)</w:t>
            </w:r>
          </w:p>
        </w:tc>
        <w:tc>
          <w:tcPr>
            <w:tcW w:w="1000" w:type="dxa"/>
            <w:vAlign w:val="bottom"/>
            <w:tcBorders>
              <w:top w:val="single" w:sz="8" w:color="8E939F"/>
              <w:bottom w:val="single" w:sz="8" w:color="F3F3F9"/>
            </w:tcBorders>
            <w:shd w:val="clear" w:color="auto" w:fill="F3F3F9"/>
          </w:tcPr>
          <w:p>
            <w:pPr>
              <w:spacing w:after="0"/>
              <w:rPr>
                <w:sz w:val="21"/>
                <w:szCs w:val="21"/>
                <w:color w:val="auto"/>
              </w:rPr>
            </w:pPr>
          </w:p>
        </w:tc>
        <w:tc>
          <w:tcPr>
            <w:tcW w:w="200" w:type="dxa"/>
            <w:vAlign w:val="bottom"/>
            <w:tcBorders>
              <w:top w:val="single" w:sz="8" w:color="8E939F"/>
              <w:bottom w:val="single" w:sz="8" w:color="F3F3F9"/>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9"/>
              </w:rPr>
              <w:t>4,244</w:t>
            </w:r>
          </w:p>
        </w:tc>
        <w:tc>
          <w:tcPr>
            <w:tcW w:w="1900" w:type="dxa"/>
            <w:vAlign w:val="bottom"/>
            <w:tcBorders>
              <w:top w:val="single" w:sz="8" w:color="8E939F"/>
              <w:left w:val="single" w:sz="8" w:color="F3F3F9"/>
            </w:tcBorders>
            <w:gridSpan w:val="2"/>
          </w:tcPr>
          <w:p>
            <w:pPr>
              <w:jc w:val="right"/>
              <w:ind w:right="80"/>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8E939F"/>
            </w:tcBorders>
            <w:shd w:val="clear" w:color="auto" w:fill="F3F3F9"/>
          </w:tcPr>
          <w:p>
            <w:pPr>
              <w:spacing w:after="0"/>
              <w:rPr>
                <w:sz w:val="21"/>
                <w:szCs w:val="21"/>
                <w:color w:val="auto"/>
              </w:rPr>
            </w:pPr>
          </w:p>
        </w:tc>
        <w:tc>
          <w:tcPr>
            <w:tcW w:w="1180" w:type="dxa"/>
            <w:vAlign w:val="bottom"/>
            <w:tcBorders>
              <w:top w:val="single" w:sz="8" w:color="8E939F"/>
              <w:bottom w:val="single" w:sz="8" w:color="8E939F"/>
            </w:tcBorders>
          </w:tcPr>
          <w:p>
            <w:pPr>
              <w:spacing w:after="0"/>
              <w:rPr>
                <w:sz w:val="21"/>
                <w:szCs w:val="21"/>
                <w:color w:val="auto"/>
              </w:rPr>
            </w:pPr>
          </w:p>
        </w:tc>
        <w:tc>
          <w:tcPr>
            <w:tcW w:w="740" w:type="dxa"/>
            <w:vAlign w:val="bottom"/>
            <w:tcBorders>
              <w:top w:val="single" w:sz="8" w:color="8E939F"/>
              <w:bottom w:val="single" w:sz="8" w:color="8E939F"/>
            </w:tcBorders>
          </w:tcPr>
          <w:p>
            <w:pPr>
              <w:spacing w:after="0"/>
              <w:rPr>
                <w:sz w:val="21"/>
                <w:szCs w:val="21"/>
                <w:color w:val="auto"/>
              </w:rPr>
            </w:pPr>
          </w:p>
        </w:tc>
        <w:tc>
          <w:tcPr>
            <w:tcW w:w="3060" w:type="dxa"/>
            <w:vAlign w:val="bottom"/>
            <w:tcBorders>
              <w:top w:val="single" w:sz="8" w:color="8E939F"/>
              <w:bottom w:val="single" w:sz="8" w:color="8E939F"/>
            </w:tcBorders>
          </w:tcPr>
          <w:p>
            <w:pPr>
              <w:spacing w:after="0"/>
              <w:rPr>
                <w:sz w:val="21"/>
                <w:szCs w:val="21"/>
                <w:color w:val="auto"/>
              </w:rPr>
            </w:pPr>
          </w:p>
        </w:tc>
        <w:tc>
          <w:tcPr>
            <w:tcW w:w="108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shd w:val="clear" w:color="auto" w:fill="F3F3F9"/>
          </w:tcPr>
          <w:p>
            <w:pPr>
              <w:spacing w:after="0"/>
              <w:rPr>
                <w:sz w:val="21"/>
                <w:szCs w:val="21"/>
                <w:color w:val="auto"/>
              </w:rPr>
            </w:pPr>
          </w:p>
        </w:tc>
        <w:tc>
          <w:tcPr>
            <w:tcW w:w="200" w:type="dxa"/>
            <w:vAlign w:val="bottom"/>
            <w:tcBorders>
              <w:top w:val="single" w:sz="8" w:color="8E939F"/>
              <w:bottom w:val="single" w:sz="8" w:color="8E939F"/>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8E939F"/>
            </w:tcBorders>
            <w:shd w:val="clear" w:color="auto" w:fill="F3F3F9"/>
          </w:tcPr>
          <w:p>
            <w:pPr>
              <w:spacing w:after="0"/>
              <w:rPr>
                <w:sz w:val="21"/>
                <w:szCs w:val="21"/>
                <w:color w:val="auto"/>
              </w:rPr>
            </w:pPr>
          </w:p>
        </w:tc>
        <w:tc>
          <w:tcPr>
            <w:tcW w:w="220" w:type="dxa"/>
            <w:vAlign w:val="bottom"/>
            <w:tcBorders>
              <w:top w:val="single" w:sz="8" w:color="8E939F"/>
              <w:left w:val="single" w:sz="8" w:color="F3F3F9"/>
              <w:bottom w:val="single" w:sz="8" w:color="8E939F"/>
            </w:tcBorders>
          </w:tcPr>
          <w:p>
            <w:pPr>
              <w:spacing w:after="0"/>
              <w:rPr>
                <w:sz w:val="21"/>
                <w:szCs w:val="21"/>
                <w:color w:val="auto"/>
              </w:rPr>
            </w:pPr>
          </w:p>
        </w:tc>
        <w:tc>
          <w:tcPr>
            <w:tcW w:w="168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37,611</w:t>
            </w:r>
          </w:p>
        </w:tc>
        <w:tc>
          <w:tcPr>
            <w:tcW w:w="1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37,206</w:t>
            </w:r>
          </w:p>
        </w:tc>
        <w:tc>
          <w:tcPr>
            <w:tcW w:w="4140" w:type="dxa"/>
            <w:vAlign w:val="bottom"/>
            <w:gridSpan w:val="2"/>
          </w:tcPr>
          <w:p>
            <w:pPr>
              <w:ind w:left="20"/>
              <w:spacing w:after="0"/>
              <w:rPr>
                <w:sz w:val="20"/>
                <w:szCs w:val="20"/>
                <w:color w:val="auto"/>
              </w:rPr>
            </w:pPr>
            <w:r>
              <w:rPr>
                <w:rFonts w:ascii="Arial" w:cs="Arial" w:eastAsia="Arial" w:hAnsi="Arial"/>
                <w:sz w:val="16"/>
                <w:szCs w:val="16"/>
                <w:color w:val="auto"/>
              </w:rPr>
              <w:t>Net revenues</w:t>
            </w:r>
          </w:p>
        </w:tc>
        <w:tc>
          <w:tcPr>
            <w:tcW w:w="1000" w:type="dxa"/>
            <w:vAlign w:val="bottom"/>
            <w:tcBorders>
              <w:bottom w:val="single" w:sz="8" w:color="F3F3F9"/>
            </w:tcBorders>
            <w:shd w:val="clear" w:color="auto" w:fill="F3F3F9"/>
          </w:tcPr>
          <w:p>
            <w:pPr>
              <w:spacing w:after="0"/>
              <w:rPr>
                <w:sz w:val="21"/>
                <w:szCs w:val="21"/>
                <w:color w:val="auto"/>
              </w:rPr>
            </w:pPr>
          </w:p>
        </w:tc>
        <w:tc>
          <w:tcPr>
            <w:tcW w:w="620" w:type="dxa"/>
            <w:vAlign w:val="bottom"/>
            <w:tcBorders>
              <w:bottom w:val="single" w:sz="8" w:color="F3F3F9"/>
            </w:tcBorders>
            <w:gridSpan w:val="2"/>
            <w:shd w:val="clear" w:color="auto" w:fill="F3F3F9"/>
          </w:tcPr>
          <w:p>
            <w:pPr>
              <w:jc w:val="right"/>
              <w:spacing w:after="0"/>
              <w:rPr>
                <w:sz w:val="20"/>
                <w:szCs w:val="20"/>
                <w:color w:val="auto"/>
              </w:rPr>
            </w:pPr>
            <w:r>
              <w:rPr>
                <w:rFonts w:ascii="Arial" w:cs="Arial" w:eastAsia="Arial" w:hAnsi="Arial"/>
                <w:sz w:val="16"/>
                <w:szCs w:val="16"/>
                <w:color w:val="auto"/>
                <w:highlight w:val="white"/>
                <w:w w:val="96"/>
              </w:rPr>
              <w:t>119,225</w:t>
            </w:r>
          </w:p>
        </w:tc>
        <w:tc>
          <w:tcPr>
            <w:tcW w:w="1900" w:type="dxa"/>
            <w:vAlign w:val="bottom"/>
            <w:tcBorders>
              <w:left w:val="single" w:sz="8" w:color="F3F3F9"/>
            </w:tcBorders>
            <w:gridSpan w:val="2"/>
          </w:tcPr>
          <w:p>
            <w:pPr>
              <w:jc w:val="right"/>
              <w:ind w:right="80"/>
              <w:spacing w:after="0"/>
              <w:rPr>
                <w:sz w:val="20"/>
                <w:szCs w:val="20"/>
                <w:color w:val="auto"/>
              </w:rPr>
            </w:pPr>
            <w:r>
              <w:rPr>
                <w:rFonts w:ascii="Arial" w:cs="Arial" w:eastAsia="Arial" w:hAnsi="Arial"/>
                <w:sz w:val="16"/>
                <w:szCs w:val="16"/>
                <w:color w:val="auto"/>
              </w:rPr>
              <w:t>111,467</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(453)</w:t>
            </w:r>
          </w:p>
        </w:tc>
        <w:tc>
          <w:tcPr>
            <w:tcW w:w="1180" w:type="dxa"/>
            <w:vAlign w:val="bottom"/>
            <w:tcBorders>
              <w:top w:val="single" w:sz="8" w:color="8E939F"/>
            </w:tcBorders>
          </w:tcPr>
          <w:p>
            <w:pPr>
              <w:spacing w:after="0"/>
              <w:rPr>
                <w:sz w:val="21"/>
                <w:szCs w:val="21"/>
                <w:color w:val="auto"/>
              </w:rPr>
            </w:pPr>
          </w:p>
        </w:tc>
        <w:tc>
          <w:tcPr>
            <w:tcW w:w="74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(4,532)</w:t>
            </w:r>
          </w:p>
        </w:tc>
        <w:tc>
          <w:tcPr>
            <w:tcW w:w="4140" w:type="dxa"/>
            <w:vAlign w:val="bottom"/>
            <w:tcBorders>
              <w:top w:val="single" w:sz="8" w:color="8E939F"/>
            </w:tcBorders>
            <w:gridSpan w:val="2"/>
          </w:tcPr>
          <w:p>
            <w:pPr>
              <w:ind w:left="20"/>
              <w:spacing w:after="0"/>
              <w:rPr>
                <w:sz w:val="20"/>
                <w:szCs w:val="20"/>
                <w:color w:val="auto"/>
              </w:rPr>
            </w:pPr>
            <w:r>
              <w:rPr>
                <w:rFonts w:ascii="Arial" w:cs="Arial" w:eastAsia="Arial" w:hAnsi="Arial"/>
                <w:sz w:val="16"/>
                <w:szCs w:val="16"/>
                <w:color w:val="auto"/>
              </w:rPr>
              <w:t>Net profit/(loss)</w:t>
            </w:r>
          </w:p>
        </w:tc>
        <w:tc>
          <w:tcPr>
            <w:tcW w:w="1000" w:type="dxa"/>
            <w:vAlign w:val="bottom"/>
            <w:tcBorders>
              <w:top w:val="single" w:sz="8" w:color="8E939F"/>
              <w:bottom w:val="single" w:sz="8" w:color="F3F3F9"/>
            </w:tcBorders>
            <w:shd w:val="clear" w:color="auto" w:fill="F3F3F9"/>
          </w:tcPr>
          <w:p>
            <w:pPr>
              <w:spacing w:after="0"/>
              <w:rPr>
                <w:sz w:val="21"/>
                <w:szCs w:val="21"/>
                <w:color w:val="auto"/>
              </w:rPr>
            </w:pPr>
          </w:p>
        </w:tc>
        <w:tc>
          <w:tcPr>
            <w:tcW w:w="200" w:type="dxa"/>
            <w:vAlign w:val="bottom"/>
            <w:tcBorders>
              <w:top w:val="single" w:sz="8" w:color="8E939F"/>
              <w:bottom w:val="single" w:sz="8" w:color="F3F3F9"/>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217</w:t>
            </w:r>
          </w:p>
        </w:tc>
        <w:tc>
          <w:tcPr>
            <w:tcW w:w="1900" w:type="dxa"/>
            <w:vAlign w:val="bottom"/>
            <w:tcBorders>
              <w:top w:val="single" w:sz="8" w:color="8E939F"/>
              <w:left w:val="single" w:sz="8" w:color="F3F3F9"/>
            </w:tcBorders>
            <w:gridSpan w:val="2"/>
          </w:tcPr>
          <w:p>
            <w:pPr>
              <w:jc w:val="right"/>
              <w:ind w:right="20"/>
              <w:spacing w:after="0"/>
              <w:rPr>
                <w:sz w:val="20"/>
                <w:szCs w:val="20"/>
                <w:color w:val="auto"/>
              </w:rPr>
            </w:pPr>
            <w:r>
              <w:rPr>
                <w:rFonts w:ascii="Arial" w:cs="Arial" w:eastAsia="Arial" w:hAnsi="Arial"/>
                <w:sz w:val="16"/>
                <w:szCs w:val="16"/>
                <w:color w:val="auto"/>
              </w:rPr>
              <w:t>(6,788)</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256</w:t>
            </w:r>
          </w:p>
        </w:tc>
        <w:tc>
          <w:tcPr>
            <w:tcW w:w="1180" w:type="dxa"/>
            <w:vAlign w:val="bottom"/>
            <w:tcBorders>
              <w:top w:val="single" w:sz="8" w:color="8E939F"/>
            </w:tcBorders>
          </w:tcPr>
          <w:p>
            <w:pPr>
              <w:spacing w:after="0"/>
              <w:rPr>
                <w:sz w:val="21"/>
                <w:szCs w:val="21"/>
                <w:color w:val="auto"/>
              </w:rPr>
            </w:pPr>
          </w:p>
        </w:tc>
        <w:tc>
          <w:tcPr>
            <w:tcW w:w="74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90</w:t>
            </w:r>
          </w:p>
        </w:tc>
        <w:tc>
          <w:tcPr>
            <w:tcW w:w="4140" w:type="dxa"/>
            <w:vAlign w:val="bottom"/>
            <w:tcBorders>
              <w:top w:val="single" w:sz="8" w:color="8E939F"/>
            </w:tcBorders>
            <w:gridSpan w:val="2"/>
          </w:tcPr>
          <w:p>
            <w:pPr>
              <w:ind w:left="20"/>
              <w:spacing w:after="0" w:line="223" w:lineRule="exact"/>
              <w:rPr>
                <w:sz w:val="20"/>
                <w:szCs w:val="20"/>
                <w:color w:val="auto"/>
              </w:rPr>
            </w:pPr>
            <w:r>
              <w:rPr>
                <w:rFonts w:ascii="Arial" w:cs="Arial" w:eastAsia="Arial" w:hAnsi="Arial"/>
                <w:sz w:val="16"/>
                <w:szCs w:val="16"/>
                <w:color w:val="auto"/>
              </w:rPr>
              <w:t>Adjusted operating income/(loss) (“AOI”)</w:t>
            </w:r>
            <w:r>
              <w:rPr>
                <w:rFonts w:ascii="Arial" w:cs="Arial" w:eastAsia="Arial" w:hAnsi="Arial"/>
                <w:sz w:val="21"/>
                <w:szCs w:val="21"/>
                <w:color w:val="auto"/>
                <w:vertAlign w:val="superscript"/>
              </w:rPr>
              <w:t>(3)</w:t>
            </w:r>
          </w:p>
        </w:tc>
        <w:tc>
          <w:tcPr>
            <w:tcW w:w="1000" w:type="dxa"/>
            <w:vAlign w:val="bottom"/>
            <w:tcBorders>
              <w:top w:val="single" w:sz="8" w:color="8E939F"/>
              <w:bottom w:val="single" w:sz="8" w:color="F3F3F9"/>
            </w:tcBorders>
            <w:shd w:val="clear" w:color="auto" w:fill="F3F3F9"/>
          </w:tcPr>
          <w:p>
            <w:pPr>
              <w:spacing w:after="0"/>
              <w:rPr>
                <w:sz w:val="21"/>
                <w:szCs w:val="21"/>
                <w:color w:val="auto"/>
              </w:rPr>
            </w:pPr>
          </w:p>
        </w:tc>
        <w:tc>
          <w:tcPr>
            <w:tcW w:w="200" w:type="dxa"/>
            <w:vAlign w:val="bottom"/>
            <w:tcBorders>
              <w:top w:val="single" w:sz="8" w:color="8E939F"/>
              <w:bottom w:val="single" w:sz="8" w:color="F3F3F9"/>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9"/>
              </w:rPr>
              <w:t>1,989</w:t>
            </w:r>
          </w:p>
        </w:tc>
        <w:tc>
          <w:tcPr>
            <w:tcW w:w="1900" w:type="dxa"/>
            <w:vAlign w:val="bottom"/>
            <w:tcBorders>
              <w:top w:val="single" w:sz="8" w:color="8E939F"/>
              <w:left w:val="single" w:sz="8" w:color="F3F3F9"/>
            </w:tcBorders>
            <w:gridSpan w:val="2"/>
          </w:tcPr>
          <w:p>
            <w:pPr>
              <w:jc w:val="right"/>
              <w:ind w:right="8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8E939F"/>
            </w:tcBorders>
            <w:shd w:val="clear" w:color="auto" w:fill="F3F3F9"/>
          </w:tcPr>
          <w:p>
            <w:pPr>
              <w:spacing w:after="0"/>
              <w:rPr>
                <w:sz w:val="21"/>
                <w:szCs w:val="21"/>
                <w:color w:val="auto"/>
              </w:rPr>
            </w:pPr>
          </w:p>
        </w:tc>
        <w:tc>
          <w:tcPr>
            <w:tcW w:w="1180" w:type="dxa"/>
            <w:vAlign w:val="bottom"/>
            <w:tcBorders>
              <w:top w:val="single" w:sz="8" w:color="8E939F"/>
              <w:bottom w:val="single" w:sz="8" w:color="8E939F"/>
            </w:tcBorders>
          </w:tcPr>
          <w:p>
            <w:pPr>
              <w:spacing w:after="0"/>
              <w:rPr>
                <w:sz w:val="21"/>
                <w:szCs w:val="21"/>
                <w:color w:val="auto"/>
              </w:rPr>
            </w:pPr>
          </w:p>
        </w:tc>
        <w:tc>
          <w:tcPr>
            <w:tcW w:w="740" w:type="dxa"/>
            <w:vAlign w:val="bottom"/>
            <w:tcBorders>
              <w:top w:val="single" w:sz="8" w:color="8E939F"/>
              <w:bottom w:val="single" w:sz="8" w:color="8E939F"/>
            </w:tcBorders>
          </w:tcPr>
          <w:p>
            <w:pPr>
              <w:spacing w:after="0"/>
              <w:rPr>
                <w:sz w:val="21"/>
                <w:szCs w:val="21"/>
                <w:color w:val="auto"/>
              </w:rPr>
            </w:pPr>
          </w:p>
        </w:tc>
        <w:tc>
          <w:tcPr>
            <w:tcW w:w="3060" w:type="dxa"/>
            <w:vAlign w:val="bottom"/>
            <w:tcBorders>
              <w:top w:val="single" w:sz="8" w:color="8E939F"/>
              <w:bottom w:val="single" w:sz="8" w:color="8E939F"/>
            </w:tcBorders>
          </w:tcPr>
          <w:p>
            <w:pPr>
              <w:spacing w:after="0"/>
              <w:rPr>
                <w:sz w:val="21"/>
                <w:szCs w:val="21"/>
                <w:color w:val="auto"/>
              </w:rPr>
            </w:pPr>
          </w:p>
        </w:tc>
        <w:tc>
          <w:tcPr>
            <w:tcW w:w="108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shd w:val="clear" w:color="auto" w:fill="F3F3F9"/>
          </w:tcPr>
          <w:p>
            <w:pPr>
              <w:spacing w:after="0"/>
              <w:rPr>
                <w:sz w:val="21"/>
                <w:szCs w:val="21"/>
                <w:color w:val="auto"/>
              </w:rPr>
            </w:pPr>
          </w:p>
        </w:tc>
        <w:tc>
          <w:tcPr>
            <w:tcW w:w="200" w:type="dxa"/>
            <w:vAlign w:val="bottom"/>
            <w:tcBorders>
              <w:top w:val="single" w:sz="8" w:color="8E939F"/>
              <w:bottom w:val="single" w:sz="8" w:color="8E939F"/>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8E939F"/>
            </w:tcBorders>
            <w:shd w:val="clear" w:color="auto" w:fill="F3F3F9"/>
          </w:tcPr>
          <w:p>
            <w:pPr>
              <w:spacing w:after="0"/>
              <w:rPr>
                <w:sz w:val="21"/>
                <w:szCs w:val="21"/>
                <w:color w:val="auto"/>
              </w:rPr>
            </w:pPr>
          </w:p>
        </w:tc>
        <w:tc>
          <w:tcPr>
            <w:tcW w:w="220" w:type="dxa"/>
            <w:vAlign w:val="bottom"/>
            <w:tcBorders>
              <w:top w:val="single" w:sz="8" w:color="8E939F"/>
              <w:left w:val="single" w:sz="8" w:color="F3F3F9"/>
              <w:bottom w:val="single" w:sz="8" w:color="8E939F"/>
            </w:tcBorders>
          </w:tcPr>
          <w:p>
            <w:pPr>
              <w:spacing w:after="0"/>
              <w:rPr>
                <w:sz w:val="21"/>
                <w:szCs w:val="21"/>
                <w:color w:val="auto"/>
              </w:rPr>
            </w:pPr>
          </w:p>
        </w:tc>
        <w:tc>
          <w:tcPr>
            <w:tcW w:w="168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8E939F"/>
            </w:tcBorders>
            <w:shd w:val="clear" w:color="auto" w:fill="F3F3F9"/>
          </w:tcPr>
          <w:p>
            <w:pPr>
              <w:spacing w:after="0"/>
              <w:rPr>
                <w:sz w:val="21"/>
                <w:szCs w:val="21"/>
                <w:color w:val="auto"/>
              </w:rPr>
            </w:pPr>
          </w:p>
        </w:tc>
        <w:tc>
          <w:tcPr>
            <w:tcW w:w="1180" w:type="dxa"/>
            <w:vAlign w:val="bottom"/>
            <w:tcBorders>
              <w:bottom w:val="single" w:sz="8" w:color="8E939F"/>
            </w:tcBorders>
          </w:tcPr>
          <w:p>
            <w:pPr>
              <w:spacing w:after="0"/>
              <w:rPr>
                <w:sz w:val="21"/>
                <w:szCs w:val="21"/>
                <w:color w:val="auto"/>
              </w:rPr>
            </w:pPr>
          </w:p>
        </w:tc>
        <w:tc>
          <w:tcPr>
            <w:tcW w:w="740" w:type="dxa"/>
            <w:vAlign w:val="bottom"/>
            <w:tcBorders>
              <w:bottom w:val="single" w:sz="8" w:color="8E939F"/>
            </w:tcBorders>
          </w:tcPr>
          <w:p>
            <w:pPr>
              <w:spacing w:after="0"/>
              <w:rPr>
                <w:sz w:val="21"/>
                <w:szCs w:val="21"/>
                <w:color w:val="auto"/>
              </w:rPr>
            </w:pPr>
          </w:p>
        </w:tc>
        <w:tc>
          <w:tcPr>
            <w:tcW w:w="41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Earnings/(loss) per share (“EPS”)</w:t>
            </w:r>
            <w:r>
              <w:rPr>
                <w:rFonts w:ascii="Arial" w:cs="Arial" w:eastAsia="Arial" w:hAnsi="Arial"/>
                <w:sz w:val="21"/>
                <w:szCs w:val="21"/>
                <w:color w:val="auto"/>
                <w:vertAlign w:val="superscript"/>
              </w:rPr>
              <w:t>(4)</w:t>
            </w:r>
          </w:p>
        </w:tc>
        <w:tc>
          <w:tcPr>
            <w:tcW w:w="1000" w:type="dxa"/>
            <w:vAlign w:val="bottom"/>
            <w:tcBorders>
              <w:bottom w:val="single" w:sz="8" w:color="8E939F"/>
            </w:tcBorders>
            <w:shd w:val="clear" w:color="auto" w:fill="F3F3F9"/>
          </w:tcPr>
          <w:p>
            <w:pPr>
              <w:spacing w:after="0"/>
              <w:rPr>
                <w:sz w:val="21"/>
                <w:szCs w:val="21"/>
                <w:color w:val="auto"/>
              </w:rPr>
            </w:pPr>
          </w:p>
        </w:tc>
        <w:tc>
          <w:tcPr>
            <w:tcW w:w="200" w:type="dxa"/>
            <w:vAlign w:val="bottom"/>
            <w:tcBorders>
              <w:bottom w:val="single" w:sz="8" w:color="8E939F"/>
              <w:right w:val="single" w:sz="8" w:color="F3F3F9"/>
            </w:tcBorders>
            <w:shd w:val="clear" w:color="auto" w:fill="F3F3F9"/>
          </w:tcPr>
          <w:p>
            <w:pPr>
              <w:spacing w:after="0"/>
              <w:rPr>
                <w:sz w:val="21"/>
                <w:szCs w:val="21"/>
                <w:color w:val="auto"/>
              </w:rPr>
            </w:pPr>
          </w:p>
        </w:tc>
        <w:tc>
          <w:tcPr>
            <w:tcW w:w="420" w:type="dxa"/>
            <w:vAlign w:val="bottom"/>
            <w:tcBorders>
              <w:bottom w:val="single" w:sz="8" w:color="8E939F"/>
            </w:tcBorders>
            <w:shd w:val="clear" w:color="auto" w:fill="F3F3F9"/>
          </w:tcPr>
          <w:p>
            <w:pPr>
              <w:spacing w:after="0"/>
              <w:rPr>
                <w:sz w:val="21"/>
                <w:szCs w:val="21"/>
                <w:color w:val="auto"/>
              </w:rPr>
            </w:pPr>
          </w:p>
        </w:tc>
        <w:tc>
          <w:tcPr>
            <w:tcW w:w="220" w:type="dxa"/>
            <w:vAlign w:val="bottom"/>
            <w:tcBorders>
              <w:left w:val="single" w:sz="8" w:color="F3F3F9"/>
              <w:bottom w:val="single" w:sz="8" w:color="8E939F"/>
            </w:tcBorders>
          </w:tcPr>
          <w:p>
            <w:pPr>
              <w:spacing w:after="0"/>
              <w:rPr>
                <w:sz w:val="21"/>
                <w:szCs w:val="21"/>
                <w:color w:val="auto"/>
              </w:rPr>
            </w:pPr>
          </w:p>
        </w:tc>
        <w:tc>
          <w:tcPr>
            <w:tcW w:w="16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(0.18)</w:t>
            </w:r>
          </w:p>
        </w:tc>
        <w:tc>
          <w:tcPr>
            <w:tcW w:w="1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4140" w:type="dxa"/>
            <w:vAlign w:val="bottom"/>
            <w:gridSpan w:val="2"/>
          </w:tcPr>
          <w:p>
            <w:pPr>
              <w:ind w:left="20"/>
              <w:spacing w:after="0"/>
              <w:rPr>
                <w:sz w:val="20"/>
                <w:szCs w:val="20"/>
                <w:color w:val="auto"/>
              </w:rPr>
            </w:pPr>
            <w:r>
              <w:rPr>
                <w:rFonts w:ascii="Arial" w:cs="Arial" w:eastAsia="Arial" w:hAnsi="Arial"/>
                <w:sz w:val="16"/>
                <w:szCs w:val="16"/>
                <w:color w:val="auto"/>
              </w:rPr>
              <w:t>Basic (loss)/earnings per share (€)</w:t>
            </w:r>
          </w:p>
        </w:tc>
        <w:tc>
          <w:tcPr>
            <w:tcW w:w="1000" w:type="dxa"/>
            <w:vAlign w:val="bottom"/>
            <w:tcBorders>
              <w:bottom w:val="single" w:sz="8" w:color="F3F3F9"/>
            </w:tcBorders>
            <w:shd w:val="clear" w:color="auto" w:fill="F3F3F9"/>
          </w:tcPr>
          <w:p>
            <w:pPr>
              <w:spacing w:after="0"/>
              <w:rPr>
                <w:sz w:val="21"/>
                <w:szCs w:val="21"/>
                <w:color w:val="auto"/>
              </w:rPr>
            </w:pPr>
          </w:p>
        </w:tc>
        <w:tc>
          <w:tcPr>
            <w:tcW w:w="200" w:type="dxa"/>
            <w:vAlign w:val="bottom"/>
            <w:tcBorders>
              <w:bottom w:val="single" w:sz="8" w:color="F3F3F9"/>
              <w:right w:val="single" w:sz="8" w:color="F3F3F9"/>
            </w:tcBorders>
            <w:shd w:val="clear" w:color="auto" w:fill="F3F3F9"/>
          </w:tcPr>
          <w:p>
            <w:pPr>
              <w:spacing w:after="0"/>
              <w:rPr>
                <w:sz w:val="21"/>
                <w:szCs w:val="21"/>
                <w:color w:val="auto"/>
              </w:rPr>
            </w:pPr>
          </w:p>
        </w:tc>
        <w:tc>
          <w:tcPr>
            <w:tcW w:w="42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0.02</w:t>
            </w:r>
          </w:p>
        </w:tc>
        <w:tc>
          <w:tcPr>
            <w:tcW w:w="1900" w:type="dxa"/>
            <w:vAlign w:val="bottom"/>
            <w:tcBorders>
              <w:left w:val="single" w:sz="8" w:color="F3F3F9"/>
            </w:tcBorders>
            <w:gridSpan w:val="2"/>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(0.18)</w:t>
            </w:r>
          </w:p>
        </w:tc>
        <w:tc>
          <w:tcPr>
            <w:tcW w:w="1180" w:type="dxa"/>
            <w:vAlign w:val="bottom"/>
            <w:tcBorders>
              <w:top w:val="single" w:sz="8" w:color="8E939F"/>
            </w:tcBorders>
          </w:tcPr>
          <w:p>
            <w:pPr>
              <w:spacing w:after="0"/>
              <w:rPr>
                <w:sz w:val="21"/>
                <w:szCs w:val="21"/>
                <w:color w:val="auto"/>
              </w:rPr>
            </w:pPr>
          </w:p>
        </w:tc>
        <w:tc>
          <w:tcPr>
            <w:tcW w:w="74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(1.57)</w:t>
            </w:r>
          </w:p>
        </w:tc>
        <w:tc>
          <w:tcPr>
            <w:tcW w:w="4140" w:type="dxa"/>
            <w:vAlign w:val="bottom"/>
            <w:tcBorders>
              <w:top w:val="single" w:sz="8" w:color="8E939F"/>
            </w:tcBorders>
            <w:gridSpan w:val="2"/>
          </w:tcPr>
          <w:p>
            <w:pPr>
              <w:ind w:left="20"/>
              <w:spacing w:after="0"/>
              <w:rPr>
                <w:sz w:val="20"/>
                <w:szCs w:val="20"/>
                <w:color w:val="auto"/>
              </w:rPr>
            </w:pPr>
            <w:r>
              <w:rPr>
                <w:rFonts w:ascii="Arial" w:cs="Arial" w:eastAsia="Arial" w:hAnsi="Arial"/>
                <w:sz w:val="16"/>
                <w:szCs w:val="16"/>
                <w:color w:val="auto"/>
              </w:rPr>
              <w:t>Diluted (loss)/earnings per share (€)</w:t>
            </w:r>
          </w:p>
        </w:tc>
        <w:tc>
          <w:tcPr>
            <w:tcW w:w="1000" w:type="dxa"/>
            <w:vAlign w:val="bottom"/>
            <w:tcBorders>
              <w:top w:val="single" w:sz="8" w:color="8E939F"/>
              <w:bottom w:val="single" w:sz="8" w:color="F3F3F9"/>
            </w:tcBorders>
            <w:shd w:val="clear" w:color="auto" w:fill="F3F3F9"/>
          </w:tcPr>
          <w:p>
            <w:pPr>
              <w:spacing w:after="0"/>
              <w:rPr>
                <w:sz w:val="21"/>
                <w:szCs w:val="21"/>
                <w:color w:val="auto"/>
              </w:rPr>
            </w:pPr>
          </w:p>
        </w:tc>
        <w:tc>
          <w:tcPr>
            <w:tcW w:w="200" w:type="dxa"/>
            <w:vAlign w:val="bottom"/>
            <w:tcBorders>
              <w:top w:val="single" w:sz="8" w:color="8E939F"/>
              <w:bottom w:val="single" w:sz="8" w:color="F3F3F9"/>
              <w:right w:val="single" w:sz="8" w:color="F3F3F9"/>
            </w:tcBorders>
            <w:shd w:val="clear" w:color="auto" w:fill="F3F3F9"/>
          </w:tcPr>
          <w:p>
            <w:pPr>
              <w:spacing w:after="0"/>
              <w:rPr>
                <w:sz w:val="21"/>
                <w:szCs w:val="21"/>
                <w:color w:val="auto"/>
              </w:rPr>
            </w:pPr>
          </w:p>
        </w:tc>
        <w:tc>
          <w:tcPr>
            <w:tcW w:w="42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0.02</w:t>
            </w:r>
          </w:p>
        </w:tc>
        <w:tc>
          <w:tcPr>
            <w:tcW w:w="1900" w:type="dxa"/>
            <w:vAlign w:val="bottom"/>
            <w:tcBorders>
              <w:top w:val="single" w:sz="8" w:color="8E939F"/>
              <w:left w:val="single" w:sz="8" w:color="F3F3F9"/>
            </w:tcBorders>
            <w:gridSpan w:val="2"/>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50"/>
        </w:trPr>
        <w:tc>
          <w:tcPr>
            <w:tcW w:w="166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(0.01)</w:t>
            </w:r>
          </w:p>
        </w:tc>
        <w:tc>
          <w:tcPr>
            <w:tcW w:w="1180" w:type="dxa"/>
            <w:vAlign w:val="bottom"/>
            <w:tcBorders>
              <w:top w:val="single" w:sz="8" w:color="8E939F"/>
              <w:bottom w:val="single" w:sz="8" w:color="8E939F"/>
            </w:tcBorders>
          </w:tcPr>
          <w:p>
            <w:pPr>
              <w:spacing w:after="0"/>
              <w:rPr>
                <w:sz w:val="21"/>
                <w:szCs w:val="21"/>
                <w:color w:val="auto"/>
              </w:rPr>
            </w:pPr>
          </w:p>
        </w:tc>
        <w:tc>
          <w:tcPr>
            <w:tcW w:w="74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6"/>
                <w:szCs w:val="16"/>
                <w:color w:val="auto"/>
              </w:rPr>
              <w:t>(0.04)</w:t>
            </w:r>
          </w:p>
        </w:tc>
        <w:tc>
          <w:tcPr>
            <w:tcW w:w="4140" w:type="dxa"/>
            <w:vAlign w:val="bottom"/>
            <w:tcBorders>
              <w:top w:val="single" w:sz="8" w:color="8E939F"/>
              <w:bottom w:val="single" w:sz="8" w:color="8E939F"/>
            </w:tcBorders>
            <w:gridSpan w:val="2"/>
          </w:tcPr>
          <w:p>
            <w:pPr>
              <w:ind w:left="20"/>
              <w:spacing w:after="0"/>
              <w:rPr>
                <w:sz w:val="20"/>
                <w:szCs w:val="20"/>
                <w:color w:val="auto"/>
              </w:rPr>
            </w:pPr>
            <w:r>
              <w:rPr>
                <w:rFonts w:ascii="Arial" w:cs="Arial" w:eastAsia="Arial" w:hAnsi="Arial"/>
                <w:sz w:val="16"/>
                <w:szCs w:val="16"/>
                <w:color w:val="auto"/>
              </w:rPr>
              <w:t>Adjusted diluted earnings/(loss) per share (€)</w:t>
            </w:r>
            <w:r>
              <w:rPr>
                <w:rFonts w:ascii="Arial" w:cs="Arial" w:eastAsia="Arial" w:hAnsi="Arial"/>
                <w:sz w:val="21"/>
                <w:szCs w:val="21"/>
                <w:color w:val="auto"/>
                <w:vertAlign w:val="superscript"/>
              </w:rPr>
              <w:t>(5)</w:t>
            </w:r>
          </w:p>
        </w:tc>
        <w:tc>
          <w:tcPr>
            <w:tcW w:w="1000" w:type="dxa"/>
            <w:vAlign w:val="bottom"/>
            <w:tcBorders>
              <w:top w:val="single" w:sz="8" w:color="8E939F"/>
              <w:bottom w:val="single" w:sz="8" w:color="8E939F"/>
            </w:tcBorders>
            <w:shd w:val="clear" w:color="auto" w:fill="F3F3F9"/>
          </w:tcPr>
          <w:p>
            <w:pPr>
              <w:spacing w:after="0"/>
              <w:rPr>
                <w:sz w:val="21"/>
                <w:szCs w:val="21"/>
                <w:color w:val="auto"/>
              </w:rPr>
            </w:pPr>
          </w:p>
        </w:tc>
        <w:tc>
          <w:tcPr>
            <w:tcW w:w="620" w:type="dxa"/>
            <w:vAlign w:val="bottom"/>
            <w:tcBorders>
              <w:top w:val="single" w:sz="8" w:color="8E939F"/>
              <w:bottom w:val="single" w:sz="8" w:color="8E939F"/>
            </w:tcBorders>
            <w:gridSpan w:val="2"/>
            <w:shd w:val="clear" w:color="auto" w:fill="F3F3F9"/>
          </w:tcPr>
          <w:p>
            <w:pPr>
              <w:jc w:val="right"/>
              <w:spacing w:after="0"/>
              <w:rPr>
                <w:sz w:val="20"/>
                <w:szCs w:val="20"/>
                <w:color w:val="auto"/>
              </w:rPr>
            </w:pPr>
            <w:r>
              <w:rPr>
                <w:rFonts w:ascii="Arial" w:cs="Arial" w:eastAsia="Arial" w:hAnsi="Arial"/>
                <w:sz w:val="16"/>
                <w:szCs w:val="16"/>
                <w:color w:val="auto"/>
              </w:rPr>
              <w:t>0.31</w:t>
            </w:r>
          </w:p>
        </w:tc>
        <w:tc>
          <w:tcPr>
            <w:tcW w:w="1900" w:type="dxa"/>
            <w:vAlign w:val="bottom"/>
            <w:tcBorders>
              <w:top w:val="single" w:sz="8" w:color="8E939F"/>
              <w:left w:val="single" w:sz="8" w:color="F3F3F9"/>
              <w:bottom w:val="single" w:sz="8" w:color="8E939F"/>
            </w:tcBorders>
            <w:gridSpan w:val="2"/>
          </w:tcPr>
          <w:p>
            <w:pPr>
              <w:jc w:val="right"/>
              <w:ind w:right="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8E939F"/>
            </w:tcBorders>
            <w:shd w:val="clear" w:color="auto" w:fill="F3F3F9"/>
          </w:tcPr>
          <w:p>
            <w:pPr>
              <w:spacing w:after="0"/>
              <w:rPr>
                <w:sz w:val="21"/>
                <w:szCs w:val="21"/>
                <w:color w:val="auto"/>
              </w:rPr>
            </w:pPr>
          </w:p>
        </w:tc>
        <w:tc>
          <w:tcPr>
            <w:tcW w:w="1180" w:type="dxa"/>
            <w:vAlign w:val="bottom"/>
            <w:tcBorders>
              <w:bottom w:val="single" w:sz="8" w:color="8E939F"/>
            </w:tcBorders>
          </w:tcPr>
          <w:p>
            <w:pPr>
              <w:spacing w:after="0"/>
              <w:rPr>
                <w:sz w:val="21"/>
                <w:szCs w:val="21"/>
                <w:color w:val="auto"/>
              </w:rPr>
            </w:pPr>
          </w:p>
        </w:tc>
        <w:tc>
          <w:tcPr>
            <w:tcW w:w="740" w:type="dxa"/>
            <w:vAlign w:val="bottom"/>
            <w:tcBorders>
              <w:bottom w:val="single" w:sz="8" w:color="8E939F"/>
            </w:tcBorders>
          </w:tcPr>
          <w:p>
            <w:pPr>
              <w:spacing w:after="0"/>
              <w:rPr>
                <w:sz w:val="21"/>
                <w:szCs w:val="21"/>
                <w:color w:val="auto"/>
              </w:rPr>
            </w:pPr>
          </w:p>
        </w:tc>
        <w:tc>
          <w:tcPr>
            <w:tcW w:w="306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1000" w:type="dxa"/>
            <w:vAlign w:val="bottom"/>
            <w:tcBorders>
              <w:bottom w:val="single" w:sz="8" w:color="8E939F"/>
            </w:tcBorders>
            <w:shd w:val="clear" w:color="auto" w:fill="F3F3F9"/>
          </w:tcPr>
          <w:p>
            <w:pPr>
              <w:spacing w:after="0"/>
              <w:rPr>
                <w:sz w:val="21"/>
                <w:szCs w:val="21"/>
                <w:color w:val="auto"/>
              </w:rPr>
            </w:pPr>
          </w:p>
        </w:tc>
        <w:tc>
          <w:tcPr>
            <w:tcW w:w="200" w:type="dxa"/>
            <w:vAlign w:val="bottom"/>
            <w:tcBorders>
              <w:bottom w:val="single" w:sz="8" w:color="8E939F"/>
              <w:right w:val="single" w:sz="8" w:color="F3F3F9"/>
            </w:tcBorders>
            <w:shd w:val="clear" w:color="auto" w:fill="F3F3F9"/>
          </w:tcPr>
          <w:p>
            <w:pPr>
              <w:spacing w:after="0"/>
              <w:rPr>
                <w:sz w:val="21"/>
                <w:szCs w:val="21"/>
                <w:color w:val="auto"/>
              </w:rPr>
            </w:pPr>
          </w:p>
        </w:tc>
        <w:tc>
          <w:tcPr>
            <w:tcW w:w="420" w:type="dxa"/>
            <w:vAlign w:val="bottom"/>
            <w:tcBorders>
              <w:bottom w:val="single" w:sz="8" w:color="8E939F"/>
            </w:tcBorders>
            <w:shd w:val="clear" w:color="auto" w:fill="F3F3F9"/>
          </w:tcPr>
          <w:p>
            <w:pPr>
              <w:spacing w:after="0"/>
              <w:rPr>
                <w:sz w:val="21"/>
                <w:szCs w:val="21"/>
                <w:color w:val="auto"/>
              </w:rPr>
            </w:pPr>
          </w:p>
        </w:tc>
        <w:tc>
          <w:tcPr>
            <w:tcW w:w="220" w:type="dxa"/>
            <w:vAlign w:val="bottom"/>
            <w:tcBorders>
              <w:left w:val="single" w:sz="8" w:color="F3F3F9"/>
              <w:bottom w:val="single" w:sz="8" w:color="8E939F"/>
            </w:tcBorders>
          </w:tcPr>
          <w:p>
            <w:pPr>
              <w:spacing w:after="0"/>
              <w:rPr>
                <w:sz w:val="21"/>
                <w:szCs w:val="21"/>
                <w:color w:val="auto"/>
              </w:rPr>
            </w:pPr>
          </w:p>
        </w:tc>
        <w:tc>
          <w:tcPr>
            <w:tcW w:w="16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w:t>
            </w:r>
          </w:p>
        </w:tc>
        <w:tc>
          <w:tcPr>
            <w:tcW w:w="1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gridSpan w:val="2"/>
          </w:tcPr>
          <w:p>
            <w:pPr>
              <w:ind w:left="20"/>
              <w:spacing w:after="0"/>
              <w:rPr>
                <w:sz w:val="20"/>
                <w:szCs w:val="20"/>
                <w:color w:val="auto"/>
              </w:rPr>
            </w:pPr>
            <w:r>
              <w:rPr>
                <w:rFonts w:ascii="Arial" w:cs="Arial" w:eastAsia="Arial" w:hAnsi="Arial"/>
                <w:sz w:val="16"/>
                <w:szCs w:val="16"/>
                <w:color w:val="auto"/>
              </w:rPr>
              <w:t>Ordinary dividends, per share (€)</w:t>
            </w:r>
          </w:p>
        </w:tc>
        <w:tc>
          <w:tcPr>
            <w:tcW w:w="1000" w:type="dxa"/>
            <w:vAlign w:val="bottom"/>
            <w:tcBorders>
              <w:bottom w:val="single" w:sz="8" w:color="F3F3F9"/>
            </w:tcBorders>
            <w:shd w:val="clear" w:color="auto" w:fill="F3F3F9"/>
          </w:tcPr>
          <w:p>
            <w:pPr>
              <w:spacing w:after="0"/>
              <w:rPr>
                <w:sz w:val="21"/>
                <w:szCs w:val="21"/>
                <w:color w:val="auto"/>
              </w:rPr>
            </w:pPr>
          </w:p>
        </w:tc>
        <w:tc>
          <w:tcPr>
            <w:tcW w:w="200" w:type="dxa"/>
            <w:vAlign w:val="bottom"/>
            <w:tcBorders>
              <w:bottom w:val="single" w:sz="8" w:color="F3F3F9"/>
              <w:right w:val="single" w:sz="8" w:color="F3F3F9"/>
            </w:tcBorders>
            <w:shd w:val="clear" w:color="auto" w:fill="F3F3F9"/>
          </w:tcPr>
          <w:p>
            <w:pPr>
              <w:spacing w:after="0"/>
              <w:rPr>
                <w:sz w:val="21"/>
                <w:szCs w:val="21"/>
                <w:color w:val="auto"/>
              </w:rPr>
            </w:pPr>
          </w:p>
        </w:tc>
        <w:tc>
          <w:tcPr>
            <w:tcW w:w="42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w:t>
            </w:r>
          </w:p>
        </w:tc>
        <w:tc>
          <w:tcPr>
            <w:tcW w:w="1900" w:type="dxa"/>
            <w:vAlign w:val="bottom"/>
            <w:tcBorders>
              <w:left w:val="single" w:sz="8" w:color="F3F3F9"/>
            </w:tcBorders>
            <w:gridSpan w:val="2"/>
          </w:tcPr>
          <w:p>
            <w:pPr>
              <w:jc w:val="right"/>
              <w:ind w:right="8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568"/>
        </w:trPr>
        <w:tc>
          <w:tcPr>
            <w:tcW w:w="1660" w:type="dxa"/>
            <w:vAlign w:val="bottom"/>
            <w:tcBorders>
              <w:top w:val="single" w:sz="8" w:color="8E939F"/>
            </w:tcBorders>
          </w:tcPr>
          <w:p>
            <w:pPr>
              <w:spacing w:after="0"/>
              <w:rPr>
                <w:sz w:val="24"/>
                <w:szCs w:val="24"/>
                <w:color w:val="auto"/>
              </w:rPr>
            </w:pPr>
          </w:p>
        </w:tc>
        <w:tc>
          <w:tcPr>
            <w:tcW w:w="1180" w:type="dxa"/>
            <w:vAlign w:val="bottom"/>
            <w:tcBorders>
              <w:top w:val="single" w:sz="8" w:color="8E939F"/>
            </w:tcBorders>
          </w:tcPr>
          <w:p>
            <w:pPr>
              <w:spacing w:after="0"/>
              <w:rPr>
                <w:sz w:val="24"/>
                <w:szCs w:val="24"/>
                <w:color w:val="auto"/>
              </w:rPr>
            </w:pPr>
          </w:p>
        </w:tc>
        <w:tc>
          <w:tcPr>
            <w:tcW w:w="740" w:type="dxa"/>
            <w:vAlign w:val="bottom"/>
            <w:tcBorders>
              <w:top w:val="single" w:sz="8" w:color="8E939F"/>
            </w:tcBorders>
          </w:tcPr>
          <w:p>
            <w:pPr>
              <w:spacing w:after="0"/>
              <w:rPr>
                <w:sz w:val="24"/>
                <w:szCs w:val="24"/>
                <w:color w:val="auto"/>
              </w:rPr>
            </w:pPr>
          </w:p>
        </w:tc>
        <w:tc>
          <w:tcPr>
            <w:tcW w:w="3060" w:type="dxa"/>
            <w:vAlign w:val="bottom"/>
            <w:tcBorders>
              <w:top w:val="single" w:sz="8" w:color="8E939F"/>
            </w:tcBorders>
          </w:tcPr>
          <w:p>
            <w:pPr>
              <w:spacing w:after="0"/>
              <w:rPr>
                <w:sz w:val="24"/>
                <w:szCs w:val="24"/>
                <w:color w:val="auto"/>
              </w:rPr>
            </w:pPr>
          </w:p>
        </w:tc>
        <w:tc>
          <w:tcPr>
            <w:tcW w:w="1080" w:type="dxa"/>
            <w:vAlign w:val="bottom"/>
            <w:tcBorders>
              <w:top w:val="single" w:sz="8" w:color="8E939F"/>
            </w:tcBorders>
          </w:tcPr>
          <w:p>
            <w:pPr>
              <w:spacing w:after="0"/>
              <w:rPr>
                <w:sz w:val="24"/>
                <w:szCs w:val="24"/>
                <w:color w:val="auto"/>
              </w:rPr>
            </w:pPr>
          </w:p>
        </w:tc>
        <w:tc>
          <w:tcPr>
            <w:tcW w:w="3520" w:type="dxa"/>
            <w:vAlign w:val="bottom"/>
            <w:tcBorders>
              <w:top w:val="single" w:sz="8" w:color="8E939F"/>
              <w:bottom w:val="single" w:sz="8" w:color="8E939F"/>
            </w:tcBorders>
            <w:gridSpan w:val="5"/>
          </w:tcPr>
          <w:p>
            <w:pPr>
              <w:jc w:val="right"/>
              <w:ind w:right="460"/>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08"/>
        </w:trPr>
        <w:tc>
          <w:tcPr>
            <w:tcW w:w="28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w:t>
            </w:r>
          </w:p>
        </w:tc>
        <w:tc>
          <w:tcPr>
            <w:tcW w:w="7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80" w:type="dxa"/>
            <w:vAlign w:val="bottom"/>
            <w:tcBorders>
              <w:right w:val="single" w:sz="8" w:color="F3F3F9"/>
            </w:tcBorders>
          </w:tcPr>
          <w:p>
            <w:pPr>
              <w:spacing w:after="0"/>
              <w:rPr>
                <w:sz w:val="18"/>
                <w:szCs w:val="18"/>
                <w:color w:val="auto"/>
              </w:rPr>
            </w:pPr>
          </w:p>
        </w:tc>
        <w:tc>
          <w:tcPr>
            <w:tcW w:w="1000" w:type="dxa"/>
            <w:vAlign w:val="bottom"/>
            <w:shd w:val="clear" w:color="auto" w:fill="F3F3F9"/>
          </w:tcPr>
          <w:p>
            <w:pPr>
              <w:spacing w:after="0"/>
              <w:rPr>
                <w:sz w:val="18"/>
                <w:szCs w:val="18"/>
                <w:color w:val="auto"/>
              </w:rPr>
            </w:pPr>
          </w:p>
        </w:tc>
        <w:tc>
          <w:tcPr>
            <w:tcW w:w="200" w:type="dxa"/>
            <w:vAlign w:val="bottom"/>
            <w:tcBorders>
              <w:right w:val="single" w:sz="8" w:color="F3F3F9"/>
            </w:tcBorders>
            <w:shd w:val="clear" w:color="auto" w:fill="F3F3F9"/>
          </w:tcPr>
          <w:p>
            <w:pPr>
              <w:spacing w:after="0"/>
              <w:rPr>
                <w:sz w:val="18"/>
                <w:szCs w:val="18"/>
                <w:color w:val="auto"/>
              </w:rPr>
            </w:pPr>
          </w:p>
        </w:tc>
        <w:tc>
          <w:tcPr>
            <w:tcW w:w="420" w:type="dxa"/>
            <w:vAlign w:val="bottom"/>
            <w:shd w:val="clear" w:color="auto" w:fill="F3F3F9"/>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Borders>
              <w:bottom w:val="single" w:sz="8" w:color="143A84"/>
            </w:tcBorders>
          </w:tcPr>
          <w:p>
            <w:pPr>
              <w:spacing w:after="0"/>
              <w:rPr>
                <w:sz w:val="20"/>
                <w:szCs w:val="20"/>
                <w:color w:val="auto"/>
              </w:rPr>
            </w:pPr>
          </w:p>
        </w:tc>
        <w:tc>
          <w:tcPr>
            <w:tcW w:w="1180" w:type="dxa"/>
            <w:vAlign w:val="bottom"/>
            <w:tcBorders>
              <w:bottom w:val="single" w:sz="8" w:color="143A84"/>
            </w:tcBorders>
          </w:tcPr>
          <w:p>
            <w:pPr>
              <w:spacing w:after="0"/>
              <w:rPr>
                <w:sz w:val="20"/>
                <w:szCs w:val="20"/>
                <w:color w:val="auto"/>
              </w:rPr>
            </w:pPr>
          </w:p>
        </w:tc>
        <w:tc>
          <w:tcPr>
            <w:tcW w:w="740" w:type="dxa"/>
            <w:vAlign w:val="bottom"/>
            <w:tcBorders>
              <w:bottom w:val="single" w:sz="8" w:color="143A84"/>
            </w:tcBorders>
          </w:tcPr>
          <w:p>
            <w:pPr>
              <w:spacing w:after="0"/>
              <w:rPr>
                <w:sz w:val="20"/>
                <w:szCs w:val="20"/>
                <w:color w:val="auto"/>
              </w:rPr>
            </w:pPr>
          </w:p>
        </w:tc>
        <w:tc>
          <w:tcPr>
            <w:tcW w:w="3060" w:type="dxa"/>
            <w:vAlign w:val="bottom"/>
            <w:tcBorders>
              <w:bottom w:val="single" w:sz="8" w:color="143A84"/>
            </w:tcBorders>
          </w:tcPr>
          <w:p>
            <w:pPr>
              <w:spacing w:after="0"/>
              <w:rPr>
                <w:sz w:val="20"/>
                <w:szCs w:val="20"/>
                <w:color w:val="auto"/>
              </w:rPr>
            </w:pPr>
          </w:p>
        </w:tc>
        <w:tc>
          <w:tcPr>
            <w:tcW w:w="1080" w:type="dxa"/>
            <w:vAlign w:val="bottom"/>
            <w:tcBorders>
              <w:bottom w:val="single" w:sz="8" w:color="143A84"/>
              <w:right w:val="single" w:sz="8" w:color="F3F3F9"/>
            </w:tcBorders>
          </w:tcPr>
          <w:p>
            <w:pPr>
              <w:spacing w:after="0"/>
              <w:rPr>
                <w:sz w:val="20"/>
                <w:szCs w:val="20"/>
                <w:color w:val="auto"/>
              </w:rPr>
            </w:pPr>
          </w:p>
        </w:tc>
        <w:tc>
          <w:tcPr>
            <w:tcW w:w="1000" w:type="dxa"/>
            <w:vAlign w:val="bottom"/>
            <w:tcBorders>
              <w:bottom w:val="single" w:sz="8" w:color="143A84"/>
            </w:tcBorders>
            <w:shd w:val="clear" w:color="auto" w:fill="F3F3F9"/>
          </w:tcPr>
          <w:p>
            <w:pPr>
              <w:spacing w:after="0"/>
              <w:rPr>
                <w:sz w:val="20"/>
                <w:szCs w:val="20"/>
                <w:color w:val="auto"/>
              </w:rPr>
            </w:pPr>
          </w:p>
        </w:tc>
        <w:tc>
          <w:tcPr>
            <w:tcW w:w="62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900" w:type="dxa"/>
            <w:vAlign w:val="bottom"/>
            <w:tcBorders>
              <w:bottom w:val="single" w:sz="8" w:color="143A84"/>
            </w:tcBorders>
            <w:gridSpan w:val="2"/>
          </w:tcPr>
          <w:p>
            <w:pPr>
              <w:jc w:val="right"/>
              <w:ind w:right="20"/>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33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Net cash from/(used in) operating activities</w:t>
            </w:r>
          </w:p>
        </w:tc>
        <w:tc>
          <w:tcPr>
            <w:tcW w:w="3060" w:type="dxa"/>
            <w:vAlign w:val="bottom"/>
          </w:tcPr>
          <w:p>
            <w:pPr>
              <w:spacing w:after="0"/>
              <w:rPr>
                <w:sz w:val="24"/>
                <w:szCs w:val="24"/>
                <w:color w:val="auto"/>
              </w:rPr>
            </w:pPr>
          </w:p>
        </w:tc>
        <w:tc>
          <w:tcPr>
            <w:tcW w:w="1080" w:type="dxa"/>
            <w:vAlign w:val="bottom"/>
            <w:tcBorders>
              <w:right w:val="single" w:sz="8" w:color="F3F3F9"/>
            </w:tcBorders>
          </w:tcPr>
          <w:p>
            <w:pPr>
              <w:spacing w:after="0"/>
              <w:rPr>
                <w:sz w:val="24"/>
                <w:szCs w:val="24"/>
                <w:color w:val="auto"/>
              </w:rPr>
            </w:pPr>
          </w:p>
        </w:tc>
        <w:tc>
          <w:tcPr>
            <w:tcW w:w="1000" w:type="dxa"/>
            <w:vAlign w:val="bottom"/>
            <w:shd w:val="clear" w:color="auto" w:fill="F3F3F9"/>
          </w:tcPr>
          <w:p>
            <w:pPr>
              <w:spacing w:after="0"/>
              <w:rPr>
                <w:sz w:val="24"/>
                <w:szCs w:val="24"/>
                <w:color w:val="auto"/>
              </w:rPr>
            </w:pPr>
          </w:p>
        </w:tc>
        <w:tc>
          <w:tcPr>
            <w:tcW w:w="620" w:type="dxa"/>
            <w:vAlign w:val="bottom"/>
            <w:gridSpan w:val="2"/>
            <w:shd w:val="clear" w:color="auto" w:fill="F3F3F9"/>
          </w:tcPr>
          <w:p>
            <w:pPr>
              <w:jc w:val="right"/>
              <w:spacing w:after="0"/>
              <w:rPr>
                <w:sz w:val="20"/>
                <w:szCs w:val="20"/>
                <w:color w:val="auto"/>
              </w:rPr>
            </w:pPr>
            <w:r>
              <w:rPr>
                <w:rFonts w:ascii="Arial" w:cs="Arial" w:eastAsia="Arial" w:hAnsi="Arial"/>
                <w:sz w:val="16"/>
                <w:szCs w:val="16"/>
                <w:color w:val="auto"/>
              </w:rPr>
              <w:t>(6,817)</w:t>
            </w:r>
          </w:p>
        </w:tc>
        <w:tc>
          <w:tcPr>
            <w:tcW w:w="1900" w:type="dxa"/>
            <w:vAlign w:val="bottom"/>
            <w:gridSpan w:val="2"/>
          </w:tcPr>
          <w:p>
            <w:pPr>
              <w:jc w:val="right"/>
              <w:ind w:right="20"/>
              <w:spacing w:after="0"/>
              <w:rPr>
                <w:sz w:val="20"/>
                <w:szCs w:val="20"/>
                <w:color w:val="auto"/>
              </w:rPr>
            </w:pPr>
            <w:r>
              <w:rPr>
                <w:rFonts w:ascii="Arial" w:cs="Arial" w:eastAsia="Arial" w:hAnsi="Arial"/>
                <w:sz w:val="16"/>
                <w:szCs w:val="16"/>
                <w:color w:val="auto"/>
              </w:rPr>
              <w:t>(6,838)</w:t>
            </w:r>
          </w:p>
        </w:tc>
        <w:tc>
          <w:tcPr>
            <w:tcW w:w="0" w:type="dxa"/>
            <w:vAlign w:val="bottom"/>
          </w:tcPr>
          <w:p>
            <w:pPr>
              <w:spacing w:after="0"/>
              <w:rPr>
                <w:sz w:val="1"/>
                <w:szCs w:val="1"/>
                <w:color w:val="auto"/>
              </w:rPr>
            </w:pPr>
          </w:p>
        </w:tc>
      </w:tr>
      <w:tr>
        <w:trPr>
          <w:trHeight w:val="110"/>
        </w:trPr>
        <w:tc>
          <w:tcPr>
            <w:tcW w:w="2840" w:type="dxa"/>
            <w:vAlign w:val="bottom"/>
            <w:tcBorders>
              <w:bottom w:val="single" w:sz="8" w:color="B6B6B6"/>
            </w:tcBorders>
            <w:gridSpan w:val="2"/>
          </w:tcPr>
          <w:p>
            <w:pPr>
              <w:spacing w:after="0"/>
              <w:rPr>
                <w:sz w:val="9"/>
                <w:szCs w:val="9"/>
                <w:color w:val="auto"/>
              </w:rPr>
            </w:pPr>
          </w:p>
        </w:tc>
        <w:tc>
          <w:tcPr>
            <w:tcW w:w="740" w:type="dxa"/>
            <w:vAlign w:val="bottom"/>
            <w:tcBorders>
              <w:bottom w:val="single" w:sz="8" w:color="B6B6B6"/>
            </w:tcBorders>
          </w:tcPr>
          <w:p>
            <w:pPr>
              <w:spacing w:after="0"/>
              <w:rPr>
                <w:sz w:val="9"/>
                <w:szCs w:val="9"/>
                <w:color w:val="auto"/>
              </w:rPr>
            </w:pPr>
          </w:p>
        </w:tc>
        <w:tc>
          <w:tcPr>
            <w:tcW w:w="3060" w:type="dxa"/>
            <w:vAlign w:val="bottom"/>
            <w:tcBorders>
              <w:bottom w:val="single" w:sz="8" w:color="B6B6B6"/>
            </w:tcBorders>
          </w:tcPr>
          <w:p>
            <w:pPr>
              <w:spacing w:after="0"/>
              <w:rPr>
                <w:sz w:val="9"/>
                <w:szCs w:val="9"/>
                <w:color w:val="auto"/>
              </w:rPr>
            </w:pPr>
          </w:p>
        </w:tc>
        <w:tc>
          <w:tcPr>
            <w:tcW w:w="1080" w:type="dxa"/>
            <w:vAlign w:val="bottom"/>
            <w:tcBorders>
              <w:bottom w:val="single" w:sz="8" w:color="B6B6B6"/>
              <w:right w:val="single" w:sz="8" w:color="F3F3F9"/>
            </w:tcBorders>
          </w:tcPr>
          <w:p>
            <w:pPr>
              <w:spacing w:after="0"/>
              <w:rPr>
                <w:sz w:val="9"/>
                <w:szCs w:val="9"/>
                <w:color w:val="auto"/>
              </w:rPr>
            </w:pPr>
          </w:p>
        </w:tc>
        <w:tc>
          <w:tcPr>
            <w:tcW w:w="1000" w:type="dxa"/>
            <w:vAlign w:val="bottom"/>
            <w:tcBorders>
              <w:bottom w:val="single" w:sz="8" w:color="8E939F"/>
            </w:tcBorders>
            <w:shd w:val="clear" w:color="auto" w:fill="F3F3F9"/>
          </w:tcPr>
          <w:p>
            <w:pPr>
              <w:spacing w:after="0"/>
              <w:rPr>
                <w:sz w:val="9"/>
                <w:szCs w:val="9"/>
                <w:color w:val="auto"/>
              </w:rPr>
            </w:pPr>
          </w:p>
        </w:tc>
        <w:tc>
          <w:tcPr>
            <w:tcW w:w="200" w:type="dxa"/>
            <w:vAlign w:val="bottom"/>
            <w:tcBorders>
              <w:bottom w:val="single" w:sz="8" w:color="8E939F"/>
              <w:right w:val="single" w:sz="8" w:color="F3F3F9"/>
            </w:tcBorders>
            <w:shd w:val="clear" w:color="auto" w:fill="F3F3F9"/>
          </w:tcPr>
          <w:p>
            <w:pPr>
              <w:spacing w:after="0"/>
              <w:rPr>
                <w:sz w:val="9"/>
                <w:szCs w:val="9"/>
                <w:color w:val="auto"/>
              </w:rPr>
            </w:pPr>
          </w:p>
        </w:tc>
        <w:tc>
          <w:tcPr>
            <w:tcW w:w="420" w:type="dxa"/>
            <w:vAlign w:val="bottom"/>
            <w:tcBorders>
              <w:bottom w:val="single" w:sz="8" w:color="8E939F"/>
            </w:tcBorders>
            <w:shd w:val="clear" w:color="auto" w:fill="F3F3F9"/>
          </w:tcPr>
          <w:p>
            <w:pPr>
              <w:spacing w:after="0"/>
              <w:rPr>
                <w:sz w:val="9"/>
                <w:szCs w:val="9"/>
                <w:color w:val="auto"/>
              </w:rPr>
            </w:pPr>
          </w:p>
        </w:tc>
        <w:tc>
          <w:tcPr>
            <w:tcW w:w="220" w:type="dxa"/>
            <w:vAlign w:val="bottom"/>
            <w:tcBorders>
              <w:bottom w:val="single" w:sz="8" w:color="8E939F"/>
            </w:tcBorders>
          </w:tcPr>
          <w:p>
            <w:pPr>
              <w:spacing w:after="0"/>
              <w:rPr>
                <w:sz w:val="9"/>
                <w:szCs w:val="9"/>
                <w:color w:val="auto"/>
              </w:rPr>
            </w:pPr>
          </w:p>
        </w:tc>
        <w:tc>
          <w:tcPr>
            <w:tcW w:w="1680" w:type="dxa"/>
            <w:vAlign w:val="bottom"/>
            <w:tcBorders>
              <w:bottom w:val="single" w:sz="8" w:color="B6B6B6"/>
            </w:tcBorders>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Industrial free cash flows (“IFCF”)</w:t>
            </w:r>
            <w:r>
              <w:rPr>
                <w:rFonts w:ascii="Arial" w:cs="Arial" w:eastAsia="Arial" w:hAnsi="Arial"/>
                <w:sz w:val="21"/>
                <w:szCs w:val="21"/>
                <w:color w:val="auto"/>
                <w:vertAlign w:val="superscript"/>
              </w:rPr>
              <w:t>(6)</w:t>
            </w: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Borders>
              <w:right w:val="single" w:sz="8" w:color="F3F3F9"/>
            </w:tcBorders>
          </w:tcPr>
          <w:p>
            <w:pPr>
              <w:spacing w:after="0"/>
              <w:rPr>
                <w:sz w:val="24"/>
                <w:szCs w:val="24"/>
                <w:color w:val="auto"/>
              </w:rPr>
            </w:pPr>
          </w:p>
        </w:tc>
        <w:tc>
          <w:tcPr>
            <w:tcW w:w="1000" w:type="dxa"/>
            <w:vAlign w:val="bottom"/>
            <w:tcBorders>
              <w:bottom w:val="single" w:sz="8" w:color="F3F3F9"/>
            </w:tcBorders>
            <w:shd w:val="clear" w:color="auto" w:fill="F3F3F9"/>
          </w:tcPr>
          <w:p>
            <w:pPr>
              <w:spacing w:after="0"/>
              <w:rPr>
                <w:sz w:val="24"/>
                <w:szCs w:val="24"/>
                <w:color w:val="auto"/>
              </w:rPr>
            </w:pPr>
          </w:p>
        </w:tc>
        <w:tc>
          <w:tcPr>
            <w:tcW w:w="620" w:type="dxa"/>
            <w:vAlign w:val="bottom"/>
            <w:tcBorders>
              <w:bottom w:val="single" w:sz="8" w:color="F3F3F9"/>
            </w:tcBorders>
            <w:gridSpan w:val="2"/>
            <w:shd w:val="clear" w:color="auto" w:fill="F3F3F9"/>
          </w:tcPr>
          <w:p>
            <w:pPr>
              <w:jc w:val="right"/>
              <w:spacing w:after="0"/>
              <w:rPr>
                <w:sz w:val="20"/>
                <w:szCs w:val="20"/>
                <w:color w:val="auto"/>
              </w:rPr>
            </w:pPr>
            <w:r>
              <w:rPr>
                <w:rFonts w:ascii="Arial" w:cs="Arial" w:eastAsia="Arial" w:hAnsi="Arial"/>
                <w:sz w:val="16"/>
                <w:szCs w:val="16"/>
                <w:color w:val="auto"/>
              </w:rPr>
              <w:t>(4,930)</w:t>
            </w:r>
          </w:p>
        </w:tc>
        <w:tc>
          <w:tcPr>
            <w:tcW w:w="1900" w:type="dxa"/>
            <w:vAlign w:val="bottom"/>
            <w:gridSpan w:val="2"/>
          </w:tcPr>
          <w:p>
            <w:pPr>
              <w:jc w:val="right"/>
              <w:ind w:right="20"/>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331"/>
        </w:trPr>
        <w:tc>
          <w:tcPr>
            <w:tcW w:w="2840" w:type="dxa"/>
            <w:vAlign w:val="bottom"/>
            <w:tcBorders>
              <w:top w:val="single" w:sz="8" w:color="B6B6B6"/>
            </w:tcBorders>
            <w:gridSpan w:val="2"/>
            <w:vMerge w:val="restart"/>
          </w:tcPr>
          <w:p>
            <w:pPr>
              <w:ind w:left="20"/>
              <w:spacing w:after="0"/>
              <w:rPr>
                <w:sz w:val="20"/>
                <w:szCs w:val="20"/>
                <w:color w:val="auto"/>
              </w:rPr>
            </w:pPr>
            <w:r>
              <w:rPr>
                <w:rFonts w:ascii="Arial" w:cs="Arial" w:eastAsia="Arial" w:hAnsi="Arial"/>
                <w:sz w:val="14"/>
                <w:szCs w:val="14"/>
                <w:i w:val="1"/>
                <w:iCs w:val="1"/>
                <w:color w:val="auto"/>
              </w:rPr>
              <w:t>(€ million)</w:t>
            </w:r>
          </w:p>
        </w:tc>
        <w:tc>
          <w:tcPr>
            <w:tcW w:w="740" w:type="dxa"/>
            <w:vAlign w:val="bottom"/>
            <w:tcBorders>
              <w:top w:val="single" w:sz="8" w:color="B6B6B6"/>
            </w:tcBorders>
          </w:tcPr>
          <w:p>
            <w:pPr>
              <w:spacing w:after="0"/>
              <w:rPr>
                <w:sz w:val="24"/>
                <w:szCs w:val="24"/>
                <w:color w:val="auto"/>
              </w:rPr>
            </w:pPr>
          </w:p>
        </w:tc>
        <w:tc>
          <w:tcPr>
            <w:tcW w:w="3060" w:type="dxa"/>
            <w:vAlign w:val="bottom"/>
            <w:tcBorders>
              <w:top w:val="single" w:sz="8" w:color="B6B6B6"/>
            </w:tcBorders>
          </w:tcPr>
          <w:p>
            <w:pPr>
              <w:spacing w:after="0"/>
              <w:rPr>
                <w:sz w:val="24"/>
                <w:szCs w:val="24"/>
                <w:color w:val="auto"/>
              </w:rPr>
            </w:pPr>
          </w:p>
        </w:tc>
        <w:tc>
          <w:tcPr>
            <w:tcW w:w="1080" w:type="dxa"/>
            <w:vAlign w:val="bottom"/>
            <w:tcBorders>
              <w:top w:val="single" w:sz="8" w:color="B6B6B6"/>
            </w:tcBorders>
          </w:tcPr>
          <w:p>
            <w:pPr>
              <w:spacing w:after="0"/>
              <w:rPr>
                <w:sz w:val="24"/>
                <w:szCs w:val="24"/>
                <w:color w:val="auto"/>
              </w:rPr>
            </w:pPr>
          </w:p>
        </w:tc>
        <w:tc>
          <w:tcPr>
            <w:tcW w:w="1000" w:type="dxa"/>
            <w:vAlign w:val="bottom"/>
            <w:tcBorders>
              <w:top w:val="single" w:sz="8" w:color="8E939F"/>
            </w:tcBorders>
          </w:tcPr>
          <w:p>
            <w:pPr>
              <w:spacing w:after="0"/>
              <w:rPr>
                <w:sz w:val="24"/>
                <w:szCs w:val="24"/>
                <w:color w:val="auto"/>
              </w:rPr>
            </w:pPr>
          </w:p>
        </w:tc>
        <w:tc>
          <w:tcPr>
            <w:tcW w:w="200" w:type="dxa"/>
            <w:vAlign w:val="bottom"/>
            <w:tcBorders>
              <w:top w:val="single" w:sz="8" w:color="8E939F"/>
            </w:tcBorders>
          </w:tcPr>
          <w:p>
            <w:pPr>
              <w:spacing w:after="0"/>
              <w:rPr>
                <w:sz w:val="24"/>
                <w:szCs w:val="24"/>
                <w:color w:val="auto"/>
              </w:rPr>
            </w:pPr>
          </w:p>
        </w:tc>
        <w:tc>
          <w:tcPr>
            <w:tcW w:w="420" w:type="dxa"/>
            <w:vAlign w:val="bottom"/>
            <w:tcBorders>
              <w:top w:val="single" w:sz="8" w:color="8E939F"/>
            </w:tcBorders>
          </w:tcPr>
          <w:p>
            <w:pPr>
              <w:spacing w:after="0"/>
              <w:rPr>
                <w:sz w:val="24"/>
                <w:szCs w:val="24"/>
                <w:color w:val="auto"/>
              </w:rPr>
            </w:pPr>
          </w:p>
        </w:tc>
        <w:tc>
          <w:tcPr>
            <w:tcW w:w="220" w:type="dxa"/>
            <w:vAlign w:val="bottom"/>
            <w:tcBorders>
              <w:top w:val="single" w:sz="8" w:color="8E939F"/>
            </w:tcBorders>
          </w:tcPr>
          <w:p>
            <w:pPr>
              <w:spacing w:after="0"/>
              <w:rPr>
                <w:sz w:val="24"/>
                <w:szCs w:val="24"/>
                <w:color w:val="auto"/>
              </w:rPr>
            </w:pPr>
          </w:p>
        </w:tc>
        <w:tc>
          <w:tcPr>
            <w:tcW w:w="1680" w:type="dxa"/>
            <w:vAlign w:val="bottom"/>
            <w:tcBorders>
              <w:top w:val="single" w:sz="8" w:color="B6B6B6"/>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80" w:type="dxa"/>
            <w:vAlign w:val="bottom"/>
            <w:tcBorders>
              <w:right w:val="single" w:sz="8" w:color="F3F3F9"/>
            </w:tcBorders>
            <w:shd w:val="clear" w:color="auto" w:fill="F3F3F9"/>
          </w:tcPr>
          <w:p>
            <w:pPr>
              <w:spacing w:after="0"/>
              <w:rPr>
                <w:sz w:val="19"/>
                <w:szCs w:val="19"/>
                <w:color w:val="auto"/>
              </w:rPr>
            </w:pPr>
          </w:p>
        </w:tc>
        <w:tc>
          <w:tcPr>
            <w:tcW w:w="1000" w:type="dxa"/>
            <w:vAlign w:val="bottom"/>
            <w:shd w:val="clear" w:color="auto" w:fill="F3F3F9"/>
          </w:tcPr>
          <w:p>
            <w:pPr>
              <w:spacing w:after="0"/>
              <w:rPr>
                <w:sz w:val="19"/>
                <w:szCs w:val="19"/>
                <w:color w:val="auto"/>
              </w:rPr>
            </w:pPr>
          </w:p>
        </w:tc>
        <w:tc>
          <w:tcPr>
            <w:tcW w:w="200" w:type="dxa"/>
            <w:vAlign w:val="bottom"/>
            <w:tcBorders>
              <w:right w:val="single" w:sz="8" w:color="F3F3F9"/>
            </w:tcBorders>
            <w:shd w:val="clear" w:color="auto" w:fill="F3F3F9"/>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60" w:type="dxa"/>
            <w:vAlign w:val="bottom"/>
            <w:tcBorders>
              <w:bottom w:val="single" w:sz="8" w:color="143A84"/>
            </w:tcBorders>
          </w:tcPr>
          <w:p>
            <w:pPr>
              <w:spacing w:after="0"/>
              <w:rPr>
                <w:sz w:val="20"/>
                <w:szCs w:val="20"/>
                <w:color w:val="auto"/>
              </w:rPr>
            </w:pPr>
          </w:p>
        </w:tc>
        <w:tc>
          <w:tcPr>
            <w:tcW w:w="1180" w:type="dxa"/>
            <w:vAlign w:val="bottom"/>
            <w:tcBorders>
              <w:bottom w:val="single" w:sz="8" w:color="143A84"/>
            </w:tcBorders>
          </w:tcPr>
          <w:p>
            <w:pPr>
              <w:spacing w:after="0"/>
              <w:rPr>
                <w:sz w:val="20"/>
                <w:szCs w:val="20"/>
                <w:color w:val="auto"/>
              </w:rPr>
            </w:pPr>
          </w:p>
        </w:tc>
        <w:tc>
          <w:tcPr>
            <w:tcW w:w="740" w:type="dxa"/>
            <w:vAlign w:val="bottom"/>
            <w:tcBorders>
              <w:bottom w:val="single" w:sz="8" w:color="143A84"/>
            </w:tcBorders>
          </w:tcPr>
          <w:p>
            <w:pPr>
              <w:spacing w:after="0"/>
              <w:rPr>
                <w:sz w:val="20"/>
                <w:szCs w:val="20"/>
                <w:color w:val="auto"/>
              </w:rPr>
            </w:pPr>
          </w:p>
        </w:tc>
        <w:tc>
          <w:tcPr>
            <w:tcW w:w="3060" w:type="dxa"/>
            <w:vAlign w:val="bottom"/>
            <w:tcBorders>
              <w:bottom w:val="single" w:sz="8" w:color="143A84"/>
            </w:tcBorders>
          </w:tcPr>
          <w:p>
            <w:pPr>
              <w:spacing w:after="0"/>
              <w:rPr>
                <w:sz w:val="20"/>
                <w:szCs w:val="20"/>
                <w:color w:val="auto"/>
              </w:rPr>
            </w:pPr>
          </w:p>
        </w:tc>
        <w:tc>
          <w:tcPr>
            <w:tcW w:w="2080" w:type="dxa"/>
            <w:vAlign w:val="bottom"/>
            <w:tcBorders>
              <w:bottom w:val="single" w:sz="8" w:color="143A84"/>
            </w:tcBorders>
            <w:gridSpan w:val="2"/>
            <w:shd w:val="clear" w:color="auto" w:fill="F3F3F9"/>
          </w:tcPr>
          <w:p>
            <w:pPr>
              <w:ind w:left="280"/>
              <w:spacing w:after="0"/>
              <w:rPr>
                <w:sz w:val="20"/>
                <w:szCs w:val="20"/>
                <w:color w:val="auto"/>
              </w:rPr>
            </w:pPr>
            <w:r>
              <w:rPr>
                <w:rFonts w:ascii="Arial" w:cs="Arial" w:eastAsia="Arial" w:hAnsi="Arial"/>
                <w:sz w:val="16"/>
                <w:szCs w:val="16"/>
                <w:b w:val="1"/>
                <w:bCs w:val="1"/>
                <w:color w:val="243782"/>
              </w:rPr>
              <w:t>At September 30, 2026</w:t>
            </w:r>
          </w:p>
        </w:tc>
        <w:tc>
          <w:tcPr>
            <w:tcW w:w="200" w:type="dxa"/>
            <w:vAlign w:val="bottom"/>
            <w:tcBorders>
              <w:bottom w:val="single" w:sz="8" w:color="143A84"/>
              <w:right w:val="single" w:sz="8" w:color="F3F3F9"/>
            </w:tcBorders>
            <w:shd w:val="clear" w:color="auto" w:fill="F3F3F9"/>
          </w:tcPr>
          <w:p>
            <w:pPr>
              <w:spacing w:after="0"/>
              <w:rPr>
                <w:sz w:val="20"/>
                <w:szCs w:val="20"/>
                <w:color w:val="auto"/>
              </w:rPr>
            </w:pPr>
          </w:p>
        </w:tc>
        <w:tc>
          <w:tcPr>
            <w:tcW w:w="2320" w:type="dxa"/>
            <w:vAlign w:val="bottom"/>
            <w:tcBorders>
              <w:bottom w:val="single" w:sz="8" w:color="143A84"/>
            </w:tcBorders>
            <w:gridSpan w:val="3"/>
          </w:tcPr>
          <w:p>
            <w:pPr>
              <w:jc w:val="right"/>
              <w:ind w:right="280"/>
              <w:spacing w:after="0"/>
              <w:rPr>
                <w:sz w:val="20"/>
                <w:szCs w:val="20"/>
                <w:color w:val="auto"/>
              </w:rPr>
            </w:pPr>
            <w:r>
              <w:rPr>
                <w:rFonts w:ascii="Arial" w:cs="Arial" w:eastAsia="Arial" w:hAnsi="Arial"/>
                <w:sz w:val="16"/>
                <w:szCs w:val="16"/>
                <w:b w:val="1"/>
                <w:bCs w:val="1"/>
                <w:color w:val="243782"/>
              </w:rPr>
              <w:t>At December 31, 2025</w:t>
            </w:r>
          </w:p>
        </w:tc>
        <w:tc>
          <w:tcPr>
            <w:tcW w:w="0" w:type="dxa"/>
            <w:vAlign w:val="bottom"/>
          </w:tcPr>
          <w:p>
            <w:pPr>
              <w:spacing w:after="0"/>
              <w:rPr>
                <w:sz w:val="1"/>
                <w:szCs w:val="1"/>
                <w:color w:val="auto"/>
              </w:rPr>
            </w:pPr>
          </w:p>
        </w:tc>
      </w:tr>
      <w:tr>
        <w:trPr>
          <w:trHeight w:val="247"/>
        </w:trPr>
        <w:tc>
          <w:tcPr>
            <w:tcW w:w="28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Available liquidity</w:t>
            </w:r>
          </w:p>
        </w:tc>
        <w:tc>
          <w:tcPr>
            <w:tcW w:w="740" w:type="dxa"/>
            <w:vAlign w:val="bottom"/>
            <w:tcBorders>
              <w:bottom w:val="single" w:sz="8" w:color="8E939F"/>
            </w:tcBorders>
          </w:tcPr>
          <w:p>
            <w:pPr>
              <w:spacing w:after="0"/>
              <w:rPr>
                <w:sz w:val="21"/>
                <w:szCs w:val="21"/>
                <w:color w:val="auto"/>
              </w:rPr>
            </w:pPr>
          </w:p>
        </w:tc>
        <w:tc>
          <w:tcPr>
            <w:tcW w:w="3060" w:type="dxa"/>
            <w:vAlign w:val="bottom"/>
            <w:tcBorders>
              <w:bottom w:val="single" w:sz="8" w:color="8E939F"/>
            </w:tcBorders>
          </w:tcPr>
          <w:p>
            <w:pPr>
              <w:spacing w:after="0"/>
              <w:rPr>
                <w:sz w:val="21"/>
                <w:szCs w:val="21"/>
                <w:color w:val="auto"/>
              </w:rPr>
            </w:pPr>
          </w:p>
        </w:tc>
        <w:tc>
          <w:tcPr>
            <w:tcW w:w="2280" w:type="dxa"/>
            <w:vAlign w:val="bottom"/>
            <w:tcBorders>
              <w:bottom w:val="single" w:sz="8" w:color="8E939F"/>
              <w:right w:val="single" w:sz="8" w:color="F3F3F9"/>
            </w:tcBorders>
            <w:gridSpan w:val="3"/>
            <w:shd w:val="clear" w:color="auto" w:fill="F3F3F9"/>
          </w:tcPr>
          <w:p>
            <w:pPr>
              <w:jc w:val="right"/>
              <w:spacing w:after="0"/>
              <w:rPr>
                <w:sz w:val="20"/>
                <w:szCs w:val="20"/>
                <w:color w:val="auto"/>
              </w:rPr>
            </w:pPr>
            <w:r>
              <w:rPr>
                <w:rFonts w:ascii="Arial" w:cs="Arial" w:eastAsia="Arial" w:hAnsi="Arial"/>
                <w:sz w:val="16"/>
                <w:szCs w:val="16"/>
                <w:color w:val="auto"/>
              </w:rPr>
              <w:t>46,480</w:t>
            </w:r>
          </w:p>
        </w:tc>
        <w:tc>
          <w:tcPr>
            <w:tcW w:w="420" w:type="dxa"/>
            <w:vAlign w:val="bottom"/>
            <w:tcBorders>
              <w:bottom w:val="single" w:sz="8" w:color="8E939F"/>
            </w:tcBorders>
          </w:tcPr>
          <w:p>
            <w:pPr>
              <w:spacing w:after="0"/>
              <w:rPr>
                <w:sz w:val="21"/>
                <w:szCs w:val="21"/>
                <w:color w:val="auto"/>
              </w:rPr>
            </w:pPr>
          </w:p>
        </w:tc>
        <w:tc>
          <w:tcPr>
            <w:tcW w:w="1900" w:type="dxa"/>
            <w:vAlign w:val="bottom"/>
            <w:tcBorders>
              <w:bottom w:val="single" w:sz="8" w:color="8E939F"/>
            </w:tcBorders>
            <w:gridSpan w:val="2"/>
          </w:tcPr>
          <w:p>
            <w:pPr>
              <w:jc w:val="right"/>
              <w:ind w:right="80"/>
              <w:spacing w:after="0"/>
              <w:rPr>
                <w:sz w:val="20"/>
                <w:szCs w:val="20"/>
                <w:color w:val="auto"/>
              </w:rPr>
            </w:pPr>
            <w:r>
              <w:rPr>
                <w:rFonts w:ascii="Arial" w:cs="Arial" w:eastAsia="Arial" w:hAnsi="Arial"/>
                <w:sz w:val="16"/>
                <w:szCs w:val="16"/>
                <w:color w:val="auto"/>
              </w:rPr>
              <w:t>49,795</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Of which: Industrial available liquidity</w:t>
            </w:r>
          </w:p>
        </w:tc>
        <w:tc>
          <w:tcPr>
            <w:tcW w:w="740" w:type="dxa"/>
            <w:vAlign w:val="bottom"/>
            <w:tcBorders>
              <w:bottom w:val="single" w:sz="8" w:color="8E939F"/>
            </w:tcBorders>
          </w:tcPr>
          <w:p>
            <w:pPr>
              <w:spacing w:after="0"/>
              <w:rPr>
                <w:sz w:val="21"/>
                <w:szCs w:val="21"/>
                <w:color w:val="auto"/>
              </w:rPr>
            </w:pPr>
          </w:p>
        </w:tc>
        <w:tc>
          <w:tcPr>
            <w:tcW w:w="3060" w:type="dxa"/>
            <w:vAlign w:val="bottom"/>
            <w:tcBorders>
              <w:bottom w:val="single" w:sz="8" w:color="8E939F"/>
            </w:tcBorders>
          </w:tcPr>
          <w:p>
            <w:pPr>
              <w:spacing w:after="0"/>
              <w:rPr>
                <w:sz w:val="21"/>
                <w:szCs w:val="21"/>
                <w:color w:val="auto"/>
              </w:rPr>
            </w:pPr>
          </w:p>
        </w:tc>
        <w:tc>
          <w:tcPr>
            <w:tcW w:w="2280" w:type="dxa"/>
            <w:vAlign w:val="bottom"/>
            <w:tcBorders>
              <w:bottom w:val="single" w:sz="8" w:color="8E939F"/>
              <w:right w:val="single" w:sz="8" w:color="F3F3F9"/>
            </w:tcBorders>
            <w:gridSpan w:val="3"/>
            <w:shd w:val="clear" w:color="auto" w:fill="F3F3F9"/>
          </w:tcPr>
          <w:p>
            <w:pPr>
              <w:jc w:val="right"/>
              <w:spacing w:after="0"/>
              <w:rPr>
                <w:sz w:val="20"/>
                <w:szCs w:val="20"/>
                <w:color w:val="auto"/>
              </w:rPr>
            </w:pPr>
            <w:r>
              <w:rPr>
                <w:rFonts w:ascii="Arial" w:cs="Arial" w:eastAsia="Arial" w:hAnsi="Arial"/>
                <w:sz w:val="16"/>
                <w:szCs w:val="16"/>
                <w:color w:val="auto"/>
              </w:rPr>
              <w:t>42,652</w:t>
            </w:r>
          </w:p>
        </w:tc>
        <w:tc>
          <w:tcPr>
            <w:tcW w:w="420" w:type="dxa"/>
            <w:vAlign w:val="bottom"/>
            <w:tcBorders>
              <w:bottom w:val="single" w:sz="8" w:color="8E939F"/>
            </w:tcBorders>
          </w:tcPr>
          <w:p>
            <w:pPr>
              <w:spacing w:after="0"/>
              <w:rPr>
                <w:sz w:val="21"/>
                <w:szCs w:val="21"/>
                <w:color w:val="auto"/>
              </w:rPr>
            </w:pPr>
          </w:p>
        </w:tc>
        <w:tc>
          <w:tcPr>
            <w:tcW w:w="1900" w:type="dxa"/>
            <w:vAlign w:val="bottom"/>
            <w:tcBorders>
              <w:bottom w:val="single" w:sz="8" w:color="8E939F"/>
            </w:tcBorders>
            <w:gridSpan w:val="2"/>
          </w:tcPr>
          <w:p>
            <w:pPr>
              <w:jc w:val="right"/>
              <w:ind w:right="80"/>
              <w:spacing w:after="0"/>
              <w:rPr>
                <w:sz w:val="20"/>
                <w:szCs w:val="20"/>
                <w:color w:val="auto"/>
              </w:rPr>
            </w:pPr>
            <w:r>
              <w:rPr>
                <w:rFonts w:ascii="Arial" w:cs="Arial" w:eastAsia="Arial" w:hAnsi="Arial"/>
                <w:sz w:val="16"/>
                <w:szCs w:val="16"/>
                <w:color w:val="auto"/>
              </w:rPr>
              <w:t>45,711</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Industrial net financial position</w:t>
            </w:r>
            <w:r>
              <w:rPr>
                <w:rFonts w:ascii="Arial" w:cs="Arial" w:eastAsia="Arial" w:hAnsi="Arial"/>
                <w:sz w:val="21"/>
                <w:szCs w:val="21"/>
                <w:color w:val="auto"/>
                <w:vertAlign w:val="superscript"/>
              </w:rPr>
              <w:t>(6)</w:t>
            </w:r>
          </w:p>
        </w:tc>
        <w:tc>
          <w:tcPr>
            <w:tcW w:w="740" w:type="dxa"/>
            <w:vAlign w:val="bottom"/>
            <w:tcBorders>
              <w:bottom w:val="single" w:sz="8" w:color="8E939F"/>
            </w:tcBorders>
          </w:tcPr>
          <w:p>
            <w:pPr>
              <w:spacing w:after="0"/>
              <w:rPr>
                <w:sz w:val="22"/>
                <w:szCs w:val="22"/>
                <w:color w:val="auto"/>
              </w:rPr>
            </w:pPr>
          </w:p>
        </w:tc>
        <w:tc>
          <w:tcPr>
            <w:tcW w:w="3060" w:type="dxa"/>
            <w:vAlign w:val="bottom"/>
            <w:tcBorders>
              <w:bottom w:val="single" w:sz="8" w:color="8E939F"/>
            </w:tcBorders>
          </w:tcPr>
          <w:p>
            <w:pPr>
              <w:spacing w:after="0"/>
              <w:rPr>
                <w:sz w:val="22"/>
                <w:szCs w:val="22"/>
                <w:color w:val="auto"/>
              </w:rPr>
            </w:pPr>
          </w:p>
        </w:tc>
        <w:tc>
          <w:tcPr>
            <w:tcW w:w="2280" w:type="dxa"/>
            <w:vAlign w:val="bottom"/>
            <w:tcBorders>
              <w:bottom w:val="single" w:sz="8" w:color="8E939F"/>
              <w:right w:val="single" w:sz="8" w:color="F3F3F9"/>
            </w:tcBorders>
            <w:gridSpan w:val="3"/>
            <w:shd w:val="clear" w:color="auto" w:fill="F3F3F9"/>
          </w:tcPr>
          <w:p>
            <w:pPr>
              <w:jc w:val="right"/>
              <w:spacing w:after="0"/>
              <w:rPr>
                <w:sz w:val="20"/>
                <w:szCs w:val="20"/>
                <w:color w:val="auto"/>
              </w:rPr>
            </w:pPr>
            <w:r>
              <w:rPr>
                <w:rFonts w:ascii="Arial" w:cs="Arial" w:eastAsia="Arial" w:hAnsi="Arial"/>
                <w:sz w:val="16"/>
                <w:szCs w:val="16"/>
                <w:color w:val="auto"/>
              </w:rPr>
              <w:t>5,400</w:t>
            </w:r>
          </w:p>
        </w:tc>
        <w:tc>
          <w:tcPr>
            <w:tcW w:w="420" w:type="dxa"/>
            <w:vAlign w:val="bottom"/>
            <w:tcBorders>
              <w:bottom w:val="single" w:sz="8" w:color="8E939F"/>
            </w:tcBorders>
          </w:tcPr>
          <w:p>
            <w:pPr>
              <w:spacing w:after="0"/>
              <w:rPr>
                <w:sz w:val="22"/>
                <w:szCs w:val="22"/>
                <w:color w:val="auto"/>
              </w:rPr>
            </w:pPr>
          </w:p>
        </w:tc>
        <w:tc>
          <w:tcPr>
            <w:tcW w:w="1900" w:type="dxa"/>
            <w:vAlign w:val="bottom"/>
            <w:tcBorders>
              <w:bottom w:val="single" w:sz="8" w:color="8E939F"/>
            </w:tcBorders>
            <w:gridSpan w:val="2"/>
          </w:tcPr>
          <w:p>
            <w:pPr>
              <w:jc w:val="right"/>
              <w:ind w:right="80"/>
              <w:spacing w:after="0"/>
              <w:rPr>
                <w:sz w:val="20"/>
                <w:szCs w:val="20"/>
                <w:color w:val="auto"/>
              </w:rPr>
            </w:pPr>
            <w:r>
              <w:rPr>
                <w:rFonts w:ascii="Arial" w:cs="Arial" w:eastAsia="Arial" w:hAnsi="Arial"/>
                <w:sz w:val="16"/>
                <w:szCs w:val="16"/>
                <w:color w:val="auto"/>
              </w:rPr>
              <w:t>6,694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Combined shipments also includes the Stellantis branded vehicles distributed by our joint ventures (such as Tofas) and associates</w:t>
      </w:r>
    </w:p>
    <w:p>
      <w:pPr>
        <w:spacing w:after="0" w:line="15" w:lineRule="exact"/>
        <w:rPr>
          <w:rFonts w:ascii="Arial" w:cs="Arial" w:eastAsia="Arial" w:hAnsi="Arial"/>
          <w:sz w:val="14"/>
          <w:szCs w:val="14"/>
          <w:color w:val="auto"/>
        </w:rPr>
      </w:pPr>
    </w:p>
    <w:p>
      <w:pPr>
        <w:ind w:right="800" w:firstLine="8"/>
        <w:spacing w:after="0" w:line="261" w:lineRule="auto"/>
        <w:tabs>
          <w:tab w:leader="none" w:pos="222"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Consolidated Shipments includes the vehicles produced by our joint ventures and associates (including Leapmotor) which are distributed by our consolidated subsidiaries</w:t>
      </w: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Refer to sections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w:t>
      </w:r>
      <w:r>
        <w:rPr>
          <w:rFonts w:ascii="Arial" w:cs="Arial" w:eastAsia="Arial" w:hAnsi="Arial"/>
          <w:sz w:val="14"/>
          <w:szCs w:val="14"/>
          <w:i w:val="1"/>
          <w:iCs w:val="1"/>
          <w:color w:val="auto"/>
        </w:rPr>
        <w:t>Company results and Results by segment</w:t>
      </w:r>
      <w:r>
        <w:rPr>
          <w:rFonts w:ascii="Arial" w:cs="Arial" w:eastAsia="Arial" w:hAnsi="Arial"/>
          <w:sz w:val="14"/>
          <w:szCs w:val="14"/>
          <w:color w:val="auto"/>
        </w:rPr>
        <w:t xml:space="preserve"> in this Interim Report for further discussion</w:t>
      </w:r>
    </w:p>
    <w:p>
      <w:pPr>
        <w:spacing w:after="0" w:line="29"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Refer to Note 20, </w:t>
      </w:r>
      <w:r>
        <w:rPr>
          <w:rFonts w:ascii="Arial" w:cs="Arial" w:eastAsia="Arial" w:hAnsi="Arial"/>
          <w:sz w:val="14"/>
          <w:szCs w:val="14"/>
          <w:i w:val="1"/>
          <w:iCs w:val="1"/>
          <w:color w:val="auto"/>
        </w:rPr>
        <w:t>Earnings/(loss) per share</w:t>
      </w:r>
      <w:r>
        <w:rPr>
          <w:rFonts w:ascii="Arial" w:cs="Arial" w:eastAsia="Arial" w:hAnsi="Arial"/>
          <w:sz w:val="14"/>
          <w:szCs w:val="14"/>
          <w:color w:val="auto"/>
        </w:rPr>
        <w:t>, in the Interim Condensed Consolidated Financial Statements included in this Interim Report for additional information</w:t>
      </w:r>
    </w:p>
    <w:p>
      <w:pPr>
        <w:spacing w:after="0" w:line="27"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Refer to sections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and </w:t>
      </w:r>
      <w:r>
        <w:rPr>
          <w:rFonts w:ascii="Arial" w:cs="Arial" w:eastAsia="Arial" w:hAnsi="Arial"/>
          <w:sz w:val="14"/>
          <w:szCs w:val="14"/>
          <w:i w:val="1"/>
          <w:iCs w:val="1"/>
          <w:color w:val="auto"/>
        </w:rPr>
        <w:t>Company results</w:t>
      </w:r>
      <w:r>
        <w:rPr>
          <w:rFonts w:ascii="Arial" w:cs="Arial" w:eastAsia="Arial" w:hAnsi="Arial"/>
          <w:sz w:val="14"/>
          <w:szCs w:val="14"/>
          <w:color w:val="auto"/>
        </w:rPr>
        <w:t xml:space="preserve"> in this Interim Report for further discussion</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Refer to sections —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and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in this Interim Report for further discussion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Non-GAAP financial measures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We monitor our operations through the use of several non-generally accepted accounting principles (“non-GAAP”) financial measures: Adjusted operating income/(loss), Adjusted operating income/(loss) margin, Industrial free cash flows and Industrial net financial position. We believe that these non-GAAP financial measures provide useful and relevant information regarding our operating results and enhance the overall ability to assess our financial performance and financial position. They provide us with comparable measures which facilitate management’s ability to identify operational trends, as well as make decisions regarding future spending, resource allocations and other operational decisions. We also present the non-GAAP measure, Adjusted diluted EPS which is not used to monitor our operations but which we believe provides investors with a more meaningful comparison of the Company’s ongoing quality of earnings. These and similar measures are widely used in the industry in which we operate, however, these financial measures may not be comparable to other similarly titled measures of other companies and are not intended to be substitutes for measures of financial performance as prepared in accordance with International Financial Reporting Standards (“IFRS”) as issued by the International Accounting Standards Board (“IASB”), as well as IFRS as adopted by the European Union.</w:t>
      </w:r>
    </w:p>
    <w:p>
      <w:pPr>
        <w:spacing w:after="0" w:line="186"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i w:val="1"/>
          <w:iCs w:val="1"/>
          <w:color w:val="auto"/>
        </w:rPr>
        <w:t xml:space="preserve">Adjusted operating income/(loss): </w:t>
      </w:r>
      <w:r>
        <w:rPr>
          <w:rFonts w:ascii="Arial" w:cs="Arial" w:eastAsia="Arial" w:hAnsi="Arial"/>
          <w:sz w:val="18"/>
          <w:szCs w:val="18"/>
          <w:color w:val="auto"/>
        </w:rPr>
        <w:t>Adjusted operating income/(loss) excludes from Net profit/(loss) adjustments comprising restructuring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termination costs, impairments, asset write-offs, disposals of investments and unusual operating income/(expense) that are considered rare or discrete events and are infrequent in nature, as inclusion of such items is not considered to be indicative of the Company's ongoing operating performance, and also excludes Net financial expenses/(income) and Tax expense/(benefit).</w:t>
      </w:r>
    </w:p>
    <w:p>
      <w:pPr>
        <w:spacing w:after="0" w:line="176" w:lineRule="exact"/>
        <w:rPr>
          <w:sz w:val="20"/>
          <w:szCs w:val="20"/>
          <w:color w:val="auto"/>
        </w:rPr>
      </w:pPr>
    </w:p>
    <w:p>
      <w:pPr>
        <w:jc w:val="both"/>
        <w:ind w:right="280"/>
        <w:spacing w:after="0" w:line="315" w:lineRule="auto"/>
        <w:rPr>
          <w:sz w:val="20"/>
          <w:szCs w:val="20"/>
          <w:color w:val="auto"/>
        </w:rPr>
      </w:pPr>
      <w:r>
        <w:rPr>
          <w:rFonts w:ascii="Arial" w:cs="Arial" w:eastAsia="Arial" w:hAnsi="Arial"/>
          <w:sz w:val="18"/>
          <w:szCs w:val="18"/>
          <w:color w:val="auto"/>
        </w:rPr>
        <w:t>Unusual operating income/(expense) are impacts from strategic decisions, as well as events considered rare or discrete and infrequent in nature, as inclusion of such items is not considered to be indicative of the Company's ongoing operating performance. Unusual operating income/(expense) includes, but may not be limited to:</w:t>
      </w:r>
    </w:p>
    <w:p>
      <w:pPr>
        <w:spacing w:after="0" w:line="17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143A84"/>
        </w:rPr>
      </w:pPr>
      <w:r>
        <w:rPr>
          <w:rFonts w:ascii="Arial" w:cs="Arial" w:eastAsia="Arial" w:hAnsi="Arial"/>
          <w:sz w:val="18"/>
          <w:szCs w:val="18"/>
          <w:color w:val="auto"/>
        </w:rPr>
        <w:t>Impacts from strategic decisions to rationalize Stellantis’ core operations;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4"/>
        </w:numPr>
        <w:rPr>
          <w:rFonts w:ascii="Arial" w:cs="Arial" w:eastAsia="Arial" w:hAnsi="Arial"/>
          <w:sz w:val="18"/>
          <w:szCs w:val="18"/>
          <w:color w:val="143A84"/>
        </w:rPr>
      </w:pPr>
      <w:r>
        <w:rPr>
          <w:rFonts w:ascii="Arial" w:cs="Arial" w:eastAsia="Arial" w:hAnsi="Arial"/>
          <w:sz w:val="18"/>
          <w:szCs w:val="18"/>
          <w:color w:val="auto"/>
        </w:rPr>
        <w:t>Facility-related costs stemming from Stellantis’ plans to match production capacity and cost structure to market demand; and</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4"/>
        </w:numPr>
        <w:rPr>
          <w:rFonts w:ascii="Arial" w:cs="Arial" w:eastAsia="Arial" w:hAnsi="Arial"/>
          <w:sz w:val="18"/>
          <w:szCs w:val="18"/>
          <w:color w:val="143A84"/>
        </w:rPr>
      </w:pPr>
      <w:r>
        <w:rPr>
          <w:rFonts w:ascii="Arial" w:cs="Arial" w:eastAsia="Arial" w:hAnsi="Arial"/>
          <w:sz w:val="18"/>
          <w:szCs w:val="18"/>
          <w:color w:val="auto"/>
        </w:rPr>
        <w:t>Convergence and integration costs directly related to significant acquisitions or mergers.</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color w:val="auto"/>
        </w:rPr>
        <w:t>Adjusted operating income/(loss) is used for internal reporting to assess performance and as part of the Company's forecasting, budgeting and decision making processes as it provides additional transparency to the Company's core operations. We believe this non-GAAP measure is useful because it excludes items that we do not believe are indicative of the Company’s ongoing operating performance and allows management to view operating trends, perform analytical comparisons and benchmark performance between periods and among our segments. We also believe that Adjusted operating income/(loss) is useful for analysts and investors to understand how management assesses the Company’s ongoing operating performance on a consistent basis. In addition, Adjusted operating income/(loss) is one of the metrics used in the determination of the annual performance bonus for eligible employees, including members of the senior management.</w:t>
      </w:r>
    </w:p>
    <w:p>
      <w:pPr>
        <w:spacing w:after="0" w:line="178" w:lineRule="exact"/>
        <w:rPr>
          <w:sz w:val="20"/>
          <w:szCs w:val="20"/>
          <w:color w:val="auto"/>
        </w:rPr>
      </w:pPr>
    </w:p>
    <w:p>
      <w:pPr>
        <w:ind w:right="400"/>
        <w:spacing w:after="0" w:line="309" w:lineRule="auto"/>
        <w:rPr>
          <w:sz w:val="20"/>
          <w:szCs w:val="20"/>
          <w:color w:val="auto"/>
        </w:rPr>
      </w:pPr>
      <w:r>
        <w:rPr>
          <w:rFonts w:ascii="Arial" w:cs="Arial" w:eastAsia="Arial" w:hAnsi="Arial"/>
          <w:sz w:val="18"/>
          <w:szCs w:val="18"/>
          <w:color w:val="auto"/>
        </w:rPr>
        <w:t>Refer to the sections “</w:t>
      </w:r>
      <w:r>
        <w:rPr>
          <w:rFonts w:ascii="Arial" w:cs="Arial" w:eastAsia="Arial" w:hAnsi="Arial"/>
          <w:sz w:val="18"/>
          <w:szCs w:val="18"/>
          <w:i w:val="1"/>
          <w:iCs w:val="1"/>
          <w:color w:val="auto"/>
        </w:rPr>
        <w:t>Company results</w:t>
      </w:r>
      <w:r>
        <w:rPr>
          <w:rFonts w:ascii="Arial" w:cs="Arial" w:eastAsia="Arial" w:hAnsi="Arial"/>
          <w:sz w:val="18"/>
          <w:szCs w:val="18"/>
          <w:color w:val="auto"/>
        </w:rPr>
        <w:t>” and “</w:t>
      </w:r>
      <w:r>
        <w:rPr>
          <w:rFonts w:ascii="Arial" w:cs="Arial" w:eastAsia="Arial" w:hAnsi="Arial"/>
          <w:sz w:val="18"/>
          <w:szCs w:val="18"/>
          <w:i w:val="1"/>
          <w:iCs w:val="1"/>
          <w:color w:val="auto"/>
        </w:rPr>
        <w:t>Results by segment</w:t>
      </w:r>
      <w:r>
        <w:rPr>
          <w:rFonts w:ascii="Arial" w:cs="Arial" w:eastAsia="Arial" w:hAnsi="Arial"/>
          <w:sz w:val="18"/>
          <w:szCs w:val="18"/>
          <w:color w:val="auto"/>
        </w:rPr>
        <w:t>” below for further discussion and for a reconciliation of this non-GAAP measure to Net profit/(loss), which is the most directly comparable measure included in our Interim Condensed Consolidated Income Statement. Adjusted operating income/(loss) should not be considered as a substitute for Net profit/(loss), cash flow or other methods of analyzing our results as reported under IFRS.</w:t>
      </w: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Adjusted operating income/(loss) margin: </w:t>
      </w:r>
      <w:r>
        <w:rPr>
          <w:rFonts w:ascii="Arial" w:cs="Arial" w:eastAsia="Arial" w:hAnsi="Arial"/>
          <w:sz w:val="18"/>
          <w:szCs w:val="18"/>
          <w:color w:val="auto"/>
        </w:rPr>
        <w:t>is calculated as Adjusted operating income/(loss) divided by Net revenues.</w:t>
      </w:r>
    </w:p>
    <w:p>
      <w:pPr>
        <w:spacing w:after="0" w:line="266" w:lineRule="exact"/>
        <w:rPr>
          <w:sz w:val="20"/>
          <w:szCs w:val="20"/>
          <w:color w:val="auto"/>
        </w:rPr>
      </w:pPr>
    </w:p>
    <w:p>
      <w:pPr>
        <w:spacing w:after="0" w:line="304" w:lineRule="auto"/>
        <w:rPr>
          <w:sz w:val="20"/>
          <w:szCs w:val="20"/>
          <w:color w:val="auto"/>
        </w:rPr>
      </w:pPr>
      <w:r>
        <w:rPr>
          <w:rFonts w:ascii="Arial" w:cs="Arial" w:eastAsia="Arial" w:hAnsi="Arial"/>
          <w:sz w:val="18"/>
          <w:szCs w:val="18"/>
          <w:i w:val="1"/>
          <w:iCs w:val="1"/>
          <w:color w:val="auto"/>
        </w:rPr>
        <w:t xml:space="preserve">Adjusted diluted EPS: </w:t>
      </w:r>
      <w:r>
        <w:rPr>
          <w:rFonts w:ascii="Arial" w:cs="Arial" w:eastAsia="Arial" w:hAnsi="Arial"/>
          <w:sz w:val="18"/>
          <w:szCs w:val="18"/>
          <w:color w:val="auto"/>
        </w:rPr>
        <w:t>is calculated by adjusting Diluted earnings per share for the post-tax impact per share of the same items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Adjusted operating income/(loss) as well as tax expense/(benefit) items that are considered rare or infrequent, or whose nature would distort the presentation of the ongoing tax charge of the Company. We believe this non-GAAP measure is useful because it also excludes items that we do not believe are indicative of the Company’s ongoing operating performance and provides investors with a more meaningful comparison of the Company’s ongoing quality of earnings. Refer to the section “</w:t>
      </w:r>
      <w:r>
        <w:rPr>
          <w:rFonts w:ascii="Arial" w:cs="Arial" w:eastAsia="Arial" w:hAnsi="Arial"/>
          <w:sz w:val="18"/>
          <w:szCs w:val="18"/>
          <w:i w:val="1"/>
          <w:iCs w:val="1"/>
          <w:color w:val="auto"/>
        </w:rPr>
        <w:t>Company results</w:t>
      </w:r>
      <w:r>
        <w:rPr>
          <w:rFonts w:ascii="Arial" w:cs="Arial" w:eastAsia="Arial" w:hAnsi="Arial"/>
          <w:sz w:val="18"/>
          <w:szCs w:val="18"/>
          <w:color w:val="auto"/>
        </w:rPr>
        <w:t>” below for a reconciliation of this non-GAAP measure to Diluted earnings per share from operations, which is the most directly comparable measure included in our Interim Condensed Consolidated Financial Statements. Adjusted diluted EPS should not be considered as a substitute for Basic earnings per share, Diluted earnings per share from operations or other methods of analyzing our quality of earnings as reported under IFRS.</w:t>
      </w:r>
    </w:p>
    <w:p>
      <w:pPr>
        <w:spacing w:after="0" w:line="184"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i w:val="1"/>
          <w:iCs w:val="1"/>
          <w:color w:val="auto"/>
        </w:rPr>
        <w:t xml:space="preserve">Industrial free cash flows: </w:t>
      </w:r>
      <w:r>
        <w:rPr>
          <w:rFonts w:ascii="Arial" w:cs="Arial" w:eastAsia="Arial" w:hAnsi="Arial"/>
          <w:sz w:val="18"/>
          <w:szCs w:val="18"/>
          <w:color w:val="auto"/>
        </w:rPr>
        <w:t>is our key cash flow metric and is calculated as Cash flows from operating activities less: (i) cash flows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from discontinued operations; (ii) cash flows from operating activities related to financial services, net of eliminations; (iii) investments in property, plant and equipment and intangible assets for industrial activities and (iv) contributions of equity to joint ventures and minor acquisitions of consolidated subsidiaries and equity method and other investments; and adjusted for: (i) net intercompany payments between continuing operations and discontinued operations; (ii) proceeds from disposal of assets and (iii) contributions to defined benefit pension plans, net of tax. The timing of Industrial free cash flows may be affected by the timing of monetization of receivables, factoring, the payment of accounts payable and transactions with our consolidated and related party financial services entities, as well as changes in other components of working capital, which can vary from period to period due to, among other things, cash management initiatives and other factors, some of which may be outside of the Company’s control. In addition, Industrial free cash flows is one of the metrics used in the determination of the annual performance bonus for eligible employees, including members of the senior management. We believe that this measure is useful for investors to facilitate their review and evaluation of the cash generation of our industrial operations, net of investing needs.</w:t>
      </w:r>
    </w:p>
    <w:p>
      <w:pPr>
        <w:spacing w:after="0" w:line="189" w:lineRule="exact"/>
        <w:rPr>
          <w:sz w:val="20"/>
          <w:szCs w:val="20"/>
          <w:color w:val="auto"/>
        </w:rPr>
      </w:pPr>
    </w:p>
    <w:p>
      <w:pPr>
        <w:ind w:right="180"/>
        <w:spacing w:after="0" w:line="314"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 “</w:t>
      </w:r>
      <w:r>
        <w:rPr>
          <w:rFonts w:ascii="Arial" w:cs="Arial" w:eastAsia="Arial" w:hAnsi="Arial"/>
          <w:sz w:val="18"/>
          <w:szCs w:val="18"/>
          <w:i w:val="1"/>
          <w:iCs w:val="1"/>
          <w:color w:val="auto"/>
        </w:rPr>
        <w:t>Industrial free cash flows</w:t>
      </w:r>
      <w:r>
        <w:rPr>
          <w:rFonts w:ascii="Arial" w:cs="Arial" w:eastAsia="Arial" w:hAnsi="Arial"/>
          <w:sz w:val="18"/>
          <w:szCs w:val="18"/>
          <w:color w:val="auto"/>
        </w:rPr>
        <w:t>” for further information and the reconciliation of this non-GAAP measure to Cash flows from operating activities, which is the most directly comparable measure included in our Interim Condensed Consolidated Statement of Cash Flows. Industrial free cash flows should not be considered as a substitute for Net profit/(loss), cash flow or other methods of analyzing our results as reported under IFRS.</w:t>
      </w:r>
    </w:p>
    <w:p>
      <w:pPr>
        <w:spacing w:after="0" w:line="172"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i w:val="1"/>
          <w:iCs w:val="1"/>
          <w:color w:val="auto"/>
        </w:rPr>
        <w:t xml:space="preserve">Industrial net financial position </w:t>
      </w:r>
      <w:r>
        <w:rPr>
          <w:rFonts w:ascii="Arial" w:cs="Arial" w:eastAsia="Arial" w:hAnsi="Arial"/>
          <w:sz w:val="18"/>
          <w:szCs w:val="18"/>
          <w:color w:val="auto"/>
        </w:rPr>
        <w:t>is calculated as: Debt plus derivative financial liabilities related to industrial activities less (i)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(ii) financial securities that are considered liquid; (iii) current financial receivables from the Company or its jointly controlled financial services entities and (iv) derivative financial assets and collateral deposits. Therefore, debt, cash and cash equivalents and other financial assets/liabilities pertaining to Stellantis’ financial services entities are excluded from the computation of the Industrial net financial position. Industrial net financial position includes the Industrial net financial position classified as held for sale. We believe it is useful for investors to report the Industrial net financial position to assist in comparability with the industrial operations of our peers. Refer to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 “Industrial net financial position” for further information.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Company results</w:t>
      </w:r>
    </w:p>
    <w:p>
      <w:pPr>
        <w:spacing w:after="0" w:line="252" w:lineRule="exact"/>
        <w:rPr>
          <w:sz w:val="20"/>
          <w:szCs w:val="20"/>
          <w:color w:val="auto"/>
        </w:rPr>
      </w:pPr>
    </w:p>
    <w:p>
      <w:pPr>
        <w:ind w:right="160"/>
        <w:spacing w:after="0" w:line="309" w:lineRule="auto"/>
        <w:rPr>
          <w:sz w:val="20"/>
          <w:szCs w:val="20"/>
          <w:color w:val="auto"/>
        </w:rPr>
      </w:pPr>
      <w:r>
        <w:rPr>
          <w:rFonts w:ascii="Arial" w:cs="Arial" w:eastAsia="Arial" w:hAnsi="Arial"/>
          <w:sz w:val="18"/>
          <w:szCs w:val="18"/>
          <w:color w:val="auto"/>
        </w:rPr>
        <w:t xml:space="preserve">Effective January 2026, the Company’s segment structure was updated to align with how the Chief Operating Decision Maker (“CODM”) reviews performance and allocates resources. Under the revised structure, the CODM reviews the business through the following operating and reporting segments: North America; Enlarged Europe; Middle East &amp; Africa; South America; and Asia Pacific. Refer to Note 1,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Preparation </w:t>
      </w:r>
      <w:r>
        <w:rPr>
          <w:rFonts w:ascii="Arial" w:cs="Arial" w:eastAsia="Arial" w:hAnsi="Arial"/>
          <w:sz w:val="18"/>
          <w:szCs w:val="18"/>
          <w:color w:val="auto"/>
        </w:rPr>
        <w:t>in the Interim Condensed Consolidated Financial Statements included in this Interim Report for additional information.</w:t>
      </w:r>
    </w:p>
    <w:p>
      <w:pPr>
        <w:spacing w:after="0" w:line="176"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The following is a discussion of the Company's results of operations for the three and nine months ended September 30, 2026 compared to the three and nine months ended September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160" w:type="dxa"/>
            <w:vAlign w:val="bottom"/>
            <w:tcBorders>
              <w:bottom w:val="single" w:sz="8" w:color="8E939F"/>
            </w:tcBorders>
            <w:gridSpan w:val="2"/>
          </w:tcPr>
          <w:p>
            <w:pPr>
              <w:jc w:val="right"/>
              <w:ind w:right="119"/>
              <w:spacing w:after="0"/>
              <w:rPr>
                <w:sz w:val="20"/>
                <w:szCs w:val="20"/>
                <w:color w:val="auto"/>
              </w:rPr>
            </w:pPr>
            <w:r>
              <w:rPr>
                <w:rFonts w:ascii="Arial" w:cs="Arial" w:eastAsia="Arial" w:hAnsi="Arial"/>
                <w:sz w:val="16"/>
                <w:szCs w:val="16"/>
                <w:b w:val="1"/>
                <w:bCs w:val="1"/>
                <w:color w:val="243782"/>
              </w:rPr>
              <w:t>Three months ended September 30,</w:t>
            </w:r>
          </w:p>
        </w:tc>
        <w:tc>
          <w:tcPr>
            <w:tcW w:w="4900" w:type="dxa"/>
            <w:vAlign w:val="bottom"/>
          </w:tcPr>
          <w:p>
            <w:pPr>
              <w:spacing w:after="0"/>
              <w:rPr>
                <w:sz w:val="19"/>
                <w:szCs w:val="19"/>
                <w:color w:val="auto"/>
              </w:rPr>
            </w:pPr>
          </w:p>
        </w:tc>
        <w:tc>
          <w:tcPr>
            <w:tcW w:w="3180" w:type="dxa"/>
            <w:vAlign w:val="bottom"/>
            <w:tcBorders>
              <w:bottom w:val="single" w:sz="8" w:color="8E939F"/>
            </w:tcBorders>
            <w:gridSpan w:val="2"/>
          </w:tcPr>
          <w:p>
            <w:pPr>
              <w:jc w:val="right"/>
              <w:ind w:right="179"/>
              <w:spacing w:after="0"/>
              <w:rPr>
                <w:sz w:val="20"/>
                <w:szCs w:val="20"/>
                <w:color w:val="auto"/>
              </w:rPr>
            </w:pPr>
            <w:r>
              <w:rPr>
                <w:rFonts w:ascii="Arial" w:cs="Arial" w:eastAsia="Arial" w:hAnsi="Arial"/>
                <w:sz w:val="16"/>
                <w:szCs w:val="16"/>
                <w:b w:val="1"/>
                <w:bCs w:val="1"/>
                <w:color w:val="243782"/>
              </w:rPr>
              <w:t>Nine months ended September 30,</w:t>
            </w:r>
          </w:p>
        </w:tc>
      </w:tr>
      <w:tr>
        <w:trPr>
          <w:trHeight w:val="208"/>
        </w:trPr>
        <w:tc>
          <w:tcPr>
            <w:tcW w:w="1540" w:type="dxa"/>
            <w:vAlign w:val="bottom"/>
            <w:shd w:val="clear" w:color="auto" w:fill="F3F3F9"/>
          </w:tcPr>
          <w:p>
            <w:pPr>
              <w:spacing w:after="0"/>
              <w:rPr>
                <w:sz w:val="18"/>
                <w:szCs w:val="18"/>
                <w:color w:val="auto"/>
              </w:rPr>
            </w:pPr>
          </w:p>
        </w:tc>
        <w:tc>
          <w:tcPr>
            <w:tcW w:w="16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54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5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2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2025</w:t>
            </w:r>
          </w:p>
        </w:tc>
        <w:tc>
          <w:tcPr>
            <w:tcW w:w="4900" w:type="dxa"/>
            <w:vAlign w:val="bottom"/>
            <w:tcBorders>
              <w:bottom w:val="single" w:sz="8" w:color="143A84"/>
            </w:tcBorders>
          </w:tcPr>
          <w:p>
            <w:pPr>
              <w:spacing w:after="0"/>
              <w:rPr>
                <w:sz w:val="20"/>
                <w:szCs w:val="20"/>
                <w:color w:val="auto"/>
              </w:rPr>
            </w:pPr>
          </w:p>
        </w:tc>
        <w:tc>
          <w:tcPr>
            <w:tcW w:w="15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4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2025</w:t>
            </w:r>
          </w:p>
        </w:tc>
      </w:tr>
      <w:tr>
        <w:trPr>
          <w:trHeight w:val="247"/>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37,611</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37,206</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revenues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119,225</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111,467</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34,190</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38,291</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Cost of revenues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106,601</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106,558</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2,303</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2,221</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Selling, general and other costs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7,088</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6,395</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1,326</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1,942</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Research and development costs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4,074</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5,313</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Gains/(losses) on disposal of investments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59</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(191)</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401</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Restructuring costs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548</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923</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(57)</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(65)</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Share of the profit/(loss) of equity method investees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86</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(498)</w:t>
            </w:r>
          </w:p>
        </w:tc>
      </w:tr>
      <w:tr>
        <w:trPr>
          <w:trHeight w:val="253"/>
        </w:trPr>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(331)</w:t>
            </w:r>
          </w:p>
        </w:tc>
        <w:tc>
          <w:tcPr>
            <w:tcW w:w="16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(5,701)</w:t>
            </w:r>
          </w:p>
        </w:tc>
        <w:tc>
          <w:tcPr>
            <w:tcW w:w="490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Operating income/(loss)</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1,059</w:t>
            </w:r>
          </w:p>
        </w:tc>
        <w:tc>
          <w:tcPr>
            <w:tcW w:w="16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(8,411)</w:t>
            </w:r>
          </w:p>
        </w:tc>
      </w:tr>
      <w:tr>
        <w:trPr>
          <w:trHeight w:val="247"/>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201</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financial expenses/(income)</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553</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154</w:t>
            </w:r>
          </w:p>
        </w:tc>
      </w:tr>
      <w:tr>
        <w:trPr>
          <w:trHeight w:val="253"/>
        </w:trPr>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(532)</w:t>
            </w:r>
          </w:p>
        </w:tc>
        <w:tc>
          <w:tcPr>
            <w:tcW w:w="16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(5,695)</w:t>
            </w:r>
          </w:p>
        </w:tc>
        <w:tc>
          <w:tcPr>
            <w:tcW w:w="490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Profit/(loss) before taxes</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506</w:t>
            </w:r>
          </w:p>
        </w:tc>
        <w:tc>
          <w:tcPr>
            <w:tcW w:w="16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(8,565)</w:t>
            </w:r>
          </w:p>
        </w:tc>
      </w:tr>
      <w:tr>
        <w:trPr>
          <w:trHeight w:val="247"/>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(1,163)</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Tax expense/(benefit)</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289</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(1,777)</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(453)</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(4,532)</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profit/(loss) from continuing operations</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217</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(6,788)</w:t>
            </w:r>
          </w:p>
        </w:tc>
      </w:tr>
      <w:tr>
        <w:trPr>
          <w:trHeight w:val="250"/>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Profit/(loss) from discontinued operations, net of tax</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(453)</w:t>
            </w:r>
          </w:p>
        </w:tc>
        <w:tc>
          <w:tcPr>
            <w:tcW w:w="16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(4,532)</w:t>
            </w:r>
          </w:p>
        </w:tc>
        <w:tc>
          <w:tcPr>
            <w:tcW w:w="490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Net profit/(loss)</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217</w:t>
            </w:r>
          </w:p>
        </w:tc>
        <w:tc>
          <w:tcPr>
            <w:tcW w:w="16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(6,788)</w:t>
            </w:r>
          </w:p>
        </w:tc>
      </w:tr>
      <w:tr>
        <w:trPr>
          <w:trHeight w:val="254"/>
        </w:trPr>
        <w:tc>
          <w:tcPr>
            <w:tcW w:w="1540" w:type="dxa"/>
            <w:vAlign w:val="bottom"/>
            <w:tcBorders>
              <w:bottom w:val="single" w:sz="8" w:color="8E939F"/>
            </w:tcBorders>
          </w:tcPr>
          <w:p>
            <w:pPr>
              <w:spacing w:after="0"/>
              <w:rPr>
                <w:sz w:val="22"/>
                <w:szCs w:val="22"/>
                <w:color w:val="auto"/>
              </w:rPr>
            </w:pPr>
          </w:p>
        </w:tc>
        <w:tc>
          <w:tcPr>
            <w:tcW w:w="1620" w:type="dxa"/>
            <w:vAlign w:val="bottom"/>
            <w:tcBorders>
              <w:bottom w:val="single" w:sz="8" w:color="8E939F"/>
            </w:tcBorders>
          </w:tcPr>
          <w:p>
            <w:pPr>
              <w:spacing w:after="0"/>
              <w:rPr>
                <w:sz w:val="22"/>
                <w:szCs w:val="22"/>
                <w:color w:val="auto"/>
              </w:rPr>
            </w:pPr>
          </w:p>
        </w:tc>
        <w:tc>
          <w:tcPr>
            <w:tcW w:w="4900" w:type="dxa"/>
            <w:vAlign w:val="bottom"/>
            <w:tcBorders>
              <w:bottom w:val="single" w:sz="8" w:color="8E939F"/>
            </w:tcBorders>
          </w:tcPr>
          <w:p>
            <w:pPr>
              <w:spacing w:after="0"/>
              <w:rPr>
                <w:sz w:val="22"/>
                <w:szCs w:val="22"/>
                <w:color w:val="auto"/>
              </w:rPr>
            </w:pPr>
          </w:p>
        </w:tc>
        <w:tc>
          <w:tcPr>
            <w:tcW w:w="1540" w:type="dxa"/>
            <w:vAlign w:val="bottom"/>
            <w:tcBorders>
              <w:bottom w:val="single" w:sz="8" w:color="8E939F"/>
            </w:tcBorders>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r>
      <w:tr>
        <w:trPr>
          <w:trHeight w:val="246"/>
        </w:trPr>
        <w:tc>
          <w:tcPr>
            <w:tcW w:w="1540" w:type="dxa"/>
            <w:vAlign w:val="bottom"/>
            <w:tcBorders>
              <w:bottom w:val="single" w:sz="8" w:color="8E939F"/>
            </w:tcBorders>
            <w:shd w:val="clear" w:color="auto" w:fill="F3F3F9"/>
          </w:tcPr>
          <w:p>
            <w:pPr>
              <w:spacing w:after="0"/>
              <w:rPr>
                <w:sz w:val="21"/>
                <w:szCs w:val="21"/>
                <w:color w:val="auto"/>
              </w:rPr>
            </w:pPr>
          </w:p>
        </w:tc>
        <w:tc>
          <w:tcPr>
            <w:tcW w:w="1620" w:type="dxa"/>
            <w:vAlign w:val="bottom"/>
            <w:tcBorders>
              <w:bottom w:val="single" w:sz="8" w:color="8E939F"/>
            </w:tcBorders>
            <w:shd w:val="clear" w:color="auto" w:fill="F3F3F9"/>
          </w:tcPr>
          <w:p>
            <w:pPr>
              <w:spacing w:after="0"/>
              <w:rPr>
                <w:sz w:val="21"/>
                <w:szCs w:val="21"/>
                <w:color w:val="auto"/>
              </w:rPr>
            </w:pPr>
          </w:p>
        </w:tc>
        <w:tc>
          <w:tcPr>
            <w:tcW w:w="4900" w:type="dxa"/>
            <w:vAlign w:val="bottom"/>
            <w:tcBorders>
              <w:bottom w:val="single" w:sz="8" w:color="8E939F"/>
            </w:tcBorders>
            <w:shd w:val="clear" w:color="auto" w:fill="F3F3F9"/>
          </w:tcPr>
          <w:p>
            <w:pPr>
              <w:ind w:left="120"/>
              <w:spacing w:after="0"/>
              <w:rPr>
                <w:sz w:val="20"/>
                <w:szCs w:val="20"/>
                <w:color w:val="auto"/>
              </w:rPr>
            </w:pPr>
            <w:r>
              <w:rPr>
                <w:rFonts w:ascii="Arial" w:cs="Arial" w:eastAsia="Arial" w:hAnsi="Arial"/>
                <w:sz w:val="16"/>
                <w:szCs w:val="16"/>
                <w:b w:val="1"/>
                <w:bCs w:val="1"/>
                <w:color w:val="243782"/>
              </w:rPr>
              <w:t>Net profit/(loss) attributable to:</w:t>
            </w:r>
          </w:p>
        </w:tc>
        <w:tc>
          <w:tcPr>
            <w:tcW w:w="1540" w:type="dxa"/>
            <w:vAlign w:val="bottom"/>
            <w:tcBorders>
              <w:bottom w:val="single" w:sz="8" w:color="8E939F"/>
            </w:tcBorders>
            <w:shd w:val="clear" w:color="auto" w:fill="F3F3F9"/>
          </w:tcPr>
          <w:p>
            <w:pPr>
              <w:spacing w:after="0"/>
              <w:rPr>
                <w:sz w:val="21"/>
                <w:szCs w:val="21"/>
                <w:color w:val="auto"/>
              </w:rPr>
            </w:pPr>
          </w:p>
        </w:tc>
        <w:tc>
          <w:tcPr>
            <w:tcW w:w="1640" w:type="dxa"/>
            <w:vAlign w:val="bottom"/>
            <w:tcBorders>
              <w:bottom w:val="single" w:sz="8" w:color="8E939F"/>
            </w:tcBorders>
            <w:shd w:val="clear" w:color="auto" w:fill="F3F3F9"/>
          </w:tcPr>
          <w:p>
            <w:pPr>
              <w:spacing w:after="0"/>
              <w:rPr>
                <w:sz w:val="21"/>
                <w:szCs w:val="21"/>
                <w:color w:val="auto"/>
              </w:rPr>
            </w:pPr>
          </w:p>
        </w:tc>
      </w:tr>
      <w:tr>
        <w:trPr>
          <w:trHeight w:val="247"/>
        </w:trPr>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6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(4,542)</w:t>
            </w:r>
          </w:p>
        </w:tc>
        <w:tc>
          <w:tcPr>
            <w:tcW w:w="4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Owners of the parent</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186</w:t>
            </w:r>
          </w:p>
        </w:tc>
        <w:tc>
          <w:tcPr>
            <w:tcW w:w="16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(6,782)</w:t>
            </w:r>
          </w:p>
        </w:tc>
      </w:tr>
      <w:tr>
        <w:trPr>
          <w:trHeight w:val="256"/>
        </w:trPr>
        <w:tc>
          <w:tcPr>
            <w:tcW w:w="1540" w:type="dxa"/>
            <w:vAlign w:val="bottom"/>
            <w:shd w:val="clear" w:color="auto" w:fill="F3F3F9"/>
          </w:tcPr>
          <w:p>
            <w:pPr>
              <w:jc w:val="right"/>
              <w:spacing w:after="0"/>
              <w:rPr>
                <w:sz w:val="20"/>
                <w:szCs w:val="20"/>
                <w:color w:val="auto"/>
              </w:rPr>
            </w:pPr>
            <w:r>
              <w:rPr>
                <w:rFonts w:ascii="Arial" w:cs="Arial" w:eastAsia="Arial" w:hAnsi="Arial"/>
                <w:sz w:val="16"/>
                <w:szCs w:val="16"/>
                <w:color w:val="auto"/>
              </w:rPr>
              <w:t>17</w:t>
            </w:r>
          </w:p>
        </w:tc>
        <w:tc>
          <w:tcPr>
            <w:tcW w:w="1620" w:type="dxa"/>
            <w:vAlign w:val="bottom"/>
          </w:tcPr>
          <w:p>
            <w:pPr>
              <w:jc w:val="right"/>
              <w:spacing w:after="0"/>
              <w:rPr>
                <w:sz w:val="20"/>
                <w:szCs w:val="20"/>
                <w:color w:val="auto"/>
              </w:rPr>
            </w:pPr>
            <w:r>
              <w:rPr>
                <w:rFonts w:ascii="Arial" w:cs="Arial" w:eastAsia="Arial" w:hAnsi="Arial"/>
                <w:sz w:val="16"/>
                <w:szCs w:val="16"/>
                <w:color w:val="auto"/>
              </w:rPr>
              <w:t>10</w:t>
            </w:r>
          </w:p>
        </w:tc>
        <w:tc>
          <w:tcPr>
            <w:tcW w:w="490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1540" w:type="dxa"/>
            <w:vAlign w:val="bottom"/>
            <w:shd w:val="clear" w:color="auto" w:fill="F3F3F9"/>
          </w:tcPr>
          <w:p>
            <w:pPr>
              <w:jc w:val="right"/>
              <w:spacing w:after="0"/>
              <w:rPr>
                <w:sz w:val="20"/>
                <w:szCs w:val="20"/>
                <w:color w:val="auto"/>
              </w:rPr>
            </w:pPr>
            <w:r>
              <w:rPr>
                <w:rFonts w:ascii="Arial" w:cs="Arial" w:eastAsia="Arial" w:hAnsi="Arial"/>
                <w:sz w:val="16"/>
                <w:szCs w:val="16"/>
                <w:color w:val="auto"/>
              </w:rPr>
              <w:t>31</w:t>
            </w: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jc w:val="right"/>
              <w:spacing w:after="0"/>
              <w:rPr>
                <w:sz w:val="20"/>
                <w:szCs w:val="20"/>
                <w:color w:val="auto"/>
              </w:rPr>
            </w:pPr>
            <w:r>
              <w:rPr>
                <w:rFonts w:ascii="Arial" w:cs="Arial" w:eastAsia="Arial" w:hAnsi="Arial"/>
                <w:sz w:val="16"/>
                <w:szCs w:val="16"/>
                <w:b w:val="1"/>
                <w:bCs w:val="1"/>
                <w:color w:val="143A84"/>
              </w:rPr>
              <w:t>Net revenues</w:t>
            </w: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3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00" w:type="dxa"/>
            <w:vAlign w:val="bottom"/>
            <w:gridSpan w:val="2"/>
            <w:vMerge w:val="continue"/>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312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rPr>
              <w:t>September 30,</w:t>
            </w: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3120" w:type="dxa"/>
            <w:vAlign w:val="bottom"/>
          </w:tcPr>
          <w:p>
            <w:pPr>
              <w:spacing w:after="0"/>
              <w:rPr>
                <w:sz w:val="19"/>
                <w:szCs w:val="19"/>
                <w:color w:val="auto"/>
              </w:rPr>
            </w:pPr>
          </w:p>
        </w:tc>
        <w:tc>
          <w:tcPr>
            <w:tcW w:w="238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rPr>
              <w:t>September 30,</w:t>
            </w: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40" w:type="dxa"/>
            <w:vAlign w:val="bottom"/>
            <w:shd w:val="clear" w:color="auto" w:fill="F3F3F9"/>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00" w:type="dxa"/>
            <w:vAlign w:val="bottom"/>
            <w:shd w:val="clear" w:color="auto" w:fill="F3F3F9"/>
          </w:tcPr>
          <w:p>
            <w:pPr>
              <w:spacing w:after="0"/>
              <w:rPr>
                <w:sz w:val="18"/>
                <w:szCs w:val="18"/>
                <w:color w:val="auto"/>
              </w:rPr>
            </w:pPr>
          </w:p>
        </w:tc>
        <w:tc>
          <w:tcPr>
            <w:tcW w:w="128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2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120" w:type="dxa"/>
            <w:vAlign w:val="bottom"/>
            <w:tcBorders>
              <w:bottom w:val="single" w:sz="8" w:color="143A84"/>
            </w:tcBorders>
          </w:tcPr>
          <w:p>
            <w:pPr>
              <w:spacing w:after="0"/>
              <w:rPr>
                <w:sz w:val="20"/>
                <w:szCs w:val="20"/>
                <w:color w:val="auto"/>
              </w:rPr>
            </w:pPr>
          </w:p>
        </w:tc>
        <w:tc>
          <w:tcPr>
            <w:tcW w:w="11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28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37,611</w:t>
            </w:r>
          </w:p>
        </w:tc>
        <w:tc>
          <w:tcPr>
            <w:tcW w:w="126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37,206</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1.1%</w:t>
            </w:r>
          </w:p>
        </w:tc>
        <w:tc>
          <w:tcPr>
            <w:tcW w:w="31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revenues</w:t>
            </w:r>
          </w:p>
        </w:tc>
        <w:tc>
          <w:tcPr>
            <w:tcW w:w="11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119,225</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111,467</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40"/>
        <w:spacing w:after="0" w:line="334" w:lineRule="auto"/>
        <w:rPr>
          <w:sz w:val="20"/>
          <w:szCs w:val="20"/>
          <w:color w:val="auto"/>
        </w:rPr>
      </w:pPr>
      <w:r>
        <w:rPr>
          <w:rFonts w:ascii="Arial" w:cs="Arial" w:eastAsia="Arial" w:hAnsi="Arial"/>
          <w:sz w:val="18"/>
          <w:szCs w:val="18"/>
          <w:color w:val="auto"/>
        </w:rPr>
        <w:t>The following charts present the Company’s Net revenues walk by operational driver for the three and nine months ended September 30, 2026 compared to the corresponding periods in 2025:</w:t>
      </w:r>
    </w:p>
    <w:p>
      <w:pPr>
        <w:spacing w:after="0" w:line="131"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b w:val="1"/>
          <w:bCs w:val="1"/>
          <w:color w:val="143A84"/>
        </w:rPr>
        <w:t>Net revenues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9285" cy="2280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143A84"/>
        </w:rPr>
        <w:t>Net revenues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38100</wp:posOffset>
            </wp:positionV>
            <wp:extent cx="5709285" cy="2280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Results by segment</w:t>
      </w:r>
      <w:r>
        <w:rPr>
          <w:rFonts w:ascii="Arial" w:cs="Arial" w:eastAsia="Arial" w:hAnsi="Arial"/>
          <w:sz w:val="18"/>
          <w:szCs w:val="18"/>
          <w:color w:val="auto"/>
        </w:rPr>
        <w:t xml:space="preserve"> below for a discussion of Net revenues for each of our five reporting segments (North America, Enlarged Europe, Middle East &amp; Africa, South America and Asia Pacific).</w:t>
      </w:r>
    </w:p>
    <w:p>
      <w:pPr>
        <w:sectPr>
          <w:pgSz w:w="11900" w:h="16838" w:orient="portrait"/>
          <w:cols w:equalWidth="0" w:num="1">
            <w:col w:w="11240"/>
          </w:cols>
          <w:pgMar w:left="320" w:top="1440"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gridSpan w:val="2"/>
          </w:tcPr>
          <w:p>
            <w:pPr>
              <w:spacing w:after="0"/>
              <w:rPr>
                <w:sz w:val="20"/>
                <w:szCs w:val="20"/>
                <w:color w:val="auto"/>
              </w:rPr>
            </w:pPr>
            <w:r>
              <w:rPr>
                <w:rFonts w:ascii="Arial" w:cs="Arial" w:eastAsia="Arial" w:hAnsi="Arial"/>
                <w:sz w:val="16"/>
                <w:szCs w:val="16"/>
                <w:b w:val="1"/>
                <w:bCs w:val="1"/>
                <w:color w:val="143A84"/>
              </w:rPr>
              <w:t>Cost of revenues</w:t>
            </w:r>
          </w:p>
        </w:tc>
        <w:tc>
          <w:tcPr>
            <w:tcW w:w="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5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400" w:type="dxa"/>
            <w:vAlign w:val="bottom"/>
            <w:gridSpan w:val="3"/>
            <w:vMerge w:val="continue"/>
          </w:tcPr>
          <w:p>
            <w:pPr>
              <w:spacing w:after="0"/>
              <w:rPr>
                <w:sz w:val="19"/>
                <w:szCs w:val="19"/>
                <w:color w:val="auto"/>
              </w:rPr>
            </w:pPr>
          </w:p>
        </w:tc>
        <w:tc>
          <w:tcPr>
            <w:tcW w:w="1760" w:type="dxa"/>
            <w:vAlign w:val="bottom"/>
            <w:shd w:val="clear" w:color="auto" w:fill="E6E7F4"/>
          </w:tcPr>
          <w:p>
            <w:pPr>
              <w:spacing w:after="0"/>
              <w:rPr>
                <w:sz w:val="19"/>
                <w:szCs w:val="19"/>
                <w:color w:val="auto"/>
              </w:rPr>
            </w:pPr>
          </w:p>
        </w:tc>
        <w:tc>
          <w:tcPr>
            <w:tcW w:w="2860" w:type="dxa"/>
            <w:vAlign w:val="bottom"/>
          </w:tcPr>
          <w:p>
            <w:pPr>
              <w:spacing w:after="0"/>
              <w:rPr>
                <w:sz w:val="19"/>
                <w:szCs w:val="19"/>
                <w:color w:val="auto"/>
              </w:rPr>
            </w:pPr>
          </w:p>
        </w:tc>
        <w:tc>
          <w:tcPr>
            <w:tcW w:w="2500" w:type="dxa"/>
            <w:vAlign w:val="bottom"/>
            <w:gridSpan w:val="3"/>
            <w:vMerge w:val="continue"/>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20" w:type="dxa"/>
            <w:vAlign w:val="bottom"/>
            <w:tcBorders>
              <w:bottom w:val="single" w:sz="8" w:color="8E939F"/>
            </w:tcBorders>
            <w:gridSpan w:val="2"/>
          </w:tcPr>
          <w:p>
            <w:pPr>
              <w:jc w:val="center"/>
              <w:ind w:left="499"/>
              <w:spacing w:after="0"/>
              <w:rPr>
                <w:sz w:val="20"/>
                <w:szCs w:val="20"/>
                <w:color w:val="auto"/>
              </w:rPr>
            </w:pPr>
            <w:r>
              <w:rPr>
                <w:rFonts w:ascii="Arial" w:cs="Arial" w:eastAsia="Arial" w:hAnsi="Arial"/>
                <w:sz w:val="16"/>
                <w:szCs w:val="16"/>
                <w:b w:val="1"/>
                <w:bCs w:val="1"/>
                <w:color w:val="243782"/>
              </w:rPr>
              <w:t>September 30,</w:t>
            </w:r>
          </w:p>
        </w:tc>
        <w:tc>
          <w:tcPr>
            <w:tcW w:w="68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860" w:type="dxa"/>
            <w:vAlign w:val="bottom"/>
          </w:tcPr>
          <w:p>
            <w:pPr>
              <w:spacing w:after="0"/>
              <w:rPr>
                <w:sz w:val="19"/>
                <w:szCs w:val="19"/>
                <w:color w:val="auto"/>
              </w:rPr>
            </w:pPr>
          </w:p>
        </w:tc>
        <w:tc>
          <w:tcPr>
            <w:tcW w:w="1780" w:type="dxa"/>
            <w:vAlign w:val="bottom"/>
            <w:tcBorders>
              <w:bottom w:val="single" w:sz="8" w:color="8E939F"/>
            </w:tcBorders>
            <w:gridSpan w:val="2"/>
          </w:tcPr>
          <w:p>
            <w:pPr>
              <w:jc w:val="center"/>
              <w:ind w:left="539"/>
              <w:spacing w:after="0"/>
              <w:rPr>
                <w:sz w:val="20"/>
                <w:szCs w:val="20"/>
                <w:color w:val="auto"/>
              </w:rPr>
            </w:pPr>
            <w:r>
              <w:rPr>
                <w:rFonts w:ascii="Arial" w:cs="Arial" w:eastAsia="Arial" w:hAnsi="Arial"/>
                <w:sz w:val="16"/>
                <w:szCs w:val="16"/>
                <w:b w:val="1"/>
                <w:bCs w:val="1"/>
                <w:color w:val="243782"/>
              </w:rPr>
              <w:t>September 30,</w:t>
            </w:r>
          </w:p>
        </w:tc>
        <w:tc>
          <w:tcPr>
            <w:tcW w:w="72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100" w:type="dxa"/>
            <w:vAlign w:val="bottom"/>
            <w:shd w:val="clear" w:color="auto" w:fill="F3F3F9"/>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60" w:type="dxa"/>
            <w:vAlign w:val="bottom"/>
            <w:shd w:val="clear" w:color="auto" w:fill="F3F3F9"/>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20" w:type="dxa"/>
            <w:vAlign w:val="bottom"/>
            <w:tcBorders>
              <w:bottom w:val="single" w:sz="8" w:color="143A84"/>
            </w:tcBorders>
          </w:tcPr>
          <w:p>
            <w:pPr>
              <w:spacing w:after="0"/>
              <w:rPr>
                <w:sz w:val="20"/>
                <w:szCs w:val="20"/>
                <w:color w:val="auto"/>
              </w:rPr>
            </w:pPr>
          </w:p>
        </w:tc>
        <w:tc>
          <w:tcPr>
            <w:tcW w:w="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860" w:type="dxa"/>
            <w:vAlign w:val="bottom"/>
            <w:tcBorders>
              <w:bottom w:val="single" w:sz="8" w:color="143A84"/>
            </w:tcBorders>
          </w:tcPr>
          <w:p>
            <w:pPr>
              <w:spacing w:after="0"/>
              <w:rPr>
                <w:sz w:val="20"/>
                <w:szCs w:val="20"/>
                <w:color w:val="auto"/>
              </w:rPr>
            </w:pPr>
          </w:p>
        </w:tc>
        <w:tc>
          <w:tcPr>
            <w:tcW w:w="11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20" w:type="dxa"/>
            <w:vAlign w:val="bottom"/>
            <w:tcBorders>
              <w:bottom w:val="single" w:sz="8" w:color="143A84"/>
            </w:tcBorders>
          </w:tcPr>
          <w:p>
            <w:pPr>
              <w:spacing w:after="0"/>
              <w:rPr>
                <w:sz w:val="20"/>
                <w:szCs w:val="20"/>
                <w:color w:val="auto"/>
              </w:rPr>
            </w:pPr>
          </w:p>
        </w:tc>
        <w:tc>
          <w:tcPr>
            <w:tcW w:w="72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1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34,190</w:t>
            </w:r>
          </w:p>
        </w:tc>
        <w:tc>
          <w:tcPr>
            <w:tcW w:w="620" w:type="dxa"/>
            <w:vAlign w:val="bottom"/>
            <w:tcBorders>
              <w:bottom w:val="single" w:sz="8" w:color="8E939F"/>
            </w:tcBorders>
          </w:tcPr>
          <w:p>
            <w:pPr>
              <w:spacing w:after="0"/>
              <w:rPr>
                <w:sz w:val="21"/>
                <w:szCs w:val="21"/>
                <w:color w:val="auto"/>
              </w:rPr>
            </w:pPr>
          </w:p>
        </w:tc>
        <w:tc>
          <w:tcPr>
            <w:tcW w:w="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38,291</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(10.7%)</w:t>
            </w:r>
          </w:p>
        </w:tc>
        <w:tc>
          <w:tcPr>
            <w:tcW w:w="28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Cost of revenues</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106,601</w:t>
            </w:r>
          </w:p>
        </w:tc>
        <w:tc>
          <w:tcPr>
            <w:tcW w:w="620" w:type="dxa"/>
            <w:vAlign w:val="bottom"/>
            <w:tcBorders>
              <w:bottom w:val="single" w:sz="8" w:color="8E939F"/>
            </w:tcBorders>
          </w:tcPr>
          <w:p>
            <w:pPr>
              <w:spacing w:after="0"/>
              <w:rPr>
                <w:sz w:val="21"/>
                <w:szCs w:val="21"/>
                <w:color w:val="auto"/>
              </w:rPr>
            </w:pPr>
          </w:p>
        </w:tc>
        <w:tc>
          <w:tcPr>
            <w:tcW w:w="72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106,558</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10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90.9%</w:t>
            </w:r>
          </w:p>
        </w:tc>
        <w:tc>
          <w:tcPr>
            <w:tcW w:w="620" w:type="dxa"/>
            <w:vAlign w:val="bottom"/>
          </w:tcPr>
          <w:p>
            <w:pPr>
              <w:spacing w:after="0"/>
              <w:rPr>
                <w:sz w:val="19"/>
                <w:szCs w:val="19"/>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w w:val="99"/>
              </w:rPr>
              <w:t>102.9%</w:t>
            </w:r>
          </w:p>
        </w:tc>
        <w:tc>
          <w:tcPr>
            <w:tcW w:w="1760" w:type="dxa"/>
            <w:vAlign w:val="bottom"/>
            <w:shd w:val="clear" w:color="auto" w:fill="E6E7F4"/>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Cost of revenues as % of Net</w:t>
            </w:r>
          </w:p>
        </w:tc>
        <w:tc>
          <w:tcPr>
            <w:tcW w:w="11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89.4%</w:t>
            </w:r>
          </w:p>
        </w:tc>
        <w:tc>
          <w:tcPr>
            <w:tcW w:w="620" w:type="dxa"/>
            <w:vAlign w:val="bottom"/>
          </w:tcPr>
          <w:p>
            <w:pPr>
              <w:spacing w:after="0"/>
              <w:rPr>
                <w:sz w:val="19"/>
                <w:szCs w:val="19"/>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color w:val="auto"/>
              </w:rPr>
              <w:t>95.6%</w:t>
            </w: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shd w:val="clear" w:color="auto" w:fill="F3F3F9"/>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760" w:type="dxa"/>
            <w:vAlign w:val="bottom"/>
            <w:shd w:val="clear" w:color="auto" w:fill="E6E7F4"/>
          </w:tcPr>
          <w:p>
            <w:pPr>
              <w:spacing w:after="0"/>
              <w:rPr>
                <w:sz w:val="9"/>
                <w:szCs w:val="9"/>
                <w:color w:val="auto"/>
              </w:rPr>
            </w:pPr>
          </w:p>
        </w:tc>
        <w:tc>
          <w:tcPr>
            <w:tcW w:w="2860" w:type="dxa"/>
            <w:vAlign w:val="bottom"/>
            <w:vMerge w:val="restart"/>
          </w:tcPr>
          <w:p>
            <w:pPr>
              <w:ind w:left="120"/>
              <w:spacing w:after="0"/>
              <w:rPr>
                <w:sz w:val="20"/>
                <w:szCs w:val="20"/>
                <w:color w:val="auto"/>
              </w:rPr>
            </w:pPr>
            <w:r>
              <w:rPr>
                <w:rFonts w:ascii="Arial" w:cs="Arial" w:eastAsia="Arial" w:hAnsi="Arial"/>
                <w:sz w:val="16"/>
                <w:szCs w:val="16"/>
                <w:color w:val="auto"/>
              </w:rPr>
              <w:t>revenues</w:t>
            </w:r>
          </w:p>
        </w:tc>
        <w:tc>
          <w:tcPr>
            <w:tcW w:w="1160" w:type="dxa"/>
            <w:vAlign w:val="bottom"/>
            <w:vMerge w:val="continue"/>
            <w:shd w:val="clear" w:color="auto" w:fill="F3F3F9"/>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720" w:type="dxa"/>
            <w:vAlign w:val="bottom"/>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100" w:type="dxa"/>
            <w:vAlign w:val="bottom"/>
            <w:tcBorders>
              <w:bottom w:val="single" w:sz="8" w:color="8E939F"/>
            </w:tcBorders>
            <w:shd w:val="clear" w:color="auto" w:fill="F3F3F9"/>
          </w:tcPr>
          <w:p>
            <w:pPr>
              <w:spacing w:after="0"/>
              <w:rPr>
                <w:sz w:val="10"/>
                <w:szCs w:val="10"/>
                <w:color w:val="auto"/>
              </w:rPr>
            </w:pPr>
          </w:p>
        </w:tc>
        <w:tc>
          <w:tcPr>
            <w:tcW w:w="620" w:type="dxa"/>
            <w:vAlign w:val="bottom"/>
            <w:tcBorders>
              <w:bottom w:val="single" w:sz="8" w:color="8E939F"/>
            </w:tcBorders>
          </w:tcPr>
          <w:p>
            <w:pPr>
              <w:spacing w:after="0"/>
              <w:rPr>
                <w:sz w:val="10"/>
                <w:szCs w:val="10"/>
                <w:color w:val="auto"/>
              </w:rPr>
            </w:pPr>
          </w:p>
        </w:tc>
        <w:tc>
          <w:tcPr>
            <w:tcW w:w="680" w:type="dxa"/>
            <w:vAlign w:val="bottom"/>
            <w:tcBorders>
              <w:bottom w:val="single" w:sz="8" w:color="8E939F"/>
            </w:tcBorders>
          </w:tcPr>
          <w:p>
            <w:pPr>
              <w:spacing w:after="0"/>
              <w:rPr>
                <w:sz w:val="10"/>
                <w:szCs w:val="10"/>
                <w:color w:val="auto"/>
              </w:rPr>
            </w:pPr>
          </w:p>
        </w:tc>
        <w:tc>
          <w:tcPr>
            <w:tcW w:w="1760" w:type="dxa"/>
            <w:vAlign w:val="bottom"/>
            <w:tcBorders>
              <w:bottom w:val="single" w:sz="8" w:color="8E939F"/>
            </w:tcBorders>
            <w:shd w:val="clear" w:color="auto" w:fill="E6E7F4"/>
          </w:tcPr>
          <w:p>
            <w:pPr>
              <w:spacing w:after="0"/>
              <w:rPr>
                <w:sz w:val="10"/>
                <w:szCs w:val="10"/>
                <w:color w:val="auto"/>
              </w:rPr>
            </w:pPr>
          </w:p>
        </w:tc>
        <w:tc>
          <w:tcPr>
            <w:tcW w:w="2860" w:type="dxa"/>
            <w:vAlign w:val="bottom"/>
            <w:tcBorders>
              <w:bottom w:val="single" w:sz="8" w:color="8E939F"/>
            </w:tcBorders>
            <w:vMerge w:val="continue"/>
          </w:tcPr>
          <w:p>
            <w:pPr>
              <w:spacing w:after="0"/>
              <w:rPr>
                <w:sz w:val="10"/>
                <w:szCs w:val="10"/>
                <w:color w:val="auto"/>
              </w:rPr>
            </w:pPr>
          </w:p>
        </w:tc>
        <w:tc>
          <w:tcPr>
            <w:tcW w:w="1160" w:type="dxa"/>
            <w:vAlign w:val="bottom"/>
            <w:tcBorders>
              <w:bottom w:val="single" w:sz="8" w:color="8E939F"/>
            </w:tcBorders>
            <w:shd w:val="clear" w:color="auto" w:fill="F3F3F9"/>
          </w:tcPr>
          <w:p>
            <w:pPr>
              <w:spacing w:after="0"/>
              <w:rPr>
                <w:sz w:val="10"/>
                <w:szCs w:val="10"/>
                <w:color w:val="auto"/>
              </w:rPr>
            </w:pPr>
          </w:p>
        </w:tc>
        <w:tc>
          <w:tcPr>
            <w:tcW w:w="620" w:type="dxa"/>
            <w:vAlign w:val="bottom"/>
            <w:tcBorders>
              <w:bottom w:val="single" w:sz="8" w:color="8E939F"/>
            </w:tcBorders>
          </w:tcPr>
          <w:p>
            <w:pPr>
              <w:spacing w:after="0"/>
              <w:rPr>
                <w:sz w:val="10"/>
                <w:szCs w:val="10"/>
                <w:color w:val="auto"/>
              </w:rPr>
            </w:pPr>
          </w:p>
        </w:tc>
        <w:tc>
          <w:tcPr>
            <w:tcW w:w="720" w:type="dxa"/>
            <w:vAlign w:val="bottom"/>
            <w:tcBorders>
              <w:bottom w:val="single" w:sz="8" w:color="8E939F"/>
            </w:tcBorders>
          </w:tcPr>
          <w:p>
            <w:pPr>
              <w:spacing w:after="0"/>
              <w:rPr>
                <w:sz w:val="10"/>
                <w:szCs w:val="10"/>
                <w:color w:val="auto"/>
              </w:rPr>
            </w:pPr>
          </w:p>
        </w:tc>
        <w:tc>
          <w:tcPr>
            <w:tcW w:w="1720" w:type="dxa"/>
            <w:vAlign w:val="bottom"/>
            <w:tcBorders>
              <w:bottom w:val="single" w:sz="8" w:color="8E939F"/>
            </w:tcBorders>
            <w:shd w:val="clear" w:color="auto" w:fill="E6E7F4"/>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40"/>
        <w:spacing w:after="0" w:line="368" w:lineRule="auto"/>
        <w:rPr>
          <w:sz w:val="20"/>
          <w:szCs w:val="20"/>
          <w:color w:val="auto"/>
        </w:rPr>
      </w:pPr>
      <w:r>
        <w:rPr>
          <w:rFonts w:ascii="Arial" w:cs="Arial" w:eastAsia="Arial" w:hAnsi="Arial"/>
          <w:sz w:val="17"/>
          <w:szCs w:val="17"/>
          <w:color w:val="auto"/>
        </w:rPr>
        <w:t>Cost of revenues decreased for the three months ended September 30, 2026 compared to the corresponding period in 2025, primarily related to decreased volumes in North America and lower costs as specified below, partially offset by increased volumes in Enlarged Europe.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2026, Cost of revenues remained broadly stable compared to the corresponding period in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Increased volumes in 2026 have been offset by lower costs as specified below.</w:t>
      </w:r>
    </w:p>
    <w:p>
      <w:pPr>
        <w:spacing w:after="0" w:line="266" w:lineRule="exact"/>
        <w:rPr>
          <w:sz w:val="20"/>
          <w:szCs w:val="20"/>
          <w:color w:val="auto"/>
        </w:rPr>
      </w:pPr>
    </w:p>
    <w:p>
      <w:pPr>
        <w:ind w:left="160" w:right="40" w:hanging="152"/>
        <w:spacing w:after="0" w:line="334" w:lineRule="auto"/>
        <w:tabs>
          <w:tab w:leader="none" w:pos="121" w:val="left"/>
        </w:tabs>
        <w:numPr>
          <w:ilvl w:val="0"/>
          <w:numId w:val="5"/>
        </w:numPr>
        <w:rPr>
          <w:rFonts w:ascii="Arial" w:cs="Arial" w:eastAsia="Arial" w:hAnsi="Arial"/>
          <w:sz w:val="18"/>
          <w:szCs w:val="18"/>
          <w:color w:val="143A84"/>
        </w:rPr>
      </w:pPr>
      <w:r>
        <w:rPr>
          <w:rFonts w:ascii="Arial" w:cs="Arial" w:eastAsia="Arial" w:hAnsi="Arial"/>
          <w:sz w:val="18"/>
          <w:szCs w:val="18"/>
          <w:color w:val="auto"/>
        </w:rPr>
        <w:t>the non-recurrence of recall campaign costs in Enlarged Europe (nil and €0.5 billion for the three and nine month periods ended September 30, 2025);</w:t>
      </w:r>
    </w:p>
    <w:p>
      <w:pPr>
        <w:spacing w:after="0" w:line="152" w:lineRule="exact"/>
        <w:rPr>
          <w:rFonts w:ascii="Arial" w:cs="Arial" w:eastAsia="Arial" w:hAnsi="Arial"/>
          <w:sz w:val="18"/>
          <w:szCs w:val="18"/>
          <w:color w:val="143A84"/>
        </w:rPr>
      </w:pPr>
    </w:p>
    <w:p>
      <w:pPr>
        <w:ind w:left="160" w:right="160" w:hanging="152"/>
        <w:spacing w:after="0" w:line="305" w:lineRule="auto"/>
        <w:tabs>
          <w:tab w:leader="none" w:pos="121" w:val="left"/>
        </w:tabs>
        <w:numPr>
          <w:ilvl w:val="0"/>
          <w:numId w:val="5"/>
        </w:numPr>
        <w:rPr>
          <w:rFonts w:ascii="Arial" w:cs="Arial" w:eastAsia="Arial" w:hAnsi="Arial"/>
          <w:sz w:val="18"/>
          <w:szCs w:val="18"/>
          <w:color w:val="143A84"/>
        </w:rPr>
      </w:pPr>
      <w:r>
        <w:rPr>
          <w:rFonts w:ascii="Arial" w:cs="Arial" w:eastAsia="Arial" w:hAnsi="Arial"/>
          <w:sz w:val="18"/>
          <w:szCs w:val="18"/>
          <w:color w:val="auto"/>
        </w:rPr>
        <w:t>a reduction of regulatory expenses in North America of €0.2 billion and €1.2 billion for the three and nine month periods ended September 30, 2026, respectively. Of these amounts, a net benefit of €0.3 billion was excluded from AOI for the nine months ended September 30,</w:t>
      </w:r>
    </w:p>
    <w:p>
      <w:pPr>
        <w:ind w:left="160" w:right="340"/>
        <w:spacing w:after="0" w:line="334" w:lineRule="auto"/>
        <w:rPr>
          <w:rFonts w:ascii="Arial" w:cs="Arial" w:eastAsia="Arial" w:hAnsi="Arial"/>
          <w:sz w:val="18"/>
          <w:szCs w:val="18"/>
          <w:color w:val="143A84"/>
        </w:rPr>
      </w:pPr>
      <w:r>
        <w:rPr>
          <w:rFonts w:ascii="Arial" w:cs="Arial" w:eastAsia="Arial" w:hAnsi="Arial"/>
          <w:sz w:val="18"/>
          <w:szCs w:val="18"/>
          <w:color w:val="auto"/>
        </w:rPr>
        <w:t>2026, compared to net costs of €0.3 billion excluded from AOI for the nine months ended September 30, 2025. Amounts excluded from AOI for the three months ended September 30, 2026 and 2025 were negligible;</w:t>
      </w:r>
    </w:p>
    <w:p>
      <w:pPr>
        <w:spacing w:after="0" w:line="152" w:lineRule="exact"/>
        <w:rPr>
          <w:rFonts w:ascii="Arial" w:cs="Arial" w:eastAsia="Arial" w:hAnsi="Arial"/>
          <w:sz w:val="18"/>
          <w:szCs w:val="18"/>
          <w:color w:val="143A84"/>
        </w:rPr>
      </w:pPr>
    </w:p>
    <w:p>
      <w:pPr>
        <w:ind w:left="160" w:right="80" w:hanging="152"/>
        <w:spacing w:after="0" w:line="315" w:lineRule="auto"/>
        <w:tabs>
          <w:tab w:leader="none" w:pos="121" w:val="left"/>
        </w:tabs>
        <w:numPr>
          <w:ilvl w:val="0"/>
          <w:numId w:val="5"/>
        </w:numPr>
        <w:rPr>
          <w:rFonts w:ascii="Arial" w:cs="Arial" w:eastAsia="Arial" w:hAnsi="Arial"/>
          <w:sz w:val="18"/>
          <w:szCs w:val="18"/>
          <w:color w:val="143A84"/>
        </w:rPr>
      </w:pPr>
      <w:r>
        <w:rPr>
          <w:rFonts w:ascii="Arial" w:cs="Arial" w:eastAsia="Arial" w:hAnsi="Arial"/>
          <w:sz w:val="18"/>
          <w:szCs w:val="18"/>
          <w:color w:val="auto"/>
        </w:rPr>
        <w:t>lower impairment and costs related to product plan realignments and program cancellations. Amounts for the three and nine months ended September 30, 2025 included impairment charges and costs related to program cancellations of €0.9 billion and €1.3 billion, respectively, related to North America and certain Maserati and Alfa Romeo vehicle platforms;</w:t>
      </w:r>
    </w:p>
    <w:p>
      <w:pPr>
        <w:spacing w:after="0" w:line="170" w:lineRule="exact"/>
        <w:rPr>
          <w:rFonts w:ascii="Arial" w:cs="Arial" w:eastAsia="Arial" w:hAnsi="Arial"/>
          <w:sz w:val="18"/>
          <w:szCs w:val="18"/>
          <w:color w:val="143A84"/>
        </w:rPr>
      </w:pPr>
    </w:p>
    <w:p>
      <w:pPr>
        <w:ind w:left="160" w:right="100" w:hanging="152"/>
        <w:spacing w:after="0" w:line="315" w:lineRule="auto"/>
        <w:tabs>
          <w:tab w:leader="none" w:pos="121" w:val="left"/>
        </w:tabs>
        <w:numPr>
          <w:ilvl w:val="0"/>
          <w:numId w:val="5"/>
        </w:numPr>
        <w:rPr>
          <w:rFonts w:ascii="Arial" w:cs="Arial" w:eastAsia="Arial" w:hAnsi="Arial"/>
          <w:sz w:val="18"/>
          <w:szCs w:val="18"/>
          <w:color w:val="143A84"/>
        </w:rPr>
      </w:pPr>
      <w:r>
        <w:rPr>
          <w:rFonts w:ascii="Arial" w:cs="Arial" w:eastAsia="Arial" w:hAnsi="Arial"/>
          <w:sz w:val="18"/>
          <w:szCs w:val="18"/>
          <w:color w:val="auto"/>
        </w:rPr>
        <w:t>a reduction in warranty expense of €3.6 billion and €3.8 billion for the three and nine months ended September 30, 2026, respectively. During the three and nine months ended September 30, 2025, €3.3 billion of costs related to a change in estimate for contractual warranty provisions were excluded from AOI. No similar amounts were excluded from AOI during the corresponding periods in 2026; and</w:t>
      </w:r>
    </w:p>
    <w:p>
      <w:pPr>
        <w:spacing w:after="0" w:line="170" w:lineRule="exact"/>
        <w:rPr>
          <w:rFonts w:ascii="Arial" w:cs="Arial" w:eastAsia="Arial" w:hAnsi="Arial"/>
          <w:sz w:val="18"/>
          <w:szCs w:val="18"/>
          <w:color w:val="143A84"/>
        </w:rPr>
      </w:pPr>
    </w:p>
    <w:p>
      <w:pPr>
        <w:ind w:left="160" w:right="60" w:hanging="152"/>
        <w:spacing w:after="0" w:line="315" w:lineRule="auto"/>
        <w:tabs>
          <w:tab w:leader="none" w:pos="121" w:val="left"/>
        </w:tabs>
        <w:numPr>
          <w:ilvl w:val="0"/>
          <w:numId w:val="5"/>
        </w:numPr>
        <w:rPr>
          <w:rFonts w:ascii="Arial" w:cs="Arial" w:eastAsia="Arial" w:hAnsi="Arial"/>
          <w:sz w:val="18"/>
          <w:szCs w:val="18"/>
          <w:color w:val="143A84"/>
        </w:rPr>
      </w:pPr>
      <w:r>
        <w:rPr>
          <w:rFonts w:ascii="Arial" w:cs="Arial" w:eastAsia="Arial" w:hAnsi="Arial"/>
          <w:sz w:val="18"/>
          <w:szCs w:val="18"/>
          <w:color w:val="auto"/>
        </w:rPr>
        <w:t>the non-recurrence of impairment and other costs related to the discontinuation of the hydrogen fuel cell technology development program in Enlarged Europe (nil and €51 million for the three and nine month periods ended September 30, 2025). These costs were excluded from AOI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gridSpan w:val="4"/>
          </w:tcPr>
          <w:p>
            <w:pPr>
              <w:spacing w:after="0"/>
              <w:rPr>
                <w:sz w:val="20"/>
                <w:szCs w:val="20"/>
                <w:color w:val="auto"/>
              </w:rPr>
            </w:pPr>
            <w:r>
              <w:rPr>
                <w:rFonts w:ascii="Arial" w:cs="Arial" w:eastAsia="Arial" w:hAnsi="Arial"/>
                <w:sz w:val="16"/>
                <w:szCs w:val="16"/>
                <w:b w:val="1"/>
                <w:bCs w:val="1"/>
                <w:color w:val="143A84"/>
              </w:rPr>
              <w:t>Selling, general and other costs</w:t>
            </w:r>
          </w:p>
        </w:tc>
        <w:tc>
          <w:tcPr>
            <w:tcW w:w="16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140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42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00" w:type="dxa"/>
            <w:vAlign w:val="bottom"/>
            <w:shd w:val="clear" w:color="auto" w:fill="E6E7F4"/>
          </w:tcPr>
          <w:p>
            <w:pPr>
              <w:spacing w:after="0"/>
              <w:rPr>
                <w:sz w:val="19"/>
                <w:szCs w:val="19"/>
                <w:color w:val="auto"/>
              </w:rPr>
            </w:pPr>
          </w:p>
        </w:tc>
        <w:tc>
          <w:tcPr>
            <w:tcW w:w="1620" w:type="dxa"/>
            <w:vAlign w:val="bottom"/>
            <w:shd w:val="clear" w:color="auto" w:fill="E6E7F4"/>
          </w:tcPr>
          <w:p>
            <w:pPr>
              <w:spacing w:after="0"/>
              <w:rPr>
                <w:sz w:val="19"/>
                <w:szCs w:val="19"/>
                <w:color w:val="auto"/>
              </w:rPr>
            </w:pPr>
          </w:p>
        </w:tc>
        <w:tc>
          <w:tcPr>
            <w:tcW w:w="2920" w:type="dxa"/>
            <w:vAlign w:val="bottom"/>
          </w:tcPr>
          <w:p>
            <w:pPr>
              <w:spacing w:after="0"/>
              <w:rPr>
                <w:sz w:val="19"/>
                <w:szCs w:val="19"/>
                <w:color w:val="auto"/>
              </w:rPr>
            </w:pPr>
          </w:p>
        </w:tc>
        <w:tc>
          <w:tcPr>
            <w:tcW w:w="194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243782"/>
              </w:rPr>
              <w:t>Nine months ended</w:t>
            </w:r>
          </w:p>
        </w:tc>
        <w:tc>
          <w:tcPr>
            <w:tcW w:w="520" w:type="dxa"/>
            <w:vAlign w:val="bottom"/>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20" w:type="dxa"/>
            <w:vAlign w:val="bottom"/>
            <w:tcBorders>
              <w:bottom w:val="single" w:sz="8" w:color="8E939F"/>
            </w:tcBorders>
            <w:gridSpan w:val="2"/>
          </w:tcPr>
          <w:p>
            <w:pPr>
              <w:jc w:val="center"/>
              <w:ind w:left="439"/>
              <w:spacing w:after="0"/>
              <w:rPr>
                <w:sz w:val="20"/>
                <w:szCs w:val="20"/>
                <w:color w:val="auto"/>
              </w:rPr>
            </w:pPr>
            <w:r>
              <w:rPr>
                <w:rFonts w:ascii="Arial" w:cs="Arial" w:eastAsia="Arial" w:hAnsi="Arial"/>
                <w:sz w:val="16"/>
                <w:szCs w:val="16"/>
                <w:b w:val="1"/>
                <w:bCs w:val="1"/>
                <w:color w:val="243782"/>
              </w:rPr>
              <w:t>September 30,</w:t>
            </w:r>
          </w:p>
        </w:tc>
        <w:tc>
          <w:tcPr>
            <w:tcW w:w="600" w:type="dxa"/>
            <w:vAlign w:val="bottom"/>
            <w:tcBorders>
              <w:bottom w:val="single" w:sz="8" w:color="8E939F"/>
            </w:tcBorders>
          </w:tcPr>
          <w:p>
            <w:pPr>
              <w:spacing w:after="0"/>
              <w:rPr>
                <w:sz w:val="19"/>
                <w:szCs w:val="19"/>
                <w:color w:val="auto"/>
              </w:rPr>
            </w:pPr>
          </w:p>
        </w:tc>
        <w:tc>
          <w:tcPr>
            <w:tcW w:w="100" w:type="dxa"/>
            <w:vAlign w:val="bottom"/>
            <w:tcBorders>
              <w:bottom w:val="single" w:sz="8" w:color="8E939F"/>
            </w:tcBorders>
            <w:shd w:val="clear" w:color="auto" w:fill="E6E7F4"/>
          </w:tcPr>
          <w:p>
            <w:pPr>
              <w:spacing w:after="0"/>
              <w:rPr>
                <w:sz w:val="19"/>
                <w:szCs w:val="19"/>
                <w:color w:val="auto"/>
              </w:rPr>
            </w:pPr>
          </w:p>
        </w:tc>
        <w:tc>
          <w:tcPr>
            <w:tcW w:w="16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w w:val="99"/>
              </w:rPr>
              <w:t>Increase/(Decrease)</w:t>
            </w:r>
          </w:p>
        </w:tc>
        <w:tc>
          <w:tcPr>
            <w:tcW w:w="2920" w:type="dxa"/>
            <w:vAlign w:val="bottom"/>
          </w:tcPr>
          <w:p>
            <w:pPr>
              <w:spacing w:after="0"/>
              <w:rPr>
                <w:sz w:val="19"/>
                <w:szCs w:val="19"/>
                <w:color w:val="auto"/>
              </w:rPr>
            </w:pPr>
          </w:p>
        </w:tc>
        <w:tc>
          <w:tcPr>
            <w:tcW w:w="1940" w:type="dxa"/>
            <w:vAlign w:val="bottom"/>
            <w:tcBorders>
              <w:bottom w:val="single" w:sz="8" w:color="8E939F"/>
            </w:tcBorders>
            <w:gridSpan w:val="2"/>
          </w:tcPr>
          <w:p>
            <w:pPr>
              <w:jc w:val="center"/>
              <w:ind w:left="359"/>
              <w:spacing w:after="0"/>
              <w:rPr>
                <w:sz w:val="20"/>
                <w:szCs w:val="20"/>
                <w:color w:val="auto"/>
              </w:rPr>
            </w:pPr>
            <w:r>
              <w:rPr>
                <w:rFonts w:ascii="Arial" w:cs="Arial" w:eastAsia="Arial" w:hAnsi="Arial"/>
                <w:sz w:val="16"/>
                <w:szCs w:val="16"/>
                <w:b w:val="1"/>
                <w:bCs w:val="1"/>
                <w:color w:val="243782"/>
              </w:rPr>
              <w:t>September 30,</w:t>
            </w:r>
          </w:p>
        </w:tc>
        <w:tc>
          <w:tcPr>
            <w:tcW w:w="52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120" w:type="dxa"/>
            <w:vAlign w:val="bottom"/>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shd w:val="clear" w:color="auto" w:fill="E6E7F4"/>
          </w:tcPr>
          <w:p>
            <w:pPr>
              <w:spacing w:after="0"/>
              <w:rPr>
                <w:sz w:val="18"/>
                <w:szCs w:val="18"/>
                <w:color w:val="auto"/>
              </w:rPr>
            </w:pPr>
          </w:p>
        </w:tc>
        <w:tc>
          <w:tcPr>
            <w:tcW w:w="1620" w:type="dxa"/>
            <w:vAlign w:val="bottom"/>
            <w:shd w:val="clear" w:color="auto" w:fill="E6E7F4"/>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40" w:type="dxa"/>
            <w:vAlign w:val="bottom"/>
            <w:shd w:val="clear" w:color="auto" w:fill="F3F3F9"/>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00" w:type="dxa"/>
            <w:vAlign w:val="bottom"/>
            <w:tcBorders>
              <w:bottom w:val="single" w:sz="8" w:color="143A84"/>
            </w:tcBorders>
          </w:tcPr>
          <w:p>
            <w:pPr>
              <w:spacing w:after="0"/>
              <w:rPr>
                <w:sz w:val="20"/>
                <w:szCs w:val="20"/>
                <w:color w:val="auto"/>
              </w:rPr>
            </w:pPr>
          </w:p>
        </w:tc>
        <w:tc>
          <w:tcPr>
            <w:tcW w:w="60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00" w:type="dxa"/>
            <w:vAlign w:val="bottom"/>
            <w:tcBorders>
              <w:bottom w:val="single" w:sz="8" w:color="143A84"/>
            </w:tcBorders>
            <w:shd w:val="clear" w:color="auto" w:fill="E6E7F4"/>
          </w:tcPr>
          <w:p>
            <w:pPr>
              <w:spacing w:after="0"/>
              <w:rPr>
                <w:sz w:val="20"/>
                <w:szCs w:val="20"/>
                <w:color w:val="auto"/>
              </w:rPr>
            </w:pPr>
          </w:p>
        </w:tc>
        <w:tc>
          <w:tcPr>
            <w:tcW w:w="16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20" w:type="dxa"/>
            <w:vAlign w:val="bottom"/>
            <w:tcBorders>
              <w:bottom w:val="single" w:sz="8" w:color="143A84"/>
            </w:tcBorders>
          </w:tcPr>
          <w:p>
            <w:pPr>
              <w:spacing w:after="0"/>
              <w:rPr>
                <w:sz w:val="20"/>
                <w:szCs w:val="20"/>
                <w:color w:val="auto"/>
              </w:rPr>
            </w:pPr>
          </w:p>
        </w:tc>
        <w:tc>
          <w:tcPr>
            <w:tcW w:w="11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800" w:type="dxa"/>
            <w:vAlign w:val="bottom"/>
            <w:tcBorders>
              <w:bottom w:val="single" w:sz="8" w:color="143A84"/>
            </w:tcBorders>
          </w:tcPr>
          <w:p>
            <w:pPr>
              <w:spacing w:after="0"/>
              <w:rPr>
                <w:sz w:val="20"/>
                <w:szCs w:val="20"/>
                <w:color w:val="auto"/>
              </w:rPr>
            </w:pPr>
          </w:p>
        </w:tc>
        <w:tc>
          <w:tcPr>
            <w:tcW w:w="52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2,303</w:t>
            </w:r>
          </w:p>
        </w:tc>
        <w:tc>
          <w:tcPr>
            <w:tcW w:w="700" w:type="dxa"/>
            <w:vAlign w:val="bottom"/>
            <w:tcBorders>
              <w:bottom w:val="single" w:sz="8" w:color="8E939F"/>
            </w:tcBorders>
          </w:tcPr>
          <w:p>
            <w:pPr>
              <w:spacing w:after="0"/>
              <w:rPr>
                <w:sz w:val="21"/>
                <w:szCs w:val="21"/>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2,221</w:t>
            </w:r>
          </w:p>
        </w:tc>
        <w:tc>
          <w:tcPr>
            <w:tcW w:w="100" w:type="dxa"/>
            <w:vAlign w:val="bottom"/>
            <w:tcBorders>
              <w:bottom w:val="single" w:sz="8" w:color="8E939F"/>
            </w:tcBorders>
            <w:shd w:val="clear" w:color="auto" w:fill="E6E7F4"/>
          </w:tcPr>
          <w:p>
            <w:pPr>
              <w:spacing w:after="0"/>
              <w:rPr>
                <w:sz w:val="21"/>
                <w:szCs w:val="21"/>
                <w:color w:val="auto"/>
              </w:rPr>
            </w:pPr>
          </w:p>
        </w:tc>
        <w:tc>
          <w:tcPr>
            <w:tcW w:w="16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3.7%</w:t>
            </w:r>
          </w:p>
        </w:tc>
        <w:tc>
          <w:tcPr>
            <w:tcW w:w="2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Selling, general and other costs</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7,088</w:t>
            </w:r>
          </w:p>
        </w:tc>
        <w:tc>
          <w:tcPr>
            <w:tcW w:w="800" w:type="dxa"/>
            <w:vAlign w:val="bottom"/>
            <w:tcBorders>
              <w:bottom w:val="single" w:sz="8" w:color="8E939F"/>
            </w:tcBorders>
          </w:tcPr>
          <w:p>
            <w:pPr>
              <w:spacing w:after="0"/>
              <w:rPr>
                <w:sz w:val="21"/>
                <w:szCs w:val="21"/>
                <w:color w:val="auto"/>
              </w:rPr>
            </w:pPr>
          </w:p>
        </w:tc>
        <w:tc>
          <w:tcPr>
            <w:tcW w:w="52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w w:val="99"/>
              </w:rPr>
              <w:t>6,395</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9"/>
        </w:trPr>
        <w:tc>
          <w:tcPr>
            <w:tcW w:w="112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6.1%</w:t>
            </w:r>
          </w:p>
        </w:tc>
        <w:tc>
          <w:tcPr>
            <w:tcW w:w="700" w:type="dxa"/>
            <w:vAlign w:val="bottom"/>
          </w:tcPr>
          <w:p>
            <w:pPr>
              <w:spacing w:after="0"/>
              <w:rPr>
                <w:sz w:val="19"/>
                <w:szCs w:val="19"/>
                <w:color w:val="auto"/>
              </w:rPr>
            </w:pPr>
          </w:p>
        </w:tc>
        <w:tc>
          <w:tcPr>
            <w:tcW w:w="600" w:type="dxa"/>
            <w:vAlign w:val="bottom"/>
            <w:vMerge w:val="restart"/>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E6E7F4"/>
          </w:tcPr>
          <w:p>
            <w:pPr>
              <w:spacing w:after="0"/>
              <w:rPr>
                <w:sz w:val="19"/>
                <w:szCs w:val="19"/>
                <w:color w:val="auto"/>
              </w:rPr>
            </w:pPr>
          </w:p>
        </w:tc>
        <w:tc>
          <w:tcPr>
            <w:tcW w:w="1620" w:type="dxa"/>
            <w:vAlign w:val="bottom"/>
            <w:shd w:val="clear" w:color="auto" w:fill="E6E7F4"/>
          </w:tcPr>
          <w:p>
            <w:pPr>
              <w:spacing w:after="0"/>
              <w:rPr>
                <w:sz w:val="19"/>
                <w:szCs w:val="19"/>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Selling, general and other costs as %</w:t>
            </w:r>
          </w:p>
        </w:tc>
        <w:tc>
          <w:tcPr>
            <w:tcW w:w="114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5.9%</w:t>
            </w:r>
          </w:p>
        </w:tc>
        <w:tc>
          <w:tcPr>
            <w:tcW w:w="800" w:type="dxa"/>
            <w:vAlign w:val="bottom"/>
          </w:tcPr>
          <w:p>
            <w:pPr>
              <w:spacing w:after="0"/>
              <w:rPr>
                <w:sz w:val="19"/>
                <w:szCs w:val="1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rPr>
              <w:t>5.7%</w:t>
            </w: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120" w:type="dxa"/>
            <w:vAlign w:val="bottom"/>
            <w:vMerge w:val="continue"/>
            <w:shd w:val="clear" w:color="auto" w:fill="F3F3F9"/>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shd w:val="clear" w:color="auto" w:fill="E6E7F4"/>
          </w:tcPr>
          <w:p>
            <w:pPr>
              <w:spacing w:after="0"/>
              <w:rPr>
                <w:sz w:val="9"/>
                <w:szCs w:val="9"/>
                <w:color w:val="auto"/>
              </w:rPr>
            </w:pPr>
          </w:p>
        </w:tc>
        <w:tc>
          <w:tcPr>
            <w:tcW w:w="1620" w:type="dxa"/>
            <w:vAlign w:val="bottom"/>
            <w:shd w:val="clear" w:color="auto" w:fill="E6E7F4"/>
          </w:tcPr>
          <w:p>
            <w:pPr>
              <w:spacing w:after="0"/>
              <w:rPr>
                <w:sz w:val="9"/>
                <w:szCs w:val="9"/>
                <w:color w:val="auto"/>
              </w:rPr>
            </w:pPr>
          </w:p>
        </w:tc>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of Net revenues</w:t>
            </w:r>
          </w:p>
        </w:tc>
        <w:tc>
          <w:tcPr>
            <w:tcW w:w="1140" w:type="dxa"/>
            <w:vAlign w:val="bottom"/>
            <w:vMerge w:val="continue"/>
            <w:shd w:val="clear" w:color="auto" w:fill="F3F3F9"/>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720" w:type="dxa"/>
            <w:vAlign w:val="bottom"/>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120" w:type="dxa"/>
            <w:vAlign w:val="bottom"/>
            <w:tcBorders>
              <w:bottom w:val="single" w:sz="8" w:color="8E939F"/>
            </w:tcBorders>
            <w:shd w:val="clear" w:color="auto" w:fill="F3F3F9"/>
          </w:tcPr>
          <w:p>
            <w:pPr>
              <w:spacing w:after="0"/>
              <w:rPr>
                <w:sz w:val="10"/>
                <w:szCs w:val="10"/>
                <w:color w:val="auto"/>
              </w:rPr>
            </w:pPr>
          </w:p>
        </w:tc>
        <w:tc>
          <w:tcPr>
            <w:tcW w:w="700" w:type="dxa"/>
            <w:vAlign w:val="bottom"/>
            <w:tcBorders>
              <w:bottom w:val="single" w:sz="8" w:color="8E939F"/>
            </w:tcBorders>
          </w:tcPr>
          <w:p>
            <w:pPr>
              <w:spacing w:after="0"/>
              <w:rPr>
                <w:sz w:val="10"/>
                <w:szCs w:val="10"/>
                <w:color w:val="auto"/>
              </w:rPr>
            </w:pPr>
          </w:p>
        </w:tc>
        <w:tc>
          <w:tcPr>
            <w:tcW w:w="600" w:type="dxa"/>
            <w:vAlign w:val="bottom"/>
            <w:tcBorders>
              <w:bottom w:val="single" w:sz="8" w:color="8E939F"/>
            </w:tcBorders>
          </w:tcPr>
          <w:p>
            <w:pPr>
              <w:spacing w:after="0"/>
              <w:rPr>
                <w:sz w:val="10"/>
                <w:szCs w:val="10"/>
                <w:color w:val="auto"/>
              </w:rPr>
            </w:pPr>
          </w:p>
        </w:tc>
        <w:tc>
          <w:tcPr>
            <w:tcW w:w="100" w:type="dxa"/>
            <w:vAlign w:val="bottom"/>
            <w:tcBorders>
              <w:bottom w:val="single" w:sz="8" w:color="8E939F"/>
            </w:tcBorders>
            <w:shd w:val="clear" w:color="auto" w:fill="E6E7F4"/>
          </w:tcPr>
          <w:p>
            <w:pPr>
              <w:spacing w:after="0"/>
              <w:rPr>
                <w:sz w:val="10"/>
                <w:szCs w:val="10"/>
                <w:color w:val="auto"/>
              </w:rPr>
            </w:pPr>
          </w:p>
        </w:tc>
        <w:tc>
          <w:tcPr>
            <w:tcW w:w="1620" w:type="dxa"/>
            <w:vAlign w:val="bottom"/>
            <w:tcBorders>
              <w:bottom w:val="single" w:sz="8" w:color="8E939F"/>
            </w:tcBorders>
            <w:shd w:val="clear" w:color="auto" w:fill="E6E7F4"/>
          </w:tcPr>
          <w:p>
            <w:pPr>
              <w:spacing w:after="0"/>
              <w:rPr>
                <w:sz w:val="10"/>
                <w:szCs w:val="10"/>
                <w:color w:val="auto"/>
              </w:rPr>
            </w:pPr>
          </w:p>
        </w:tc>
        <w:tc>
          <w:tcPr>
            <w:tcW w:w="2920" w:type="dxa"/>
            <w:vAlign w:val="bottom"/>
            <w:tcBorders>
              <w:bottom w:val="single" w:sz="8" w:color="8E939F"/>
            </w:tcBorders>
            <w:vMerge w:val="continue"/>
          </w:tcPr>
          <w:p>
            <w:pPr>
              <w:spacing w:after="0"/>
              <w:rPr>
                <w:sz w:val="10"/>
                <w:szCs w:val="10"/>
                <w:color w:val="auto"/>
              </w:rPr>
            </w:pPr>
          </w:p>
        </w:tc>
        <w:tc>
          <w:tcPr>
            <w:tcW w:w="1140" w:type="dxa"/>
            <w:vAlign w:val="bottom"/>
            <w:tcBorders>
              <w:bottom w:val="single" w:sz="8" w:color="8E939F"/>
            </w:tcBorders>
            <w:shd w:val="clear" w:color="auto" w:fill="F3F3F9"/>
          </w:tcPr>
          <w:p>
            <w:pPr>
              <w:spacing w:after="0"/>
              <w:rPr>
                <w:sz w:val="10"/>
                <w:szCs w:val="10"/>
                <w:color w:val="auto"/>
              </w:rPr>
            </w:pPr>
          </w:p>
        </w:tc>
        <w:tc>
          <w:tcPr>
            <w:tcW w:w="800" w:type="dxa"/>
            <w:vAlign w:val="bottom"/>
            <w:tcBorders>
              <w:bottom w:val="single" w:sz="8" w:color="8E939F"/>
            </w:tcBorders>
          </w:tcPr>
          <w:p>
            <w:pPr>
              <w:spacing w:after="0"/>
              <w:rPr>
                <w:sz w:val="10"/>
                <w:szCs w:val="10"/>
                <w:color w:val="auto"/>
              </w:rPr>
            </w:pPr>
          </w:p>
        </w:tc>
        <w:tc>
          <w:tcPr>
            <w:tcW w:w="520" w:type="dxa"/>
            <w:vAlign w:val="bottom"/>
            <w:tcBorders>
              <w:bottom w:val="single" w:sz="8" w:color="8E939F"/>
            </w:tcBorders>
          </w:tcPr>
          <w:p>
            <w:pPr>
              <w:spacing w:after="0"/>
              <w:rPr>
                <w:sz w:val="10"/>
                <w:szCs w:val="10"/>
                <w:color w:val="auto"/>
              </w:rPr>
            </w:pPr>
          </w:p>
        </w:tc>
        <w:tc>
          <w:tcPr>
            <w:tcW w:w="1720" w:type="dxa"/>
            <w:vAlign w:val="bottom"/>
            <w:tcBorders>
              <w:bottom w:val="single" w:sz="8" w:color="8E939F"/>
            </w:tcBorders>
            <w:shd w:val="clear" w:color="auto" w:fill="E6E7F4"/>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spacing w:after="0" w:line="309" w:lineRule="auto"/>
        <w:rPr>
          <w:sz w:val="20"/>
          <w:szCs w:val="20"/>
          <w:color w:val="auto"/>
        </w:rPr>
      </w:pPr>
      <w:r>
        <w:rPr>
          <w:rFonts w:ascii="Arial" w:cs="Arial" w:eastAsia="Arial" w:hAnsi="Arial"/>
          <w:sz w:val="18"/>
          <w:szCs w:val="18"/>
          <w:color w:val="auto"/>
        </w:rPr>
        <w:t>Selling, general and other expenses increased for the three and nine months ended September 30, 2026 compared to the corresponding periods in 2025. The increase for the three-month period was primarily due to higher general and administrative expenses in Enlarged Europe. The increase for the nine-month period was primarily due to higher general and administrative expenses in North America and Enlarged Europe, as well as higher marketing expenses in Enlarged Europe.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increase also reflects the non-recurrence of benefits recorded in 2025, primarily:</w:t>
      </w:r>
    </w:p>
    <w:p>
      <w:pPr>
        <w:spacing w:after="0" w:line="266" w:lineRule="exact"/>
        <w:rPr>
          <w:sz w:val="20"/>
          <w:szCs w:val="20"/>
          <w:color w:val="auto"/>
        </w:rPr>
      </w:pPr>
    </w:p>
    <w:p>
      <w:pPr>
        <w:ind w:left="160" w:right="320" w:hanging="152"/>
        <w:spacing w:after="0" w:line="334" w:lineRule="auto"/>
        <w:tabs>
          <w:tab w:leader="none" w:pos="121" w:val="left"/>
        </w:tabs>
        <w:numPr>
          <w:ilvl w:val="0"/>
          <w:numId w:val="6"/>
        </w:numPr>
        <w:rPr>
          <w:rFonts w:ascii="Arial" w:cs="Arial" w:eastAsia="Arial" w:hAnsi="Arial"/>
          <w:sz w:val="18"/>
          <w:szCs w:val="18"/>
          <w:color w:val="143A84"/>
        </w:rPr>
      </w:pPr>
      <w:r>
        <w:rPr>
          <w:rFonts w:ascii="Arial" w:cs="Arial" w:eastAsia="Arial" w:hAnsi="Arial"/>
          <w:sz w:val="18"/>
          <w:szCs w:val="18"/>
          <w:color w:val="auto"/>
        </w:rPr>
        <w:t>the recognition of indirect tax credits in South America (€36 million and €311 million for the three and nine months ended September 30, 2025, respectively), and</w:t>
      </w:r>
    </w:p>
    <w:p>
      <w:pPr>
        <w:spacing w:after="0" w:line="152" w:lineRule="exact"/>
        <w:rPr>
          <w:rFonts w:ascii="Arial" w:cs="Arial" w:eastAsia="Arial" w:hAnsi="Arial"/>
          <w:sz w:val="18"/>
          <w:szCs w:val="18"/>
          <w:color w:val="143A84"/>
        </w:rPr>
      </w:pPr>
    </w:p>
    <w:p>
      <w:pPr>
        <w:ind w:left="160" w:right="120" w:hanging="152"/>
        <w:spacing w:after="0" w:line="350" w:lineRule="auto"/>
        <w:tabs>
          <w:tab w:leader="none" w:pos="121" w:val="left"/>
        </w:tabs>
        <w:numPr>
          <w:ilvl w:val="0"/>
          <w:numId w:val="6"/>
        </w:numPr>
        <w:rPr>
          <w:rFonts w:ascii="Arial" w:cs="Arial" w:eastAsia="Arial" w:hAnsi="Arial"/>
          <w:sz w:val="18"/>
          <w:szCs w:val="18"/>
          <w:color w:val="143A84"/>
        </w:rPr>
      </w:pPr>
      <w:r>
        <w:rPr>
          <w:rFonts w:ascii="Arial" w:cs="Arial" w:eastAsia="Arial" w:hAnsi="Arial"/>
          <w:sz w:val="18"/>
          <w:szCs w:val="18"/>
          <w:color w:val="auto"/>
        </w:rPr>
        <w:t>a gain on disposal from the sale of the Luton plant in the UK (nil and €66 million for the three and nine months ended September 30, 2025,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gridSpan w:val="6"/>
          </w:tcPr>
          <w:p>
            <w:pPr>
              <w:spacing w:after="0"/>
              <w:rPr>
                <w:sz w:val="20"/>
                <w:szCs w:val="20"/>
                <w:color w:val="auto"/>
              </w:rPr>
            </w:pPr>
            <w:r>
              <w:rPr>
                <w:rFonts w:ascii="Arial" w:cs="Arial" w:eastAsia="Arial" w:hAnsi="Arial"/>
                <w:sz w:val="16"/>
                <w:szCs w:val="16"/>
                <w:b w:val="1"/>
                <w:bCs w:val="1"/>
                <w:color w:val="143A84"/>
              </w:rPr>
              <w:t>Research and development costs</w:t>
            </w:r>
          </w:p>
        </w:tc>
        <w:tc>
          <w:tcPr>
            <w:tcW w:w="13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340" w:type="dxa"/>
            <w:vAlign w:val="bottom"/>
            <w:shd w:val="clear" w:color="auto" w:fill="E6E7F4"/>
          </w:tcPr>
          <w:p>
            <w:pPr>
              <w:spacing w:after="0"/>
              <w:rPr>
                <w:sz w:val="18"/>
                <w:szCs w:val="18"/>
                <w:color w:val="auto"/>
              </w:rPr>
            </w:pPr>
          </w:p>
        </w:tc>
        <w:tc>
          <w:tcPr>
            <w:tcW w:w="80" w:type="dxa"/>
            <w:vAlign w:val="bottom"/>
            <w:shd w:val="clear" w:color="auto" w:fill="E6E7F4"/>
          </w:tcPr>
          <w:p>
            <w:pPr>
              <w:spacing w:after="0"/>
              <w:rPr>
                <w:sz w:val="18"/>
                <w:szCs w:val="18"/>
                <w:color w:val="auto"/>
              </w:rPr>
            </w:pPr>
          </w:p>
        </w:tc>
        <w:tc>
          <w:tcPr>
            <w:tcW w:w="1360" w:type="dxa"/>
            <w:vAlign w:val="bottom"/>
            <w:shd w:val="clear" w:color="auto" w:fill="E6E7F4"/>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243782"/>
              </w:rPr>
              <w:t>Nine months ended</w:t>
            </w:r>
          </w:p>
        </w:tc>
        <w:tc>
          <w:tcPr>
            <w:tcW w:w="380" w:type="dxa"/>
            <w:vAlign w:val="bottom"/>
            <w:shd w:val="clear" w:color="auto" w:fill="E6E7F4"/>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11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80" w:type="dxa"/>
            <w:vAlign w:val="bottom"/>
            <w:tcBorders>
              <w:bottom w:val="single" w:sz="8" w:color="8E939F"/>
            </w:tcBorders>
            <w:gridSpan w:val="3"/>
          </w:tcPr>
          <w:p>
            <w:pPr>
              <w:jc w:val="center"/>
              <w:ind w:left="399"/>
              <w:spacing w:after="0"/>
              <w:rPr>
                <w:sz w:val="20"/>
                <w:szCs w:val="20"/>
                <w:color w:val="auto"/>
              </w:rPr>
            </w:pPr>
            <w:r>
              <w:rPr>
                <w:rFonts w:ascii="Arial" w:cs="Arial" w:eastAsia="Arial" w:hAnsi="Arial"/>
                <w:sz w:val="16"/>
                <w:szCs w:val="16"/>
                <w:b w:val="1"/>
                <w:bCs w:val="1"/>
                <w:color w:val="243782"/>
              </w:rPr>
              <w:t>September 30,</w:t>
            </w:r>
          </w:p>
        </w:tc>
        <w:tc>
          <w:tcPr>
            <w:tcW w:w="560" w:type="dxa"/>
            <w:vAlign w:val="bottom"/>
            <w:tcBorders>
              <w:bottom w:val="single" w:sz="8" w:color="8E939F"/>
            </w:tcBorders>
          </w:tcPr>
          <w:p>
            <w:pPr>
              <w:spacing w:after="0"/>
              <w:rPr>
                <w:sz w:val="20"/>
                <w:szCs w:val="20"/>
                <w:color w:val="auto"/>
              </w:rPr>
            </w:pPr>
          </w:p>
        </w:tc>
        <w:tc>
          <w:tcPr>
            <w:tcW w:w="1780" w:type="dxa"/>
            <w:vAlign w:val="bottom"/>
            <w:tcBorders>
              <w:bottom w:val="single" w:sz="8" w:color="8E939F"/>
            </w:tcBorders>
            <w:gridSpan w:val="3"/>
            <w:shd w:val="clear" w:color="auto" w:fill="E6E7F4"/>
          </w:tcPr>
          <w:p>
            <w:pPr>
              <w:jc w:val="right"/>
              <w:ind w:right="40"/>
              <w:spacing w:after="0"/>
              <w:rPr>
                <w:sz w:val="20"/>
                <w:szCs w:val="20"/>
                <w:color w:val="auto"/>
              </w:rPr>
            </w:pPr>
            <w:r>
              <w:rPr>
                <w:rFonts w:ascii="Arial" w:cs="Arial" w:eastAsia="Arial" w:hAnsi="Arial"/>
                <w:sz w:val="16"/>
                <w:szCs w:val="16"/>
                <w:b w:val="1"/>
                <w:bCs w:val="1"/>
                <w:color w:val="243782"/>
              </w:rPr>
              <w:t>Increase/(Decrease)</w:t>
            </w:r>
          </w:p>
        </w:tc>
        <w:tc>
          <w:tcPr>
            <w:tcW w:w="3140" w:type="dxa"/>
            <w:vAlign w:val="bottom"/>
          </w:tcPr>
          <w:p>
            <w:pPr>
              <w:spacing w:after="0"/>
              <w:rPr>
                <w:sz w:val="20"/>
                <w:szCs w:val="20"/>
                <w:color w:val="auto"/>
              </w:rPr>
            </w:pPr>
          </w:p>
        </w:tc>
        <w:tc>
          <w:tcPr>
            <w:tcW w:w="280" w:type="dxa"/>
            <w:vAlign w:val="bottom"/>
            <w:tcBorders>
              <w:bottom w:val="single" w:sz="8" w:color="8E939F"/>
            </w:tcBorders>
          </w:tcPr>
          <w:p>
            <w:pPr>
              <w:spacing w:after="0"/>
              <w:rPr>
                <w:sz w:val="20"/>
                <w:szCs w:val="20"/>
                <w:color w:val="auto"/>
              </w:rPr>
            </w:pPr>
          </w:p>
        </w:tc>
        <w:tc>
          <w:tcPr>
            <w:tcW w:w="2040" w:type="dxa"/>
            <w:vAlign w:val="bottom"/>
            <w:tcBorders>
              <w:bottom w:val="single" w:sz="8" w:color="8E939F"/>
            </w:tcBorders>
            <w:gridSpan w:val="3"/>
          </w:tcPr>
          <w:p>
            <w:pPr>
              <w:jc w:val="right"/>
              <w:ind w:right="579"/>
              <w:spacing w:after="0"/>
              <w:rPr>
                <w:sz w:val="20"/>
                <w:szCs w:val="20"/>
                <w:color w:val="auto"/>
              </w:rPr>
            </w:pPr>
            <w:r>
              <w:rPr>
                <w:rFonts w:ascii="Arial" w:cs="Arial" w:eastAsia="Arial" w:hAnsi="Arial"/>
                <w:sz w:val="16"/>
                <w:szCs w:val="16"/>
                <w:b w:val="1"/>
                <w:bCs w:val="1"/>
                <w:color w:val="243782"/>
              </w:rPr>
              <w:t>September 30,</w:t>
            </w:r>
          </w:p>
        </w:tc>
        <w:tc>
          <w:tcPr>
            <w:tcW w:w="1760" w:type="dxa"/>
            <w:vAlign w:val="bottom"/>
            <w:tcBorders>
              <w:bottom w:val="single" w:sz="8" w:color="8E939F"/>
            </w:tcBorders>
            <w:gridSpan w:val="3"/>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20" w:type="dxa"/>
            <w:vAlign w:val="bottom"/>
            <w:shd w:val="clear" w:color="auto" w:fill="F3F3F9"/>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shd w:val="clear" w:color="auto" w:fill="E6E7F4"/>
          </w:tcPr>
          <w:p>
            <w:pPr>
              <w:spacing w:after="0"/>
              <w:rPr>
                <w:sz w:val="18"/>
                <w:szCs w:val="18"/>
                <w:color w:val="auto"/>
              </w:rPr>
            </w:pPr>
          </w:p>
        </w:tc>
        <w:tc>
          <w:tcPr>
            <w:tcW w:w="80" w:type="dxa"/>
            <w:vAlign w:val="bottom"/>
            <w:shd w:val="clear" w:color="auto" w:fill="E6E7F4"/>
          </w:tcPr>
          <w:p>
            <w:pPr>
              <w:spacing w:after="0"/>
              <w:rPr>
                <w:sz w:val="18"/>
                <w:szCs w:val="18"/>
                <w:color w:val="auto"/>
              </w:rPr>
            </w:pPr>
          </w:p>
        </w:tc>
        <w:tc>
          <w:tcPr>
            <w:tcW w:w="1360" w:type="dxa"/>
            <w:vAlign w:val="bottom"/>
            <w:shd w:val="clear" w:color="auto" w:fill="E6E7F4"/>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280" w:type="dxa"/>
            <w:vAlign w:val="bottom"/>
            <w:shd w:val="clear" w:color="auto" w:fill="F3F3F9"/>
          </w:tcPr>
          <w:p>
            <w:pPr>
              <w:spacing w:after="0"/>
              <w:rPr>
                <w:sz w:val="18"/>
                <w:szCs w:val="18"/>
                <w:color w:val="auto"/>
              </w:rPr>
            </w:pPr>
          </w:p>
        </w:tc>
        <w:tc>
          <w:tcPr>
            <w:tcW w:w="780" w:type="dxa"/>
            <w:vAlign w:val="bottom"/>
            <w:shd w:val="clear" w:color="auto" w:fill="F3F3F9"/>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shd w:val="clear" w:color="auto" w:fill="E6E7F4"/>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11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80" w:type="dxa"/>
            <w:vAlign w:val="bottom"/>
            <w:tcBorders>
              <w:bottom w:val="single" w:sz="8" w:color="143A84"/>
            </w:tcBorders>
          </w:tcPr>
          <w:p>
            <w:pPr>
              <w:spacing w:after="0"/>
              <w:rPr>
                <w:sz w:val="20"/>
                <w:szCs w:val="20"/>
                <w:color w:val="auto"/>
              </w:rPr>
            </w:pPr>
          </w:p>
        </w:tc>
        <w:tc>
          <w:tcPr>
            <w:tcW w:w="48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340" w:type="dxa"/>
            <w:vAlign w:val="bottom"/>
            <w:tcBorders>
              <w:bottom w:val="single" w:sz="8" w:color="143A84"/>
            </w:tcBorders>
            <w:shd w:val="clear" w:color="auto" w:fill="E6E7F4"/>
          </w:tcPr>
          <w:p>
            <w:pPr>
              <w:spacing w:after="0"/>
              <w:rPr>
                <w:sz w:val="20"/>
                <w:szCs w:val="20"/>
                <w:color w:val="auto"/>
              </w:rPr>
            </w:pPr>
          </w:p>
        </w:tc>
        <w:tc>
          <w:tcPr>
            <w:tcW w:w="80" w:type="dxa"/>
            <w:vAlign w:val="bottom"/>
            <w:tcBorders>
              <w:bottom w:val="single" w:sz="8" w:color="143A84"/>
            </w:tcBorders>
            <w:shd w:val="clear" w:color="auto" w:fill="E6E7F4"/>
          </w:tcPr>
          <w:p>
            <w:pPr>
              <w:spacing w:after="0"/>
              <w:rPr>
                <w:sz w:val="20"/>
                <w:szCs w:val="20"/>
                <w:color w:val="auto"/>
              </w:rPr>
            </w:pPr>
          </w:p>
        </w:tc>
        <w:tc>
          <w:tcPr>
            <w:tcW w:w="1360" w:type="dxa"/>
            <w:vAlign w:val="bottom"/>
            <w:tcBorders>
              <w:bottom w:val="single" w:sz="8" w:color="143A84"/>
            </w:tcBorders>
            <w:shd w:val="clear" w:color="auto" w:fill="E6E7F4"/>
          </w:tcPr>
          <w:p>
            <w:pPr>
              <w:ind w:left="300"/>
              <w:spacing w:after="0"/>
              <w:rPr>
                <w:sz w:val="20"/>
                <w:szCs w:val="20"/>
                <w:color w:val="auto"/>
              </w:rPr>
            </w:pPr>
            <w:r>
              <w:rPr>
                <w:rFonts w:ascii="Arial" w:cs="Arial" w:eastAsia="Arial" w:hAnsi="Arial"/>
                <w:sz w:val="16"/>
                <w:szCs w:val="16"/>
                <w:b w:val="1"/>
                <w:bCs w:val="1"/>
                <w:color w:val="243782"/>
              </w:rPr>
              <w:t>2026 vs. 2025</w:t>
            </w:r>
          </w:p>
        </w:tc>
        <w:tc>
          <w:tcPr>
            <w:tcW w:w="3140" w:type="dxa"/>
            <w:vAlign w:val="bottom"/>
            <w:tcBorders>
              <w:bottom w:val="single" w:sz="8" w:color="143A84"/>
            </w:tcBorders>
          </w:tcPr>
          <w:p>
            <w:pPr>
              <w:spacing w:after="0"/>
              <w:rPr>
                <w:sz w:val="20"/>
                <w:szCs w:val="20"/>
                <w:color w:val="auto"/>
              </w:rPr>
            </w:pPr>
          </w:p>
        </w:tc>
        <w:tc>
          <w:tcPr>
            <w:tcW w:w="280" w:type="dxa"/>
            <w:vAlign w:val="bottom"/>
            <w:tcBorders>
              <w:bottom w:val="single" w:sz="8" w:color="143A84"/>
            </w:tcBorders>
            <w:shd w:val="clear" w:color="auto" w:fill="F3F3F9"/>
          </w:tcPr>
          <w:p>
            <w:pPr>
              <w:spacing w:after="0"/>
              <w:rPr>
                <w:sz w:val="20"/>
                <w:szCs w:val="20"/>
                <w:color w:val="auto"/>
              </w:rPr>
            </w:pPr>
          </w:p>
        </w:tc>
        <w:tc>
          <w:tcPr>
            <w:tcW w:w="7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420" w:type="dxa"/>
            <w:vAlign w:val="bottom"/>
            <w:tcBorders>
              <w:bottom w:val="single" w:sz="8" w:color="143A84"/>
            </w:tcBorders>
          </w:tcPr>
          <w:p>
            <w:pPr>
              <w:spacing w:after="0"/>
              <w:rPr>
                <w:sz w:val="20"/>
                <w:szCs w:val="20"/>
                <w:color w:val="auto"/>
              </w:rPr>
            </w:pPr>
          </w:p>
        </w:tc>
        <w:tc>
          <w:tcPr>
            <w:tcW w:w="84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380" w:type="dxa"/>
            <w:vAlign w:val="bottom"/>
            <w:tcBorders>
              <w:bottom w:val="single" w:sz="8" w:color="143A84"/>
            </w:tcBorders>
            <w:shd w:val="clear" w:color="auto" w:fill="E6E7F4"/>
          </w:tcPr>
          <w:p>
            <w:pPr>
              <w:spacing w:after="0"/>
              <w:rPr>
                <w:sz w:val="20"/>
                <w:szCs w:val="20"/>
                <w:color w:val="auto"/>
              </w:rPr>
            </w:pPr>
          </w:p>
        </w:tc>
        <w:tc>
          <w:tcPr>
            <w:tcW w:w="260" w:type="dxa"/>
            <w:vAlign w:val="bottom"/>
            <w:tcBorders>
              <w:bottom w:val="single" w:sz="8" w:color="143A84"/>
            </w:tcBorders>
            <w:shd w:val="clear" w:color="auto" w:fill="E6E7F4"/>
          </w:tcPr>
          <w:p>
            <w:pPr>
              <w:spacing w:after="0"/>
              <w:rPr>
                <w:sz w:val="20"/>
                <w:szCs w:val="20"/>
                <w:color w:val="auto"/>
              </w:rPr>
            </w:pPr>
          </w:p>
        </w:tc>
        <w:tc>
          <w:tcPr>
            <w:tcW w:w="11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13"/>
        </w:trPr>
        <w:tc>
          <w:tcPr>
            <w:tcW w:w="1020" w:type="dxa"/>
            <w:vAlign w:val="bottom"/>
            <w:shd w:val="clear" w:color="auto" w:fill="F3F3F9"/>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shd w:val="clear" w:color="auto" w:fill="E6E7F4"/>
          </w:tcPr>
          <w:p>
            <w:pPr>
              <w:spacing w:after="0"/>
              <w:rPr>
                <w:sz w:val="18"/>
                <w:szCs w:val="18"/>
                <w:color w:val="auto"/>
              </w:rPr>
            </w:pPr>
          </w:p>
        </w:tc>
        <w:tc>
          <w:tcPr>
            <w:tcW w:w="80" w:type="dxa"/>
            <w:vAlign w:val="bottom"/>
            <w:shd w:val="clear" w:color="auto" w:fill="E6E7F4"/>
          </w:tcPr>
          <w:p>
            <w:pPr>
              <w:spacing w:after="0"/>
              <w:rPr>
                <w:sz w:val="18"/>
                <w:szCs w:val="18"/>
                <w:color w:val="auto"/>
              </w:rPr>
            </w:pPr>
          </w:p>
        </w:tc>
        <w:tc>
          <w:tcPr>
            <w:tcW w:w="1360" w:type="dxa"/>
            <w:vAlign w:val="bottom"/>
            <w:shd w:val="clear" w:color="auto" w:fill="E6E7F4"/>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F3F3F9"/>
          </w:tcPr>
          <w:p>
            <w:pPr>
              <w:spacing w:after="0"/>
              <w:rPr>
                <w:sz w:val="18"/>
                <w:szCs w:val="18"/>
                <w:color w:val="auto"/>
              </w:rPr>
            </w:pPr>
          </w:p>
        </w:tc>
        <w:tc>
          <w:tcPr>
            <w:tcW w:w="780" w:type="dxa"/>
            <w:vAlign w:val="bottom"/>
            <w:shd w:val="clear" w:color="auto" w:fill="F3F3F9"/>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shd w:val="clear" w:color="auto" w:fill="E6E7F4"/>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11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color w:val="auto"/>
              </w:rPr>
              <w:t>822</w:t>
            </w:r>
          </w:p>
        </w:tc>
        <w:tc>
          <w:tcPr>
            <w:tcW w:w="180" w:type="dxa"/>
            <w:vAlign w:val="bottom"/>
            <w:tcBorders>
              <w:bottom w:val="single" w:sz="8" w:color="143A84"/>
            </w:tcBorders>
          </w:tcPr>
          <w:p>
            <w:pPr>
              <w:spacing w:after="0"/>
              <w:rPr>
                <w:sz w:val="20"/>
                <w:szCs w:val="20"/>
                <w:color w:val="auto"/>
              </w:rPr>
            </w:pPr>
          </w:p>
        </w:tc>
        <w:tc>
          <w:tcPr>
            <w:tcW w:w="48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79"/>
              <w:spacing w:after="0"/>
              <w:rPr>
                <w:sz w:val="20"/>
                <w:szCs w:val="20"/>
                <w:color w:val="auto"/>
              </w:rPr>
            </w:pPr>
            <w:r>
              <w:rPr>
                <w:rFonts w:ascii="Arial" w:cs="Arial" w:eastAsia="Arial" w:hAnsi="Arial"/>
                <w:sz w:val="16"/>
                <w:szCs w:val="16"/>
                <w:color w:val="auto"/>
              </w:rPr>
              <w:t>590</w:t>
            </w:r>
          </w:p>
        </w:tc>
        <w:tc>
          <w:tcPr>
            <w:tcW w:w="340" w:type="dxa"/>
            <w:vAlign w:val="bottom"/>
            <w:tcBorders>
              <w:bottom w:val="single" w:sz="8" w:color="143A84"/>
            </w:tcBorders>
            <w:shd w:val="clear" w:color="auto" w:fill="E6E7F4"/>
          </w:tcPr>
          <w:p>
            <w:pPr>
              <w:spacing w:after="0"/>
              <w:rPr>
                <w:sz w:val="20"/>
                <w:szCs w:val="20"/>
                <w:color w:val="auto"/>
              </w:rPr>
            </w:pPr>
          </w:p>
        </w:tc>
        <w:tc>
          <w:tcPr>
            <w:tcW w:w="80" w:type="dxa"/>
            <w:vAlign w:val="bottom"/>
            <w:tcBorders>
              <w:bottom w:val="single" w:sz="8" w:color="143A84"/>
            </w:tcBorders>
            <w:shd w:val="clear" w:color="auto" w:fill="E6E7F4"/>
          </w:tcPr>
          <w:p>
            <w:pPr>
              <w:spacing w:after="0"/>
              <w:rPr>
                <w:sz w:val="20"/>
                <w:szCs w:val="20"/>
                <w:color w:val="auto"/>
              </w:rPr>
            </w:pPr>
          </w:p>
        </w:tc>
        <w:tc>
          <w:tcPr>
            <w:tcW w:w="13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color w:val="auto"/>
              </w:rPr>
              <w:t>39.3%</w:t>
            </w:r>
          </w:p>
        </w:tc>
        <w:tc>
          <w:tcPr>
            <w:tcW w:w="3140" w:type="dxa"/>
            <w:vAlign w:val="bottom"/>
            <w:tcBorders>
              <w:bottom w:val="single" w:sz="8" w:color="143A84"/>
            </w:tcBorders>
          </w:tcPr>
          <w:p>
            <w:pPr>
              <w:ind w:left="120"/>
              <w:spacing w:after="0"/>
              <w:rPr>
                <w:sz w:val="20"/>
                <w:szCs w:val="20"/>
                <w:color w:val="auto"/>
              </w:rPr>
            </w:pPr>
            <w:r>
              <w:rPr>
                <w:rFonts w:ascii="Arial" w:cs="Arial" w:eastAsia="Arial" w:hAnsi="Arial"/>
                <w:sz w:val="16"/>
                <w:szCs w:val="16"/>
                <w:color w:val="auto"/>
              </w:rPr>
              <w:t>expenditures expensed</w:t>
            </w:r>
          </w:p>
        </w:tc>
        <w:tc>
          <w:tcPr>
            <w:tcW w:w="280" w:type="dxa"/>
            <w:vAlign w:val="bottom"/>
            <w:tcBorders>
              <w:bottom w:val="single" w:sz="8" w:color="143A84"/>
            </w:tcBorders>
            <w:shd w:val="clear" w:color="auto" w:fill="F3F3F9"/>
          </w:tcPr>
          <w:p>
            <w:pPr>
              <w:spacing w:after="0"/>
              <w:rPr>
                <w:sz w:val="20"/>
                <w:szCs w:val="20"/>
                <w:color w:val="auto"/>
              </w:rPr>
            </w:pPr>
          </w:p>
        </w:tc>
        <w:tc>
          <w:tcPr>
            <w:tcW w:w="7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color w:val="auto"/>
              </w:rPr>
              <w:t>2,491</w:t>
            </w:r>
          </w:p>
        </w:tc>
        <w:tc>
          <w:tcPr>
            <w:tcW w:w="420" w:type="dxa"/>
            <w:vAlign w:val="bottom"/>
            <w:tcBorders>
              <w:bottom w:val="single" w:sz="8" w:color="143A84"/>
            </w:tcBorders>
          </w:tcPr>
          <w:p>
            <w:pPr>
              <w:spacing w:after="0"/>
              <w:rPr>
                <w:sz w:val="20"/>
                <w:szCs w:val="20"/>
                <w:color w:val="auto"/>
              </w:rPr>
            </w:pPr>
          </w:p>
        </w:tc>
        <w:tc>
          <w:tcPr>
            <w:tcW w:w="840" w:type="dxa"/>
            <w:vAlign w:val="bottom"/>
            <w:tcBorders>
              <w:bottom w:val="single" w:sz="8" w:color="143A84"/>
            </w:tcBorders>
          </w:tcPr>
          <w:p>
            <w:pPr>
              <w:jc w:val="right"/>
              <w:ind w:right="99"/>
              <w:spacing w:after="0"/>
              <w:rPr>
                <w:sz w:val="20"/>
                <w:szCs w:val="20"/>
                <w:color w:val="auto"/>
              </w:rPr>
            </w:pPr>
            <w:r>
              <w:rPr>
                <w:rFonts w:ascii="Arial" w:cs="Arial" w:eastAsia="Arial" w:hAnsi="Arial"/>
                <w:sz w:val="16"/>
                <w:szCs w:val="16"/>
                <w:color w:val="auto"/>
              </w:rPr>
              <w:t>2,001</w:t>
            </w:r>
          </w:p>
        </w:tc>
        <w:tc>
          <w:tcPr>
            <w:tcW w:w="380" w:type="dxa"/>
            <w:vAlign w:val="bottom"/>
            <w:tcBorders>
              <w:bottom w:val="single" w:sz="8" w:color="143A84"/>
            </w:tcBorders>
            <w:shd w:val="clear" w:color="auto" w:fill="E6E7F4"/>
          </w:tcPr>
          <w:p>
            <w:pPr>
              <w:spacing w:after="0"/>
              <w:rPr>
                <w:sz w:val="20"/>
                <w:szCs w:val="20"/>
                <w:color w:val="auto"/>
              </w:rPr>
            </w:pPr>
          </w:p>
        </w:tc>
        <w:tc>
          <w:tcPr>
            <w:tcW w:w="260" w:type="dxa"/>
            <w:vAlign w:val="bottom"/>
            <w:tcBorders>
              <w:bottom w:val="single" w:sz="8" w:color="143A84"/>
            </w:tcBorders>
            <w:shd w:val="clear" w:color="auto" w:fill="E6E7F4"/>
          </w:tcPr>
          <w:p>
            <w:pPr>
              <w:spacing w:after="0"/>
              <w:rPr>
                <w:sz w:val="20"/>
                <w:szCs w:val="20"/>
                <w:color w:val="auto"/>
              </w:rPr>
            </w:pPr>
          </w:p>
        </w:tc>
        <w:tc>
          <w:tcPr>
            <w:tcW w:w="11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5"/>
        </w:trPr>
        <w:tc>
          <w:tcPr>
            <w:tcW w:w="1020" w:type="dxa"/>
            <w:vAlign w:val="bottom"/>
            <w:shd w:val="clear" w:color="auto" w:fill="F3F3F9"/>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Amortization of capitalized development</w:t>
            </w:r>
          </w:p>
        </w:tc>
        <w:tc>
          <w:tcPr>
            <w:tcW w:w="280" w:type="dxa"/>
            <w:vAlign w:val="bottom"/>
            <w:shd w:val="clear" w:color="auto" w:fill="F3F3F9"/>
          </w:tcPr>
          <w:p>
            <w:pPr>
              <w:spacing w:after="0"/>
              <w:rPr>
                <w:sz w:val="18"/>
                <w:szCs w:val="18"/>
                <w:color w:val="auto"/>
              </w:rPr>
            </w:pPr>
          </w:p>
        </w:tc>
        <w:tc>
          <w:tcPr>
            <w:tcW w:w="780" w:type="dxa"/>
            <w:vAlign w:val="bottom"/>
            <w:shd w:val="clear" w:color="auto" w:fill="F3F3F9"/>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467</w:t>
            </w:r>
          </w:p>
        </w:tc>
        <w:tc>
          <w:tcPr>
            <w:tcW w:w="180" w:type="dxa"/>
            <w:vAlign w:val="bottom"/>
            <w:tcBorders>
              <w:bottom w:val="single" w:sz="8" w:color="8E939F"/>
            </w:tcBorders>
          </w:tcPr>
          <w:p>
            <w:pPr>
              <w:spacing w:after="0"/>
              <w:rPr>
                <w:sz w:val="20"/>
                <w:szCs w:val="20"/>
                <w:color w:val="auto"/>
              </w:rPr>
            </w:pPr>
          </w:p>
        </w:tc>
        <w:tc>
          <w:tcPr>
            <w:tcW w:w="480" w:type="dxa"/>
            <w:vAlign w:val="bottom"/>
            <w:tcBorders>
              <w:bottom w:val="single" w:sz="8" w:color="8E939F"/>
            </w:tcBorders>
          </w:tcPr>
          <w:p>
            <w:pPr>
              <w:spacing w:after="0"/>
              <w:rPr>
                <w:sz w:val="20"/>
                <w:szCs w:val="20"/>
                <w:color w:val="auto"/>
              </w:rPr>
            </w:pPr>
          </w:p>
        </w:tc>
        <w:tc>
          <w:tcPr>
            <w:tcW w:w="56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521</w:t>
            </w:r>
          </w:p>
        </w:tc>
        <w:tc>
          <w:tcPr>
            <w:tcW w:w="340" w:type="dxa"/>
            <w:vAlign w:val="bottom"/>
            <w:tcBorders>
              <w:bottom w:val="single" w:sz="8" w:color="8E939F"/>
            </w:tcBorders>
          </w:tcPr>
          <w:p>
            <w:pPr>
              <w:spacing w:after="0"/>
              <w:rPr>
                <w:sz w:val="20"/>
                <w:szCs w:val="20"/>
                <w:color w:val="auto"/>
              </w:rPr>
            </w:pPr>
          </w:p>
        </w:tc>
        <w:tc>
          <w:tcPr>
            <w:tcW w:w="80" w:type="dxa"/>
            <w:vAlign w:val="bottom"/>
            <w:tcBorders>
              <w:bottom w:val="single" w:sz="8" w:color="8E939F"/>
            </w:tcBorders>
          </w:tcPr>
          <w:p>
            <w:pPr>
              <w:spacing w:after="0"/>
              <w:rPr>
                <w:sz w:val="20"/>
                <w:szCs w:val="20"/>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(10.4%)</w:t>
            </w:r>
          </w:p>
        </w:tc>
        <w:tc>
          <w:tcPr>
            <w:tcW w:w="31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expenditures</w:t>
            </w:r>
          </w:p>
        </w:tc>
        <w:tc>
          <w:tcPr>
            <w:tcW w:w="280" w:type="dxa"/>
            <w:vAlign w:val="bottom"/>
            <w:tcBorders>
              <w:bottom w:val="single" w:sz="8" w:color="8E939F"/>
            </w:tcBorders>
            <w:shd w:val="clear" w:color="auto" w:fill="F3F3F9"/>
          </w:tcPr>
          <w:p>
            <w:pPr>
              <w:spacing w:after="0"/>
              <w:rPr>
                <w:sz w:val="20"/>
                <w:szCs w:val="20"/>
                <w:color w:val="auto"/>
              </w:rPr>
            </w:pPr>
          </w:p>
        </w:tc>
        <w:tc>
          <w:tcPr>
            <w:tcW w:w="7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1,390</w:t>
            </w:r>
          </w:p>
        </w:tc>
        <w:tc>
          <w:tcPr>
            <w:tcW w:w="420" w:type="dxa"/>
            <w:vAlign w:val="bottom"/>
            <w:tcBorders>
              <w:bottom w:val="single" w:sz="8" w:color="8E939F"/>
            </w:tcBorders>
          </w:tcPr>
          <w:p>
            <w:pPr>
              <w:spacing w:after="0"/>
              <w:rPr>
                <w:sz w:val="20"/>
                <w:szCs w:val="20"/>
                <w:color w:val="auto"/>
              </w:rPr>
            </w:pPr>
          </w:p>
        </w:tc>
        <w:tc>
          <w:tcPr>
            <w:tcW w:w="8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1,609</w:t>
            </w:r>
          </w:p>
        </w:tc>
        <w:tc>
          <w:tcPr>
            <w:tcW w:w="380" w:type="dxa"/>
            <w:vAlign w:val="bottom"/>
            <w:tcBorders>
              <w:bottom w:val="single" w:sz="8" w:color="8E939F"/>
            </w:tcBorders>
          </w:tcPr>
          <w:p>
            <w:pPr>
              <w:spacing w:after="0"/>
              <w:rPr>
                <w:sz w:val="20"/>
                <w:szCs w:val="20"/>
                <w:color w:val="auto"/>
              </w:rPr>
            </w:pPr>
          </w:p>
        </w:tc>
        <w:tc>
          <w:tcPr>
            <w:tcW w:w="260" w:type="dxa"/>
            <w:vAlign w:val="bottom"/>
            <w:tcBorders>
              <w:bottom w:val="single" w:sz="8" w:color="8E939F"/>
            </w:tcBorders>
          </w:tcPr>
          <w:p>
            <w:pPr>
              <w:spacing w:after="0"/>
              <w:rPr>
                <w:sz w:val="20"/>
                <w:szCs w:val="20"/>
                <w:color w:val="auto"/>
              </w:rPr>
            </w:pPr>
          </w:p>
        </w:tc>
        <w:tc>
          <w:tcPr>
            <w:tcW w:w="11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1020" w:type="dxa"/>
            <w:vAlign w:val="bottom"/>
            <w:shd w:val="clear" w:color="auto" w:fill="F3F3F9"/>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6"/>
                <w:szCs w:val="16"/>
                <w:color w:val="auto"/>
              </w:rPr>
              <w:t>Impairment and write-off of capitalized</w:t>
            </w:r>
          </w:p>
        </w:tc>
        <w:tc>
          <w:tcPr>
            <w:tcW w:w="280" w:type="dxa"/>
            <w:vAlign w:val="bottom"/>
            <w:shd w:val="clear" w:color="auto" w:fill="F3F3F9"/>
          </w:tcPr>
          <w:p>
            <w:pPr>
              <w:spacing w:after="0"/>
              <w:rPr>
                <w:sz w:val="18"/>
                <w:szCs w:val="18"/>
                <w:color w:val="auto"/>
              </w:rPr>
            </w:pPr>
          </w:p>
        </w:tc>
        <w:tc>
          <w:tcPr>
            <w:tcW w:w="780" w:type="dxa"/>
            <w:vAlign w:val="bottom"/>
            <w:shd w:val="clear" w:color="auto" w:fill="F3F3F9"/>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8E939F"/>
            </w:tcBorders>
          </w:tcPr>
          <w:p>
            <w:pPr>
              <w:spacing w:after="0"/>
              <w:rPr>
                <w:sz w:val="20"/>
                <w:szCs w:val="20"/>
                <w:color w:val="auto"/>
              </w:rPr>
            </w:pPr>
          </w:p>
        </w:tc>
        <w:tc>
          <w:tcPr>
            <w:tcW w:w="480" w:type="dxa"/>
            <w:vAlign w:val="bottom"/>
            <w:tcBorders>
              <w:bottom w:val="single" w:sz="8" w:color="8E939F"/>
            </w:tcBorders>
          </w:tcPr>
          <w:p>
            <w:pPr>
              <w:spacing w:after="0"/>
              <w:rPr>
                <w:sz w:val="20"/>
                <w:szCs w:val="20"/>
                <w:color w:val="auto"/>
              </w:rPr>
            </w:pPr>
          </w:p>
        </w:tc>
        <w:tc>
          <w:tcPr>
            <w:tcW w:w="56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831</w:t>
            </w:r>
          </w:p>
        </w:tc>
        <w:tc>
          <w:tcPr>
            <w:tcW w:w="340" w:type="dxa"/>
            <w:vAlign w:val="bottom"/>
            <w:tcBorders>
              <w:bottom w:val="single" w:sz="8" w:color="8E939F"/>
            </w:tcBorders>
          </w:tcPr>
          <w:p>
            <w:pPr>
              <w:spacing w:after="0"/>
              <w:rPr>
                <w:sz w:val="20"/>
                <w:szCs w:val="20"/>
                <w:color w:val="auto"/>
              </w:rPr>
            </w:pPr>
          </w:p>
        </w:tc>
        <w:tc>
          <w:tcPr>
            <w:tcW w:w="80" w:type="dxa"/>
            <w:vAlign w:val="bottom"/>
            <w:tcBorders>
              <w:bottom w:val="single" w:sz="8" w:color="8E939F"/>
            </w:tcBorders>
          </w:tcPr>
          <w:p>
            <w:pPr>
              <w:spacing w:after="0"/>
              <w:rPr>
                <w:sz w:val="20"/>
                <w:szCs w:val="20"/>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(95.5%)</w:t>
            </w:r>
          </w:p>
        </w:tc>
        <w:tc>
          <w:tcPr>
            <w:tcW w:w="31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development expenditures</w:t>
            </w:r>
          </w:p>
        </w:tc>
        <w:tc>
          <w:tcPr>
            <w:tcW w:w="280" w:type="dxa"/>
            <w:vAlign w:val="bottom"/>
            <w:tcBorders>
              <w:bottom w:val="single" w:sz="8" w:color="8E939F"/>
            </w:tcBorders>
            <w:shd w:val="clear" w:color="auto" w:fill="F3F3F9"/>
          </w:tcPr>
          <w:p>
            <w:pPr>
              <w:spacing w:after="0"/>
              <w:rPr>
                <w:sz w:val="20"/>
                <w:szCs w:val="20"/>
                <w:color w:val="auto"/>
              </w:rPr>
            </w:pPr>
          </w:p>
        </w:tc>
        <w:tc>
          <w:tcPr>
            <w:tcW w:w="7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193</w:t>
            </w:r>
          </w:p>
        </w:tc>
        <w:tc>
          <w:tcPr>
            <w:tcW w:w="420" w:type="dxa"/>
            <w:vAlign w:val="bottom"/>
            <w:tcBorders>
              <w:bottom w:val="single" w:sz="8" w:color="8E939F"/>
            </w:tcBorders>
          </w:tcPr>
          <w:p>
            <w:pPr>
              <w:spacing w:after="0"/>
              <w:rPr>
                <w:sz w:val="20"/>
                <w:szCs w:val="20"/>
                <w:color w:val="auto"/>
              </w:rPr>
            </w:pPr>
          </w:p>
        </w:tc>
        <w:tc>
          <w:tcPr>
            <w:tcW w:w="8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1,703</w:t>
            </w:r>
          </w:p>
        </w:tc>
        <w:tc>
          <w:tcPr>
            <w:tcW w:w="380" w:type="dxa"/>
            <w:vAlign w:val="bottom"/>
            <w:tcBorders>
              <w:bottom w:val="single" w:sz="8" w:color="8E939F"/>
            </w:tcBorders>
          </w:tcPr>
          <w:p>
            <w:pPr>
              <w:spacing w:after="0"/>
              <w:rPr>
                <w:sz w:val="20"/>
                <w:szCs w:val="20"/>
                <w:color w:val="auto"/>
              </w:rPr>
            </w:pPr>
          </w:p>
        </w:tc>
        <w:tc>
          <w:tcPr>
            <w:tcW w:w="260" w:type="dxa"/>
            <w:vAlign w:val="bottom"/>
            <w:tcBorders>
              <w:bottom w:val="single" w:sz="8" w:color="8E939F"/>
            </w:tcBorders>
          </w:tcPr>
          <w:p>
            <w:pPr>
              <w:spacing w:after="0"/>
              <w:rPr>
                <w:sz w:val="20"/>
                <w:szCs w:val="20"/>
                <w:color w:val="auto"/>
              </w:rPr>
            </w:pPr>
          </w:p>
        </w:tc>
        <w:tc>
          <w:tcPr>
            <w:tcW w:w="11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5"/>
        </w:trPr>
        <w:tc>
          <w:tcPr>
            <w:tcW w:w="102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1,326</w:t>
            </w:r>
          </w:p>
        </w:tc>
        <w:tc>
          <w:tcPr>
            <w:tcW w:w="180" w:type="dxa"/>
            <w:vAlign w:val="bottom"/>
            <w:shd w:val="clear" w:color="auto" w:fill="E6E7F4"/>
          </w:tcPr>
          <w:p>
            <w:pPr>
              <w:spacing w:after="0"/>
              <w:rPr>
                <w:sz w:val="18"/>
                <w:szCs w:val="18"/>
                <w:color w:val="auto"/>
              </w:rPr>
            </w:pPr>
          </w:p>
        </w:tc>
        <w:tc>
          <w:tcPr>
            <w:tcW w:w="480" w:type="dxa"/>
            <w:vAlign w:val="bottom"/>
            <w:shd w:val="clear" w:color="auto" w:fill="E6E7F4"/>
          </w:tcPr>
          <w:p>
            <w:pPr>
              <w:spacing w:after="0"/>
              <w:rPr>
                <w:sz w:val="18"/>
                <w:szCs w:val="18"/>
                <w:color w:val="auto"/>
              </w:rPr>
            </w:pPr>
          </w:p>
        </w:tc>
        <w:tc>
          <w:tcPr>
            <w:tcW w:w="560" w:type="dxa"/>
            <w:vAlign w:val="bottom"/>
            <w:vMerge w:val="restart"/>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1,942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243782"/>
              </w:rPr>
              <w:t>(31.7%)</w:t>
            </w:r>
          </w:p>
        </w:tc>
        <w:tc>
          <w:tcPr>
            <w:tcW w:w="3420" w:type="dxa"/>
            <w:vAlign w:val="bottom"/>
            <w:gridSpan w:val="2"/>
            <w:shd w:val="clear" w:color="auto" w:fill="E6E7F4"/>
          </w:tcPr>
          <w:p>
            <w:pPr>
              <w:ind w:left="120"/>
              <w:spacing w:after="0"/>
              <w:rPr>
                <w:sz w:val="20"/>
                <w:szCs w:val="20"/>
                <w:color w:val="auto"/>
              </w:rPr>
            </w:pPr>
            <w:r>
              <w:rPr>
                <w:rFonts w:ascii="Arial" w:cs="Arial" w:eastAsia="Arial" w:hAnsi="Arial"/>
                <w:sz w:val="16"/>
                <w:szCs w:val="16"/>
                <w:b w:val="1"/>
                <w:bCs w:val="1"/>
                <w:color w:val="243782"/>
              </w:rPr>
              <w:t>Total Research and development</w:t>
            </w:r>
          </w:p>
        </w:tc>
        <w:tc>
          <w:tcPr>
            <w:tcW w:w="78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4,074</w:t>
            </w:r>
          </w:p>
        </w:tc>
        <w:tc>
          <w:tcPr>
            <w:tcW w:w="420" w:type="dxa"/>
            <w:vAlign w:val="bottom"/>
            <w:shd w:val="clear" w:color="auto" w:fill="E6E7F4"/>
          </w:tcPr>
          <w:p>
            <w:pPr>
              <w:spacing w:after="0"/>
              <w:rPr>
                <w:sz w:val="18"/>
                <w:szCs w:val="18"/>
                <w:color w:val="auto"/>
              </w:rPr>
            </w:pPr>
          </w:p>
        </w:tc>
        <w:tc>
          <w:tcPr>
            <w:tcW w:w="840" w:type="dxa"/>
            <w:vAlign w:val="bottom"/>
            <w:vMerge w:val="restart"/>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5,313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243782"/>
              </w:rPr>
              <w:t>(23.3%)</w:t>
            </w:r>
          </w:p>
        </w:tc>
        <w:tc>
          <w:tcPr>
            <w:tcW w:w="0" w:type="dxa"/>
            <w:vAlign w:val="bottom"/>
          </w:tcPr>
          <w:p>
            <w:pPr>
              <w:spacing w:after="0"/>
              <w:rPr>
                <w:sz w:val="1"/>
                <w:szCs w:val="1"/>
                <w:color w:val="auto"/>
              </w:rPr>
            </w:pPr>
          </w:p>
        </w:tc>
      </w:tr>
      <w:tr>
        <w:trPr>
          <w:trHeight w:val="244"/>
        </w:trPr>
        <w:tc>
          <w:tcPr>
            <w:tcW w:w="1020" w:type="dxa"/>
            <w:vAlign w:val="bottom"/>
            <w:tcBorders>
              <w:bottom w:val="single" w:sz="8" w:color="E6E7F4"/>
            </w:tcBorders>
            <w:vMerge w:val="continue"/>
            <w:shd w:val="clear" w:color="auto" w:fill="E6E7F4"/>
          </w:tcPr>
          <w:p>
            <w:pPr>
              <w:spacing w:after="0"/>
              <w:rPr>
                <w:sz w:val="21"/>
                <w:szCs w:val="21"/>
                <w:color w:val="auto"/>
              </w:rPr>
            </w:pPr>
          </w:p>
        </w:tc>
        <w:tc>
          <w:tcPr>
            <w:tcW w:w="180" w:type="dxa"/>
            <w:vAlign w:val="bottom"/>
            <w:tcBorders>
              <w:bottom w:val="single" w:sz="8" w:color="E6E7F4"/>
            </w:tcBorders>
            <w:shd w:val="clear" w:color="auto" w:fill="E6E7F4"/>
          </w:tcPr>
          <w:p>
            <w:pPr>
              <w:spacing w:after="0"/>
              <w:rPr>
                <w:sz w:val="21"/>
                <w:szCs w:val="21"/>
                <w:color w:val="auto"/>
              </w:rPr>
            </w:pPr>
          </w:p>
        </w:tc>
        <w:tc>
          <w:tcPr>
            <w:tcW w:w="480" w:type="dxa"/>
            <w:vAlign w:val="bottom"/>
            <w:tcBorders>
              <w:bottom w:val="single" w:sz="8" w:color="E6E7F4"/>
            </w:tcBorders>
            <w:shd w:val="clear" w:color="auto" w:fill="E6E7F4"/>
          </w:tcPr>
          <w:p>
            <w:pPr>
              <w:spacing w:after="0"/>
              <w:rPr>
                <w:sz w:val="21"/>
                <w:szCs w:val="21"/>
                <w:color w:val="auto"/>
              </w:rPr>
            </w:pPr>
          </w:p>
        </w:tc>
        <w:tc>
          <w:tcPr>
            <w:tcW w:w="560" w:type="dxa"/>
            <w:vAlign w:val="bottom"/>
            <w:tcBorders>
              <w:bottom w:val="single" w:sz="8" w:color="E6E7F4"/>
            </w:tcBorders>
            <w:vMerge w:val="continue"/>
            <w:shd w:val="clear" w:color="auto" w:fill="E6E7F4"/>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3420" w:type="dxa"/>
            <w:vAlign w:val="bottom"/>
            <w:tcBorders>
              <w:bottom w:val="single" w:sz="8" w:color="E6E7F4"/>
            </w:tcBorders>
            <w:gridSpan w:val="2"/>
            <w:shd w:val="clear" w:color="auto" w:fill="E6E7F4"/>
          </w:tcPr>
          <w:p>
            <w:pPr>
              <w:ind w:left="120"/>
              <w:spacing w:after="0"/>
              <w:rPr>
                <w:sz w:val="20"/>
                <w:szCs w:val="20"/>
                <w:color w:val="auto"/>
              </w:rPr>
            </w:pPr>
            <w:r>
              <w:rPr>
                <w:rFonts w:ascii="Arial" w:cs="Arial" w:eastAsia="Arial" w:hAnsi="Arial"/>
                <w:sz w:val="16"/>
                <w:szCs w:val="16"/>
                <w:b w:val="1"/>
                <w:bCs w:val="1"/>
                <w:color w:val="243782"/>
              </w:rPr>
              <w:t>costs</w:t>
            </w:r>
          </w:p>
        </w:tc>
        <w:tc>
          <w:tcPr>
            <w:tcW w:w="780" w:type="dxa"/>
            <w:vAlign w:val="bottom"/>
            <w:tcBorders>
              <w:bottom w:val="single" w:sz="8" w:color="E6E7F4"/>
            </w:tcBorders>
            <w:vMerge w:val="continue"/>
            <w:shd w:val="clear" w:color="auto" w:fill="E6E7F4"/>
          </w:tcPr>
          <w:p>
            <w:pPr>
              <w:spacing w:after="0"/>
              <w:rPr>
                <w:sz w:val="21"/>
                <w:szCs w:val="21"/>
                <w:color w:val="auto"/>
              </w:rPr>
            </w:pPr>
          </w:p>
        </w:tc>
        <w:tc>
          <w:tcPr>
            <w:tcW w:w="420" w:type="dxa"/>
            <w:vAlign w:val="bottom"/>
            <w:tcBorders>
              <w:bottom w:val="single" w:sz="8" w:color="E6E7F4"/>
            </w:tcBorders>
            <w:shd w:val="clear" w:color="auto" w:fill="E6E7F4"/>
          </w:tcPr>
          <w:p>
            <w:pPr>
              <w:spacing w:after="0"/>
              <w:rPr>
                <w:sz w:val="21"/>
                <w:szCs w:val="21"/>
                <w:color w:val="auto"/>
              </w:rPr>
            </w:pPr>
          </w:p>
        </w:tc>
        <w:tc>
          <w:tcPr>
            <w:tcW w:w="840" w:type="dxa"/>
            <w:vAlign w:val="bottom"/>
            <w:tcBorders>
              <w:bottom w:val="single" w:sz="8" w:color="E6E7F4"/>
            </w:tcBorders>
            <w:vMerge w:val="continue"/>
            <w:shd w:val="clear" w:color="auto" w:fill="E6E7F4"/>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6"/>
        </w:trPr>
        <w:tc>
          <w:tcPr>
            <w:tcW w:w="2660" w:type="dxa"/>
            <w:vAlign w:val="bottom"/>
            <w:tcBorders>
              <w:top w:val="single" w:sz="8" w:color="8E939F"/>
            </w:tcBorders>
            <w:gridSpan w:val="6"/>
          </w:tcPr>
          <w:p>
            <w:pPr>
              <w:jc w:val="center"/>
              <w:ind w:right="80"/>
              <w:spacing w:after="0"/>
              <w:rPr>
                <w:sz w:val="20"/>
                <w:szCs w:val="20"/>
                <w:color w:val="auto"/>
              </w:rPr>
            </w:pPr>
            <w:r>
              <w:rPr>
                <w:rFonts w:ascii="Arial" w:cs="Arial" w:eastAsia="Arial" w:hAnsi="Arial"/>
                <w:sz w:val="16"/>
                <w:szCs w:val="16"/>
                <w:b w:val="1"/>
                <w:bCs w:val="1"/>
                <w:color w:val="243782"/>
              </w:rPr>
              <w:t>Three months ended September</w:t>
            </w:r>
          </w:p>
        </w:tc>
        <w:tc>
          <w:tcPr>
            <w:tcW w:w="1360" w:type="dxa"/>
            <w:vAlign w:val="bottom"/>
            <w:tcBorders>
              <w:top w:val="single" w:sz="8" w:color="8E939F"/>
            </w:tcBorders>
          </w:tcPr>
          <w:p>
            <w:pPr>
              <w:spacing w:after="0"/>
              <w:rPr>
                <w:sz w:val="24"/>
                <w:szCs w:val="24"/>
                <w:color w:val="auto"/>
              </w:rPr>
            </w:pPr>
          </w:p>
        </w:tc>
        <w:tc>
          <w:tcPr>
            <w:tcW w:w="3140" w:type="dxa"/>
            <w:vAlign w:val="bottom"/>
            <w:tcBorders>
              <w:top w:val="single" w:sz="8" w:color="8E939F"/>
            </w:tcBorders>
          </w:tcPr>
          <w:p>
            <w:pPr>
              <w:spacing w:after="0"/>
              <w:rPr>
                <w:sz w:val="24"/>
                <w:szCs w:val="24"/>
                <w:color w:val="auto"/>
              </w:rPr>
            </w:pPr>
          </w:p>
        </w:tc>
        <w:tc>
          <w:tcPr>
            <w:tcW w:w="280" w:type="dxa"/>
            <w:vAlign w:val="bottom"/>
            <w:tcBorders>
              <w:top w:val="single" w:sz="8" w:color="8E939F"/>
            </w:tcBorders>
          </w:tcPr>
          <w:p>
            <w:pPr>
              <w:spacing w:after="0"/>
              <w:rPr>
                <w:sz w:val="24"/>
                <w:szCs w:val="24"/>
                <w:color w:val="auto"/>
              </w:rPr>
            </w:pPr>
          </w:p>
        </w:tc>
        <w:tc>
          <w:tcPr>
            <w:tcW w:w="780" w:type="dxa"/>
            <w:vAlign w:val="bottom"/>
            <w:tcBorders>
              <w:top w:val="single" w:sz="8" w:color="8E939F"/>
            </w:tcBorders>
          </w:tcPr>
          <w:p>
            <w:pPr>
              <w:spacing w:after="0"/>
              <w:rPr>
                <w:sz w:val="24"/>
                <w:szCs w:val="24"/>
                <w:color w:val="auto"/>
              </w:rPr>
            </w:pPr>
          </w:p>
        </w:tc>
        <w:tc>
          <w:tcPr>
            <w:tcW w:w="420" w:type="dxa"/>
            <w:vAlign w:val="bottom"/>
            <w:tcBorders>
              <w:top w:val="single" w:sz="8" w:color="8E939F"/>
            </w:tcBorders>
          </w:tcPr>
          <w:p>
            <w:pPr>
              <w:spacing w:after="0"/>
              <w:rPr>
                <w:sz w:val="24"/>
                <w:szCs w:val="24"/>
                <w:color w:val="auto"/>
              </w:rPr>
            </w:pPr>
          </w:p>
        </w:tc>
        <w:tc>
          <w:tcPr>
            <w:tcW w:w="2600" w:type="dxa"/>
            <w:vAlign w:val="bottom"/>
            <w:tcBorders>
              <w:top w:val="single" w:sz="8" w:color="8E939F"/>
            </w:tcBorders>
            <w:gridSpan w:val="4"/>
          </w:tcPr>
          <w:p>
            <w:pPr>
              <w:jc w:val="center"/>
              <w:spacing w:after="0"/>
              <w:rPr>
                <w:sz w:val="20"/>
                <w:szCs w:val="20"/>
                <w:color w:val="auto"/>
              </w:rPr>
            </w:pPr>
            <w:r>
              <w:rPr>
                <w:rFonts w:ascii="Arial" w:cs="Arial" w:eastAsia="Arial" w:hAnsi="Arial"/>
                <w:sz w:val="16"/>
                <w:szCs w:val="16"/>
                <w:b w:val="1"/>
                <w:bCs w:val="1"/>
                <w:color w:val="243782"/>
              </w:rPr>
              <w:t>Nine months ended September</w:t>
            </w:r>
          </w:p>
        </w:tc>
        <w:tc>
          <w:tcPr>
            <w:tcW w:w="0" w:type="dxa"/>
            <w:vAlign w:val="bottom"/>
          </w:tcPr>
          <w:p>
            <w:pPr>
              <w:spacing w:after="0"/>
              <w:rPr>
                <w:sz w:val="1"/>
                <w:szCs w:val="1"/>
                <w:color w:val="auto"/>
              </w:rPr>
            </w:pPr>
          </w:p>
        </w:tc>
      </w:tr>
      <w:tr>
        <w:trPr>
          <w:trHeight w:val="223"/>
        </w:trPr>
        <w:tc>
          <w:tcPr>
            <w:tcW w:w="16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243782"/>
              </w:rPr>
              <w:t>30,</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43782"/>
              </w:rPr>
              <w:t>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8E939F"/>
            </w:tcBorders>
          </w:tcPr>
          <w:p>
            <w:pPr>
              <w:spacing w:after="0" w:line="20" w:lineRule="exact"/>
              <w:rPr>
                <w:sz w:val="1"/>
                <w:szCs w:val="1"/>
                <w:color w:val="auto"/>
              </w:rPr>
            </w:pPr>
          </w:p>
        </w:tc>
        <w:tc>
          <w:tcPr>
            <w:tcW w:w="180" w:type="dxa"/>
            <w:vAlign w:val="bottom"/>
            <w:tcBorders>
              <w:bottom w:val="single" w:sz="8" w:color="8E939F"/>
            </w:tcBorders>
          </w:tcPr>
          <w:p>
            <w:pPr>
              <w:spacing w:after="0" w:line="20" w:lineRule="exact"/>
              <w:rPr>
                <w:sz w:val="1"/>
                <w:szCs w:val="1"/>
                <w:color w:val="auto"/>
              </w:rPr>
            </w:pPr>
          </w:p>
        </w:tc>
        <w:tc>
          <w:tcPr>
            <w:tcW w:w="480" w:type="dxa"/>
            <w:vAlign w:val="bottom"/>
            <w:tcBorders>
              <w:bottom w:val="single" w:sz="8" w:color="8E939F"/>
            </w:tcBorders>
          </w:tcPr>
          <w:p>
            <w:pPr>
              <w:spacing w:after="0" w:line="20" w:lineRule="exact"/>
              <w:rPr>
                <w:sz w:val="1"/>
                <w:szCs w:val="1"/>
                <w:color w:val="auto"/>
              </w:rPr>
            </w:pPr>
          </w:p>
        </w:tc>
        <w:tc>
          <w:tcPr>
            <w:tcW w:w="560" w:type="dxa"/>
            <w:vAlign w:val="bottom"/>
            <w:tcBorders>
              <w:bottom w:val="single" w:sz="8" w:color="8E939F"/>
            </w:tcBorders>
          </w:tcPr>
          <w:p>
            <w:pPr>
              <w:spacing w:after="0" w:line="20" w:lineRule="exact"/>
              <w:rPr>
                <w:sz w:val="1"/>
                <w:szCs w:val="1"/>
                <w:color w:val="auto"/>
              </w:rPr>
            </w:pPr>
          </w:p>
        </w:tc>
        <w:tc>
          <w:tcPr>
            <w:tcW w:w="340" w:type="dxa"/>
            <w:vAlign w:val="bottom"/>
            <w:tcBorders>
              <w:bottom w:val="single" w:sz="8" w:color="8E939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million)</w:t>
            </w: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8E939F"/>
            </w:tcBorders>
          </w:tcPr>
          <w:p>
            <w:pPr>
              <w:spacing w:after="0" w:line="20" w:lineRule="exact"/>
              <w:rPr>
                <w:sz w:val="1"/>
                <w:szCs w:val="1"/>
                <w:color w:val="auto"/>
              </w:rPr>
            </w:pPr>
          </w:p>
        </w:tc>
        <w:tc>
          <w:tcPr>
            <w:tcW w:w="380" w:type="dxa"/>
            <w:vAlign w:val="bottom"/>
            <w:tcBorders>
              <w:bottom w:val="single" w:sz="8" w:color="8E939F"/>
            </w:tcBorders>
          </w:tcPr>
          <w:p>
            <w:pPr>
              <w:spacing w:after="0" w:line="20" w:lineRule="exact"/>
              <w:rPr>
                <w:sz w:val="1"/>
                <w:szCs w:val="1"/>
                <w:color w:val="auto"/>
              </w:rPr>
            </w:pPr>
          </w:p>
        </w:tc>
        <w:tc>
          <w:tcPr>
            <w:tcW w:w="26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20" w:type="dxa"/>
            <w:vAlign w:val="bottom"/>
            <w:shd w:val="clear" w:color="auto" w:fill="F3F3F9"/>
          </w:tcPr>
          <w:p>
            <w:pPr>
              <w:spacing w:after="0"/>
              <w:rPr>
                <w:sz w:val="17"/>
                <w:szCs w:val="17"/>
                <w:color w:val="auto"/>
              </w:rPr>
            </w:pPr>
          </w:p>
        </w:tc>
        <w:tc>
          <w:tcPr>
            <w:tcW w:w="180" w:type="dxa"/>
            <w:vAlign w:val="bottom"/>
            <w:shd w:val="clear" w:color="auto" w:fill="F3F3F9"/>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shd w:val="clear" w:color="auto" w:fill="F3F3F9"/>
          </w:tcPr>
          <w:p>
            <w:pPr>
              <w:spacing w:after="0"/>
              <w:rPr>
                <w:sz w:val="17"/>
                <w:szCs w:val="17"/>
                <w:color w:val="auto"/>
              </w:rPr>
            </w:pPr>
          </w:p>
        </w:tc>
        <w:tc>
          <w:tcPr>
            <w:tcW w:w="380" w:type="dxa"/>
            <w:vAlign w:val="bottom"/>
            <w:shd w:val="clear" w:color="auto" w:fill="F3F3F9"/>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tcBorders>
              <w:bottom w:val="single" w:sz="8" w:color="143A84"/>
            </w:tcBorders>
            <w:gridSpan w:val="2"/>
            <w:shd w:val="clear" w:color="auto" w:fill="F3F3F9"/>
          </w:tcPr>
          <w:p>
            <w:pPr>
              <w:jc w:val="right"/>
              <w:ind w:right="20"/>
              <w:spacing w:after="0"/>
              <w:rPr>
                <w:sz w:val="20"/>
                <w:szCs w:val="20"/>
                <w:color w:val="auto"/>
              </w:rPr>
            </w:pPr>
            <w:r>
              <w:rPr>
                <w:rFonts w:ascii="Arial" w:cs="Arial" w:eastAsia="Arial" w:hAnsi="Arial"/>
                <w:sz w:val="16"/>
                <w:szCs w:val="16"/>
                <w:b w:val="1"/>
                <w:bCs w:val="1"/>
                <w:color w:val="243782"/>
              </w:rPr>
              <w:t>2026</w:t>
            </w:r>
          </w:p>
        </w:tc>
        <w:tc>
          <w:tcPr>
            <w:tcW w:w="480" w:type="dxa"/>
            <w:vAlign w:val="bottom"/>
            <w:tcBorders>
              <w:bottom w:val="single" w:sz="8" w:color="143A84"/>
            </w:tcBorders>
          </w:tcPr>
          <w:p>
            <w:pPr>
              <w:spacing w:after="0"/>
              <w:rPr>
                <w:sz w:val="20"/>
                <w:szCs w:val="20"/>
                <w:color w:val="auto"/>
              </w:rPr>
            </w:pPr>
          </w:p>
        </w:tc>
        <w:tc>
          <w:tcPr>
            <w:tcW w:w="900" w:type="dxa"/>
            <w:vAlign w:val="bottom"/>
            <w:tcBorders>
              <w:bottom w:val="single" w:sz="8" w:color="143A84"/>
            </w:tcBorders>
            <w:gridSpan w:val="2"/>
          </w:tcPr>
          <w:p>
            <w:pPr>
              <w:jc w:val="right"/>
              <w:spacing w:after="0"/>
              <w:rPr>
                <w:sz w:val="20"/>
                <w:szCs w:val="20"/>
                <w:color w:val="auto"/>
              </w:rPr>
            </w:pPr>
            <w:r>
              <w:rPr>
                <w:rFonts w:ascii="Arial" w:cs="Arial" w:eastAsia="Arial" w:hAnsi="Arial"/>
                <w:sz w:val="16"/>
                <w:szCs w:val="16"/>
                <w:b w:val="1"/>
                <w:bCs w:val="1"/>
                <w:color w:val="243782"/>
              </w:rPr>
              <w:t>2025</w:t>
            </w:r>
          </w:p>
        </w:tc>
        <w:tc>
          <w:tcPr>
            <w:tcW w:w="80" w:type="dxa"/>
            <w:vAlign w:val="bottom"/>
            <w:tcBorders>
              <w:bottom w:val="single" w:sz="8" w:color="143A84"/>
            </w:tcBorders>
          </w:tcPr>
          <w:p>
            <w:pPr>
              <w:spacing w:after="0"/>
              <w:rPr>
                <w:sz w:val="20"/>
                <w:szCs w:val="20"/>
                <w:color w:val="auto"/>
              </w:rPr>
            </w:pPr>
          </w:p>
        </w:tc>
        <w:tc>
          <w:tcPr>
            <w:tcW w:w="1360" w:type="dxa"/>
            <w:vAlign w:val="bottom"/>
            <w:tcBorders>
              <w:bottom w:val="single" w:sz="8" w:color="143A84"/>
            </w:tcBorders>
          </w:tcPr>
          <w:p>
            <w:pPr>
              <w:spacing w:after="0"/>
              <w:rPr>
                <w:sz w:val="20"/>
                <w:szCs w:val="20"/>
                <w:color w:val="auto"/>
              </w:rPr>
            </w:pPr>
          </w:p>
        </w:tc>
        <w:tc>
          <w:tcPr>
            <w:tcW w:w="3140" w:type="dxa"/>
            <w:vAlign w:val="bottom"/>
            <w:tcBorders>
              <w:bottom w:val="single" w:sz="8" w:color="143A84"/>
            </w:tcBorders>
          </w:tcPr>
          <w:p>
            <w:pPr>
              <w:spacing w:after="0"/>
              <w:rPr>
                <w:sz w:val="20"/>
                <w:szCs w:val="20"/>
                <w:color w:val="auto"/>
              </w:rPr>
            </w:pPr>
          </w:p>
        </w:tc>
        <w:tc>
          <w:tcPr>
            <w:tcW w:w="280" w:type="dxa"/>
            <w:vAlign w:val="bottom"/>
            <w:tcBorders>
              <w:bottom w:val="single" w:sz="8" w:color="143A84"/>
            </w:tcBorders>
          </w:tcPr>
          <w:p>
            <w:pPr>
              <w:spacing w:after="0"/>
              <w:rPr>
                <w:sz w:val="20"/>
                <w:szCs w:val="20"/>
                <w:color w:val="auto"/>
              </w:rPr>
            </w:pPr>
          </w:p>
        </w:tc>
        <w:tc>
          <w:tcPr>
            <w:tcW w:w="780" w:type="dxa"/>
            <w:vAlign w:val="bottom"/>
            <w:tcBorders>
              <w:bottom w:val="single" w:sz="8" w:color="143A84"/>
            </w:tcBorders>
          </w:tcPr>
          <w:p>
            <w:pPr>
              <w:spacing w:after="0"/>
              <w:rPr>
                <w:sz w:val="20"/>
                <w:szCs w:val="20"/>
                <w:color w:val="auto"/>
              </w:rPr>
            </w:pPr>
          </w:p>
        </w:tc>
        <w:tc>
          <w:tcPr>
            <w:tcW w:w="420" w:type="dxa"/>
            <w:vAlign w:val="bottom"/>
            <w:tcBorders>
              <w:bottom w:val="single" w:sz="8" w:color="143A84"/>
            </w:tcBorders>
          </w:tcPr>
          <w:p>
            <w:pPr>
              <w:spacing w:after="0"/>
              <w:rPr>
                <w:sz w:val="20"/>
                <w:szCs w:val="20"/>
                <w:color w:val="auto"/>
              </w:rPr>
            </w:pPr>
          </w:p>
        </w:tc>
        <w:tc>
          <w:tcPr>
            <w:tcW w:w="840" w:type="dxa"/>
            <w:vAlign w:val="bottom"/>
            <w:tcBorders>
              <w:bottom w:val="single" w:sz="8" w:color="143A84"/>
            </w:tcBorders>
            <w:shd w:val="clear" w:color="auto" w:fill="F3F3F9"/>
          </w:tcPr>
          <w:p>
            <w:pPr>
              <w:spacing w:after="0"/>
              <w:rPr>
                <w:sz w:val="20"/>
                <w:szCs w:val="20"/>
                <w:color w:val="auto"/>
              </w:rPr>
            </w:pPr>
          </w:p>
        </w:tc>
        <w:tc>
          <w:tcPr>
            <w:tcW w:w="3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w w:val="95"/>
              </w:rPr>
              <w:t>2026</w:t>
            </w:r>
          </w:p>
        </w:tc>
        <w:tc>
          <w:tcPr>
            <w:tcW w:w="260" w:type="dxa"/>
            <w:vAlign w:val="bottom"/>
            <w:tcBorders>
              <w:bottom w:val="single" w:sz="8" w:color="143A84"/>
            </w:tcBorders>
          </w:tcPr>
          <w:p>
            <w:pPr>
              <w:spacing w:after="0"/>
              <w:rPr>
                <w:sz w:val="20"/>
                <w:szCs w:val="20"/>
                <w:color w:val="auto"/>
              </w:rPr>
            </w:pPr>
          </w:p>
        </w:tc>
        <w:tc>
          <w:tcPr>
            <w:tcW w:w="112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47"/>
        </w:trPr>
        <w:tc>
          <w:tcPr>
            <w:tcW w:w="1200" w:type="dxa"/>
            <w:vAlign w:val="bottom"/>
            <w:tcBorders>
              <w:bottom w:val="single" w:sz="8" w:color="8E939F"/>
            </w:tcBorders>
            <w:gridSpan w:val="2"/>
            <w:shd w:val="clear" w:color="auto" w:fill="F3F3F9"/>
          </w:tcPr>
          <w:p>
            <w:pPr>
              <w:jc w:val="right"/>
              <w:ind w:right="20"/>
              <w:spacing w:after="0"/>
              <w:rPr>
                <w:sz w:val="20"/>
                <w:szCs w:val="20"/>
                <w:color w:val="auto"/>
              </w:rPr>
            </w:pPr>
            <w:r>
              <w:rPr>
                <w:rFonts w:ascii="Arial" w:cs="Arial" w:eastAsia="Arial" w:hAnsi="Arial"/>
                <w:sz w:val="16"/>
                <w:szCs w:val="16"/>
                <w:color w:val="auto"/>
              </w:rPr>
              <w:t>2.2%</w:t>
            </w:r>
          </w:p>
        </w:tc>
        <w:tc>
          <w:tcPr>
            <w:tcW w:w="480" w:type="dxa"/>
            <w:vAlign w:val="bottom"/>
            <w:tcBorders>
              <w:bottom w:val="single" w:sz="8" w:color="8E939F"/>
            </w:tcBorders>
          </w:tcPr>
          <w:p>
            <w:pPr>
              <w:spacing w:after="0"/>
              <w:rPr>
                <w:sz w:val="21"/>
                <w:szCs w:val="21"/>
                <w:color w:val="auto"/>
              </w:rPr>
            </w:pPr>
          </w:p>
        </w:tc>
        <w:tc>
          <w:tcPr>
            <w:tcW w:w="90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8E939F"/>
            </w:tcBorders>
          </w:tcPr>
          <w:p>
            <w:pPr>
              <w:spacing w:after="0"/>
              <w:rPr>
                <w:sz w:val="21"/>
                <w:szCs w:val="21"/>
                <w:color w:val="auto"/>
              </w:rPr>
            </w:pPr>
          </w:p>
        </w:tc>
        <w:tc>
          <w:tcPr>
            <w:tcW w:w="5980" w:type="dxa"/>
            <w:vAlign w:val="bottom"/>
            <w:tcBorders>
              <w:bottom w:val="single" w:sz="8" w:color="8E939F"/>
            </w:tcBorders>
            <w:gridSpan w:val="5"/>
          </w:tcPr>
          <w:p>
            <w:pPr>
              <w:ind w:left="20"/>
              <w:spacing w:after="0"/>
              <w:rPr>
                <w:sz w:val="20"/>
                <w:szCs w:val="20"/>
                <w:color w:val="auto"/>
              </w:rPr>
            </w:pPr>
            <w:r>
              <w:rPr>
                <w:rFonts w:ascii="Arial" w:cs="Arial" w:eastAsia="Arial" w:hAnsi="Arial"/>
                <w:sz w:val="16"/>
                <w:szCs w:val="16"/>
                <w:color w:val="auto"/>
              </w:rPr>
              <w:t>Research and development expenditures expensed as % of Net revenues</w:t>
            </w:r>
          </w:p>
        </w:tc>
        <w:tc>
          <w:tcPr>
            <w:tcW w:w="840" w:type="dxa"/>
            <w:vAlign w:val="bottom"/>
            <w:tcBorders>
              <w:bottom w:val="single" w:sz="8" w:color="8E939F"/>
            </w:tcBorders>
            <w:shd w:val="clear" w:color="auto" w:fill="F3F3F9"/>
          </w:tcPr>
          <w:p>
            <w:pPr>
              <w:spacing w:after="0"/>
              <w:rPr>
                <w:sz w:val="21"/>
                <w:szCs w:val="21"/>
                <w:color w:val="auto"/>
              </w:rPr>
            </w:pPr>
          </w:p>
        </w:tc>
        <w:tc>
          <w:tcPr>
            <w:tcW w:w="3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3"/>
              </w:rPr>
              <w:t>2.1%</w:t>
            </w:r>
          </w:p>
        </w:tc>
        <w:tc>
          <w:tcPr>
            <w:tcW w:w="260" w:type="dxa"/>
            <w:vAlign w:val="bottom"/>
            <w:tcBorders>
              <w:bottom w:val="single" w:sz="8" w:color="8E939F"/>
            </w:tcBorders>
          </w:tcPr>
          <w:p>
            <w:pPr>
              <w:spacing w:after="0"/>
              <w:rPr>
                <w:sz w:val="21"/>
                <w:szCs w:val="21"/>
                <w:color w:val="auto"/>
              </w:rPr>
            </w:pPr>
          </w:p>
        </w:tc>
        <w:tc>
          <w:tcPr>
            <w:tcW w:w="11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8E939F"/>
            </w:tcBorders>
            <w:gridSpan w:val="2"/>
          </w:tcPr>
          <w:p>
            <w:pPr>
              <w:jc w:val="right"/>
              <w:ind w:right="20"/>
              <w:spacing w:after="0"/>
              <w:rPr>
                <w:sz w:val="20"/>
                <w:szCs w:val="20"/>
                <w:color w:val="auto"/>
              </w:rPr>
            </w:pPr>
            <w:r>
              <w:rPr>
                <w:rFonts w:ascii="Arial" w:cs="Arial" w:eastAsia="Arial" w:hAnsi="Arial"/>
                <w:sz w:val="16"/>
                <w:szCs w:val="16"/>
                <w:color w:val="auto"/>
              </w:rPr>
              <w:t>1.2%</w:t>
            </w:r>
          </w:p>
        </w:tc>
        <w:tc>
          <w:tcPr>
            <w:tcW w:w="480" w:type="dxa"/>
            <w:vAlign w:val="bottom"/>
            <w:tcBorders>
              <w:bottom w:val="single" w:sz="8" w:color="8E939F"/>
            </w:tcBorders>
          </w:tcPr>
          <w:p>
            <w:pPr>
              <w:spacing w:after="0"/>
              <w:rPr>
                <w:sz w:val="21"/>
                <w:szCs w:val="21"/>
                <w:color w:val="auto"/>
              </w:rPr>
            </w:pPr>
          </w:p>
        </w:tc>
        <w:tc>
          <w:tcPr>
            <w:tcW w:w="90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8E939F"/>
            </w:tcBorders>
          </w:tcPr>
          <w:p>
            <w:pPr>
              <w:spacing w:after="0"/>
              <w:rPr>
                <w:sz w:val="21"/>
                <w:szCs w:val="21"/>
                <w:color w:val="auto"/>
              </w:rPr>
            </w:pPr>
          </w:p>
        </w:tc>
        <w:tc>
          <w:tcPr>
            <w:tcW w:w="5980" w:type="dxa"/>
            <w:vAlign w:val="bottom"/>
            <w:tcBorders>
              <w:bottom w:val="single" w:sz="8" w:color="8E939F"/>
            </w:tcBorders>
            <w:gridSpan w:val="5"/>
          </w:tcPr>
          <w:p>
            <w:pPr>
              <w:ind w:left="20"/>
              <w:spacing w:after="0"/>
              <w:rPr>
                <w:sz w:val="20"/>
                <w:szCs w:val="20"/>
                <w:color w:val="auto"/>
              </w:rPr>
            </w:pPr>
            <w:r>
              <w:rPr>
                <w:rFonts w:ascii="Arial" w:cs="Arial" w:eastAsia="Arial" w:hAnsi="Arial"/>
                <w:sz w:val="16"/>
                <w:szCs w:val="16"/>
                <w:color w:val="auto"/>
              </w:rPr>
              <w:t>Amortization of capitalized development expenditures as % of Net revenues</w:t>
            </w:r>
          </w:p>
        </w:tc>
        <w:tc>
          <w:tcPr>
            <w:tcW w:w="840" w:type="dxa"/>
            <w:vAlign w:val="bottom"/>
            <w:tcBorders>
              <w:bottom w:val="single" w:sz="8" w:color="8E939F"/>
            </w:tcBorders>
          </w:tcPr>
          <w:p>
            <w:pPr>
              <w:spacing w:after="0"/>
              <w:rPr>
                <w:sz w:val="21"/>
                <w:szCs w:val="21"/>
                <w:color w:val="auto"/>
              </w:rPr>
            </w:pPr>
          </w:p>
        </w:tc>
        <w:tc>
          <w:tcPr>
            <w:tcW w:w="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w w:val="93"/>
              </w:rPr>
              <w:t>1.2%</w:t>
            </w:r>
          </w:p>
        </w:tc>
        <w:tc>
          <w:tcPr>
            <w:tcW w:w="260" w:type="dxa"/>
            <w:vAlign w:val="bottom"/>
            <w:tcBorders>
              <w:bottom w:val="single" w:sz="8" w:color="8E939F"/>
            </w:tcBorders>
          </w:tcPr>
          <w:p>
            <w:pPr>
              <w:spacing w:after="0"/>
              <w:rPr>
                <w:sz w:val="21"/>
                <w:szCs w:val="21"/>
                <w:color w:val="auto"/>
              </w:rPr>
            </w:pPr>
          </w:p>
        </w:tc>
        <w:tc>
          <w:tcPr>
            <w:tcW w:w="11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80" w:type="dxa"/>
            <w:vAlign w:val="bottom"/>
            <w:gridSpan w:val="5"/>
          </w:tcPr>
          <w:p>
            <w:pPr>
              <w:ind w:left="20"/>
              <w:spacing w:after="0"/>
              <w:rPr>
                <w:sz w:val="20"/>
                <w:szCs w:val="20"/>
                <w:color w:val="auto"/>
              </w:rPr>
            </w:pPr>
            <w:r>
              <w:rPr>
                <w:rFonts w:ascii="Arial" w:cs="Arial" w:eastAsia="Arial" w:hAnsi="Arial"/>
                <w:sz w:val="16"/>
                <w:szCs w:val="16"/>
                <w:color w:val="auto"/>
              </w:rPr>
              <w:t>Impairment and write-off of capitalized development expenditures as % of Net</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8E939F"/>
            </w:tcBorders>
            <w:gridSpan w:val="2"/>
          </w:tcPr>
          <w:p>
            <w:pPr>
              <w:jc w:val="right"/>
              <w:ind w:right="20"/>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8E939F"/>
            </w:tcBorders>
          </w:tcPr>
          <w:p>
            <w:pPr>
              <w:spacing w:after="0"/>
              <w:rPr>
                <w:sz w:val="20"/>
                <w:szCs w:val="20"/>
                <w:color w:val="auto"/>
              </w:rPr>
            </w:pPr>
          </w:p>
        </w:tc>
        <w:tc>
          <w:tcPr>
            <w:tcW w:w="90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8E939F"/>
            </w:tcBorders>
          </w:tcPr>
          <w:p>
            <w:pPr>
              <w:spacing w:after="0"/>
              <w:rPr>
                <w:sz w:val="20"/>
                <w:szCs w:val="20"/>
                <w:color w:val="auto"/>
              </w:rPr>
            </w:pPr>
          </w:p>
        </w:tc>
        <w:tc>
          <w:tcPr>
            <w:tcW w:w="1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revenues</w:t>
            </w:r>
          </w:p>
        </w:tc>
        <w:tc>
          <w:tcPr>
            <w:tcW w:w="3140" w:type="dxa"/>
            <w:vAlign w:val="bottom"/>
            <w:tcBorders>
              <w:bottom w:val="single" w:sz="8" w:color="8E939F"/>
            </w:tcBorders>
          </w:tcPr>
          <w:p>
            <w:pPr>
              <w:spacing w:after="0"/>
              <w:rPr>
                <w:sz w:val="20"/>
                <w:szCs w:val="20"/>
                <w:color w:val="auto"/>
              </w:rPr>
            </w:pPr>
          </w:p>
        </w:tc>
        <w:tc>
          <w:tcPr>
            <w:tcW w:w="280" w:type="dxa"/>
            <w:vAlign w:val="bottom"/>
            <w:tcBorders>
              <w:bottom w:val="single" w:sz="8" w:color="8E939F"/>
            </w:tcBorders>
          </w:tcPr>
          <w:p>
            <w:pPr>
              <w:spacing w:after="0"/>
              <w:rPr>
                <w:sz w:val="20"/>
                <w:szCs w:val="20"/>
                <w:color w:val="auto"/>
              </w:rPr>
            </w:pPr>
          </w:p>
        </w:tc>
        <w:tc>
          <w:tcPr>
            <w:tcW w:w="780" w:type="dxa"/>
            <w:vAlign w:val="bottom"/>
            <w:tcBorders>
              <w:bottom w:val="single" w:sz="8" w:color="8E939F"/>
            </w:tcBorders>
          </w:tcPr>
          <w:p>
            <w:pPr>
              <w:spacing w:after="0"/>
              <w:rPr>
                <w:sz w:val="20"/>
                <w:szCs w:val="20"/>
                <w:color w:val="auto"/>
              </w:rPr>
            </w:pPr>
          </w:p>
        </w:tc>
        <w:tc>
          <w:tcPr>
            <w:tcW w:w="420" w:type="dxa"/>
            <w:vAlign w:val="bottom"/>
            <w:tcBorders>
              <w:bottom w:val="single" w:sz="8" w:color="8E939F"/>
            </w:tcBorders>
          </w:tcPr>
          <w:p>
            <w:pPr>
              <w:spacing w:after="0"/>
              <w:rPr>
                <w:sz w:val="20"/>
                <w:szCs w:val="20"/>
                <w:color w:val="auto"/>
              </w:rPr>
            </w:pPr>
          </w:p>
        </w:tc>
        <w:tc>
          <w:tcPr>
            <w:tcW w:w="840" w:type="dxa"/>
            <w:vAlign w:val="bottom"/>
            <w:tcBorders>
              <w:bottom w:val="single" w:sz="8" w:color="8E939F"/>
            </w:tcBorders>
          </w:tcPr>
          <w:p>
            <w:pPr>
              <w:spacing w:after="0"/>
              <w:rPr>
                <w:sz w:val="20"/>
                <w:szCs w:val="20"/>
                <w:color w:val="auto"/>
              </w:rPr>
            </w:pPr>
          </w:p>
        </w:tc>
        <w:tc>
          <w:tcPr>
            <w:tcW w:w="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w w:val="93"/>
              </w:rPr>
              <w:t>0.2%</w:t>
            </w:r>
          </w:p>
        </w:tc>
        <w:tc>
          <w:tcPr>
            <w:tcW w:w="260" w:type="dxa"/>
            <w:vAlign w:val="bottom"/>
            <w:tcBorders>
              <w:bottom w:val="single" w:sz="8" w:color="8E939F"/>
            </w:tcBorders>
          </w:tcPr>
          <w:p>
            <w:pPr>
              <w:spacing w:after="0"/>
              <w:rPr>
                <w:sz w:val="20"/>
                <w:szCs w:val="20"/>
                <w:color w:val="auto"/>
              </w:rPr>
            </w:pPr>
          </w:p>
        </w:tc>
        <w:tc>
          <w:tcPr>
            <w:tcW w:w="11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3"/>
        </w:trPr>
        <w:tc>
          <w:tcPr>
            <w:tcW w:w="1200" w:type="dxa"/>
            <w:vAlign w:val="bottom"/>
            <w:tcBorders>
              <w:bottom w:val="single" w:sz="8" w:color="8E939F"/>
            </w:tcBorders>
            <w:gridSpan w:val="2"/>
            <w:shd w:val="clear" w:color="auto" w:fill="E6E7F4"/>
          </w:tcPr>
          <w:p>
            <w:pPr>
              <w:jc w:val="right"/>
              <w:ind w:right="20"/>
              <w:spacing w:after="0"/>
              <w:rPr>
                <w:sz w:val="20"/>
                <w:szCs w:val="20"/>
                <w:color w:val="auto"/>
              </w:rPr>
            </w:pPr>
            <w:r>
              <w:rPr>
                <w:rFonts w:ascii="Arial" w:cs="Arial" w:eastAsia="Arial" w:hAnsi="Arial"/>
                <w:sz w:val="16"/>
                <w:szCs w:val="16"/>
                <w:b w:val="1"/>
                <w:bCs w:val="1"/>
                <w:color w:val="243782"/>
              </w:rPr>
              <w:t>3.5%</w:t>
            </w:r>
          </w:p>
        </w:tc>
        <w:tc>
          <w:tcPr>
            <w:tcW w:w="48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b w:val="1"/>
                <w:bCs w:val="1"/>
                <w:color w:val="243782"/>
              </w:rPr>
              <w:t>5.2%</w:t>
            </w:r>
          </w:p>
        </w:tc>
        <w:tc>
          <w:tcPr>
            <w:tcW w:w="80" w:type="dxa"/>
            <w:vAlign w:val="bottom"/>
            <w:tcBorders>
              <w:bottom w:val="single" w:sz="8" w:color="8E939F"/>
            </w:tcBorders>
            <w:shd w:val="clear" w:color="auto" w:fill="E6E7F4"/>
          </w:tcPr>
          <w:p>
            <w:pPr>
              <w:spacing w:after="0"/>
              <w:rPr>
                <w:sz w:val="21"/>
                <w:szCs w:val="21"/>
                <w:color w:val="auto"/>
              </w:rPr>
            </w:pPr>
          </w:p>
        </w:tc>
        <w:tc>
          <w:tcPr>
            <w:tcW w:w="4780" w:type="dxa"/>
            <w:vAlign w:val="bottom"/>
            <w:tcBorders>
              <w:bottom w:val="single" w:sz="8" w:color="8E939F"/>
            </w:tcBorders>
            <w:gridSpan w:val="3"/>
            <w:shd w:val="clear" w:color="auto" w:fill="E6E7F4"/>
          </w:tcPr>
          <w:p>
            <w:pPr>
              <w:ind w:left="20"/>
              <w:spacing w:after="0"/>
              <w:rPr>
                <w:sz w:val="20"/>
                <w:szCs w:val="20"/>
                <w:color w:val="auto"/>
              </w:rPr>
            </w:pPr>
            <w:r>
              <w:rPr>
                <w:rFonts w:ascii="Arial" w:cs="Arial" w:eastAsia="Arial" w:hAnsi="Arial"/>
                <w:sz w:val="16"/>
                <w:szCs w:val="16"/>
                <w:b w:val="1"/>
                <w:bCs w:val="1"/>
                <w:color w:val="243782"/>
              </w:rPr>
              <w:t>Total Research and development costs as % of Net revenues</w:t>
            </w:r>
          </w:p>
        </w:tc>
        <w:tc>
          <w:tcPr>
            <w:tcW w:w="780" w:type="dxa"/>
            <w:vAlign w:val="bottom"/>
            <w:tcBorders>
              <w:bottom w:val="single" w:sz="8" w:color="8E939F"/>
            </w:tcBorders>
            <w:shd w:val="clear" w:color="auto" w:fill="E6E7F4"/>
          </w:tcPr>
          <w:p>
            <w:pPr>
              <w:spacing w:after="0"/>
              <w:rPr>
                <w:sz w:val="21"/>
                <w:szCs w:val="21"/>
                <w:color w:val="auto"/>
              </w:rPr>
            </w:pPr>
          </w:p>
        </w:tc>
        <w:tc>
          <w:tcPr>
            <w:tcW w:w="42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spacing w:after="0"/>
              <w:rPr>
                <w:sz w:val="21"/>
                <w:szCs w:val="21"/>
                <w:color w:val="auto"/>
              </w:rPr>
            </w:pPr>
          </w:p>
        </w:tc>
        <w:tc>
          <w:tcPr>
            <w:tcW w:w="3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w w:val="93"/>
              </w:rPr>
              <w:t>3.4%</w:t>
            </w:r>
          </w:p>
        </w:tc>
        <w:tc>
          <w:tcPr>
            <w:tcW w:w="260" w:type="dxa"/>
            <w:vAlign w:val="bottom"/>
            <w:tcBorders>
              <w:bottom w:val="single" w:sz="8" w:color="8E939F"/>
            </w:tcBorders>
            <w:shd w:val="clear" w:color="auto" w:fill="E6E7F4"/>
          </w:tcPr>
          <w:p>
            <w:pPr>
              <w:spacing w:after="0"/>
              <w:rPr>
                <w:sz w:val="21"/>
                <w:szCs w:val="21"/>
                <w:color w:val="auto"/>
              </w:rPr>
            </w:pPr>
          </w:p>
        </w:tc>
        <w:tc>
          <w:tcPr>
            <w:tcW w:w="11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-2828290</wp:posOffset>
            </wp:positionV>
            <wp:extent cx="1122680"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12001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-2828290</wp:posOffset>
            </wp:positionV>
            <wp:extent cx="1122680" cy="1200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2680" cy="12001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5438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 cy="643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-822325</wp:posOffset>
            </wp:positionV>
            <wp:extent cx="77978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9780" cy="643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expenditures expensed increased by €232 million and €490 million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respectively, as compared to the corresponding periods in 2025 primarily resulting from:</w:t>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180" w:hanging="152"/>
        <w:spacing w:after="0" w:line="315" w:lineRule="auto"/>
        <w:tabs>
          <w:tab w:leader="none" w:pos="121" w:val="left"/>
        </w:tabs>
        <w:numPr>
          <w:ilvl w:val="0"/>
          <w:numId w:val="7"/>
        </w:numPr>
        <w:rPr>
          <w:rFonts w:ascii="Arial" w:cs="Arial" w:eastAsia="Arial" w:hAnsi="Arial"/>
          <w:sz w:val="18"/>
          <w:szCs w:val="18"/>
          <w:color w:val="143A84"/>
        </w:rPr>
      </w:pPr>
      <w:r>
        <w:rPr>
          <w:rFonts w:ascii="Arial" w:cs="Arial" w:eastAsia="Arial" w:hAnsi="Arial"/>
          <w:sz w:val="18"/>
          <w:szCs w:val="18"/>
          <w:color w:val="auto"/>
        </w:rPr>
        <w:t>higher product serial life activities (quality improvements, value optimization and product actions) aimed at further enhancing the quality of our offerings to customers, which increased by €50 million and €167 million for the three and nine months ended September 30, 2026, respectively, compared to the corresponding periods in 2025;</w:t>
      </w:r>
    </w:p>
    <w:p>
      <w:pPr>
        <w:spacing w:after="0" w:line="170" w:lineRule="exact"/>
        <w:rPr>
          <w:rFonts w:ascii="Arial" w:cs="Arial" w:eastAsia="Arial" w:hAnsi="Arial"/>
          <w:sz w:val="18"/>
          <w:szCs w:val="18"/>
          <w:color w:val="143A84"/>
        </w:rPr>
      </w:pPr>
    </w:p>
    <w:p>
      <w:pPr>
        <w:ind w:left="160" w:right="260" w:hanging="152"/>
        <w:spacing w:after="0" w:line="334" w:lineRule="auto"/>
        <w:tabs>
          <w:tab w:leader="none" w:pos="121" w:val="left"/>
        </w:tabs>
        <w:numPr>
          <w:ilvl w:val="0"/>
          <w:numId w:val="7"/>
        </w:numPr>
        <w:rPr>
          <w:rFonts w:ascii="Arial" w:cs="Arial" w:eastAsia="Arial" w:hAnsi="Arial"/>
          <w:sz w:val="18"/>
          <w:szCs w:val="18"/>
          <w:color w:val="143A84"/>
        </w:rPr>
      </w:pPr>
      <w:r>
        <w:rPr>
          <w:rFonts w:ascii="Arial" w:cs="Arial" w:eastAsia="Arial" w:hAnsi="Arial"/>
          <w:sz w:val="18"/>
          <w:szCs w:val="18"/>
          <w:color w:val="auto"/>
        </w:rPr>
        <w:t>increased advanced engineering activities for products included in the long-range plan which increased by €10 million and €46 million for the three and nine months ended September 30, 2026, respectively, compared to the corresponding periods in 2025; and</w:t>
      </w:r>
    </w:p>
    <w:p>
      <w:pPr>
        <w:spacing w:after="0" w:line="152" w:lineRule="exact"/>
        <w:rPr>
          <w:rFonts w:ascii="Arial" w:cs="Arial" w:eastAsia="Arial" w:hAnsi="Arial"/>
          <w:sz w:val="18"/>
          <w:szCs w:val="18"/>
          <w:color w:val="143A84"/>
        </w:rPr>
      </w:pPr>
    </w:p>
    <w:p>
      <w:pPr>
        <w:ind w:left="160" w:right="560" w:hanging="152"/>
        <w:spacing w:after="0" w:line="315" w:lineRule="auto"/>
        <w:tabs>
          <w:tab w:leader="none" w:pos="121" w:val="left"/>
        </w:tabs>
        <w:numPr>
          <w:ilvl w:val="0"/>
          <w:numId w:val="7"/>
        </w:numPr>
        <w:rPr>
          <w:rFonts w:ascii="Arial" w:cs="Arial" w:eastAsia="Arial" w:hAnsi="Arial"/>
          <w:sz w:val="18"/>
          <w:szCs w:val="18"/>
          <w:color w:val="143A84"/>
        </w:rPr>
      </w:pPr>
      <w:r>
        <w:rPr>
          <w:rFonts w:ascii="Arial" w:cs="Arial" w:eastAsia="Arial" w:hAnsi="Arial"/>
          <w:sz w:val="18"/>
          <w:szCs w:val="18"/>
          <w:color w:val="auto"/>
        </w:rPr>
        <w:t>the expensing of development costs incurred on platforms that were fully impaired in 2025 and are therefore no longer eligible for capitalization. As a result, €108 million and €178 million of development costs were recognized directly in research and development expenditures expensed during the three and nine months ended September 30, 2026, respectively.</w:t>
      </w:r>
    </w:p>
    <w:p>
      <w:pPr>
        <w:spacing w:after="0" w:line="184" w:lineRule="exact"/>
        <w:rPr>
          <w:sz w:val="20"/>
          <w:szCs w:val="20"/>
          <w:color w:val="auto"/>
        </w:rPr>
      </w:pPr>
    </w:p>
    <w:p>
      <w:pPr>
        <w:ind w:right="280"/>
        <w:spacing w:after="0" w:line="315" w:lineRule="auto"/>
        <w:rPr>
          <w:sz w:val="20"/>
          <w:szCs w:val="20"/>
          <w:color w:val="auto"/>
        </w:rPr>
      </w:pPr>
      <w:r>
        <w:rPr>
          <w:rFonts w:ascii="Arial" w:cs="Arial" w:eastAsia="Arial" w:hAnsi="Arial"/>
          <w:sz w:val="18"/>
          <w:szCs w:val="18"/>
          <w:color w:val="auto"/>
        </w:rPr>
        <w:t>Amortization of capitalized development expenditures during the three and nine months ended September 30, 2026 decreased by 10.4 percent and 13.6 percent, respectively, as compared to the corresponding periods in 2025, primarily due to reduced amortization following impairments recognized in 2025.</w:t>
      </w:r>
    </w:p>
    <w:p>
      <w:pPr>
        <w:spacing w:after="0" w:line="170"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auto"/>
        </w:rPr>
        <w:t>Impairments of capitalized development expenditures recognized in the three and nine months ended September 30, 2026 were attributable to impairments of platform assets in North America related to program cancellations. Impairments of capitalized development expenditures recognized in the three and nine months ended September 30, 2025 primarily related to (i) impairments related to product plan realignments and program cancellations of €831 million and €1,077 million, (ii) impairments of platforms used for Maserati and Alfa Romeo vehicles of nil and €348 million, and (iii) impairments as a result of the Company’s decision to discontinue its hydrogen fuel cell technology of nil and €278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expenditures for the three and nine months ended September 30, 2026 and 2025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2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80" w:type="dxa"/>
            <w:vAlign w:val="bottom"/>
            <w:shd w:val="clear" w:color="auto" w:fill="E6E7F4"/>
          </w:tcPr>
          <w:p>
            <w:pPr>
              <w:spacing w:after="0"/>
              <w:rPr>
                <w:sz w:val="19"/>
                <w:szCs w:val="19"/>
                <w:color w:val="auto"/>
              </w:rPr>
            </w:pPr>
          </w:p>
        </w:tc>
        <w:tc>
          <w:tcPr>
            <w:tcW w:w="2960" w:type="dxa"/>
            <w:vAlign w:val="bottom"/>
          </w:tcPr>
          <w:p>
            <w:pPr>
              <w:spacing w:after="0"/>
              <w:rPr>
                <w:sz w:val="19"/>
                <w:szCs w:val="19"/>
                <w:color w:val="auto"/>
              </w:rPr>
            </w:pPr>
          </w:p>
        </w:tc>
        <w:tc>
          <w:tcPr>
            <w:tcW w:w="242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6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20" w:type="dxa"/>
            <w:vAlign w:val="bottom"/>
            <w:tcBorders>
              <w:bottom w:val="single" w:sz="8" w:color="8E939F"/>
            </w:tcBorders>
            <w:gridSpan w:val="2"/>
          </w:tcPr>
          <w:p>
            <w:pPr>
              <w:jc w:val="center"/>
              <w:ind w:left="439"/>
              <w:spacing w:after="0"/>
              <w:rPr>
                <w:sz w:val="20"/>
                <w:szCs w:val="20"/>
                <w:color w:val="auto"/>
              </w:rPr>
            </w:pPr>
            <w:r>
              <w:rPr>
                <w:rFonts w:ascii="Arial" w:cs="Arial" w:eastAsia="Arial" w:hAnsi="Arial"/>
                <w:sz w:val="16"/>
                <w:szCs w:val="16"/>
                <w:b w:val="1"/>
                <w:bCs w:val="1"/>
                <w:color w:val="243782"/>
              </w:rPr>
              <w:t>September 30,</w:t>
            </w:r>
          </w:p>
        </w:tc>
        <w:tc>
          <w:tcPr>
            <w:tcW w:w="600" w:type="dxa"/>
            <w:vAlign w:val="bottom"/>
            <w:tcBorders>
              <w:bottom w:val="single" w:sz="8" w:color="8E939F"/>
            </w:tcBorders>
          </w:tcPr>
          <w:p>
            <w:pPr>
              <w:spacing w:after="0"/>
              <w:rPr>
                <w:sz w:val="19"/>
                <w:szCs w:val="19"/>
                <w:color w:val="auto"/>
              </w:rPr>
            </w:pPr>
          </w:p>
        </w:tc>
        <w:tc>
          <w:tcPr>
            <w:tcW w:w="178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960" w:type="dxa"/>
            <w:vAlign w:val="bottom"/>
          </w:tcPr>
          <w:p>
            <w:pPr>
              <w:spacing w:after="0"/>
              <w:rPr>
                <w:sz w:val="19"/>
                <w:szCs w:val="19"/>
                <w:color w:val="auto"/>
              </w:rPr>
            </w:pPr>
          </w:p>
        </w:tc>
        <w:tc>
          <w:tcPr>
            <w:tcW w:w="1780" w:type="dxa"/>
            <w:vAlign w:val="bottom"/>
            <w:tcBorders>
              <w:bottom w:val="single" w:sz="8" w:color="8E939F"/>
            </w:tcBorders>
            <w:gridSpan w:val="2"/>
          </w:tcPr>
          <w:p>
            <w:pPr>
              <w:jc w:val="center"/>
              <w:ind w:left="459"/>
              <w:spacing w:after="0"/>
              <w:rPr>
                <w:sz w:val="20"/>
                <w:szCs w:val="20"/>
                <w:color w:val="auto"/>
              </w:rPr>
            </w:pPr>
            <w:r>
              <w:rPr>
                <w:rFonts w:ascii="Arial" w:cs="Arial" w:eastAsia="Arial" w:hAnsi="Arial"/>
                <w:sz w:val="16"/>
                <w:szCs w:val="16"/>
                <w:b w:val="1"/>
                <w:bCs w:val="1"/>
                <w:color w:val="243782"/>
              </w:rPr>
              <w:t>September 30,</w:t>
            </w:r>
          </w:p>
        </w:tc>
        <w:tc>
          <w:tcPr>
            <w:tcW w:w="64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60" w:type="dxa"/>
            <w:vAlign w:val="bottom"/>
            <w:shd w:val="clear" w:color="auto" w:fill="F3F3F9"/>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20" w:type="dxa"/>
            <w:vAlign w:val="bottom"/>
            <w:shd w:val="clear" w:color="auto" w:fill="F3F3F9"/>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0"/>
                <w:szCs w:val="20"/>
                <w:color w:val="auto"/>
              </w:rPr>
            </w:pPr>
          </w:p>
        </w:tc>
        <w:tc>
          <w:tcPr>
            <w:tcW w:w="60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60" w:type="dxa"/>
            <w:vAlign w:val="bottom"/>
            <w:tcBorders>
              <w:bottom w:val="single" w:sz="8" w:color="143A84"/>
            </w:tcBorders>
          </w:tcPr>
          <w:p>
            <w:pPr>
              <w:spacing w:after="0"/>
              <w:rPr>
                <w:sz w:val="20"/>
                <w:szCs w:val="20"/>
                <w:color w:val="auto"/>
              </w:rPr>
            </w:pPr>
          </w:p>
        </w:tc>
        <w:tc>
          <w:tcPr>
            <w:tcW w:w="11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0"/>
                <w:szCs w:val="20"/>
                <w:color w:val="auto"/>
              </w:rPr>
            </w:pPr>
          </w:p>
        </w:tc>
        <w:tc>
          <w:tcPr>
            <w:tcW w:w="64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16"/>
        </w:trPr>
        <w:tc>
          <w:tcPr>
            <w:tcW w:w="1060" w:type="dxa"/>
            <w:vAlign w:val="bottom"/>
            <w:shd w:val="clear" w:color="auto" w:fill="F3F3F9"/>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Capitalized development</w:t>
            </w:r>
          </w:p>
        </w:tc>
        <w:tc>
          <w:tcPr>
            <w:tcW w:w="1120" w:type="dxa"/>
            <w:vAlign w:val="bottom"/>
            <w:shd w:val="clear" w:color="auto" w:fill="F3F3F9"/>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703</w:t>
            </w:r>
          </w:p>
        </w:tc>
        <w:tc>
          <w:tcPr>
            <w:tcW w:w="660" w:type="dxa"/>
            <w:vAlign w:val="bottom"/>
            <w:tcBorders>
              <w:bottom w:val="single" w:sz="8" w:color="8E939F"/>
            </w:tcBorders>
          </w:tcPr>
          <w:p>
            <w:pPr>
              <w:spacing w:after="0"/>
              <w:rPr>
                <w:sz w:val="20"/>
                <w:szCs w:val="20"/>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776</w:t>
            </w:r>
          </w:p>
        </w:tc>
        <w:tc>
          <w:tcPr>
            <w:tcW w:w="17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(9.4%)</w:t>
            </w:r>
          </w:p>
        </w:tc>
        <w:tc>
          <w:tcPr>
            <w:tcW w:w="2960" w:type="dxa"/>
            <w:vAlign w:val="bottom"/>
            <w:tcBorders>
              <w:bottom w:val="single" w:sz="8" w:color="8E939F"/>
            </w:tcBorders>
          </w:tcPr>
          <w:p>
            <w:pPr>
              <w:ind w:left="120"/>
              <w:spacing w:after="0" w:line="240" w:lineRule="exact"/>
              <w:rPr>
                <w:sz w:val="20"/>
                <w:szCs w:val="20"/>
                <w:color w:val="auto"/>
              </w:rPr>
            </w:pPr>
            <w:r>
              <w:rPr>
                <w:rFonts w:ascii="Arial" w:cs="Arial" w:eastAsia="Arial" w:hAnsi="Arial"/>
                <w:sz w:val="16"/>
                <w:szCs w:val="16"/>
                <w:color w:val="auto"/>
              </w:rPr>
              <w:t>expenditures excl. borrowing costs</w:t>
            </w:r>
            <w:r>
              <w:rPr>
                <w:rFonts w:ascii="Arial" w:cs="Arial" w:eastAsia="Arial" w:hAnsi="Arial"/>
                <w:sz w:val="21"/>
                <w:szCs w:val="21"/>
                <w:color w:val="auto"/>
                <w:vertAlign w:val="superscript"/>
              </w:rPr>
              <w:t>(1)</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1,976</w:t>
            </w:r>
          </w:p>
        </w:tc>
        <w:tc>
          <w:tcPr>
            <w:tcW w:w="660" w:type="dxa"/>
            <w:vAlign w:val="bottom"/>
            <w:tcBorders>
              <w:bottom w:val="single" w:sz="8" w:color="8E939F"/>
            </w:tcBorders>
          </w:tcPr>
          <w:p>
            <w:pPr>
              <w:spacing w:after="0"/>
              <w:rPr>
                <w:sz w:val="20"/>
                <w:szCs w:val="20"/>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2,481</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22"/>
        </w:trPr>
        <w:tc>
          <w:tcPr>
            <w:tcW w:w="1060" w:type="dxa"/>
            <w:vAlign w:val="bottom"/>
            <w:shd w:val="clear" w:color="auto" w:fill="F3F3F9"/>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120" w:type="dxa"/>
            <w:vAlign w:val="bottom"/>
            <w:shd w:val="clear" w:color="auto" w:fill="F3F3F9"/>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822</w:t>
            </w:r>
          </w:p>
        </w:tc>
        <w:tc>
          <w:tcPr>
            <w:tcW w:w="660" w:type="dxa"/>
            <w:vAlign w:val="bottom"/>
            <w:tcBorders>
              <w:bottom w:val="single" w:sz="8" w:color="8E939F"/>
            </w:tcBorders>
          </w:tcPr>
          <w:p>
            <w:pPr>
              <w:spacing w:after="0"/>
              <w:rPr>
                <w:sz w:val="19"/>
                <w:szCs w:val="19"/>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590</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39.3%</w:t>
            </w:r>
          </w:p>
        </w:tc>
        <w:tc>
          <w:tcPr>
            <w:tcW w:w="29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expenditures expensed</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2,491</w:t>
            </w:r>
          </w:p>
        </w:tc>
        <w:tc>
          <w:tcPr>
            <w:tcW w:w="660" w:type="dxa"/>
            <w:vAlign w:val="bottom"/>
            <w:tcBorders>
              <w:bottom w:val="single" w:sz="8" w:color="8E939F"/>
            </w:tcBorders>
          </w:tcPr>
          <w:p>
            <w:pPr>
              <w:spacing w:after="0"/>
              <w:rPr>
                <w:sz w:val="19"/>
                <w:szCs w:val="19"/>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2,001</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84"/>
        </w:trPr>
        <w:tc>
          <w:tcPr>
            <w:tcW w:w="106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1,525</w:t>
            </w:r>
          </w:p>
        </w:tc>
        <w:tc>
          <w:tcPr>
            <w:tcW w:w="660" w:type="dxa"/>
            <w:vAlign w:val="bottom"/>
            <w:shd w:val="clear" w:color="auto" w:fill="E6E7F4"/>
          </w:tcPr>
          <w:p>
            <w:pPr>
              <w:spacing w:after="0"/>
              <w:rPr>
                <w:sz w:val="24"/>
                <w:szCs w:val="24"/>
                <w:color w:val="auto"/>
              </w:rPr>
            </w:pPr>
          </w:p>
        </w:tc>
        <w:tc>
          <w:tcPr>
            <w:tcW w:w="600" w:type="dxa"/>
            <w:vAlign w:val="bottom"/>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1,366</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243782"/>
              </w:rPr>
              <w:t>11.6%</w:t>
            </w:r>
          </w:p>
        </w:tc>
        <w:tc>
          <w:tcPr>
            <w:tcW w:w="2960" w:type="dxa"/>
            <w:vAlign w:val="bottom"/>
            <w:shd w:val="clear" w:color="auto" w:fill="E6E7F4"/>
          </w:tcPr>
          <w:p>
            <w:pPr>
              <w:ind w:left="120"/>
              <w:spacing w:after="0"/>
              <w:rPr>
                <w:sz w:val="20"/>
                <w:szCs w:val="20"/>
                <w:color w:val="auto"/>
              </w:rPr>
            </w:pPr>
            <w:r>
              <w:rPr>
                <w:rFonts w:ascii="Arial" w:cs="Arial" w:eastAsia="Arial" w:hAnsi="Arial"/>
                <w:sz w:val="16"/>
                <w:szCs w:val="16"/>
                <w:b w:val="1"/>
                <w:bCs w:val="1"/>
                <w:color w:val="243782"/>
              </w:rPr>
              <w:t>Total Research and development</w:t>
            </w:r>
          </w:p>
        </w:tc>
        <w:tc>
          <w:tcPr>
            <w:tcW w:w="112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4,467</w:t>
            </w:r>
          </w:p>
        </w:tc>
        <w:tc>
          <w:tcPr>
            <w:tcW w:w="660" w:type="dxa"/>
            <w:vAlign w:val="bottom"/>
            <w:shd w:val="clear" w:color="auto" w:fill="E6E7F4"/>
          </w:tcPr>
          <w:p>
            <w:pPr>
              <w:spacing w:after="0"/>
              <w:rPr>
                <w:sz w:val="24"/>
                <w:szCs w:val="24"/>
                <w:color w:val="auto"/>
              </w:rPr>
            </w:pPr>
          </w:p>
        </w:tc>
        <w:tc>
          <w:tcPr>
            <w:tcW w:w="640" w:type="dxa"/>
            <w:vAlign w:val="bottom"/>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4,482</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243782"/>
              </w:rPr>
              <w:t>(0.3%)</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8E939F"/>
            </w:tcBorders>
            <w:shd w:val="clear" w:color="auto" w:fill="E6E7F4"/>
          </w:tcPr>
          <w:p>
            <w:pPr>
              <w:spacing w:after="0"/>
              <w:rPr>
                <w:sz w:val="15"/>
                <w:szCs w:val="15"/>
                <w:color w:val="auto"/>
              </w:rPr>
            </w:pPr>
          </w:p>
        </w:tc>
        <w:tc>
          <w:tcPr>
            <w:tcW w:w="660" w:type="dxa"/>
            <w:vAlign w:val="bottom"/>
            <w:tcBorders>
              <w:bottom w:val="single" w:sz="8" w:color="8E939F"/>
            </w:tcBorders>
            <w:shd w:val="clear" w:color="auto" w:fill="E6E7F4"/>
          </w:tcPr>
          <w:p>
            <w:pPr>
              <w:spacing w:after="0"/>
              <w:rPr>
                <w:sz w:val="15"/>
                <w:szCs w:val="15"/>
                <w:color w:val="auto"/>
              </w:rPr>
            </w:pPr>
          </w:p>
        </w:tc>
        <w:tc>
          <w:tcPr>
            <w:tcW w:w="600" w:type="dxa"/>
            <w:vAlign w:val="bottom"/>
            <w:tcBorders>
              <w:bottom w:val="single" w:sz="8" w:color="8E939F"/>
            </w:tcBorders>
            <w:shd w:val="clear" w:color="auto" w:fill="E6E7F4"/>
          </w:tcPr>
          <w:p>
            <w:pPr>
              <w:spacing w:after="0"/>
              <w:rPr>
                <w:sz w:val="15"/>
                <w:szCs w:val="15"/>
                <w:color w:val="auto"/>
              </w:rPr>
            </w:pPr>
          </w:p>
        </w:tc>
        <w:tc>
          <w:tcPr>
            <w:tcW w:w="1780" w:type="dxa"/>
            <w:vAlign w:val="bottom"/>
            <w:tcBorders>
              <w:bottom w:val="single" w:sz="8" w:color="8E939F"/>
            </w:tcBorders>
          </w:tcPr>
          <w:p>
            <w:pPr>
              <w:spacing w:after="0"/>
              <w:rPr>
                <w:sz w:val="15"/>
                <w:szCs w:val="15"/>
                <w:color w:val="auto"/>
              </w:rPr>
            </w:pPr>
          </w:p>
        </w:tc>
        <w:tc>
          <w:tcPr>
            <w:tcW w:w="2960" w:type="dxa"/>
            <w:vAlign w:val="bottom"/>
            <w:tcBorders>
              <w:bottom w:val="single" w:sz="8" w:color="8E939F"/>
            </w:tcBorders>
            <w:shd w:val="clear" w:color="auto" w:fill="E6E7F4"/>
          </w:tcPr>
          <w:p>
            <w:pPr>
              <w:ind w:left="120"/>
              <w:spacing w:after="0" w:line="175" w:lineRule="exact"/>
              <w:rPr>
                <w:sz w:val="20"/>
                <w:szCs w:val="20"/>
                <w:color w:val="auto"/>
              </w:rPr>
            </w:pPr>
            <w:r>
              <w:rPr>
                <w:rFonts w:ascii="Arial" w:cs="Arial" w:eastAsia="Arial" w:hAnsi="Arial"/>
                <w:sz w:val="16"/>
                <w:szCs w:val="16"/>
                <w:b w:val="1"/>
                <w:bCs w:val="1"/>
                <w:color w:val="243782"/>
              </w:rPr>
              <w:t>expenditures</w:t>
            </w:r>
          </w:p>
        </w:tc>
        <w:tc>
          <w:tcPr>
            <w:tcW w:w="1120" w:type="dxa"/>
            <w:vAlign w:val="bottom"/>
            <w:tcBorders>
              <w:bottom w:val="single" w:sz="8" w:color="8E939F"/>
            </w:tcBorders>
            <w:shd w:val="clear" w:color="auto" w:fill="E6E7F4"/>
          </w:tcPr>
          <w:p>
            <w:pPr>
              <w:spacing w:after="0"/>
              <w:rPr>
                <w:sz w:val="15"/>
                <w:szCs w:val="15"/>
                <w:color w:val="auto"/>
              </w:rPr>
            </w:pPr>
          </w:p>
        </w:tc>
        <w:tc>
          <w:tcPr>
            <w:tcW w:w="660" w:type="dxa"/>
            <w:vAlign w:val="bottom"/>
            <w:tcBorders>
              <w:bottom w:val="single" w:sz="8" w:color="8E939F"/>
            </w:tcBorders>
            <w:shd w:val="clear" w:color="auto" w:fill="E6E7F4"/>
          </w:tcPr>
          <w:p>
            <w:pPr>
              <w:spacing w:after="0"/>
              <w:rPr>
                <w:sz w:val="15"/>
                <w:szCs w:val="15"/>
                <w:color w:val="auto"/>
              </w:rPr>
            </w:pPr>
          </w:p>
        </w:tc>
        <w:tc>
          <w:tcPr>
            <w:tcW w:w="640" w:type="dxa"/>
            <w:vAlign w:val="bottom"/>
            <w:tcBorders>
              <w:bottom w:val="single" w:sz="8" w:color="8E939F"/>
            </w:tcBorders>
            <w:shd w:val="clear" w:color="auto" w:fill="E6E7F4"/>
          </w:tcPr>
          <w:p>
            <w:pPr>
              <w:spacing w:after="0"/>
              <w:rPr>
                <w:sz w:val="15"/>
                <w:szCs w:val="15"/>
                <w:color w:val="auto"/>
              </w:rPr>
            </w:pPr>
          </w:p>
        </w:tc>
        <w:tc>
          <w:tcPr>
            <w:tcW w:w="1760" w:type="dxa"/>
            <w:vAlign w:val="bottom"/>
            <w:tcBorders>
              <w:bottom w:val="single" w:sz="8" w:color="8E939F"/>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6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spacing w:after="0"/>
              <w:rPr>
                <w:sz w:val="21"/>
                <w:szCs w:val="21"/>
                <w:color w:val="auto"/>
              </w:rPr>
            </w:pPr>
          </w:p>
        </w:tc>
        <w:tc>
          <w:tcPr>
            <w:tcW w:w="600" w:type="dxa"/>
            <w:vAlign w:val="bottom"/>
            <w:tcBorders>
              <w:bottom w:val="single" w:sz="8" w:color="8E939F"/>
            </w:tcBorders>
          </w:tcPr>
          <w:p>
            <w:pPr>
              <w:spacing w:after="0"/>
              <w:rPr>
                <w:sz w:val="21"/>
                <w:szCs w:val="21"/>
                <w:color w:val="auto"/>
              </w:rPr>
            </w:pPr>
          </w:p>
        </w:tc>
        <w:tc>
          <w:tcPr>
            <w:tcW w:w="1780" w:type="dxa"/>
            <w:vAlign w:val="bottom"/>
            <w:tcBorders>
              <w:bottom w:val="single" w:sz="8" w:color="8E939F"/>
            </w:tcBorders>
          </w:tcPr>
          <w:p>
            <w:pPr>
              <w:spacing w:after="0"/>
              <w:rPr>
                <w:sz w:val="21"/>
                <w:szCs w:val="21"/>
                <w:color w:val="auto"/>
              </w:rPr>
            </w:pPr>
          </w:p>
        </w:tc>
        <w:tc>
          <w:tcPr>
            <w:tcW w:w="2960" w:type="dxa"/>
            <w:vAlign w:val="bottom"/>
            <w:tcBorders>
              <w:bottom w:val="single" w:sz="8" w:color="8E939F"/>
            </w:tcBorders>
          </w:tcPr>
          <w:p>
            <w:pPr>
              <w:spacing w:after="0"/>
              <w:rPr>
                <w:sz w:val="21"/>
                <w:szCs w:val="21"/>
                <w:color w:val="auto"/>
              </w:rPr>
            </w:pPr>
          </w:p>
        </w:tc>
        <w:tc>
          <w:tcPr>
            <w:tcW w:w="112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spacing w:after="0"/>
              <w:rPr>
                <w:sz w:val="21"/>
                <w:szCs w:val="21"/>
                <w:color w:val="auto"/>
              </w:rPr>
            </w:pPr>
          </w:p>
        </w:tc>
        <w:tc>
          <w:tcPr>
            <w:tcW w:w="640" w:type="dxa"/>
            <w:vAlign w:val="bottom"/>
            <w:tcBorders>
              <w:bottom w:val="single" w:sz="8" w:color="8E939F"/>
            </w:tcBorders>
          </w:tcPr>
          <w:p>
            <w:pPr>
              <w:spacing w:after="0"/>
              <w:rPr>
                <w:sz w:val="21"/>
                <w:szCs w:val="21"/>
                <w:color w:val="auto"/>
              </w:rPr>
            </w:pPr>
          </w:p>
        </w:tc>
        <w:tc>
          <w:tcPr>
            <w:tcW w:w="176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0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46.1%</w:t>
            </w:r>
          </w:p>
        </w:tc>
        <w:tc>
          <w:tcPr>
            <w:tcW w:w="660" w:type="dxa"/>
            <w:vAlign w:val="bottom"/>
          </w:tcPr>
          <w:p>
            <w:pPr>
              <w:spacing w:after="0"/>
              <w:rPr>
                <w:sz w:val="19"/>
                <w:szCs w:val="19"/>
                <w:color w:val="auto"/>
              </w:rPr>
            </w:pPr>
          </w:p>
        </w:tc>
        <w:tc>
          <w:tcPr>
            <w:tcW w:w="600" w:type="dxa"/>
            <w:vAlign w:val="bottom"/>
            <w:vMerge w:val="restart"/>
          </w:tcPr>
          <w:p>
            <w:pPr>
              <w:jc w:val="right"/>
              <w:ind w:right="19"/>
              <w:spacing w:after="0"/>
              <w:rPr>
                <w:sz w:val="20"/>
                <w:szCs w:val="20"/>
                <w:color w:val="auto"/>
              </w:rPr>
            </w:pPr>
            <w:r>
              <w:rPr>
                <w:rFonts w:ascii="Arial" w:cs="Arial" w:eastAsia="Arial" w:hAnsi="Arial"/>
                <w:sz w:val="16"/>
                <w:szCs w:val="16"/>
                <w:color w:val="auto"/>
              </w:rPr>
              <w:t>56.8%</w:t>
            </w:r>
          </w:p>
        </w:tc>
        <w:tc>
          <w:tcPr>
            <w:tcW w:w="178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Capitalized development</w:t>
            </w:r>
          </w:p>
        </w:tc>
        <w:tc>
          <w:tcPr>
            <w:tcW w:w="112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44.2%</w:t>
            </w:r>
          </w:p>
        </w:tc>
        <w:tc>
          <w:tcPr>
            <w:tcW w:w="660" w:type="dxa"/>
            <w:vAlign w:val="bottom"/>
          </w:tcPr>
          <w:p>
            <w:pPr>
              <w:spacing w:after="0"/>
              <w:rPr>
                <w:sz w:val="19"/>
                <w:szCs w:val="19"/>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55.4%</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60" w:type="dxa"/>
            <w:vAlign w:val="bottom"/>
            <w:vMerge w:val="continue"/>
            <w:shd w:val="clear" w:color="auto" w:fill="F3F3F9"/>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expenditures as % of Total Research</w:t>
            </w:r>
          </w:p>
        </w:tc>
        <w:tc>
          <w:tcPr>
            <w:tcW w:w="1120" w:type="dxa"/>
            <w:vAlign w:val="bottom"/>
            <w:vMerge w:val="continue"/>
            <w:shd w:val="clear" w:color="auto" w:fill="F3F3F9"/>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Borders>
              <w:bottom w:val="single" w:sz="8" w:color="8E939F"/>
            </w:tcBorders>
            <w:shd w:val="clear" w:color="auto" w:fill="F3F3F9"/>
          </w:tcPr>
          <w:p>
            <w:pPr>
              <w:spacing w:after="0"/>
              <w:rPr>
                <w:sz w:val="19"/>
                <w:szCs w:val="19"/>
                <w:color w:val="auto"/>
              </w:rPr>
            </w:pPr>
          </w:p>
        </w:tc>
        <w:tc>
          <w:tcPr>
            <w:tcW w:w="660" w:type="dxa"/>
            <w:vAlign w:val="bottom"/>
            <w:tcBorders>
              <w:bottom w:val="single" w:sz="8" w:color="8E939F"/>
            </w:tcBorders>
          </w:tcPr>
          <w:p>
            <w:pPr>
              <w:spacing w:after="0"/>
              <w:rPr>
                <w:sz w:val="19"/>
                <w:szCs w:val="19"/>
                <w:color w:val="auto"/>
              </w:rPr>
            </w:pPr>
          </w:p>
        </w:tc>
        <w:tc>
          <w:tcPr>
            <w:tcW w:w="600" w:type="dxa"/>
            <w:vAlign w:val="bottom"/>
            <w:tcBorders>
              <w:bottom w:val="single" w:sz="8" w:color="8E939F"/>
            </w:tcBorders>
          </w:tcPr>
          <w:p>
            <w:pPr>
              <w:spacing w:after="0"/>
              <w:rPr>
                <w:sz w:val="19"/>
                <w:szCs w:val="19"/>
                <w:color w:val="auto"/>
              </w:rPr>
            </w:pPr>
          </w:p>
        </w:tc>
        <w:tc>
          <w:tcPr>
            <w:tcW w:w="1780" w:type="dxa"/>
            <w:vAlign w:val="bottom"/>
            <w:tcBorders>
              <w:bottom w:val="single" w:sz="8" w:color="8E939F"/>
            </w:tcBorders>
          </w:tcPr>
          <w:p>
            <w:pPr>
              <w:spacing w:after="0"/>
              <w:rPr>
                <w:sz w:val="19"/>
                <w:szCs w:val="19"/>
                <w:color w:val="auto"/>
              </w:rPr>
            </w:pPr>
          </w:p>
        </w:tc>
        <w:tc>
          <w:tcPr>
            <w:tcW w:w="29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and development expenditures</w:t>
            </w:r>
          </w:p>
        </w:tc>
        <w:tc>
          <w:tcPr>
            <w:tcW w:w="1120" w:type="dxa"/>
            <w:vAlign w:val="bottom"/>
            <w:tcBorders>
              <w:bottom w:val="single" w:sz="8" w:color="8E939F"/>
            </w:tcBorders>
            <w:shd w:val="clear" w:color="auto" w:fill="F3F3F9"/>
          </w:tcPr>
          <w:p>
            <w:pPr>
              <w:spacing w:after="0"/>
              <w:rPr>
                <w:sz w:val="19"/>
                <w:szCs w:val="19"/>
                <w:color w:val="auto"/>
              </w:rPr>
            </w:pPr>
          </w:p>
        </w:tc>
        <w:tc>
          <w:tcPr>
            <w:tcW w:w="660" w:type="dxa"/>
            <w:vAlign w:val="bottom"/>
            <w:tcBorders>
              <w:bottom w:val="single" w:sz="8" w:color="8E939F"/>
            </w:tcBorders>
          </w:tcPr>
          <w:p>
            <w:pPr>
              <w:spacing w:after="0"/>
              <w:rPr>
                <w:sz w:val="19"/>
                <w:szCs w:val="19"/>
                <w:color w:val="auto"/>
              </w:rPr>
            </w:pPr>
          </w:p>
        </w:tc>
        <w:tc>
          <w:tcPr>
            <w:tcW w:w="64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4.1%</w:t>
            </w:r>
          </w:p>
        </w:tc>
        <w:tc>
          <w:tcPr>
            <w:tcW w:w="660" w:type="dxa"/>
            <w:vAlign w:val="bottom"/>
            <w:shd w:val="clear" w:color="auto" w:fill="E6E7F4"/>
          </w:tcPr>
          <w:p>
            <w:pPr>
              <w:spacing w:after="0"/>
              <w:rPr>
                <w:sz w:val="19"/>
                <w:szCs w:val="19"/>
                <w:color w:val="auto"/>
              </w:rPr>
            </w:pPr>
          </w:p>
        </w:tc>
        <w:tc>
          <w:tcPr>
            <w:tcW w:w="600" w:type="dxa"/>
            <w:vAlign w:val="bottom"/>
            <w:vMerge w:val="restart"/>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3.7%</w:t>
            </w:r>
          </w:p>
        </w:tc>
        <w:tc>
          <w:tcPr>
            <w:tcW w:w="1780" w:type="dxa"/>
            <w:vAlign w:val="bottom"/>
            <w:shd w:val="clear" w:color="auto" w:fill="E6E7F4"/>
          </w:tcPr>
          <w:p>
            <w:pPr>
              <w:spacing w:after="0"/>
              <w:rPr>
                <w:sz w:val="19"/>
                <w:szCs w:val="19"/>
                <w:color w:val="auto"/>
              </w:rPr>
            </w:pPr>
          </w:p>
        </w:tc>
        <w:tc>
          <w:tcPr>
            <w:tcW w:w="2960" w:type="dxa"/>
            <w:vAlign w:val="bottom"/>
            <w:shd w:val="clear" w:color="auto" w:fill="E6E7F4"/>
          </w:tcPr>
          <w:p>
            <w:pPr>
              <w:ind w:left="120"/>
              <w:spacing w:after="0"/>
              <w:rPr>
                <w:sz w:val="20"/>
                <w:szCs w:val="20"/>
                <w:color w:val="auto"/>
              </w:rPr>
            </w:pPr>
            <w:r>
              <w:rPr>
                <w:rFonts w:ascii="Arial" w:cs="Arial" w:eastAsia="Arial" w:hAnsi="Arial"/>
                <w:sz w:val="16"/>
                <w:szCs w:val="16"/>
                <w:b w:val="1"/>
                <w:bCs w:val="1"/>
                <w:color w:val="243782"/>
              </w:rPr>
              <w:t>Total Research and development</w:t>
            </w:r>
          </w:p>
        </w:tc>
        <w:tc>
          <w:tcPr>
            <w:tcW w:w="112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3.7%</w:t>
            </w:r>
          </w:p>
        </w:tc>
        <w:tc>
          <w:tcPr>
            <w:tcW w:w="660" w:type="dxa"/>
            <w:vAlign w:val="bottom"/>
            <w:shd w:val="clear" w:color="auto" w:fill="E6E7F4"/>
          </w:tcPr>
          <w:p>
            <w:pPr>
              <w:spacing w:after="0"/>
              <w:rPr>
                <w:sz w:val="19"/>
                <w:szCs w:val="19"/>
                <w:color w:val="auto"/>
              </w:rPr>
            </w:pPr>
          </w:p>
        </w:tc>
        <w:tc>
          <w:tcPr>
            <w:tcW w:w="640" w:type="dxa"/>
            <w:vAlign w:val="bottom"/>
            <w:vMerge w:val="restart"/>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4.0%</w:t>
            </w:r>
          </w:p>
        </w:tc>
        <w:tc>
          <w:tcPr>
            <w:tcW w:w="176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shd w:val="clear" w:color="auto" w:fill="E6E7F4"/>
          </w:tcPr>
          <w:p>
            <w:pPr>
              <w:spacing w:after="0"/>
              <w:rPr>
                <w:sz w:val="9"/>
                <w:szCs w:val="9"/>
                <w:color w:val="auto"/>
              </w:rPr>
            </w:pPr>
          </w:p>
        </w:tc>
        <w:tc>
          <w:tcPr>
            <w:tcW w:w="660" w:type="dxa"/>
            <w:vAlign w:val="bottom"/>
            <w:shd w:val="clear" w:color="auto" w:fill="E6E7F4"/>
          </w:tcPr>
          <w:p>
            <w:pPr>
              <w:spacing w:after="0"/>
              <w:rPr>
                <w:sz w:val="9"/>
                <w:szCs w:val="9"/>
                <w:color w:val="auto"/>
              </w:rPr>
            </w:pPr>
          </w:p>
        </w:tc>
        <w:tc>
          <w:tcPr>
            <w:tcW w:w="600" w:type="dxa"/>
            <w:vAlign w:val="bottom"/>
            <w:vMerge w:val="continue"/>
            <w:shd w:val="clear" w:color="auto" w:fill="E6E7F4"/>
          </w:tcPr>
          <w:p>
            <w:pPr>
              <w:spacing w:after="0"/>
              <w:rPr>
                <w:sz w:val="9"/>
                <w:szCs w:val="9"/>
                <w:color w:val="auto"/>
              </w:rPr>
            </w:pPr>
          </w:p>
        </w:tc>
        <w:tc>
          <w:tcPr>
            <w:tcW w:w="1780" w:type="dxa"/>
            <w:vAlign w:val="bottom"/>
            <w:shd w:val="clear" w:color="auto" w:fill="E6E7F4"/>
          </w:tcPr>
          <w:p>
            <w:pPr>
              <w:spacing w:after="0"/>
              <w:rPr>
                <w:sz w:val="9"/>
                <w:szCs w:val="9"/>
                <w:color w:val="auto"/>
              </w:rPr>
            </w:pPr>
          </w:p>
        </w:tc>
        <w:tc>
          <w:tcPr>
            <w:tcW w:w="2960" w:type="dxa"/>
            <w:vAlign w:val="bottom"/>
            <w:vMerge w:val="restart"/>
            <w:shd w:val="clear" w:color="auto" w:fill="E6E7F4"/>
          </w:tcPr>
          <w:p>
            <w:pPr>
              <w:ind w:left="120"/>
              <w:spacing w:after="0"/>
              <w:rPr>
                <w:sz w:val="20"/>
                <w:szCs w:val="20"/>
                <w:color w:val="auto"/>
              </w:rPr>
            </w:pPr>
            <w:r>
              <w:rPr>
                <w:rFonts w:ascii="Arial" w:cs="Arial" w:eastAsia="Arial" w:hAnsi="Arial"/>
                <w:sz w:val="16"/>
                <w:szCs w:val="16"/>
                <w:b w:val="1"/>
                <w:bCs w:val="1"/>
                <w:color w:val="243782"/>
              </w:rPr>
              <w:t>expenditures as % of Net revenues</w:t>
            </w:r>
          </w:p>
        </w:tc>
        <w:tc>
          <w:tcPr>
            <w:tcW w:w="1120" w:type="dxa"/>
            <w:vAlign w:val="bottom"/>
            <w:vMerge w:val="continue"/>
            <w:shd w:val="clear" w:color="auto" w:fill="E6E7F4"/>
          </w:tcPr>
          <w:p>
            <w:pPr>
              <w:spacing w:after="0"/>
              <w:rPr>
                <w:sz w:val="9"/>
                <w:szCs w:val="9"/>
                <w:color w:val="auto"/>
              </w:rPr>
            </w:pPr>
          </w:p>
        </w:tc>
        <w:tc>
          <w:tcPr>
            <w:tcW w:w="660" w:type="dxa"/>
            <w:vAlign w:val="bottom"/>
            <w:shd w:val="clear" w:color="auto" w:fill="E6E7F4"/>
          </w:tcPr>
          <w:p>
            <w:pPr>
              <w:spacing w:after="0"/>
              <w:rPr>
                <w:sz w:val="9"/>
                <w:szCs w:val="9"/>
                <w:color w:val="auto"/>
              </w:rPr>
            </w:pPr>
          </w:p>
        </w:tc>
        <w:tc>
          <w:tcPr>
            <w:tcW w:w="640" w:type="dxa"/>
            <w:vAlign w:val="bottom"/>
            <w:vMerge w:val="continue"/>
            <w:shd w:val="clear" w:color="auto" w:fill="E6E7F4"/>
          </w:tcPr>
          <w:p>
            <w:pPr>
              <w:spacing w:after="0"/>
              <w:rPr>
                <w:sz w:val="9"/>
                <w:szCs w:val="9"/>
                <w:color w:val="auto"/>
              </w:rPr>
            </w:pPr>
          </w:p>
        </w:tc>
        <w:tc>
          <w:tcPr>
            <w:tcW w:w="1760" w:type="dxa"/>
            <w:vAlign w:val="bottom"/>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tcBorders>
              <w:bottom w:val="single" w:sz="8" w:color="8E939F"/>
            </w:tcBorders>
            <w:shd w:val="clear" w:color="auto" w:fill="E6E7F4"/>
          </w:tcPr>
          <w:p>
            <w:pPr>
              <w:spacing w:after="0"/>
              <w:rPr>
                <w:sz w:val="9"/>
                <w:szCs w:val="9"/>
                <w:color w:val="auto"/>
              </w:rPr>
            </w:pPr>
          </w:p>
        </w:tc>
        <w:tc>
          <w:tcPr>
            <w:tcW w:w="660" w:type="dxa"/>
            <w:vAlign w:val="bottom"/>
            <w:tcBorders>
              <w:bottom w:val="single" w:sz="8" w:color="8E939F"/>
            </w:tcBorders>
            <w:shd w:val="clear" w:color="auto" w:fill="E6E7F4"/>
          </w:tcPr>
          <w:p>
            <w:pPr>
              <w:spacing w:after="0"/>
              <w:rPr>
                <w:sz w:val="9"/>
                <w:szCs w:val="9"/>
                <w:color w:val="auto"/>
              </w:rPr>
            </w:pPr>
          </w:p>
        </w:tc>
        <w:tc>
          <w:tcPr>
            <w:tcW w:w="600" w:type="dxa"/>
            <w:vAlign w:val="bottom"/>
            <w:tcBorders>
              <w:bottom w:val="single" w:sz="8" w:color="8E939F"/>
            </w:tcBorders>
            <w:shd w:val="clear" w:color="auto" w:fill="E6E7F4"/>
          </w:tcPr>
          <w:p>
            <w:pPr>
              <w:spacing w:after="0"/>
              <w:rPr>
                <w:sz w:val="9"/>
                <w:szCs w:val="9"/>
                <w:color w:val="auto"/>
              </w:rPr>
            </w:pPr>
          </w:p>
        </w:tc>
        <w:tc>
          <w:tcPr>
            <w:tcW w:w="1780" w:type="dxa"/>
            <w:vAlign w:val="bottom"/>
            <w:tcBorders>
              <w:bottom w:val="single" w:sz="8" w:color="8E939F"/>
            </w:tcBorders>
            <w:shd w:val="clear" w:color="auto" w:fill="E6E7F4"/>
          </w:tcPr>
          <w:p>
            <w:pPr>
              <w:spacing w:after="0"/>
              <w:rPr>
                <w:sz w:val="9"/>
                <w:szCs w:val="9"/>
                <w:color w:val="auto"/>
              </w:rPr>
            </w:pPr>
          </w:p>
        </w:tc>
        <w:tc>
          <w:tcPr>
            <w:tcW w:w="2960" w:type="dxa"/>
            <w:vAlign w:val="bottom"/>
            <w:tcBorders>
              <w:bottom w:val="single" w:sz="8" w:color="8E939F"/>
            </w:tcBorders>
            <w:vMerge w:val="continue"/>
            <w:shd w:val="clear" w:color="auto" w:fill="E6E7F4"/>
          </w:tcPr>
          <w:p>
            <w:pPr>
              <w:spacing w:after="0"/>
              <w:rPr>
                <w:sz w:val="9"/>
                <w:szCs w:val="9"/>
                <w:color w:val="auto"/>
              </w:rPr>
            </w:pPr>
          </w:p>
        </w:tc>
        <w:tc>
          <w:tcPr>
            <w:tcW w:w="1120" w:type="dxa"/>
            <w:vAlign w:val="bottom"/>
            <w:tcBorders>
              <w:bottom w:val="single" w:sz="8" w:color="8E939F"/>
            </w:tcBorders>
            <w:shd w:val="clear" w:color="auto" w:fill="E6E7F4"/>
          </w:tcPr>
          <w:p>
            <w:pPr>
              <w:spacing w:after="0"/>
              <w:rPr>
                <w:sz w:val="9"/>
                <w:szCs w:val="9"/>
                <w:color w:val="auto"/>
              </w:rPr>
            </w:pPr>
          </w:p>
        </w:tc>
        <w:tc>
          <w:tcPr>
            <w:tcW w:w="660" w:type="dxa"/>
            <w:vAlign w:val="bottom"/>
            <w:tcBorders>
              <w:bottom w:val="single" w:sz="8" w:color="8E939F"/>
            </w:tcBorders>
            <w:shd w:val="clear" w:color="auto" w:fill="E6E7F4"/>
          </w:tcPr>
          <w:p>
            <w:pPr>
              <w:spacing w:after="0"/>
              <w:rPr>
                <w:sz w:val="9"/>
                <w:szCs w:val="9"/>
                <w:color w:val="auto"/>
              </w:rPr>
            </w:pPr>
          </w:p>
        </w:tc>
        <w:tc>
          <w:tcPr>
            <w:tcW w:w="640" w:type="dxa"/>
            <w:vAlign w:val="bottom"/>
            <w:tcBorders>
              <w:bottom w:val="single" w:sz="8" w:color="8E939F"/>
            </w:tcBorders>
            <w:shd w:val="clear" w:color="auto" w:fill="E6E7F4"/>
          </w:tcPr>
          <w:p>
            <w:pPr>
              <w:spacing w:after="0"/>
              <w:rPr>
                <w:sz w:val="9"/>
                <w:szCs w:val="9"/>
                <w:color w:val="auto"/>
              </w:rPr>
            </w:pPr>
          </w:p>
        </w:tc>
        <w:tc>
          <w:tcPr>
            <w:tcW w:w="1760" w:type="dxa"/>
            <w:vAlign w:val="bottom"/>
            <w:tcBorders>
              <w:bottom w:val="single" w:sz="8" w:color="8E939F"/>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-1799590</wp:posOffset>
            </wp:positionV>
            <wp:extent cx="112268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9004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-1799590</wp:posOffset>
            </wp:positionV>
            <wp:extent cx="1122680" cy="900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2680" cy="900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(1) Additions to capitalized development expenditures of €739 million and €836 million for the three months ended September 30, 2026 and 2025, respectively, and</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€2,055 million and €2,658 million for the nine months ended September 30, 2026 and 2025, respectively, were adjusted in each case to remove capitalized borrowing costs of €36 million and €60 million for the three months ended September 30, 2026 and 2025, respectively, and €79 million and €177 million for the nine months ended September 30, 2026 and 2025, respectively, in accordance with IAS 23 – Borrowing Costs (Revised)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spacing w:after="0" w:line="309" w:lineRule="auto"/>
        <w:rPr>
          <w:sz w:val="20"/>
          <w:szCs w:val="20"/>
          <w:color w:val="auto"/>
        </w:rPr>
      </w:pPr>
      <w:r>
        <w:rPr>
          <w:rFonts w:ascii="Arial" w:cs="Arial" w:eastAsia="Arial" w:hAnsi="Arial"/>
          <w:sz w:val="18"/>
          <w:szCs w:val="18"/>
          <w:color w:val="auto"/>
        </w:rPr>
        <w:t>Total Research and development expenditures increased in the three months ended September 30, 2026, compared to the corresponding period in 2025, while expenditures for the nine month period remained broadly unchanged year over year. The decrease in capitalized development expenditures was primarily driven by: (i) lower capitalization resulting from asset impairments, and (ii) timing of new product development activities.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gridSpan w:val="2"/>
          </w:tcPr>
          <w:p>
            <w:pPr>
              <w:spacing w:after="0"/>
              <w:rPr>
                <w:sz w:val="20"/>
                <w:szCs w:val="20"/>
                <w:color w:val="auto"/>
              </w:rPr>
            </w:pPr>
            <w:r>
              <w:rPr>
                <w:rFonts w:ascii="Arial" w:cs="Arial" w:eastAsia="Arial" w:hAnsi="Arial"/>
                <w:sz w:val="16"/>
                <w:szCs w:val="16"/>
                <w:b w:val="1"/>
                <w:bCs w:val="1"/>
                <w:color w:val="143A84"/>
              </w:rPr>
              <w:t>Restructuring costs</w:t>
            </w: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2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3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240" w:type="dxa"/>
            <w:vAlign w:val="bottom"/>
            <w:gridSpan w:val="3"/>
            <w:vMerge w:val="continue"/>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3160" w:type="dxa"/>
            <w:vAlign w:val="bottom"/>
          </w:tcPr>
          <w:p>
            <w:pPr>
              <w:spacing w:after="0"/>
              <w:rPr>
                <w:sz w:val="18"/>
                <w:szCs w:val="18"/>
                <w:color w:val="auto"/>
              </w:rPr>
            </w:pPr>
          </w:p>
        </w:tc>
        <w:tc>
          <w:tcPr>
            <w:tcW w:w="2300" w:type="dxa"/>
            <w:vAlign w:val="bottom"/>
            <w:gridSpan w:val="3"/>
            <w:vMerge w:val="continue"/>
          </w:tcPr>
          <w:p>
            <w:pPr>
              <w:spacing w:after="0"/>
              <w:rPr>
                <w:sz w:val="18"/>
                <w:szCs w:val="18"/>
                <w:color w:val="auto"/>
              </w:rPr>
            </w:pPr>
          </w:p>
        </w:tc>
        <w:tc>
          <w:tcPr>
            <w:tcW w:w="176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8E939F"/>
            </w:tcBorders>
            <w:gridSpan w:val="2"/>
          </w:tcPr>
          <w:p>
            <w:pPr>
              <w:jc w:val="center"/>
              <w:ind w:left="379"/>
              <w:spacing w:after="0"/>
              <w:rPr>
                <w:sz w:val="20"/>
                <w:szCs w:val="20"/>
                <w:color w:val="auto"/>
              </w:rPr>
            </w:pPr>
            <w:r>
              <w:rPr>
                <w:rFonts w:ascii="Arial" w:cs="Arial" w:eastAsia="Arial" w:hAnsi="Arial"/>
                <w:sz w:val="16"/>
                <w:szCs w:val="16"/>
                <w:b w:val="1"/>
                <w:bCs w:val="1"/>
                <w:color w:val="243782"/>
              </w:rPr>
              <w:t>September 30,</w:t>
            </w:r>
          </w:p>
        </w:tc>
        <w:tc>
          <w:tcPr>
            <w:tcW w:w="540" w:type="dxa"/>
            <w:vAlign w:val="bottom"/>
            <w:tcBorders>
              <w:bottom w:val="single" w:sz="8" w:color="8E939F"/>
            </w:tcBorders>
          </w:tcPr>
          <w:p>
            <w:pPr>
              <w:spacing w:after="0"/>
              <w:rPr>
                <w:sz w:val="20"/>
                <w:szCs w:val="20"/>
                <w:color w:val="auto"/>
              </w:rPr>
            </w:pPr>
          </w:p>
        </w:tc>
        <w:tc>
          <w:tcPr>
            <w:tcW w:w="178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3160" w:type="dxa"/>
            <w:vAlign w:val="bottom"/>
          </w:tcPr>
          <w:p>
            <w:pPr>
              <w:spacing w:after="0"/>
              <w:rPr>
                <w:sz w:val="20"/>
                <w:szCs w:val="20"/>
                <w:color w:val="auto"/>
              </w:rPr>
            </w:pPr>
          </w:p>
        </w:tc>
        <w:tc>
          <w:tcPr>
            <w:tcW w:w="1740" w:type="dxa"/>
            <w:vAlign w:val="bottom"/>
            <w:tcBorders>
              <w:bottom w:val="single" w:sz="8" w:color="8E939F"/>
            </w:tcBorders>
            <w:gridSpan w:val="2"/>
          </w:tcPr>
          <w:p>
            <w:pPr>
              <w:jc w:val="center"/>
              <w:ind w:left="379"/>
              <w:spacing w:after="0"/>
              <w:rPr>
                <w:sz w:val="20"/>
                <w:szCs w:val="20"/>
                <w:color w:val="auto"/>
              </w:rPr>
            </w:pPr>
            <w:r>
              <w:rPr>
                <w:rFonts w:ascii="Arial" w:cs="Arial" w:eastAsia="Arial" w:hAnsi="Arial"/>
                <w:sz w:val="16"/>
                <w:szCs w:val="16"/>
                <w:b w:val="1"/>
                <w:bCs w:val="1"/>
                <w:color w:val="243782"/>
              </w:rPr>
              <w:t>September 30,</w:t>
            </w:r>
          </w:p>
        </w:tc>
        <w:tc>
          <w:tcPr>
            <w:tcW w:w="560" w:type="dxa"/>
            <w:vAlign w:val="bottom"/>
            <w:tcBorders>
              <w:bottom w:val="single" w:sz="8" w:color="8E939F"/>
            </w:tcBorders>
          </w:tcPr>
          <w:p>
            <w:pPr>
              <w:spacing w:after="0"/>
              <w:rPr>
                <w:sz w:val="20"/>
                <w:szCs w:val="20"/>
                <w:color w:val="auto"/>
              </w:rPr>
            </w:pPr>
          </w:p>
        </w:tc>
        <w:tc>
          <w:tcPr>
            <w:tcW w:w="176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2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040" w:type="dxa"/>
            <w:vAlign w:val="bottom"/>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0"/>
                <w:szCs w:val="20"/>
                <w:color w:val="auto"/>
              </w:rPr>
            </w:pPr>
          </w:p>
        </w:tc>
        <w:tc>
          <w:tcPr>
            <w:tcW w:w="54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160" w:type="dxa"/>
            <w:vAlign w:val="bottom"/>
            <w:tcBorders>
              <w:bottom w:val="single" w:sz="8" w:color="143A84"/>
            </w:tcBorders>
          </w:tcPr>
          <w:p>
            <w:pPr>
              <w:spacing w:after="0"/>
              <w:rPr>
                <w:sz w:val="20"/>
                <w:szCs w:val="20"/>
                <w:color w:val="auto"/>
              </w:rPr>
            </w:pPr>
          </w:p>
        </w:tc>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0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w:t>
            </w:r>
          </w:p>
        </w:tc>
        <w:tc>
          <w:tcPr>
            <w:tcW w:w="68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401</w:t>
            </w:r>
          </w:p>
        </w:tc>
        <w:tc>
          <w:tcPr>
            <w:tcW w:w="17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(83.5%)</w:t>
            </w:r>
          </w:p>
        </w:tc>
        <w:tc>
          <w:tcPr>
            <w:tcW w:w="31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Restructuring costs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548</w:t>
            </w:r>
          </w:p>
        </w:tc>
        <w:tc>
          <w:tcPr>
            <w:tcW w:w="700" w:type="dxa"/>
            <w:vAlign w:val="bottom"/>
            <w:tcBorders>
              <w:bottom w:val="single" w:sz="8" w:color="8E939F"/>
            </w:tcBorders>
          </w:tcPr>
          <w:p>
            <w:pPr>
              <w:spacing w:after="0"/>
              <w:rPr>
                <w:sz w:val="21"/>
                <w:szCs w:val="21"/>
                <w:color w:val="auto"/>
              </w:rPr>
            </w:pPr>
          </w:p>
        </w:tc>
        <w:tc>
          <w:tcPr>
            <w:tcW w:w="56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923</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300"/>
        <w:spacing w:after="0" w:line="334" w:lineRule="auto"/>
        <w:rPr>
          <w:sz w:val="20"/>
          <w:szCs w:val="20"/>
          <w:color w:val="auto"/>
        </w:rPr>
      </w:pPr>
      <w:r>
        <w:rPr>
          <w:rFonts w:ascii="Arial" w:cs="Arial" w:eastAsia="Arial" w:hAnsi="Arial"/>
          <w:sz w:val="18"/>
          <w:szCs w:val="18"/>
          <w:color w:val="auto"/>
        </w:rPr>
        <w:t>Restructuring costs for the three and nine months ended September 30, 2026 decreased compared to the corresponding periods in 2025, primarily due to decreased levels of workforce reductions in Enlarged Europe.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gridSpan w:val="5"/>
          </w:tcPr>
          <w:p>
            <w:pPr>
              <w:spacing w:after="0"/>
              <w:rPr>
                <w:sz w:val="20"/>
                <w:szCs w:val="20"/>
                <w:color w:val="auto"/>
              </w:rPr>
            </w:pPr>
            <w:r>
              <w:rPr>
                <w:rFonts w:ascii="Arial" w:cs="Arial" w:eastAsia="Arial" w:hAnsi="Arial"/>
                <w:sz w:val="16"/>
                <w:szCs w:val="16"/>
                <w:b w:val="1"/>
                <w:bCs w:val="1"/>
                <w:color w:val="143A84"/>
              </w:rPr>
              <w:t>Share of the profit/(loss) of equity method investees</w:t>
            </w:r>
          </w:p>
        </w:tc>
        <w:tc>
          <w:tcPr>
            <w:tcW w:w="3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3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300" w:type="dxa"/>
            <w:vAlign w:val="bottom"/>
            <w:gridSpan w:val="3"/>
            <w:vMerge w:val="continue"/>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80" w:type="dxa"/>
            <w:vAlign w:val="bottom"/>
            <w:gridSpan w:val="3"/>
            <w:vMerge w:val="continue"/>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8E939F"/>
            </w:tcBorders>
            <w:gridSpan w:val="2"/>
          </w:tcPr>
          <w:p>
            <w:pPr>
              <w:jc w:val="center"/>
              <w:ind w:left="399"/>
              <w:spacing w:after="0"/>
              <w:rPr>
                <w:sz w:val="20"/>
                <w:szCs w:val="20"/>
                <w:color w:val="auto"/>
              </w:rPr>
            </w:pPr>
            <w:r>
              <w:rPr>
                <w:rFonts w:ascii="Arial" w:cs="Arial" w:eastAsia="Arial" w:hAnsi="Arial"/>
                <w:sz w:val="16"/>
                <w:szCs w:val="16"/>
                <w:b w:val="1"/>
                <w:bCs w:val="1"/>
                <w:color w:val="243782"/>
              </w:rPr>
              <w:t>September 30,</w:t>
            </w:r>
          </w:p>
        </w:tc>
        <w:tc>
          <w:tcPr>
            <w:tcW w:w="560" w:type="dxa"/>
            <w:vAlign w:val="bottom"/>
            <w:tcBorders>
              <w:bottom w:val="single" w:sz="8" w:color="8E939F"/>
            </w:tcBorders>
          </w:tcPr>
          <w:p>
            <w:pPr>
              <w:spacing w:after="0"/>
              <w:rPr>
                <w:sz w:val="20"/>
                <w:szCs w:val="20"/>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Borders>
              <w:bottom w:val="single" w:sz="8" w:color="8E939F"/>
            </w:tcBorders>
            <w:gridSpan w:val="2"/>
          </w:tcPr>
          <w:p>
            <w:pPr>
              <w:jc w:val="center"/>
              <w:ind w:left="419"/>
              <w:spacing w:after="0"/>
              <w:rPr>
                <w:sz w:val="20"/>
                <w:szCs w:val="20"/>
                <w:color w:val="auto"/>
              </w:rPr>
            </w:pPr>
            <w:r>
              <w:rPr>
                <w:rFonts w:ascii="Arial" w:cs="Arial" w:eastAsia="Arial" w:hAnsi="Arial"/>
                <w:sz w:val="16"/>
                <w:szCs w:val="16"/>
                <w:b w:val="1"/>
                <w:bCs w:val="1"/>
                <w:color w:val="243782"/>
              </w:rPr>
              <w:t>September 30,</w:t>
            </w:r>
          </w:p>
        </w:tc>
        <w:tc>
          <w:tcPr>
            <w:tcW w:w="580" w:type="dxa"/>
            <w:vAlign w:val="bottom"/>
            <w:tcBorders>
              <w:bottom w:val="single" w:sz="8" w:color="8E939F"/>
            </w:tcBorders>
          </w:tcPr>
          <w:p>
            <w:pPr>
              <w:spacing w:after="0"/>
              <w:rPr>
                <w:sz w:val="20"/>
                <w:szCs w:val="20"/>
                <w:color w:val="auto"/>
              </w:rPr>
            </w:pP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40" w:type="dxa"/>
            <w:vAlign w:val="bottom"/>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100" w:type="dxa"/>
            <w:vAlign w:val="bottom"/>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0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0"/>
                <w:szCs w:val="20"/>
                <w:color w:val="auto"/>
              </w:rPr>
            </w:pPr>
          </w:p>
        </w:tc>
        <w:tc>
          <w:tcPr>
            <w:tcW w:w="3160" w:type="dxa"/>
            <w:vAlign w:val="bottom"/>
            <w:tcBorders>
              <w:bottom w:val="single" w:sz="8" w:color="143A84"/>
            </w:tcBorders>
          </w:tcPr>
          <w:p>
            <w:pPr>
              <w:spacing w:after="0"/>
              <w:rPr>
                <w:sz w:val="20"/>
                <w:szCs w:val="20"/>
                <w:color w:val="auto"/>
              </w:rPr>
            </w:pPr>
          </w:p>
        </w:tc>
        <w:tc>
          <w:tcPr>
            <w:tcW w:w="11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00" w:type="dxa"/>
            <w:vAlign w:val="bottom"/>
            <w:tcBorders>
              <w:bottom w:val="single" w:sz="8" w:color="143A84"/>
            </w:tcBorders>
          </w:tcPr>
          <w:p>
            <w:pPr>
              <w:spacing w:after="0"/>
              <w:rPr>
                <w:sz w:val="20"/>
                <w:szCs w:val="20"/>
                <w:color w:val="auto"/>
              </w:rPr>
            </w:pPr>
          </w:p>
        </w:tc>
        <w:tc>
          <w:tcPr>
            <w:tcW w:w="5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5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307"/>
        </w:trPr>
        <w:tc>
          <w:tcPr>
            <w:tcW w:w="104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(57)</w:t>
            </w:r>
          </w:p>
        </w:tc>
        <w:tc>
          <w:tcPr>
            <w:tcW w:w="700" w:type="dxa"/>
            <w:vAlign w:val="bottom"/>
          </w:tcPr>
          <w:p>
            <w:pPr>
              <w:spacing w:after="0"/>
              <w:rPr>
                <w:sz w:val="24"/>
                <w:szCs w:val="24"/>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6"/>
                <w:szCs w:val="16"/>
                <w:color w:val="auto"/>
              </w:rPr>
              <w:t>(65)</w:t>
            </w:r>
          </w:p>
        </w:tc>
        <w:tc>
          <w:tcPr>
            <w:tcW w:w="1720" w:type="dxa"/>
            <w:vAlign w:val="bottom"/>
            <w:vMerge w:val="restart"/>
            <w:shd w:val="clear" w:color="auto" w:fill="E6E7F4"/>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4"/>
                <w:szCs w:val="24"/>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Share of the profit/(loss) of equity method</w:t>
            </w:r>
          </w:p>
        </w:tc>
        <w:tc>
          <w:tcPr>
            <w:tcW w:w="110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86</w:t>
            </w:r>
          </w:p>
        </w:tc>
        <w:tc>
          <w:tcPr>
            <w:tcW w:w="700" w:type="dxa"/>
            <w:vAlign w:val="bottom"/>
          </w:tcPr>
          <w:p>
            <w:pPr>
              <w:spacing w:after="0"/>
              <w:rPr>
                <w:sz w:val="24"/>
                <w:szCs w:val="24"/>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(498)</w:t>
            </w:r>
          </w:p>
        </w:tc>
        <w:tc>
          <w:tcPr>
            <w:tcW w:w="1580" w:type="dxa"/>
            <w:vAlign w:val="bottom"/>
            <w:vMerge w:val="restart"/>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1040" w:type="dxa"/>
            <w:vAlign w:val="bottom"/>
            <w:vMerge w:val="continue"/>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720" w:type="dxa"/>
            <w:vAlign w:val="bottom"/>
            <w:vMerge w:val="continue"/>
            <w:shd w:val="clear" w:color="auto" w:fill="E6E7F4"/>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investees</w:t>
            </w:r>
          </w:p>
        </w:tc>
        <w:tc>
          <w:tcPr>
            <w:tcW w:w="1100" w:type="dxa"/>
            <w:vAlign w:val="bottom"/>
            <w:vMerge w:val="continue"/>
            <w:shd w:val="clear" w:color="auto" w:fill="F3F3F9"/>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580" w:type="dxa"/>
            <w:vAlign w:val="bottom"/>
            <w:vMerge w:val="continue"/>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40" w:type="dxa"/>
            <w:vAlign w:val="bottom"/>
            <w:tcBorders>
              <w:bottom w:val="single" w:sz="8" w:color="8E939F"/>
            </w:tcBorders>
            <w:shd w:val="clear" w:color="auto" w:fill="F3F3F9"/>
          </w:tcPr>
          <w:p>
            <w:pPr>
              <w:spacing w:after="0"/>
              <w:rPr>
                <w:sz w:val="9"/>
                <w:szCs w:val="9"/>
                <w:color w:val="auto"/>
              </w:rPr>
            </w:pPr>
          </w:p>
        </w:tc>
        <w:tc>
          <w:tcPr>
            <w:tcW w:w="700" w:type="dxa"/>
            <w:vAlign w:val="bottom"/>
            <w:tcBorders>
              <w:bottom w:val="single" w:sz="8" w:color="8E939F"/>
            </w:tcBorders>
          </w:tcPr>
          <w:p>
            <w:pPr>
              <w:spacing w:after="0"/>
              <w:rPr>
                <w:sz w:val="9"/>
                <w:szCs w:val="9"/>
                <w:color w:val="auto"/>
              </w:rPr>
            </w:pPr>
          </w:p>
        </w:tc>
        <w:tc>
          <w:tcPr>
            <w:tcW w:w="560" w:type="dxa"/>
            <w:vAlign w:val="bottom"/>
            <w:tcBorders>
              <w:bottom w:val="single" w:sz="8" w:color="8E939F"/>
            </w:tcBorders>
          </w:tcPr>
          <w:p>
            <w:pPr>
              <w:spacing w:after="0"/>
              <w:rPr>
                <w:sz w:val="9"/>
                <w:szCs w:val="9"/>
                <w:color w:val="auto"/>
              </w:rPr>
            </w:pPr>
          </w:p>
        </w:tc>
        <w:tc>
          <w:tcPr>
            <w:tcW w:w="1720" w:type="dxa"/>
            <w:vAlign w:val="bottom"/>
            <w:tcBorders>
              <w:bottom w:val="single" w:sz="8" w:color="8E939F"/>
            </w:tcBorders>
            <w:shd w:val="clear" w:color="auto" w:fill="E6E7F4"/>
          </w:tcPr>
          <w:p>
            <w:pPr>
              <w:spacing w:after="0"/>
              <w:rPr>
                <w:sz w:val="9"/>
                <w:szCs w:val="9"/>
                <w:color w:val="auto"/>
              </w:rPr>
            </w:pPr>
          </w:p>
        </w:tc>
        <w:tc>
          <w:tcPr>
            <w:tcW w:w="100" w:type="dxa"/>
            <w:vAlign w:val="bottom"/>
            <w:tcBorders>
              <w:bottom w:val="single" w:sz="8" w:color="8E939F"/>
            </w:tcBorders>
          </w:tcPr>
          <w:p>
            <w:pPr>
              <w:spacing w:after="0"/>
              <w:rPr>
                <w:sz w:val="9"/>
                <w:szCs w:val="9"/>
                <w:color w:val="auto"/>
              </w:rPr>
            </w:pPr>
          </w:p>
        </w:tc>
        <w:tc>
          <w:tcPr>
            <w:tcW w:w="3160" w:type="dxa"/>
            <w:vAlign w:val="bottom"/>
            <w:tcBorders>
              <w:bottom w:val="single" w:sz="8" w:color="8E939F"/>
            </w:tcBorders>
          </w:tcPr>
          <w:p>
            <w:pPr>
              <w:spacing w:after="0"/>
              <w:rPr>
                <w:sz w:val="9"/>
                <w:szCs w:val="9"/>
                <w:color w:val="auto"/>
              </w:rPr>
            </w:pPr>
          </w:p>
        </w:tc>
        <w:tc>
          <w:tcPr>
            <w:tcW w:w="1100" w:type="dxa"/>
            <w:vAlign w:val="bottom"/>
            <w:tcBorders>
              <w:bottom w:val="single" w:sz="8" w:color="8E939F"/>
            </w:tcBorders>
            <w:shd w:val="clear" w:color="auto" w:fill="F3F3F9"/>
          </w:tcPr>
          <w:p>
            <w:pPr>
              <w:spacing w:after="0"/>
              <w:rPr>
                <w:sz w:val="9"/>
                <w:szCs w:val="9"/>
                <w:color w:val="auto"/>
              </w:rPr>
            </w:pPr>
          </w:p>
        </w:tc>
        <w:tc>
          <w:tcPr>
            <w:tcW w:w="700" w:type="dxa"/>
            <w:vAlign w:val="bottom"/>
            <w:tcBorders>
              <w:bottom w:val="single" w:sz="8" w:color="8E939F"/>
            </w:tcBorders>
          </w:tcPr>
          <w:p>
            <w:pPr>
              <w:spacing w:after="0"/>
              <w:rPr>
                <w:sz w:val="9"/>
                <w:szCs w:val="9"/>
                <w:color w:val="auto"/>
              </w:rPr>
            </w:pPr>
          </w:p>
        </w:tc>
        <w:tc>
          <w:tcPr>
            <w:tcW w:w="580" w:type="dxa"/>
            <w:vAlign w:val="bottom"/>
            <w:tcBorders>
              <w:bottom w:val="single" w:sz="8" w:color="8E939F"/>
            </w:tcBorders>
          </w:tcPr>
          <w:p>
            <w:pPr>
              <w:spacing w:after="0"/>
              <w:rPr>
                <w:sz w:val="9"/>
                <w:szCs w:val="9"/>
                <w:color w:val="auto"/>
              </w:rPr>
            </w:pPr>
          </w:p>
        </w:tc>
        <w:tc>
          <w:tcPr>
            <w:tcW w:w="1580" w:type="dxa"/>
            <w:vAlign w:val="bottom"/>
            <w:tcBorders>
              <w:bottom w:val="single" w:sz="8" w:color="8E939F"/>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80"/>
        <w:spacing w:after="0" w:line="307" w:lineRule="auto"/>
        <w:rPr>
          <w:sz w:val="20"/>
          <w:szCs w:val="20"/>
          <w:color w:val="auto"/>
        </w:rPr>
      </w:pPr>
      <w:r>
        <w:rPr>
          <w:rFonts w:ascii="Arial" w:cs="Arial" w:eastAsia="Arial" w:hAnsi="Arial"/>
          <w:sz w:val="18"/>
          <w:szCs w:val="18"/>
          <w:color w:val="auto"/>
        </w:rPr>
        <w:t xml:space="preserve">For both the three months ended September 30, 2026 and the corresponding period in 2025, the Company recognized a share of loss of equity method investees. In 2026, the loss was primarily due to a charge related to its investment in Leasys SAS (“Leasys”) (refer to Note 7, </w:t>
      </w:r>
      <w:r>
        <w:rPr>
          <w:rFonts w:ascii="Arial" w:cs="Arial" w:eastAsia="Arial" w:hAnsi="Arial"/>
          <w:sz w:val="18"/>
          <w:szCs w:val="18"/>
          <w:i w:val="1"/>
          <w:iCs w:val="1"/>
          <w:color w:val="auto"/>
        </w:rPr>
        <w:t xml:space="preserve">Investments accounted for using equity method </w:t>
      </w:r>
      <w:r>
        <w:rPr>
          <w:rFonts w:ascii="Arial" w:cs="Arial" w:eastAsia="Arial" w:hAnsi="Arial"/>
          <w:sz w:val="18"/>
          <w:szCs w:val="18"/>
          <w:color w:val="auto"/>
        </w:rPr>
        <w:t>in the Interim Condensed Consolidated Financial Statements included in this Interim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information), partially offset by its share of profit for its investments in Tofas-Turk Otomobil Fabrikasi A.S. (“Tofas”) and financial services joint ventures excluding Leasys. In 2025, the loss was attributable to the Company’s share of losses in investments in Automotive Cells Company SE, Leasys and StarPlus Energy LLC.</w:t>
      </w:r>
    </w:p>
    <w:p>
      <w:pPr>
        <w:spacing w:after="0" w:line="180"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For the nine months ended September 30, 2026, the Company recognized a share of profit of equity method investees, compared to a share of loss in the corresponding period in 2025. For the nine months ended September 30, 2026, the previously mentioned charge related to Leasys was more than offset by the share of profits generated by the investments referenced above. For the nine months ended September 30, 2025, the share of loss is mainly attributable to €404 million of write-offs recorded in the three months ended June 30, 2025, as a result of the Company’s decision to discontinue its hydrogen fuel cell technology program.</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gridSpan w:val="5"/>
          </w:tcPr>
          <w:p>
            <w:pPr>
              <w:spacing w:after="0"/>
              <w:rPr>
                <w:sz w:val="20"/>
                <w:szCs w:val="20"/>
                <w:color w:val="auto"/>
              </w:rPr>
            </w:pPr>
            <w:r>
              <w:rPr>
                <w:rFonts w:ascii="Arial" w:cs="Arial" w:eastAsia="Arial" w:hAnsi="Arial"/>
                <w:sz w:val="16"/>
                <w:szCs w:val="16"/>
                <w:b w:val="1"/>
                <w:bCs w:val="1"/>
                <w:color w:val="143A84"/>
              </w:rPr>
              <w:t>Net financial expenses/(income)</w:t>
            </w: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3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5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900" w:type="dxa"/>
            <w:vAlign w:val="bottom"/>
            <w:gridSpan w:val="2"/>
            <w:vMerge w:val="restart"/>
          </w:tcPr>
          <w:p>
            <w:pPr>
              <w:jc w:val="center"/>
              <w:ind w:left="319"/>
              <w:spacing w:after="0"/>
              <w:rPr>
                <w:sz w:val="20"/>
                <w:szCs w:val="20"/>
                <w:color w:val="auto"/>
              </w:rPr>
            </w:pPr>
            <w:r>
              <w:rPr>
                <w:rFonts w:ascii="Arial" w:cs="Arial" w:eastAsia="Arial" w:hAnsi="Arial"/>
                <w:sz w:val="16"/>
                <w:szCs w:val="16"/>
                <w:b w:val="1"/>
                <w:bCs w:val="1"/>
                <w:color w:val="243782"/>
              </w:rPr>
              <w:t>Nine months ended</w:t>
            </w: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40" w:type="dxa"/>
            <w:vAlign w:val="bottom"/>
            <w:gridSpan w:val="3"/>
            <w:vMerge w:val="continue"/>
          </w:tcPr>
          <w:p>
            <w:pPr>
              <w:spacing w:after="0"/>
              <w:rPr>
                <w:sz w:val="19"/>
                <w:szCs w:val="19"/>
                <w:color w:val="auto"/>
              </w:rPr>
            </w:pPr>
          </w:p>
        </w:tc>
        <w:tc>
          <w:tcPr>
            <w:tcW w:w="1580" w:type="dxa"/>
            <w:vAlign w:val="bottom"/>
            <w:shd w:val="clear" w:color="auto" w:fill="E6E7F4"/>
          </w:tcPr>
          <w:p>
            <w:pPr>
              <w:spacing w:after="0"/>
              <w:rPr>
                <w:sz w:val="19"/>
                <w:szCs w:val="19"/>
                <w:color w:val="auto"/>
              </w:rPr>
            </w:pPr>
          </w:p>
        </w:tc>
        <w:tc>
          <w:tcPr>
            <w:tcW w:w="336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80" w:type="dxa"/>
            <w:vAlign w:val="bottom"/>
            <w:tcBorders>
              <w:bottom w:val="single" w:sz="8" w:color="8E939F"/>
            </w:tcBorders>
            <w:gridSpan w:val="2"/>
          </w:tcPr>
          <w:p>
            <w:pPr>
              <w:jc w:val="center"/>
              <w:ind w:left="399"/>
              <w:spacing w:after="0"/>
              <w:rPr>
                <w:sz w:val="20"/>
                <w:szCs w:val="20"/>
                <w:color w:val="auto"/>
              </w:rPr>
            </w:pPr>
            <w:r>
              <w:rPr>
                <w:rFonts w:ascii="Arial" w:cs="Arial" w:eastAsia="Arial" w:hAnsi="Arial"/>
                <w:sz w:val="16"/>
                <w:szCs w:val="16"/>
                <w:b w:val="1"/>
                <w:bCs w:val="1"/>
                <w:color w:val="243782"/>
              </w:rPr>
              <w:t>September 30,</w:t>
            </w:r>
          </w:p>
        </w:tc>
        <w:tc>
          <w:tcPr>
            <w:tcW w:w="560" w:type="dxa"/>
            <w:vAlign w:val="bottom"/>
            <w:tcBorders>
              <w:bottom w:val="single" w:sz="8" w:color="8E939F"/>
            </w:tcBorders>
          </w:tcPr>
          <w:p>
            <w:pPr>
              <w:spacing w:after="0"/>
              <w:rPr>
                <w:sz w:val="19"/>
                <w:szCs w:val="19"/>
                <w:color w:val="auto"/>
              </w:rPr>
            </w:pP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3360" w:type="dxa"/>
            <w:vAlign w:val="bottom"/>
          </w:tcPr>
          <w:p>
            <w:pPr>
              <w:spacing w:after="0"/>
              <w:rPr>
                <w:sz w:val="19"/>
                <w:szCs w:val="19"/>
                <w:color w:val="auto"/>
              </w:rPr>
            </w:pPr>
          </w:p>
        </w:tc>
        <w:tc>
          <w:tcPr>
            <w:tcW w:w="1900" w:type="dxa"/>
            <w:vAlign w:val="bottom"/>
            <w:tcBorders>
              <w:bottom w:val="single" w:sz="8" w:color="8E939F"/>
            </w:tcBorders>
            <w:gridSpan w:val="2"/>
          </w:tcPr>
          <w:p>
            <w:pPr>
              <w:jc w:val="center"/>
              <w:ind w:left="319"/>
              <w:spacing w:after="0"/>
              <w:rPr>
                <w:sz w:val="20"/>
                <w:szCs w:val="20"/>
                <w:color w:val="auto"/>
              </w:rPr>
            </w:pPr>
            <w:r>
              <w:rPr>
                <w:rFonts w:ascii="Arial" w:cs="Arial" w:eastAsia="Arial" w:hAnsi="Arial"/>
                <w:sz w:val="16"/>
                <w:szCs w:val="16"/>
                <w:b w:val="1"/>
                <w:bCs w:val="1"/>
                <w:color w:val="243782"/>
              </w:rPr>
              <w:t>September 30,</w:t>
            </w:r>
          </w:p>
        </w:tc>
        <w:tc>
          <w:tcPr>
            <w:tcW w:w="480" w:type="dxa"/>
            <w:vAlign w:val="bottom"/>
            <w:tcBorders>
              <w:bottom w:val="single" w:sz="8" w:color="8E939F"/>
            </w:tcBorders>
          </w:tcPr>
          <w:p>
            <w:pPr>
              <w:spacing w:after="0"/>
              <w:rPr>
                <w:sz w:val="19"/>
                <w:szCs w:val="19"/>
                <w:color w:val="auto"/>
              </w:rPr>
            </w:pP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60" w:type="dxa"/>
            <w:vAlign w:val="bottom"/>
            <w:shd w:val="clear" w:color="auto" w:fill="F3F3F9"/>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00" w:type="dxa"/>
            <w:vAlign w:val="bottom"/>
            <w:shd w:val="clear" w:color="auto" w:fill="F3F3F9"/>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2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5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360" w:type="dxa"/>
            <w:vAlign w:val="bottom"/>
            <w:tcBorders>
              <w:bottom w:val="single" w:sz="8" w:color="143A84"/>
            </w:tcBorders>
          </w:tcPr>
          <w:p>
            <w:pPr>
              <w:spacing w:after="0"/>
              <w:rPr>
                <w:sz w:val="20"/>
                <w:szCs w:val="20"/>
                <w:color w:val="auto"/>
              </w:rPr>
            </w:pPr>
          </w:p>
        </w:tc>
        <w:tc>
          <w:tcPr>
            <w:tcW w:w="11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800" w:type="dxa"/>
            <w:vAlign w:val="bottom"/>
            <w:tcBorders>
              <w:bottom w:val="single" w:sz="8" w:color="143A84"/>
            </w:tcBorders>
          </w:tcPr>
          <w:p>
            <w:pPr>
              <w:spacing w:after="0"/>
              <w:rPr>
                <w:sz w:val="20"/>
                <w:szCs w:val="20"/>
                <w:color w:val="auto"/>
              </w:rPr>
            </w:pPr>
          </w:p>
        </w:tc>
        <w:tc>
          <w:tcPr>
            <w:tcW w:w="4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w w:val="95"/>
              </w:rPr>
              <w:t>2025</w:t>
            </w:r>
          </w:p>
        </w:tc>
        <w:tc>
          <w:tcPr>
            <w:tcW w:w="15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201</w:t>
            </w:r>
          </w:p>
        </w:tc>
        <w:tc>
          <w:tcPr>
            <w:tcW w:w="720" w:type="dxa"/>
            <w:vAlign w:val="bottom"/>
            <w:tcBorders>
              <w:bottom w:val="single" w:sz="8" w:color="8E939F"/>
            </w:tcBorders>
          </w:tcPr>
          <w:p>
            <w:pPr>
              <w:spacing w:after="0"/>
              <w:rPr>
                <w:sz w:val="21"/>
                <w:szCs w:val="21"/>
                <w:color w:val="auto"/>
              </w:rPr>
            </w:pPr>
          </w:p>
        </w:tc>
        <w:tc>
          <w:tcPr>
            <w:tcW w:w="5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(6)</w:t>
            </w: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33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financial expenses/(income)</w:t>
            </w:r>
          </w:p>
        </w:tc>
        <w:tc>
          <w:tcPr>
            <w:tcW w:w="11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553</w:t>
            </w:r>
          </w:p>
        </w:tc>
        <w:tc>
          <w:tcPr>
            <w:tcW w:w="80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154</w:t>
            </w: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8"/>
          <w:szCs w:val="18"/>
          <w:color w:val="auto"/>
        </w:rPr>
        <w:t>Net financial expenses increased for the three and nine months ended September 30, 2026 compared to the corresponding periods of 2025. The increase was primarily driven by lower interest income from liquidity investments due to both reduced liquidity levels and a decline in short-term market rates, the impact of discounting on warranty provisions after the increase in the contractual warranty provisions due to the change in estimate recognized in 2025, as well as an increase in interest rates and lower capitalized interest, partially offset by expenses of €138 million recognized during 2025 upon termination of commodity derivative contracts which did not recur in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gridSpan w:val="2"/>
          </w:tcPr>
          <w:p>
            <w:pPr>
              <w:spacing w:after="0"/>
              <w:rPr>
                <w:sz w:val="20"/>
                <w:szCs w:val="20"/>
                <w:color w:val="auto"/>
              </w:rPr>
            </w:pPr>
            <w:r>
              <w:rPr>
                <w:rFonts w:ascii="Arial" w:cs="Arial" w:eastAsia="Arial" w:hAnsi="Arial"/>
                <w:sz w:val="16"/>
                <w:szCs w:val="16"/>
                <w:b w:val="1"/>
                <w:bCs w:val="1"/>
                <w:color w:val="143A84"/>
              </w:rPr>
              <w:t>Tax expense/(benefit)</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4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40" w:type="dxa"/>
            <w:vAlign w:val="bottom"/>
            <w:gridSpan w:val="3"/>
            <w:vMerge w:val="restart"/>
          </w:tcPr>
          <w:p>
            <w:pPr>
              <w:jc w:val="center"/>
              <w:ind w:right="19"/>
              <w:spacing w:after="0"/>
              <w:rPr>
                <w:sz w:val="20"/>
                <w:szCs w:val="20"/>
                <w:color w:val="auto"/>
              </w:rPr>
            </w:pPr>
            <w:r>
              <w:rPr>
                <w:rFonts w:ascii="Arial" w:cs="Arial" w:eastAsia="Arial" w:hAnsi="Arial"/>
                <w:sz w:val="16"/>
                <w:szCs w:val="16"/>
                <w:b w:val="1"/>
                <w:bCs w:val="1"/>
                <w:color w:val="243782"/>
              </w:rPr>
              <w:t>Nine months ended</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400" w:type="dxa"/>
            <w:vAlign w:val="bottom"/>
            <w:gridSpan w:val="3"/>
            <w:vMerge w:val="continue"/>
          </w:tcPr>
          <w:p>
            <w:pPr>
              <w:spacing w:after="0"/>
              <w:rPr>
                <w:sz w:val="18"/>
                <w:szCs w:val="18"/>
                <w:color w:val="auto"/>
              </w:rPr>
            </w:pPr>
          </w:p>
        </w:tc>
        <w:tc>
          <w:tcPr>
            <w:tcW w:w="1540" w:type="dxa"/>
            <w:vAlign w:val="bottom"/>
            <w:shd w:val="clear" w:color="auto" w:fill="E6E7F4"/>
          </w:tcPr>
          <w:p>
            <w:pPr>
              <w:spacing w:after="0"/>
              <w:rPr>
                <w:sz w:val="18"/>
                <w:szCs w:val="18"/>
                <w:color w:val="auto"/>
              </w:rPr>
            </w:pPr>
          </w:p>
        </w:tc>
        <w:tc>
          <w:tcPr>
            <w:tcW w:w="220" w:type="dxa"/>
            <w:vAlign w:val="bottom"/>
            <w:shd w:val="clear" w:color="auto" w:fill="E6E7F4"/>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8E939F"/>
            </w:tcBorders>
            <w:gridSpan w:val="2"/>
          </w:tcPr>
          <w:p>
            <w:pPr>
              <w:jc w:val="center"/>
              <w:ind w:left="47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20"/>
                <w:szCs w:val="20"/>
                <w:color w:val="auto"/>
              </w:rPr>
            </w:pPr>
          </w:p>
        </w:tc>
        <w:tc>
          <w:tcPr>
            <w:tcW w:w="1760" w:type="dxa"/>
            <w:vAlign w:val="bottom"/>
            <w:tcBorders>
              <w:bottom w:val="single" w:sz="8" w:color="8E939F"/>
            </w:tcBorders>
            <w:gridSpan w:val="2"/>
            <w:shd w:val="clear" w:color="auto" w:fill="E6E7F4"/>
          </w:tcPr>
          <w:p>
            <w:pPr>
              <w:jc w:val="right"/>
              <w:ind w:right="120"/>
              <w:spacing w:after="0"/>
              <w:rPr>
                <w:sz w:val="20"/>
                <w:szCs w:val="20"/>
                <w:color w:val="auto"/>
              </w:rPr>
            </w:pPr>
            <w:r>
              <w:rPr>
                <w:rFonts w:ascii="Arial" w:cs="Arial" w:eastAsia="Arial" w:hAnsi="Arial"/>
                <w:sz w:val="16"/>
                <w:szCs w:val="16"/>
                <w:b w:val="1"/>
                <w:bCs w:val="1"/>
                <w:color w:val="243782"/>
              </w:rPr>
              <w:t>Increase/(Decrease)</w:t>
            </w:r>
          </w:p>
        </w:tc>
        <w:tc>
          <w:tcPr>
            <w:tcW w:w="3060" w:type="dxa"/>
            <w:vAlign w:val="bottom"/>
          </w:tcPr>
          <w:p>
            <w:pPr>
              <w:spacing w:after="0"/>
              <w:rPr>
                <w:sz w:val="20"/>
                <w:szCs w:val="20"/>
                <w:color w:val="auto"/>
              </w:rPr>
            </w:pPr>
          </w:p>
        </w:tc>
        <w:tc>
          <w:tcPr>
            <w:tcW w:w="1780" w:type="dxa"/>
            <w:vAlign w:val="bottom"/>
            <w:tcBorders>
              <w:bottom w:val="single" w:sz="8" w:color="8E939F"/>
            </w:tcBorders>
            <w:gridSpan w:val="2"/>
          </w:tcPr>
          <w:p>
            <w:pPr>
              <w:jc w:val="center"/>
              <w:ind w:left="47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20"/>
                <w:szCs w:val="20"/>
                <w:color w:val="auto"/>
              </w:rPr>
            </w:pP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6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shd w:val="clear" w:color="auto" w:fill="E6E7F4"/>
          </w:tcPr>
          <w:p>
            <w:pPr>
              <w:spacing w:after="0"/>
              <w:rPr>
                <w:sz w:val="18"/>
                <w:szCs w:val="18"/>
                <w:color w:val="auto"/>
              </w:rPr>
            </w:pPr>
          </w:p>
        </w:tc>
        <w:tc>
          <w:tcPr>
            <w:tcW w:w="220" w:type="dxa"/>
            <w:vAlign w:val="bottom"/>
            <w:shd w:val="clear" w:color="auto" w:fill="E6E7F4"/>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0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0"/>
                <w:szCs w:val="20"/>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gridSpan w:val="2"/>
            <w:shd w:val="clear" w:color="auto" w:fill="E6E7F4"/>
          </w:tcPr>
          <w:p>
            <w:pPr>
              <w:jc w:val="right"/>
              <w:ind w:right="20"/>
              <w:spacing w:after="0"/>
              <w:rPr>
                <w:sz w:val="20"/>
                <w:szCs w:val="20"/>
                <w:color w:val="auto"/>
              </w:rPr>
            </w:pPr>
            <w:r>
              <w:rPr>
                <w:rFonts w:ascii="Arial" w:cs="Arial" w:eastAsia="Arial" w:hAnsi="Arial"/>
                <w:sz w:val="16"/>
                <w:szCs w:val="16"/>
                <w:b w:val="1"/>
                <w:bCs w:val="1"/>
                <w:color w:val="243782"/>
              </w:rPr>
              <w:t>2026 vs. 2025</w:t>
            </w:r>
          </w:p>
        </w:tc>
        <w:tc>
          <w:tcPr>
            <w:tcW w:w="3060" w:type="dxa"/>
            <w:vAlign w:val="bottom"/>
            <w:tcBorders>
              <w:bottom w:val="single" w:sz="8" w:color="143A84"/>
            </w:tcBorders>
          </w:tcPr>
          <w:p>
            <w:pPr>
              <w:spacing w:after="0"/>
              <w:rPr>
                <w:sz w:val="20"/>
                <w:szCs w:val="20"/>
                <w:color w:val="auto"/>
              </w:rPr>
            </w:pPr>
          </w:p>
        </w:tc>
        <w:tc>
          <w:tcPr>
            <w:tcW w:w="11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0"/>
                <w:szCs w:val="20"/>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5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w:t>
            </w:r>
          </w:p>
        </w:tc>
        <w:tc>
          <w:tcPr>
            <w:tcW w:w="68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(1,163)</w:t>
            </w:r>
          </w:p>
        </w:tc>
        <w:tc>
          <w:tcPr>
            <w:tcW w:w="1760" w:type="dxa"/>
            <w:vAlign w:val="bottom"/>
            <w:tcBorders>
              <w:bottom w:val="single" w:sz="8" w:color="8E939F"/>
            </w:tcBorders>
            <w:gridSpan w:val="2"/>
            <w:shd w:val="clear" w:color="auto" w:fill="E6E7F4"/>
          </w:tcPr>
          <w:p>
            <w:pPr>
              <w:jc w:val="right"/>
              <w:ind w:right="20"/>
              <w:spacing w:after="0"/>
              <w:rPr>
                <w:sz w:val="20"/>
                <w:szCs w:val="20"/>
                <w:color w:val="auto"/>
              </w:rPr>
            </w:pPr>
            <w:r>
              <w:rPr>
                <w:rFonts w:ascii="Arial" w:cs="Arial" w:eastAsia="Arial" w:hAnsi="Arial"/>
                <w:sz w:val="16"/>
                <w:szCs w:val="16"/>
                <w:color w:val="auto"/>
              </w:rPr>
              <w:t>(93.2%)</w:t>
            </w:r>
          </w:p>
        </w:tc>
        <w:tc>
          <w:tcPr>
            <w:tcW w:w="30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Tax expense/(benefit)</w:t>
            </w:r>
          </w:p>
        </w:tc>
        <w:tc>
          <w:tcPr>
            <w:tcW w:w="11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289</w:t>
            </w:r>
          </w:p>
        </w:tc>
        <w:tc>
          <w:tcPr>
            <w:tcW w:w="68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(1,777)</w:t>
            </w: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05"/>
        </w:trPr>
        <w:tc>
          <w:tcPr>
            <w:tcW w:w="10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14.8%</w:t>
            </w:r>
          </w:p>
        </w:tc>
        <w:tc>
          <w:tcPr>
            <w:tcW w:w="680" w:type="dxa"/>
            <w:vAlign w:val="bottom"/>
          </w:tcPr>
          <w:p>
            <w:pPr>
              <w:spacing w:after="0"/>
              <w:rPr>
                <w:sz w:val="24"/>
                <w:szCs w:val="24"/>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20.4%</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E6E7F4"/>
          </w:tcPr>
          <w:p>
            <w:pPr>
              <w:spacing w:after="0"/>
              <w:rPr>
                <w:sz w:val="24"/>
                <w:szCs w:val="24"/>
                <w:color w:val="auto"/>
              </w:rPr>
            </w:pPr>
          </w:p>
        </w:tc>
        <w:tc>
          <w:tcPr>
            <w:tcW w:w="3060" w:type="dxa"/>
            <w:vAlign w:val="bottom"/>
          </w:tcPr>
          <w:p>
            <w:pPr>
              <w:ind w:left="120"/>
              <w:spacing w:after="0"/>
              <w:rPr>
                <w:sz w:val="20"/>
                <w:szCs w:val="20"/>
                <w:color w:val="auto"/>
              </w:rPr>
            </w:pPr>
            <w:r>
              <w:rPr>
                <w:rFonts w:ascii="Arial" w:cs="Arial" w:eastAsia="Arial" w:hAnsi="Arial"/>
                <w:sz w:val="15"/>
                <w:szCs w:val="15"/>
                <w:color w:val="auto"/>
              </w:rPr>
              <w:t>Effective tax rate</w:t>
            </w:r>
          </w:p>
        </w:tc>
        <w:tc>
          <w:tcPr>
            <w:tcW w:w="110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57.1%</w:t>
            </w:r>
          </w:p>
        </w:tc>
        <w:tc>
          <w:tcPr>
            <w:tcW w:w="680" w:type="dxa"/>
            <w:vAlign w:val="bottom"/>
          </w:tcPr>
          <w:p>
            <w:pPr>
              <w:spacing w:after="0"/>
              <w:rPr>
                <w:sz w:val="24"/>
                <w:szCs w:val="24"/>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20.7%</w:t>
            </w:r>
          </w:p>
        </w:tc>
        <w:tc>
          <w:tcPr>
            <w:tcW w:w="1580" w:type="dxa"/>
            <w:vAlign w:val="bottom"/>
            <w:vMerge w:val="restart"/>
            <w:shd w:val="clear" w:color="auto" w:fill="E6E7F4"/>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21"/>
        </w:trPr>
        <w:tc>
          <w:tcPr>
            <w:tcW w:w="1060" w:type="dxa"/>
            <w:vAlign w:val="bottom"/>
            <w:tcBorders>
              <w:bottom w:val="single" w:sz="8" w:color="143A84"/>
            </w:tcBorders>
            <w:vMerge w:val="continue"/>
            <w:shd w:val="clear" w:color="auto" w:fill="F3F3F9"/>
          </w:tcPr>
          <w:p>
            <w:pPr>
              <w:spacing w:after="0"/>
              <w:rPr>
                <w:sz w:val="10"/>
                <w:szCs w:val="10"/>
                <w:color w:val="auto"/>
              </w:rPr>
            </w:pPr>
          </w:p>
        </w:tc>
        <w:tc>
          <w:tcPr>
            <w:tcW w:w="680" w:type="dxa"/>
            <w:vAlign w:val="bottom"/>
            <w:tcBorders>
              <w:bottom w:val="single" w:sz="8" w:color="143A84"/>
            </w:tcBorders>
          </w:tcPr>
          <w:p>
            <w:pPr>
              <w:spacing w:after="0"/>
              <w:rPr>
                <w:sz w:val="10"/>
                <w:szCs w:val="10"/>
                <w:color w:val="auto"/>
              </w:rPr>
            </w:pPr>
          </w:p>
        </w:tc>
        <w:tc>
          <w:tcPr>
            <w:tcW w:w="660" w:type="dxa"/>
            <w:vAlign w:val="bottom"/>
            <w:tcBorders>
              <w:bottom w:val="single" w:sz="8" w:color="143A84"/>
            </w:tcBorders>
            <w:vMerge w:val="continue"/>
          </w:tcPr>
          <w:p>
            <w:pPr>
              <w:spacing w:after="0"/>
              <w:rPr>
                <w:sz w:val="10"/>
                <w:szCs w:val="10"/>
                <w:color w:val="auto"/>
              </w:rPr>
            </w:pPr>
          </w:p>
        </w:tc>
        <w:tc>
          <w:tcPr>
            <w:tcW w:w="1540" w:type="dxa"/>
            <w:vAlign w:val="bottom"/>
            <w:tcBorders>
              <w:bottom w:val="single" w:sz="8" w:color="143A84"/>
            </w:tcBorders>
            <w:vMerge w:val="continue"/>
          </w:tcPr>
          <w:p>
            <w:pPr>
              <w:spacing w:after="0"/>
              <w:rPr>
                <w:sz w:val="10"/>
                <w:szCs w:val="10"/>
                <w:color w:val="auto"/>
              </w:rPr>
            </w:pPr>
          </w:p>
        </w:tc>
        <w:tc>
          <w:tcPr>
            <w:tcW w:w="220" w:type="dxa"/>
            <w:vAlign w:val="bottom"/>
            <w:tcBorders>
              <w:bottom w:val="single" w:sz="8" w:color="143A84"/>
            </w:tcBorders>
            <w:shd w:val="clear" w:color="auto" w:fill="E6E7F4"/>
          </w:tcPr>
          <w:p>
            <w:pPr>
              <w:spacing w:after="0"/>
              <w:rPr>
                <w:sz w:val="10"/>
                <w:szCs w:val="10"/>
                <w:color w:val="auto"/>
              </w:rPr>
            </w:pPr>
          </w:p>
        </w:tc>
        <w:tc>
          <w:tcPr>
            <w:tcW w:w="3060" w:type="dxa"/>
            <w:vAlign w:val="bottom"/>
            <w:tcBorders>
              <w:bottom w:val="single" w:sz="8" w:color="143A84"/>
            </w:tcBorders>
          </w:tcPr>
          <w:p>
            <w:pPr>
              <w:spacing w:after="0"/>
              <w:rPr>
                <w:sz w:val="10"/>
                <w:szCs w:val="10"/>
                <w:color w:val="auto"/>
              </w:rPr>
            </w:pPr>
          </w:p>
        </w:tc>
        <w:tc>
          <w:tcPr>
            <w:tcW w:w="1100" w:type="dxa"/>
            <w:vAlign w:val="bottom"/>
            <w:tcBorders>
              <w:bottom w:val="single" w:sz="8" w:color="143A84"/>
            </w:tcBorders>
            <w:vMerge w:val="continue"/>
            <w:shd w:val="clear" w:color="auto" w:fill="F3F3F9"/>
          </w:tcPr>
          <w:p>
            <w:pPr>
              <w:spacing w:after="0"/>
              <w:rPr>
                <w:sz w:val="10"/>
                <w:szCs w:val="10"/>
                <w:color w:val="auto"/>
              </w:rPr>
            </w:pPr>
          </w:p>
        </w:tc>
        <w:tc>
          <w:tcPr>
            <w:tcW w:w="680" w:type="dxa"/>
            <w:vAlign w:val="bottom"/>
            <w:tcBorders>
              <w:bottom w:val="single" w:sz="8" w:color="143A84"/>
            </w:tcBorders>
          </w:tcPr>
          <w:p>
            <w:pPr>
              <w:spacing w:after="0"/>
              <w:rPr>
                <w:sz w:val="10"/>
                <w:szCs w:val="10"/>
                <w:color w:val="auto"/>
              </w:rPr>
            </w:pPr>
          </w:p>
        </w:tc>
        <w:tc>
          <w:tcPr>
            <w:tcW w:w="660" w:type="dxa"/>
            <w:vAlign w:val="bottom"/>
            <w:tcBorders>
              <w:bottom w:val="single" w:sz="8" w:color="143A84"/>
            </w:tcBorders>
            <w:vMerge w:val="continue"/>
          </w:tcPr>
          <w:p>
            <w:pPr>
              <w:spacing w:after="0"/>
              <w:rPr>
                <w:sz w:val="10"/>
                <w:szCs w:val="10"/>
                <w:color w:val="auto"/>
              </w:rPr>
            </w:pPr>
          </w:p>
        </w:tc>
        <w:tc>
          <w:tcPr>
            <w:tcW w:w="1580" w:type="dxa"/>
            <w:vAlign w:val="bottom"/>
            <w:tcBorders>
              <w:bottom w:val="single" w:sz="8" w:color="143A84"/>
            </w:tcBorders>
            <w:vMerge w:val="continue"/>
            <w:shd w:val="clear" w:color="auto" w:fill="E6E7F4"/>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-462280</wp:posOffset>
            </wp:positionV>
            <wp:extent cx="98552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5520" cy="45402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A tax benefit of €79 million was recognized for the three months ended September 30, 2026, compared with a tax benefit of €1,163 million for the corresponding period in 2025. The three-month variance reflected a significantly larger pre-tax loss in the third quarter of 2025 than in the third quarter of 2026. For the nine months ended September 30, 2026, the tax expense was €289 million, compared with a tax benefit of €1,777 million in the corresponding prior-year period. The nine-month variance primarily reflected the Company’s transition from a pre-tax loss in 2025 to pre-tax income in 2026.</w:t>
      </w:r>
    </w:p>
    <w:p>
      <w:pPr>
        <w:spacing w:after="0" w:line="179" w:lineRule="exact"/>
        <w:rPr>
          <w:sz w:val="20"/>
          <w:szCs w:val="20"/>
          <w:color w:val="auto"/>
        </w:rPr>
      </w:pPr>
    </w:p>
    <w:p>
      <w:pPr>
        <w:ind w:right="280"/>
        <w:spacing w:after="0" w:line="315" w:lineRule="auto"/>
        <w:rPr>
          <w:sz w:val="20"/>
          <w:szCs w:val="20"/>
          <w:color w:val="auto"/>
        </w:rPr>
      </w:pPr>
      <w:r>
        <w:rPr>
          <w:rFonts w:ascii="Arial" w:cs="Arial" w:eastAsia="Arial" w:hAnsi="Arial"/>
          <w:sz w:val="18"/>
          <w:szCs w:val="18"/>
          <w:color w:val="auto"/>
        </w:rPr>
        <w:t>The effective tax rate for the three months ended September 30, 2026 was 14.8 percent versus 20.4 percent for the prior-year period. The year-over-year decrease primarily reflected a higher proportion of pre-tax losses in jurisdictions where the related tax benefits were not recognized.</w:t>
      </w:r>
    </w:p>
    <w:p>
      <w:pPr>
        <w:spacing w:after="0" w:line="184" w:lineRule="exact"/>
        <w:rPr>
          <w:sz w:val="20"/>
          <w:szCs w:val="20"/>
          <w:color w:val="auto"/>
        </w:rPr>
      </w:pPr>
    </w:p>
    <w:p>
      <w:pPr>
        <w:ind w:right="220"/>
        <w:spacing w:after="0" w:line="315" w:lineRule="auto"/>
        <w:rPr>
          <w:sz w:val="20"/>
          <w:szCs w:val="20"/>
          <w:color w:val="auto"/>
        </w:rPr>
      </w:pPr>
      <w:r>
        <w:rPr>
          <w:rFonts w:ascii="Arial" w:cs="Arial" w:eastAsia="Arial" w:hAnsi="Arial"/>
          <w:sz w:val="18"/>
          <w:szCs w:val="18"/>
          <w:color w:val="auto"/>
        </w:rPr>
        <w:t>For the nine months ended September 30, 2026, the effective tax rate increased to 57.1 percent from 20.7 percent in the corresponding period of 2025. The increase primarily reflected a higher proportion of pre-tax losses in jurisdictions where the related tax benefits were not recognized.</w:t>
      </w:r>
    </w:p>
    <w:p>
      <w:pPr>
        <w:spacing w:after="0" w:line="170"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The Company’s ability to realize the full value of its deferred tax assets is dependent upon the generation of future taxable income. Based on recent losses generated in certain jurisdictions, we are closely monitoring the realizability of our recognized deferred tax assets. If actual future taxable income differs from the current estimates, the Company may be required to de-recognize deferred tax assets, which could materially impact future results.</w:t>
      </w:r>
    </w:p>
    <w:p>
      <w:pPr>
        <w:sectPr>
          <w:pgSz w:w="11900" w:h="16838" w:orient="portrait"/>
          <w:cols w:equalWidth="0" w:num="1">
            <w:col w:w="11240"/>
          </w:cols>
          <w:pgMar w:left="320" w:top="1440"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80" w:type="dxa"/>
            <w:vAlign w:val="bottom"/>
            <w:gridSpan w:val="2"/>
          </w:tcPr>
          <w:p>
            <w:pPr>
              <w:spacing w:after="0"/>
              <w:rPr>
                <w:sz w:val="20"/>
                <w:szCs w:val="20"/>
                <w:color w:val="auto"/>
              </w:rPr>
            </w:pPr>
            <w:r>
              <w:rPr>
                <w:rFonts w:ascii="Arial" w:cs="Arial" w:eastAsia="Arial" w:hAnsi="Arial"/>
                <w:sz w:val="16"/>
                <w:szCs w:val="16"/>
                <w:b w:val="1"/>
                <w:bCs w:val="1"/>
                <w:color w:val="143A84"/>
              </w:rPr>
              <w:t>Net profit/(loss)</w:t>
            </w:r>
          </w:p>
        </w:tc>
        <w:tc>
          <w:tcPr>
            <w:tcW w:w="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3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20" w:type="dxa"/>
            <w:vAlign w:val="bottom"/>
            <w:gridSpan w:val="3"/>
            <w:vMerge w:val="continue"/>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3240" w:type="dxa"/>
            <w:vAlign w:val="bottom"/>
          </w:tcPr>
          <w:p>
            <w:pPr>
              <w:spacing w:after="0"/>
              <w:rPr>
                <w:sz w:val="19"/>
                <w:szCs w:val="19"/>
                <w:color w:val="auto"/>
              </w:rPr>
            </w:pPr>
          </w:p>
        </w:tc>
        <w:tc>
          <w:tcPr>
            <w:tcW w:w="2380" w:type="dxa"/>
            <w:vAlign w:val="bottom"/>
            <w:gridSpan w:val="3"/>
            <w:vMerge w:val="continue"/>
          </w:tcPr>
          <w:p>
            <w:pPr>
              <w:spacing w:after="0"/>
              <w:rPr>
                <w:sz w:val="19"/>
                <w:szCs w:val="19"/>
                <w:color w:val="auto"/>
              </w:rPr>
            </w:pPr>
          </w:p>
        </w:tc>
        <w:tc>
          <w:tcPr>
            <w:tcW w:w="158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80" w:type="dxa"/>
            <w:vAlign w:val="bottom"/>
            <w:tcBorders>
              <w:bottom w:val="single" w:sz="8" w:color="8E939F"/>
            </w:tcBorders>
            <w:gridSpan w:val="2"/>
          </w:tcPr>
          <w:p>
            <w:pPr>
              <w:jc w:val="center"/>
              <w:ind w:left="459"/>
              <w:spacing w:after="0"/>
              <w:rPr>
                <w:sz w:val="20"/>
                <w:szCs w:val="20"/>
                <w:color w:val="auto"/>
              </w:rPr>
            </w:pPr>
            <w:r>
              <w:rPr>
                <w:rFonts w:ascii="Arial" w:cs="Arial" w:eastAsia="Arial" w:hAnsi="Arial"/>
                <w:sz w:val="16"/>
                <w:szCs w:val="16"/>
                <w:b w:val="1"/>
                <w:bCs w:val="1"/>
                <w:color w:val="243782"/>
              </w:rPr>
              <w:t>September 30,</w:t>
            </w:r>
          </w:p>
        </w:tc>
        <w:tc>
          <w:tcPr>
            <w:tcW w:w="64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3240" w:type="dxa"/>
            <w:vAlign w:val="bottom"/>
          </w:tcPr>
          <w:p>
            <w:pPr>
              <w:spacing w:after="0"/>
              <w:rPr>
                <w:sz w:val="19"/>
                <w:szCs w:val="19"/>
                <w:color w:val="auto"/>
              </w:rPr>
            </w:pPr>
          </w:p>
        </w:tc>
        <w:tc>
          <w:tcPr>
            <w:tcW w:w="1720" w:type="dxa"/>
            <w:vAlign w:val="bottom"/>
            <w:tcBorders>
              <w:bottom w:val="single" w:sz="8" w:color="8E939F"/>
            </w:tcBorders>
            <w:gridSpan w:val="2"/>
          </w:tcPr>
          <w:p>
            <w:pPr>
              <w:jc w:val="center"/>
              <w:ind w:left="49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40" w:type="dxa"/>
            <w:vAlign w:val="bottom"/>
            <w:shd w:val="clear" w:color="auto" w:fill="F3F3F9"/>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4"/>
                <w:szCs w:val="14"/>
                <w:i w:val="1"/>
                <w:iCs w:val="1"/>
                <w:color w:val="auto"/>
              </w:rPr>
              <w:t>(€ million)</w:t>
            </w:r>
          </w:p>
        </w:tc>
        <w:tc>
          <w:tcPr>
            <w:tcW w:w="1080" w:type="dxa"/>
            <w:vAlign w:val="bottom"/>
            <w:shd w:val="clear" w:color="auto" w:fill="F3F3F9"/>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40" w:type="dxa"/>
            <w:vAlign w:val="bottom"/>
            <w:tcBorders>
              <w:bottom w:val="single" w:sz="8" w:color="143A84"/>
            </w:tcBorders>
          </w:tcPr>
          <w:p>
            <w:pPr>
              <w:spacing w:after="0"/>
              <w:rPr>
                <w:sz w:val="20"/>
                <w:szCs w:val="20"/>
                <w:color w:val="auto"/>
              </w:rPr>
            </w:pPr>
          </w:p>
        </w:tc>
        <w:tc>
          <w:tcPr>
            <w:tcW w:w="64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240" w:type="dxa"/>
            <w:vAlign w:val="bottom"/>
            <w:tcBorders>
              <w:bottom w:val="single" w:sz="8" w:color="143A84"/>
            </w:tcBorders>
          </w:tcPr>
          <w:p>
            <w:pPr>
              <w:spacing w:after="0"/>
              <w:rPr>
                <w:sz w:val="20"/>
                <w:szCs w:val="20"/>
                <w:color w:val="auto"/>
              </w:rPr>
            </w:pPr>
          </w:p>
        </w:tc>
        <w:tc>
          <w:tcPr>
            <w:tcW w:w="10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40" w:type="dxa"/>
            <w:vAlign w:val="bottom"/>
            <w:tcBorders>
              <w:bottom w:val="single" w:sz="8" w:color="143A84"/>
            </w:tcBorders>
          </w:tcPr>
          <w:p>
            <w:pPr>
              <w:spacing w:after="0"/>
              <w:rPr>
                <w:sz w:val="20"/>
                <w:szCs w:val="20"/>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5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(453)</w:t>
            </w:r>
          </w:p>
        </w:tc>
        <w:tc>
          <w:tcPr>
            <w:tcW w:w="640" w:type="dxa"/>
            <w:vAlign w:val="bottom"/>
            <w:tcBorders>
              <w:bottom w:val="single" w:sz="8" w:color="8E939F"/>
            </w:tcBorders>
          </w:tcPr>
          <w:p>
            <w:pPr>
              <w:spacing w:after="0"/>
              <w:rPr>
                <w:sz w:val="21"/>
                <w:szCs w:val="21"/>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w w:val="98"/>
              </w:rPr>
              <w:t>(4,532)</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90.0%</w:t>
            </w:r>
          </w:p>
        </w:tc>
        <w:tc>
          <w:tcPr>
            <w:tcW w:w="3240" w:type="dxa"/>
            <w:vAlign w:val="bottom"/>
            <w:tcBorders>
              <w:bottom w:val="single" w:sz="8" w:color="8E939F"/>
            </w:tcBorders>
          </w:tcPr>
          <w:p>
            <w:pPr>
              <w:ind w:left="100"/>
              <w:spacing w:after="0"/>
              <w:rPr>
                <w:sz w:val="20"/>
                <w:szCs w:val="20"/>
                <w:color w:val="auto"/>
              </w:rPr>
            </w:pPr>
            <w:r>
              <w:rPr>
                <w:rFonts w:ascii="Arial" w:cs="Arial" w:eastAsia="Arial" w:hAnsi="Arial"/>
                <w:sz w:val="16"/>
                <w:szCs w:val="16"/>
                <w:color w:val="auto"/>
              </w:rPr>
              <w:t>Net profit/(loss)</w:t>
            </w:r>
          </w:p>
        </w:tc>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217</w:t>
            </w:r>
          </w:p>
        </w:tc>
        <w:tc>
          <w:tcPr>
            <w:tcW w:w="64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(6,788)</w:t>
            </w:r>
          </w:p>
        </w:tc>
        <w:tc>
          <w:tcPr>
            <w:tcW w:w="1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The Company reported a Net loss of €453 million for the three months ended September 30, 2026, and a Net profit of €217 million for the nine-month period, compared with Net losses of €4,532 million and €6,788 million in the corresponding periods of 2025. The improvement for the three months ended September 30, 2026 was primarily attributable to a moderate increase in Net revenues and the non-recurrence of costs incurred in 2025 related to: (i) charges recognized as a result of product plan realignments and program cancellations and corresponding costs and (ii) a reduction in warranty expense following the 2025 change in estimate for contractual warranties.</w:t>
      </w:r>
    </w:p>
    <w:p>
      <w:pPr>
        <w:spacing w:after="0" w:line="179"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color w:val="auto"/>
        </w:rPr>
        <w:t>The improvement for the nine months ended September 30, 2026 was primarily attributable to higher Net revenues driven by volume growth in North America and Enlarged Europe and the non-recurrence of costs incurred in 2025 related to: (i) charges recognized as a result of product plan realignments and program cancellations and corresponding costs, (ii) a reduction in warranty expense following the 2025 change in estimate for contractual warranties, (iii) charges recognized as a result of the Company’s decision to discontinue its hydrogen fuel cell technology program, and (iv) impairment of platforms used for Maserati and Alfa Romeo vehicles.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143A84"/>
              </w:rPr>
              <w:t>Adjusted operating income/(loss)</w:t>
            </w:r>
          </w:p>
        </w:tc>
        <w:tc>
          <w:tcPr>
            <w:tcW w:w="3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3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940" w:type="dxa"/>
            <w:vAlign w:val="bottom"/>
            <w:gridSpan w:val="2"/>
            <w:vMerge w:val="restart"/>
          </w:tcPr>
          <w:p>
            <w:pPr>
              <w:jc w:val="center"/>
              <w:ind w:left="319"/>
              <w:spacing w:after="0"/>
              <w:rPr>
                <w:sz w:val="20"/>
                <w:szCs w:val="20"/>
                <w:color w:val="auto"/>
              </w:rPr>
            </w:pPr>
            <w:r>
              <w:rPr>
                <w:rFonts w:ascii="Arial" w:cs="Arial" w:eastAsia="Arial" w:hAnsi="Arial"/>
                <w:sz w:val="16"/>
                <w:szCs w:val="16"/>
                <w:b w:val="1"/>
                <w:bCs w:val="1"/>
                <w:color w:val="243782"/>
              </w:rPr>
              <w:t>Nine months ended</w:t>
            </w:r>
          </w:p>
        </w:tc>
        <w:tc>
          <w:tcPr>
            <w:tcW w:w="5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40" w:type="dxa"/>
            <w:vAlign w:val="bottom"/>
            <w:gridSpan w:val="3"/>
            <w:vMerge w:val="continue"/>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302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80" w:type="dxa"/>
            <w:vAlign w:val="bottom"/>
            <w:tcBorders>
              <w:bottom w:val="single" w:sz="8" w:color="8E939F"/>
            </w:tcBorders>
            <w:gridSpan w:val="2"/>
          </w:tcPr>
          <w:p>
            <w:pPr>
              <w:jc w:val="center"/>
              <w:ind w:left="399"/>
              <w:spacing w:after="0"/>
              <w:rPr>
                <w:sz w:val="20"/>
                <w:szCs w:val="20"/>
                <w:color w:val="auto"/>
              </w:rPr>
            </w:pPr>
            <w:r>
              <w:rPr>
                <w:rFonts w:ascii="Arial" w:cs="Arial" w:eastAsia="Arial" w:hAnsi="Arial"/>
                <w:sz w:val="16"/>
                <w:szCs w:val="16"/>
                <w:b w:val="1"/>
                <w:bCs w:val="1"/>
                <w:color w:val="243782"/>
              </w:rPr>
              <w:t>September 30,</w:t>
            </w:r>
          </w:p>
        </w:tc>
        <w:tc>
          <w:tcPr>
            <w:tcW w:w="56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3020" w:type="dxa"/>
            <w:vAlign w:val="bottom"/>
          </w:tcPr>
          <w:p>
            <w:pPr>
              <w:spacing w:after="0"/>
              <w:rPr>
                <w:sz w:val="19"/>
                <w:szCs w:val="19"/>
                <w:color w:val="auto"/>
              </w:rPr>
            </w:pPr>
          </w:p>
        </w:tc>
        <w:tc>
          <w:tcPr>
            <w:tcW w:w="1940" w:type="dxa"/>
            <w:vAlign w:val="bottom"/>
            <w:tcBorders>
              <w:bottom w:val="single" w:sz="8" w:color="8E939F"/>
            </w:tcBorders>
            <w:gridSpan w:val="2"/>
          </w:tcPr>
          <w:p>
            <w:pPr>
              <w:jc w:val="center"/>
              <w:ind w:left="339"/>
              <w:spacing w:after="0"/>
              <w:rPr>
                <w:sz w:val="20"/>
                <w:szCs w:val="20"/>
                <w:color w:val="auto"/>
              </w:rPr>
            </w:pPr>
            <w:r>
              <w:rPr>
                <w:rFonts w:ascii="Arial" w:cs="Arial" w:eastAsia="Arial" w:hAnsi="Arial"/>
                <w:sz w:val="16"/>
                <w:szCs w:val="16"/>
                <w:b w:val="1"/>
                <w:bCs w:val="1"/>
                <w:color w:val="243782"/>
              </w:rPr>
              <w:t>September 30,</w:t>
            </w:r>
          </w:p>
        </w:tc>
        <w:tc>
          <w:tcPr>
            <w:tcW w:w="50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60" w:type="dxa"/>
            <w:vAlign w:val="bottom"/>
            <w:shd w:val="clear" w:color="auto" w:fill="F3F3F9"/>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4"/>
                <w:szCs w:val="14"/>
                <w:i w:val="1"/>
                <w:iCs w:val="1"/>
                <w:color w:val="auto"/>
              </w:rPr>
              <w:t>(€ million)</w:t>
            </w:r>
          </w:p>
        </w:tc>
        <w:tc>
          <w:tcPr>
            <w:tcW w:w="1140" w:type="dxa"/>
            <w:vAlign w:val="bottom"/>
            <w:shd w:val="clear" w:color="auto" w:fill="F3F3F9"/>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720" w:type="dxa"/>
            <w:vAlign w:val="bottom"/>
            <w:tcBorders>
              <w:bottom w:val="single" w:sz="8" w:color="143A84"/>
            </w:tcBorders>
          </w:tcPr>
          <w:p>
            <w:pPr>
              <w:spacing w:after="0"/>
              <w:rPr>
                <w:sz w:val="20"/>
                <w:szCs w:val="20"/>
                <w:color w:val="auto"/>
              </w:rPr>
            </w:pPr>
          </w:p>
        </w:tc>
        <w:tc>
          <w:tcPr>
            <w:tcW w:w="5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020" w:type="dxa"/>
            <w:vAlign w:val="bottom"/>
            <w:tcBorders>
              <w:bottom w:val="single" w:sz="8" w:color="143A84"/>
            </w:tcBorders>
          </w:tcPr>
          <w:p>
            <w:pPr>
              <w:spacing w:after="0"/>
              <w:rPr>
                <w:sz w:val="20"/>
                <w:szCs w:val="20"/>
                <w:color w:val="auto"/>
              </w:rPr>
            </w:pPr>
          </w:p>
        </w:tc>
        <w:tc>
          <w:tcPr>
            <w:tcW w:w="11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800" w:type="dxa"/>
            <w:vAlign w:val="bottom"/>
            <w:tcBorders>
              <w:bottom w:val="single" w:sz="8" w:color="143A84"/>
            </w:tcBorders>
          </w:tcPr>
          <w:p>
            <w:pPr>
              <w:spacing w:after="0"/>
              <w:rPr>
                <w:sz w:val="20"/>
                <w:szCs w:val="20"/>
                <w:color w:val="auto"/>
              </w:rPr>
            </w:pPr>
          </w:p>
        </w:tc>
        <w:tc>
          <w:tcPr>
            <w:tcW w:w="50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256</w:t>
            </w:r>
          </w:p>
        </w:tc>
        <w:tc>
          <w:tcPr>
            <w:tcW w:w="720" w:type="dxa"/>
            <w:vAlign w:val="bottom"/>
            <w:tcBorders>
              <w:bottom w:val="single" w:sz="8" w:color="8E939F"/>
            </w:tcBorders>
          </w:tcPr>
          <w:p>
            <w:pPr>
              <w:spacing w:after="0"/>
              <w:rPr>
                <w:sz w:val="21"/>
                <w:szCs w:val="21"/>
                <w:color w:val="auto"/>
              </w:rPr>
            </w:pPr>
          </w:p>
        </w:tc>
        <w:tc>
          <w:tcPr>
            <w:tcW w:w="5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90</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184.4%</w:t>
            </w:r>
          </w:p>
        </w:tc>
        <w:tc>
          <w:tcPr>
            <w:tcW w:w="30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Adjusted operating income/(loss)</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1,989</w:t>
            </w:r>
          </w:p>
        </w:tc>
        <w:tc>
          <w:tcPr>
            <w:tcW w:w="800" w:type="dxa"/>
            <w:vAlign w:val="bottom"/>
            <w:tcBorders>
              <w:bottom w:val="single" w:sz="8" w:color="8E939F"/>
            </w:tcBorders>
          </w:tcPr>
          <w:p>
            <w:pPr>
              <w:spacing w:after="0"/>
              <w:rPr>
                <w:sz w:val="21"/>
                <w:szCs w:val="21"/>
                <w:color w:val="auto"/>
              </w:rPr>
            </w:pPr>
          </w:p>
        </w:tc>
        <w:tc>
          <w:tcPr>
            <w:tcW w:w="5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630</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229"/>
        </w:trPr>
        <w:tc>
          <w:tcPr>
            <w:tcW w:w="1060" w:type="dxa"/>
            <w:vAlign w:val="bottom"/>
            <w:shd w:val="clear" w:color="auto" w:fill="F3F3F9"/>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6"/>
                <w:szCs w:val="16"/>
                <w:color w:val="auto"/>
              </w:rPr>
              <w:t>Adjusted operating income/(loss)</w:t>
            </w:r>
          </w:p>
        </w:tc>
        <w:tc>
          <w:tcPr>
            <w:tcW w:w="1140" w:type="dxa"/>
            <w:vAlign w:val="bottom"/>
            <w:shd w:val="clear" w:color="auto" w:fill="F3F3F9"/>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0.7%</w:t>
            </w:r>
          </w:p>
        </w:tc>
        <w:tc>
          <w:tcPr>
            <w:tcW w:w="720" w:type="dxa"/>
            <w:vAlign w:val="bottom"/>
            <w:tcBorders>
              <w:bottom w:val="single" w:sz="8" w:color="8E939F"/>
            </w:tcBorders>
          </w:tcPr>
          <w:p>
            <w:pPr>
              <w:spacing w:after="0"/>
              <w:rPr>
                <w:sz w:val="19"/>
                <w:szCs w:val="19"/>
                <w:color w:val="auto"/>
              </w:rPr>
            </w:pPr>
          </w:p>
        </w:tc>
        <w:tc>
          <w:tcPr>
            <w:tcW w:w="5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0.2%</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50 bps</w:t>
            </w:r>
          </w:p>
        </w:tc>
        <w:tc>
          <w:tcPr>
            <w:tcW w:w="30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margin (%)</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w:t>
            </w:r>
          </w:p>
        </w:tc>
        <w:tc>
          <w:tcPr>
            <w:tcW w:w="800" w:type="dxa"/>
            <w:vAlign w:val="bottom"/>
            <w:tcBorders>
              <w:bottom w:val="single" w:sz="8" w:color="8E939F"/>
            </w:tcBorders>
          </w:tcPr>
          <w:p>
            <w:pPr>
              <w:spacing w:after="0"/>
              <w:rPr>
                <w:sz w:val="19"/>
                <w:szCs w:val="19"/>
                <w:color w:val="auto"/>
              </w:rPr>
            </w:pPr>
          </w:p>
        </w:tc>
        <w:tc>
          <w:tcPr>
            <w:tcW w:w="5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0.6%</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110 bps</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The following charts present the change in Adjusted operating income/(loss) by segment for the three and nine months ended September 30, 2026 compared to the corresponding periods in 2025:</w:t>
      </w:r>
    </w:p>
    <w:p>
      <w:pPr>
        <w:spacing w:after="0" w:line="131" w:lineRule="exact"/>
        <w:rPr>
          <w:sz w:val="20"/>
          <w:szCs w:val="20"/>
          <w:color w:val="auto"/>
        </w:rPr>
      </w:pPr>
    </w:p>
    <w:p>
      <w:pPr>
        <w:ind w:right="720"/>
        <w:spacing w:after="0" w:line="314" w:lineRule="auto"/>
        <w:rPr>
          <w:sz w:val="20"/>
          <w:szCs w:val="20"/>
          <w:color w:val="auto"/>
        </w:rPr>
      </w:pPr>
      <w:r>
        <w:rPr>
          <w:rFonts w:ascii="Arial" w:cs="Arial" w:eastAsia="Arial" w:hAnsi="Arial"/>
          <w:sz w:val="16"/>
          <w:szCs w:val="16"/>
          <w:b w:val="1"/>
          <w:bCs w:val="1"/>
          <w:color w:val="143A84"/>
        </w:rPr>
        <w:t>Adjusted operating income/(loss) change by segment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wp:posOffset>
            </wp:positionV>
            <wp:extent cx="5863590" cy="2280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80"/>
        <w:spacing w:after="0" w:line="296" w:lineRule="auto"/>
        <w:rPr>
          <w:sz w:val="20"/>
          <w:szCs w:val="20"/>
          <w:color w:val="auto"/>
        </w:rPr>
      </w:pPr>
      <w:r>
        <w:rPr>
          <w:rFonts w:ascii="Arial" w:cs="Arial" w:eastAsia="Arial" w:hAnsi="Arial"/>
          <w:sz w:val="16"/>
          <w:szCs w:val="16"/>
          <w:b w:val="1"/>
          <w:bCs w:val="1"/>
          <w:color w:val="143A84"/>
        </w:rPr>
        <w:t>Adjusted operating income/(loss) change by segment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38100</wp:posOffset>
            </wp:positionV>
            <wp:extent cx="5863590" cy="2280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334" w:lineRule="auto"/>
        <w:rPr>
          <w:sz w:val="20"/>
          <w:szCs w:val="20"/>
          <w:color w:val="auto"/>
        </w:rPr>
      </w:pPr>
      <w:r>
        <w:rPr>
          <w:rFonts w:ascii="Arial" w:cs="Arial" w:eastAsia="Arial" w:hAnsi="Arial"/>
          <w:sz w:val="18"/>
          <w:szCs w:val="18"/>
          <w:color w:val="auto"/>
        </w:rPr>
        <w:t xml:space="preserve">Refer to — </w:t>
      </w:r>
      <w:r>
        <w:rPr>
          <w:rFonts w:ascii="Arial" w:cs="Arial" w:eastAsia="Arial" w:hAnsi="Arial"/>
          <w:sz w:val="18"/>
          <w:szCs w:val="18"/>
          <w:i w:val="1"/>
          <w:iCs w:val="1"/>
          <w:color w:val="auto"/>
        </w:rPr>
        <w:t>Results by segment</w:t>
      </w:r>
      <w:r>
        <w:rPr>
          <w:rFonts w:ascii="Arial" w:cs="Arial" w:eastAsia="Arial" w:hAnsi="Arial"/>
          <w:sz w:val="18"/>
          <w:szCs w:val="18"/>
          <w:color w:val="auto"/>
        </w:rPr>
        <w:t xml:space="preserve"> below for a discussion of Adjusted operating income/(loss) for each of our five reporting segments (North America, Enlarged Europe, Middle East &amp; Africa, South America and Asia Pacific).</w:t>
      </w:r>
    </w:p>
    <w:p>
      <w:pPr>
        <w:spacing w:after="0" w:line="153"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The following table is the reconciliation of Net profit/(loss), which is the most directly comparable measure included in the Interim Condensed Consolidated Income Statement, to Adjusted operating income/(loss):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jc w:val="right"/>
              <w:ind w:right="179"/>
              <w:spacing w:after="0"/>
              <w:rPr>
                <w:sz w:val="20"/>
                <w:szCs w:val="20"/>
                <w:color w:val="auto"/>
              </w:rPr>
            </w:pPr>
            <w:r>
              <w:rPr>
                <w:rFonts w:ascii="Arial" w:cs="Arial" w:eastAsia="Arial" w:hAnsi="Arial"/>
                <w:sz w:val="16"/>
                <w:szCs w:val="16"/>
                <w:b w:val="1"/>
                <w:bCs w:val="1"/>
                <w:color w:val="243782"/>
              </w:rPr>
              <w:t>Three months ended</w:t>
            </w:r>
          </w:p>
        </w:tc>
        <w:tc>
          <w:tcPr>
            <w:tcW w:w="6220" w:type="dxa"/>
            <w:vAlign w:val="bottom"/>
          </w:tcPr>
          <w:p>
            <w:pPr>
              <w:ind w:left="80"/>
              <w:spacing w:after="0"/>
              <w:rPr>
                <w:sz w:val="20"/>
                <w:szCs w:val="20"/>
                <w:color w:val="auto"/>
              </w:rPr>
            </w:pPr>
            <w:r>
              <w:rPr>
                <w:rFonts w:ascii="Arial" w:cs="Arial" w:eastAsia="Arial" w:hAnsi="Arial"/>
                <w:sz w:val="14"/>
                <w:szCs w:val="14"/>
                <w:i w:val="1"/>
                <w:iCs w:val="1"/>
                <w:color w:val="auto"/>
              </w:rPr>
              <w:t>(€ million)</w:t>
            </w:r>
          </w:p>
        </w:tc>
        <w:tc>
          <w:tcPr>
            <w:tcW w:w="2940" w:type="dxa"/>
            <w:vAlign w:val="bottom"/>
          </w:tcPr>
          <w:p>
            <w:pPr>
              <w:jc w:val="right"/>
              <w:ind w:right="199"/>
              <w:spacing w:after="0"/>
              <w:rPr>
                <w:sz w:val="20"/>
                <w:szCs w:val="20"/>
                <w:color w:val="auto"/>
              </w:rPr>
            </w:pPr>
            <w:r>
              <w:rPr>
                <w:rFonts w:ascii="Arial" w:cs="Arial" w:eastAsia="Arial" w:hAnsi="Arial"/>
                <w:sz w:val="16"/>
                <w:szCs w:val="16"/>
                <w:b w:val="1"/>
                <w:bCs w:val="1"/>
                <w:color w:val="243782"/>
              </w:rPr>
              <w:t>Nine months ended</w:t>
            </w:r>
          </w:p>
        </w:tc>
      </w:tr>
      <w:tr>
        <w:trPr>
          <w:trHeight w:val="223"/>
        </w:trPr>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243782"/>
              </w:rPr>
              <w:t>September 30, 2026</w:t>
            </w:r>
          </w:p>
        </w:tc>
        <w:tc>
          <w:tcPr>
            <w:tcW w:w="6220" w:type="dxa"/>
            <w:vAlign w:val="bottom"/>
          </w:tcPr>
          <w:p>
            <w:pPr>
              <w:spacing w:after="0"/>
              <w:rPr>
                <w:sz w:val="19"/>
                <w:szCs w:val="19"/>
                <w:color w:val="auto"/>
              </w:rPr>
            </w:pPr>
          </w:p>
        </w:tc>
        <w:tc>
          <w:tcPr>
            <w:tcW w:w="2940" w:type="dxa"/>
            <w:vAlign w:val="bottom"/>
          </w:tcPr>
          <w:p>
            <w:pPr>
              <w:jc w:val="right"/>
              <w:ind w:right="199"/>
              <w:spacing w:after="0"/>
              <w:rPr>
                <w:sz w:val="20"/>
                <w:szCs w:val="20"/>
                <w:color w:val="auto"/>
              </w:rPr>
            </w:pPr>
            <w:r>
              <w:rPr>
                <w:rFonts w:ascii="Arial" w:cs="Arial" w:eastAsia="Arial" w:hAnsi="Arial"/>
                <w:sz w:val="16"/>
                <w:szCs w:val="16"/>
                <w:b w:val="1"/>
                <w:bCs w:val="1"/>
                <w:color w:val="243782"/>
              </w:rPr>
              <w:t>September 30, 2026</w:t>
            </w:r>
          </w:p>
        </w:tc>
      </w:tr>
      <w:tr>
        <w:trPr>
          <w:trHeight w:val="21"/>
        </w:trPr>
        <w:tc>
          <w:tcPr>
            <w:tcW w:w="2080" w:type="dxa"/>
            <w:vAlign w:val="bottom"/>
            <w:tcBorders>
              <w:bottom w:val="single" w:sz="8" w:color="8E939F"/>
            </w:tcBorders>
          </w:tcPr>
          <w:p>
            <w:pPr>
              <w:spacing w:after="0" w:line="20" w:lineRule="exact"/>
              <w:rPr>
                <w:sz w:val="1"/>
                <w:szCs w:val="1"/>
                <w:color w:val="auto"/>
              </w:rPr>
            </w:pPr>
          </w:p>
        </w:tc>
        <w:tc>
          <w:tcPr>
            <w:tcW w:w="6220" w:type="dxa"/>
            <w:vAlign w:val="bottom"/>
            <w:tcBorders>
              <w:bottom w:val="single" w:sz="8" w:color="8E939F"/>
            </w:tcBorders>
          </w:tcPr>
          <w:p>
            <w:pPr>
              <w:spacing w:after="0" w:line="20" w:lineRule="exact"/>
              <w:rPr>
                <w:sz w:val="1"/>
                <w:szCs w:val="1"/>
                <w:color w:val="auto"/>
              </w:rPr>
            </w:pPr>
          </w:p>
        </w:tc>
        <w:tc>
          <w:tcPr>
            <w:tcW w:w="2940" w:type="dxa"/>
            <w:vAlign w:val="bottom"/>
            <w:tcBorders>
              <w:bottom w:val="single" w:sz="8" w:color="8E939F"/>
            </w:tcBorders>
          </w:tcPr>
          <w:p>
            <w:pPr>
              <w:spacing w:after="0" w:line="20" w:lineRule="exact"/>
              <w:rPr>
                <w:sz w:val="1"/>
                <w:szCs w:val="1"/>
                <w:color w:val="auto"/>
              </w:rPr>
            </w:pPr>
          </w:p>
        </w:tc>
      </w:tr>
      <w:tr>
        <w:trPr>
          <w:trHeight w:val="246"/>
        </w:trPr>
        <w:tc>
          <w:tcPr>
            <w:tcW w:w="2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(453)</w:t>
            </w:r>
          </w:p>
        </w:tc>
        <w:tc>
          <w:tcPr>
            <w:tcW w:w="622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Net profit/(loss)</w:t>
            </w:r>
          </w:p>
        </w:tc>
        <w:tc>
          <w:tcPr>
            <w:tcW w:w="29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217</w:t>
            </w:r>
          </w:p>
        </w:tc>
      </w:tr>
      <w:tr>
        <w:trPr>
          <w:trHeight w:val="247"/>
        </w:trPr>
        <w:tc>
          <w:tcPr>
            <w:tcW w:w="20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(79)</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Tax expense/(benefit)</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289</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201</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Net financial expenses/(income)</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553</w:t>
            </w:r>
          </w:p>
        </w:tc>
      </w:tr>
      <w:tr>
        <w:trPr>
          <w:trHeight w:val="253"/>
        </w:trPr>
        <w:tc>
          <w:tcPr>
            <w:tcW w:w="2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(331)</w:t>
            </w:r>
          </w:p>
        </w:tc>
        <w:tc>
          <w:tcPr>
            <w:tcW w:w="622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Operating income/(loss)</w:t>
            </w:r>
          </w:p>
        </w:tc>
        <w:tc>
          <w:tcPr>
            <w:tcW w:w="29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1,059</w:t>
            </w:r>
          </w:p>
        </w:tc>
      </w:tr>
      <w:tr>
        <w:trPr>
          <w:trHeight w:val="240"/>
        </w:trPr>
        <w:tc>
          <w:tcPr>
            <w:tcW w:w="2080" w:type="dxa"/>
            <w:vAlign w:val="bottom"/>
            <w:tcBorders>
              <w:bottom w:val="single" w:sz="8" w:color="8E939F"/>
            </w:tcBorders>
          </w:tcPr>
          <w:p>
            <w:pPr>
              <w:spacing w:after="0"/>
              <w:rPr>
                <w:sz w:val="20"/>
                <w:szCs w:val="20"/>
                <w:color w:val="auto"/>
              </w:rPr>
            </w:pPr>
          </w:p>
        </w:tc>
        <w:tc>
          <w:tcPr>
            <w:tcW w:w="6220" w:type="dxa"/>
            <w:vAlign w:val="bottom"/>
            <w:tcBorders>
              <w:bottom w:val="single" w:sz="8" w:color="8E939F"/>
            </w:tcBorders>
          </w:tcPr>
          <w:p>
            <w:pPr>
              <w:spacing w:after="0"/>
              <w:rPr>
                <w:sz w:val="20"/>
                <w:szCs w:val="20"/>
                <w:color w:val="auto"/>
              </w:rPr>
            </w:pPr>
          </w:p>
        </w:tc>
        <w:tc>
          <w:tcPr>
            <w:tcW w:w="2940" w:type="dxa"/>
            <w:vAlign w:val="bottom"/>
            <w:tcBorders>
              <w:bottom w:val="single" w:sz="8" w:color="8E939F"/>
            </w:tcBorders>
          </w:tcPr>
          <w:p>
            <w:pPr>
              <w:spacing w:after="0"/>
              <w:rPr>
                <w:sz w:val="20"/>
                <w:szCs w:val="20"/>
                <w:color w:val="auto"/>
              </w:rPr>
            </w:pPr>
          </w:p>
        </w:tc>
      </w:tr>
      <w:tr>
        <w:trPr>
          <w:trHeight w:val="246"/>
        </w:trPr>
        <w:tc>
          <w:tcPr>
            <w:tcW w:w="2080" w:type="dxa"/>
            <w:vAlign w:val="bottom"/>
            <w:tcBorders>
              <w:bottom w:val="single" w:sz="8" w:color="8E939F"/>
            </w:tcBorders>
            <w:shd w:val="clear" w:color="auto" w:fill="F3F3F9"/>
          </w:tcPr>
          <w:p>
            <w:pPr>
              <w:spacing w:after="0"/>
              <w:rPr>
                <w:sz w:val="21"/>
                <w:szCs w:val="21"/>
                <w:color w:val="auto"/>
              </w:rPr>
            </w:pPr>
          </w:p>
        </w:tc>
        <w:tc>
          <w:tcPr>
            <w:tcW w:w="622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Adjustments:</w:t>
            </w:r>
          </w:p>
        </w:tc>
        <w:tc>
          <w:tcPr>
            <w:tcW w:w="2940" w:type="dxa"/>
            <w:vAlign w:val="bottom"/>
            <w:tcBorders>
              <w:bottom w:val="single" w:sz="8" w:color="8E939F"/>
            </w:tcBorders>
            <w:shd w:val="clear" w:color="auto" w:fill="F3F3F9"/>
          </w:tcPr>
          <w:p>
            <w:pPr>
              <w:spacing w:after="0"/>
              <w:rPr>
                <w:sz w:val="21"/>
                <w:szCs w:val="21"/>
                <w:color w:val="auto"/>
              </w:rPr>
            </w:pPr>
          </w:p>
        </w:tc>
      </w:tr>
      <w:tr>
        <w:trPr>
          <w:trHeight w:val="247"/>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66</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Restructuring and other costs, net of reversals</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548</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223</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Takata airbags recall campaign</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329</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31</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Costs related to product plan realignments and program cancellations</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227</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118</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Write-down of investment in Leasys</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118</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(Gains)/losses on disposal of investments</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(59)</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U.S. GHG regulation change</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(66)</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Renegotiated regulatory purchase commitments of credits</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(317)</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149</w:t>
            </w:r>
          </w:p>
        </w:tc>
        <w:tc>
          <w:tcPr>
            <w:tcW w:w="622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Other</w:t>
            </w:r>
          </w:p>
        </w:tc>
        <w:tc>
          <w:tcPr>
            <w:tcW w:w="29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150</w:t>
            </w:r>
          </w:p>
        </w:tc>
      </w:tr>
      <w:tr>
        <w:trPr>
          <w:trHeight w:val="253"/>
        </w:trPr>
        <w:tc>
          <w:tcPr>
            <w:tcW w:w="2080" w:type="dxa"/>
            <w:vAlign w:val="bottom"/>
            <w:tcBorders>
              <w:bottom w:val="single" w:sz="8" w:color="8E939F"/>
            </w:tcBorders>
            <w:shd w:val="clear" w:color="auto" w:fill="F3F3F9"/>
          </w:tcPr>
          <w:p>
            <w:pPr>
              <w:jc w:val="right"/>
              <w:ind w:right="19"/>
              <w:spacing w:after="0"/>
              <w:rPr>
                <w:sz w:val="20"/>
                <w:szCs w:val="20"/>
                <w:color w:val="auto"/>
              </w:rPr>
            </w:pPr>
            <w:r>
              <w:rPr>
                <w:rFonts w:ascii="Arial" w:cs="Arial" w:eastAsia="Arial" w:hAnsi="Arial"/>
                <w:sz w:val="16"/>
                <w:szCs w:val="16"/>
                <w:b w:val="1"/>
                <w:bCs w:val="1"/>
                <w:color w:val="243782"/>
              </w:rPr>
              <w:t>587</w:t>
            </w:r>
          </w:p>
        </w:tc>
        <w:tc>
          <w:tcPr>
            <w:tcW w:w="622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Total Adjustments</w:t>
            </w:r>
          </w:p>
        </w:tc>
        <w:tc>
          <w:tcPr>
            <w:tcW w:w="29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930</w:t>
            </w:r>
          </w:p>
        </w:tc>
      </w:tr>
      <w:tr>
        <w:trPr>
          <w:trHeight w:val="250"/>
        </w:trPr>
        <w:tc>
          <w:tcPr>
            <w:tcW w:w="208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256</w:t>
            </w:r>
          </w:p>
        </w:tc>
        <w:tc>
          <w:tcPr>
            <w:tcW w:w="6220" w:type="dxa"/>
            <w:vAlign w:val="bottom"/>
            <w:tcBorders>
              <w:bottom w:val="single" w:sz="8" w:color="8E939F"/>
            </w:tcBorders>
            <w:shd w:val="clear" w:color="auto" w:fill="E6E7F4"/>
          </w:tcPr>
          <w:p>
            <w:pPr>
              <w:ind w:left="80"/>
              <w:spacing w:after="0"/>
              <w:rPr>
                <w:sz w:val="20"/>
                <w:szCs w:val="20"/>
                <w:color w:val="auto"/>
              </w:rPr>
            </w:pPr>
            <w:r>
              <w:rPr>
                <w:rFonts w:ascii="Arial" w:cs="Arial" w:eastAsia="Arial" w:hAnsi="Arial"/>
                <w:sz w:val="16"/>
                <w:szCs w:val="16"/>
                <w:b w:val="1"/>
                <w:bCs w:val="1"/>
                <w:color w:val="243782"/>
              </w:rPr>
              <w:t>Adjusted operating income/(loss)</w:t>
            </w:r>
          </w:p>
        </w:tc>
        <w:tc>
          <w:tcPr>
            <w:tcW w:w="29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1,989</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jc w:val="right"/>
              <w:ind w:right="179"/>
              <w:spacing w:after="0"/>
              <w:rPr>
                <w:sz w:val="20"/>
                <w:szCs w:val="20"/>
                <w:color w:val="auto"/>
              </w:rPr>
            </w:pPr>
            <w:r>
              <w:rPr>
                <w:rFonts w:ascii="Arial" w:cs="Arial" w:eastAsia="Arial" w:hAnsi="Arial"/>
                <w:sz w:val="16"/>
                <w:szCs w:val="16"/>
                <w:b w:val="1"/>
                <w:bCs w:val="1"/>
                <w:color w:val="243782"/>
              </w:rPr>
              <w:t>Three months ended</w:t>
            </w:r>
          </w:p>
        </w:tc>
        <w:tc>
          <w:tcPr>
            <w:tcW w:w="5700" w:type="dxa"/>
            <w:vAlign w:val="bottom"/>
          </w:tcPr>
          <w:p>
            <w:pPr>
              <w:ind w:left="80"/>
              <w:spacing w:after="0"/>
              <w:rPr>
                <w:sz w:val="20"/>
                <w:szCs w:val="20"/>
                <w:color w:val="auto"/>
              </w:rPr>
            </w:pPr>
            <w:r>
              <w:rPr>
                <w:rFonts w:ascii="Arial" w:cs="Arial" w:eastAsia="Arial" w:hAnsi="Arial"/>
                <w:sz w:val="14"/>
                <w:szCs w:val="14"/>
                <w:i w:val="1"/>
                <w:iCs w:val="1"/>
                <w:color w:val="auto"/>
              </w:rPr>
              <w:t>(€ million)</w:t>
            </w:r>
          </w:p>
        </w:tc>
        <w:tc>
          <w:tcPr>
            <w:tcW w:w="3460" w:type="dxa"/>
            <w:vAlign w:val="bottom"/>
          </w:tcPr>
          <w:p>
            <w:pPr>
              <w:jc w:val="right"/>
              <w:ind w:right="199"/>
              <w:spacing w:after="0"/>
              <w:rPr>
                <w:sz w:val="20"/>
                <w:szCs w:val="20"/>
                <w:color w:val="auto"/>
              </w:rPr>
            </w:pPr>
            <w:r>
              <w:rPr>
                <w:rFonts w:ascii="Arial" w:cs="Arial" w:eastAsia="Arial" w:hAnsi="Arial"/>
                <w:sz w:val="16"/>
                <w:szCs w:val="16"/>
                <w:b w:val="1"/>
                <w:bCs w:val="1"/>
                <w:color w:val="243782"/>
              </w:rPr>
              <w:t>Nine months ended</w:t>
            </w:r>
          </w:p>
        </w:tc>
      </w:tr>
      <w:tr>
        <w:trPr>
          <w:trHeight w:val="223"/>
        </w:trPr>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243782"/>
              </w:rPr>
              <w:t>September 30, 2025</w:t>
            </w:r>
          </w:p>
        </w:tc>
        <w:tc>
          <w:tcPr>
            <w:tcW w:w="5700" w:type="dxa"/>
            <w:vAlign w:val="bottom"/>
          </w:tcPr>
          <w:p>
            <w:pPr>
              <w:spacing w:after="0"/>
              <w:rPr>
                <w:sz w:val="19"/>
                <w:szCs w:val="19"/>
                <w:color w:val="auto"/>
              </w:rPr>
            </w:pPr>
          </w:p>
        </w:tc>
        <w:tc>
          <w:tcPr>
            <w:tcW w:w="3460" w:type="dxa"/>
            <w:vAlign w:val="bottom"/>
          </w:tcPr>
          <w:p>
            <w:pPr>
              <w:jc w:val="right"/>
              <w:ind w:right="199"/>
              <w:spacing w:after="0"/>
              <w:rPr>
                <w:sz w:val="20"/>
                <w:szCs w:val="20"/>
                <w:color w:val="auto"/>
              </w:rPr>
            </w:pPr>
            <w:r>
              <w:rPr>
                <w:rFonts w:ascii="Arial" w:cs="Arial" w:eastAsia="Arial" w:hAnsi="Arial"/>
                <w:sz w:val="16"/>
                <w:szCs w:val="16"/>
                <w:b w:val="1"/>
                <w:bCs w:val="1"/>
                <w:color w:val="243782"/>
              </w:rPr>
              <w:t>September 30, 2025</w:t>
            </w:r>
          </w:p>
        </w:tc>
      </w:tr>
      <w:tr>
        <w:trPr>
          <w:trHeight w:val="21"/>
        </w:trPr>
        <w:tc>
          <w:tcPr>
            <w:tcW w:w="2080" w:type="dxa"/>
            <w:vAlign w:val="bottom"/>
            <w:tcBorders>
              <w:bottom w:val="single" w:sz="8" w:color="8E939F"/>
            </w:tcBorders>
          </w:tcPr>
          <w:p>
            <w:pPr>
              <w:spacing w:after="0" w:line="20" w:lineRule="exact"/>
              <w:rPr>
                <w:sz w:val="1"/>
                <w:szCs w:val="1"/>
                <w:color w:val="auto"/>
              </w:rPr>
            </w:pPr>
          </w:p>
        </w:tc>
        <w:tc>
          <w:tcPr>
            <w:tcW w:w="5700" w:type="dxa"/>
            <w:vAlign w:val="bottom"/>
            <w:tcBorders>
              <w:bottom w:val="single" w:sz="8" w:color="8E939F"/>
            </w:tcBorders>
          </w:tcPr>
          <w:p>
            <w:pPr>
              <w:spacing w:after="0" w:line="20" w:lineRule="exact"/>
              <w:rPr>
                <w:sz w:val="1"/>
                <w:szCs w:val="1"/>
                <w:color w:val="auto"/>
              </w:rPr>
            </w:pPr>
          </w:p>
        </w:tc>
        <w:tc>
          <w:tcPr>
            <w:tcW w:w="3460" w:type="dxa"/>
            <w:vAlign w:val="bottom"/>
            <w:tcBorders>
              <w:bottom w:val="single" w:sz="8" w:color="8E939F"/>
            </w:tcBorders>
          </w:tcPr>
          <w:p>
            <w:pPr>
              <w:spacing w:after="0" w:line="20" w:lineRule="exact"/>
              <w:rPr>
                <w:sz w:val="1"/>
                <w:szCs w:val="1"/>
                <w:color w:val="auto"/>
              </w:rPr>
            </w:pPr>
          </w:p>
        </w:tc>
      </w:tr>
      <w:tr>
        <w:trPr>
          <w:trHeight w:val="246"/>
        </w:trPr>
        <w:tc>
          <w:tcPr>
            <w:tcW w:w="2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(4,532)</w:t>
            </w:r>
          </w:p>
        </w:tc>
        <w:tc>
          <w:tcPr>
            <w:tcW w:w="570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Net profit/(loss)</w:t>
            </w:r>
          </w:p>
        </w:tc>
        <w:tc>
          <w:tcPr>
            <w:tcW w:w="34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(6,788)</w:t>
            </w:r>
          </w:p>
        </w:tc>
      </w:tr>
      <w:tr>
        <w:trPr>
          <w:trHeight w:val="247"/>
        </w:trPr>
        <w:tc>
          <w:tcPr>
            <w:tcW w:w="20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(1,163)</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Tax expense/(benefit)</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(1,777)</w:t>
            </w:r>
          </w:p>
        </w:tc>
      </w:tr>
      <w:tr>
        <w:trPr>
          <w:trHeight w:val="250"/>
        </w:trPr>
        <w:tc>
          <w:tcPr>
            <w:tcW w:w="20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Net financial expenses/(income)</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154</w:t>
            </w:r>
          </w:p>
        </w:tc>
      </w:tr>
      <w:tr>
        <w:trPr>
          <w:trHeight w:val="253"/>
        </w:trPr>
        <w:tc>
          <w:tcPr>
            <w:tcW w:w="2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(5,701)</w:t>
            </w:r>
          </w:p>
        </w:tc>
        <w:tc>
          <w:tcPr>
            <w:tcW w:w="570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Operating income/(loss)</w:t>
            </w:r>
          </w:p>
        </w:tc>
        <w:tc>
          <w:tcPr>
            <w:tcW w:w="34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(8,411)</w:t>
            </w:r>
          </w:p>
        </w:tc>
      </w:tr>
      <w:tr>
        <w:trPr>
          <w:trHeight w:val="254"/>
        </w:trPr>
        <w:tc>
          <w:tcPr>
            <w:tcW w:w="2080" w:type="dxa"/>
            <w:vAlign w:val="bottom"/>
            <w:tcBorders>
              <w:bottom w:val="single" w:sz="8" w:color="8E939F"/>
            </w:tcBorders>
          </w:tcPr>
          <w:p>
            <w:pPr>
              <w:spacing w:after="0"/>
              <w:rPr>
                <w:sz w:val="22"/>
                <w:szCs w:val="22"/>
                <w:color w:val="auto"/>
              </w:rPr>
            </w:pPr>
          </w:p>
        </w:tc>
        <w:tc>
          <w:tcPr>
            <w:tcW w:w="5700" w:type="dxa"/>
            <w:vAlign w:val="bottom"/>
            <w:tcBorders>
              <w:bottom w:val="single" w:sz="8" w:color="8E939F"/>
            </w:tcBorders>
          </w:tcPr>
          <w:p>
            <w:pPr>
              <w:spacing w:after="0"/>
              <w:rPr>
                <w:sz w:val="22"/>
                <w:szCs w:val="22"/>
                <w:color w:val="auto"/>
              </w:rPr>
            </w:pPr>
          </w:p>
        </w:tc>
        <w:tc>
          <w:tcPr>
            <w:tcW w:w="3460" w:type="dxa"/>
            <w:vAlign w:val="bottom"/>
            <w:tcBorders>
              <w:bottom w:val="single" w:sz="8" w:color="8E939F"/>
            </w:tcBorders>
          </w:tcPr>
          <w:p>
            <w:pPr>
              <w:spacing w:after="0"/>
              <w:rPr>
                <w:sz w:val="22"/>
                <w:szCs w:val="22"/>
                <w:color w:val="auto"/>
              </w:rPr>
            </w:pPr>
          </w:p>
        </w:tc>
      </w:tr>
      <w:tr>
        <w:trPr>
          <w:trHeight w:val="246"/>
        </w:trPr>
        <w:tc>
          <w:tcPr>
            <w:tcW w:w="2080" w:type="dxa"/>
            <w:vAlign w:val="bottom"/>
            <w:tcBorders>
              <w:bottom w:val="single" w:sz="8" w:color="8E939F"/>
            </w:tcBorders>
            <w:shd w:val="clear" w:color="auto" w:fill="F3F3F9"/>
          </w:tcPr>
          <w:p>
            <w:pPr>
              <w:spacing w:after="0"/>
              <w:rPr>
                <w:sz w:val="21"/>
                <w:szCs w:val="21"/>
                <w:color w:val="auto"/>
              </w:rPr>
            </w:pPr>
          </w:p>
        </w:tc>
        <w:tc>
          <w:tcPr>
            <w:tcW w:w="570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Adjustments:</w:t>
            </w:r>
          </w:p>
        </w:tc>
        <w:tc>
          <w:tcPr>
            <w:tcW w:w="3460" w:type="dxa"/>
            <w:vAlign w:val="bottom"/>
            <w:tcBorders>
              <w:bottom w:val="single" w:sz="8" w:color="8E939F"/>
            </w:tcBorders>
            <w:shd w:val="clear" w:color="auto" w:fill="F3F3F9"/>
          </w:tcPr>
          <w:p>
            <w:pPr>
              <w:spacing w:after="0"/>
              <w:rPr>
                <w:sz w:val="21"/>
                <w:szCs w:val="21"/>
                <w:color w:val="auto"/>
              </w:rPr>
            </w:pPr>
          </w:p>
        </w:tc>
      </w:tr>
      <w:tr>
        <w:trPr>
          <w:trHeight w:val="247"/>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3,252</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Change in estimate for contractual warranties</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3,252</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1,748</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Costs related to program cancellations</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2,537</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401</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Restructuring and other costs, net of reversals</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923</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79</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Fuel cell program discontinuation</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812</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Platform impairments</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579</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56</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Takata airbags recall campaign</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295</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Corporate average fuel economy (“CAFE”) penalty rate</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269</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Stellantis Türkiye disposal</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246</w:t>
            </w:r>
          </w:p>
        </w:tc>
      </w:tr>
      <w:tr>
        <w:trPr>
          <w:trHeight w:val="250"/>
        </w:trPr>
        <w:tc>
          <w:tcPr>
            <w:tcW w:w="208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254</w:t>
            </w:r>
          </w:p>
        </w:tc>
        <w:tc>
          <w:tcPr>
            <w:tcW w:w="5700" w:type="dxa"/>
            <w:vAlign w:val="bottom"/>
            <w:tcBorders>
              <w:bottom w:val="single" w:sz="8" w:color="8E939F"/>
            </w:tcBorders>
          </w:tcPr>
          <w:p>
            <w:pPr>
              <w:ind w:left="80"/>
              <w:spacing w:after="0"/>
              <w:rPr>
                <w:sz w:val="20"/>
                <w:szCs w:val="20"/>
                <w:color w:val="auto"/>
              </w:rPr>
            </w:pPr>
            <w:r>
              <w:rPr>
                <w:rFonts w:ascii="Arial" w:cs="Arial" w:eastAsia="Arial" w:hAnsi="Arial"/>
                <w:sz w:val="16"/>
                <w:szCs w:val="16"/>
                <w:color w:val="auto"/>
              </w:rPr>
              <w:t>Other</w:t>
            </w:r>
          </w:p>
        </w:tc>
        <w:tc>
          <w:tcPr>
            <w:tcW w:w="34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128</w:t>
            </w:r>
          </w:p>
        </w:tc>
      </w:tr>
      <w:tr>
        <w:trPr>
          <w:trHeight w:val="253"/>
        </w:trPr>
        <w:tc>
          <w:tcPr>
            <w:tcW w:w="2080" w:type="dxa"/>
            <w:vAlign w:val="bottom"/>
            <w:tcBorders>
              <w:bottom w:val="single" w:sz="8" w:color="8E939F"/>
            </w:tcBorders>
            <w:shd w:val="clear" w:color="auto" w:fill="F3F3F9"/>
          </w:tcPr>
          <w:p>
            <w:pPr>
              <w:jc w:val="right"/>
              <w:ind w:right="19"/>
              <w:spacing w:after="0"/>
              <w:rPr>
                <w:sz w:val="20"/>
                <w:szCs w:val="20"/>
                <w:color w:val="auto"/>
              </w:rPr>
            </w:pPr>
            <w:r>
              <w:rPr>
                <w:rFonts w:ascii="Arial" w:cs="Arial" w:eastAsia="Arial" w:hAnsi="Arial"/>
                <w:sz w:val="16"/>
                <w:szCs w:val="16"/>
                <w:b w:val="1"/>
                <w:bCs w:val="1"/>
                <w:color w:val="243782"/>
              </w:rPr>
              <w:t>5,791</w:t>
            </w:r>
          </w:p>
        </w:tc>
        <w:tc>
          <w:tcPr>
            <w:tcW w:w="5700" w:type="dxa"/>
            <w:vAlign w:val="bottom"/>
            <w:tcBorders>
              <w:bottom w:val="single" w:sz="8" w:color="8E939F"/>
            </w:tcBorders>
            <w:shd w:val="clear" w:color="auto" w:fill="F3F3F9"/>
          </w:tcPr>
          <w:p>
            <w:pPr>
              <w:ind w:left="80"/>
              <w:spacing w:after="0"/>
              <w:rPr>
                <w:sz w:val="20"/>
                <w:szCs w:val="20"/>
                <w:color w:val="auto"/>
              </w:rPr>
            </w:pPr>
            <w:r>
              <w:rPr>
                <w:rFonts w:ascii="Arial" w:cs="Arial" w:eastAsia="Arial" w:hAnsi="Arial"/>
                <w:sz w:val="16"/>
                <w:szCs w:val="16"/>
                <w:b w:val="1"/>
                <w:bCs w:val="1"/>
                <w:color w:val="243782"/>
              </w:rPr>
              <w:t>Total Adjustments</w:t>
            </w:r>
          </w:p>
        </w:tc>
        <w:tc>
          <w:tcPr>
            <w:tcW w:w="34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9,041</w:t>
            </w:r>
          </w:p>
        </w:tc>
      </w:tr>
      <w:tr>
        <w:trPr>
          <w:trHeight w:val="254"/>
        </w:trPr>
        <w:tc>
          <w:tcPr>
            <w:tcW w:w="2080" w:type="dxa"/>
            <w:vAlign w:val="bottom"/>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90</w:t>
            </w:r>
          </w:p>
        </w:tc>
        <w:tc>
          <w:tcPr>
            <w:tcW w:w="5700" w:type="dxa"/>
            <w:vAlign w:val="bottom"/>
            <w:shd w:val="clear" w:color="auto" w:fill="E6E7F4"/>
          </w:tcPr>
          <w:p>
            <w:pPr>
              <w:ind w:left="80"/>
              <w:spacing w:after="0"/>
              <w:rPr>
                <w:sz w:val="20"/>
                <w:szCs w:val="20"/>
                <w:color w:val="auto"/>
              </w:rPr>
            </w:pPr>
            <w:r>
              <w:rPr>
                <w:rFonts w:ascii="Arial" w:cs="Arial" w:eastAsia="Arial" w:hAnsi="Arial"/>
                <w:sz w:val="16"/>
                <w:szCs w:val="16"/>
                <w:b w:val="1"/>
                <w:bCs w:val="1"/>
                <w:color w:val="243782"/>
              </w:rPr>
              <w:t>Adjusted operating income/(loss)</w:t>
            </w:r>
          </w:p>
        </w:tc>
        <w:tc>
          <w:tcPr>
            <w:tcW w:w="346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630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2026, Adjusted operating income/(loss) excluded adjustments primarily related to:</w:t>
      </w:r>
    </w:p>
    <w:p>
      <w:pPr>
        <w:spacing w:after="0" w:line="266" w:lineRule="exact"/>
        <w:rPr>
          <w:sz w:val="20"/>
          <w:szCs w:val="20"/>
          <w:color w:val="auto"/>
        </w:rPr>
      </w:pPr>
    </w:p>
    <w:p>
      <w:pPr>
        <w:ind w:left="160" w:right="200" w:hanging="152"/>
        <w:spacing w:after="0" w:line="334" w:lineRule="auto"/>
        <w:tabs>
          <w:tab w:leader="none" w:pos="121" w:val="left"/>
        </w:tabs>
        <w:numPr>
          <w:ilvl w:val="0"/>
          <w:numId w:val="8"/>
        </w:numPr>
        <w:rPr>
          <w:rFonts w:ascii="Arial" w:cs="Arial" w:eastAsia="Arial" w:hAnsi="Arial"/>
          <w:sz w:val="18"/>
          <w:szCs w:val="18"/>
          <w:color w:val="143A84"/>
        </w:rPr>
      </w:pPr>
      <w:r>
        <w:rPr>
          <w:rFonts w:ascii="Arial" w:cs="Arial" w:eastAsia="Arial" w:hAnsi="Arial"/>
          <w:sz w:val="18"/>
          <w:szCs w:val="18"/>
          <w:color w:val="auto"/>
        </w:rPr>
        <w:t xml:space="preserve">€118 million charge related to the Company’s investment in Leasys (refer to note 7, </w:t>
      </w:r>
      <w:r>
        <w:rPr>
          <w:rFonts w:ascii="Arial" w:cs="Arial" w:eastAsia="Arial" w:hAnsi="Arial"/>
          <w:sz w:val="18"/>
          <w:szCs w:val="18"/>
          <w:i w:val="1"/>
          <w:iCs w:val="1"/>
          <w:color w:val="auto"/>
        </w:rPr>
        <w:t>Investments accounted for using equity method</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 million related to costs incurred as a result of product plan realignments and program cancellations in North America;</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8"/>
        </w:numPr>
        <w:rPr>
          <w:rFonts w:ascii="Arial" w:cs="Arial" w:eastAsia="Arial" w:hAnsi="Arial"/>
          <w:sz w:val="18"/>
          <w:szCs w:val="18"/>
          <w:color w:val="143A84"/>
        </w:rPr>
      </w:pPr>
      <w:r>
        <w:rPr>
          <w:rFonts w:ascii="Arial" w:cs="Arial" w:eastAsia="Arial" w:hAnsi="Arial"/>
          <w:sz w:val="18"/>
          <w:szCs w:val="18"/>
          <w:color w:val="auto"/>
        </w:rPr>
        <w:t>€66 million of restructuring and other costs, net of reversals, primarily related to workforce reductions, mainly in Enlarged Europe;</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8"/>
        </w:numPr>
        <w:rPr>
          <w:rFonts w:ascii="Arial" w:cs="Arial" w:eastAsia="Arial" w:hAnsi="Arial"/>
          <w:sz w:val="18"/>
          <w:szCs w:val="18"/>
          <w:color w:val="143A84"/>
        </w:rPr>
      </w:pPr>
      <w:r>
        <w:rPr>
          <w:rFonts w:ascii="Arial" w:cs="Arial" w:eastAsia="Arial" w:hAnsi="Arial"/>
          <w:sz w:val="18"/>
          <w:szCs w:val="18"/>
          <w:color w:val="auto"/>
        </w:rPr>
        <w:t>€223 million of Takata airbags recall campaigns, related to stop-drive campaigns on certain vehicles, mainly in Enlarged Europe; and</w:t>
      </w:r>
    </w:p>
    <w:p>
      <w:pPr>
        <w:spacing w:after="0" w:line="157" w:lineRule="exact"/>
        <w:rPr>
          <w:rFonts w:ascii="Arial" w:cs="Arial" w:eastAsia="Arial" w:hAnsi="Arial"/>
          <w:sz w:val="18"/>
          <w:szCs w:val="18"/>
          <w:color w:val="143A84"/>
        </w:rPr>
      </w:pPr>
    </w:p>
    <w:p>
      <w:pPr>
        <w:ind w:left="160" w:right="560" w:hanging="152"/>
        <w:spacing w:after="0" w:line="334" w:lineRule="auto"/>
        <w:tabs>
          <w:tab w:leader="none" w:pos="121" w:val="left"/>
        </w:tabs>
        <w:numPr>
          <w:ilvl w:val="0"/>
          <w:numId w:val="8"/>
        </w:numPr>
        <w:rPr>
          <w:rFonts w:ascii="Arial" w:cs="Arial" w:eastAsia="Arial" w:hAnsi="Arial"/>
          <w:sz w:val="18"/>
          <w:szCs w:val="18"/>
          <w:color w:val="auto"/>
        </w:rPr>
      </w:pPr>
      <w:r>
        <w:rPr>
          <w:rFonts w:ascii="Arial" w:cs="Arial" w:eastAsia="Arial" w:hAnsi="Arial"/>
          <w:sz w:val="18"/>
          <w:szCs w:val="18"/>
          <w:color w:val="auto"/>
        </w:rPr>
        <w:t>€149 million of Other, comprised primarily of adjustments to costs related to the transformation of certain plants in North America and Enlarged Europe, along with a regulatory impairment charge in North America.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2026, Adjusted operating income/(loss) excluded adjustments primarily related to:</w:t>
      </w:r>
    </w:p>
    <w:p>
      <w:pPr>
        <w:spacing w:after="0" w:line="266"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8"/>
          <w:szCs w:val="18"/>
          <w:color w:val="143A84"/>
        </w:rPr>
      </w:pPr>
      <w:r>
        <w:rPr>
          <w:rFonts w:ascii="Arial" w:cs="Arial" w:eastAsia="Arial" w:hAnsi="Arial"/>
          <w:sz w:val="18"/>
          <w:szCs w:val="18"/>
          <w:color w:val="auto"/>
        </w:rPr>
        <w:t>€548 million of restructuring and other costs, net of reversals, primarily related to workforce reductions, mainly in Enlarged Europe;</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9"/>
        </w:numPr>
        <w:rPr>
          <w:rFonts w:ascii="Arial" w:cs="Arial" w:eastAsia="Arial" w:hAnsi="Arial"/>
          <w:sz w:val="18"/>
          <w:szCs w:val="18"/>
          <w:color w:val="143A84"/>
        </w:rPr>
      </w:pPr>
      <w:r>
        <w:rPr>
          <w:rFonts w:ascii="Arial" w:cs="Arial" w:eastAsia="Arial" w:hAnsi="Arial"/>
          <w:sz w:val="18"/>
          <w:szCs w:val="18"/>
          <w:color w:val="auto"/>
        </w:rPr>
        <w:t>€329 million of Takata airbags recall campaigns, related to stop-drive campaigns on certain vehicles, mainly in Enlarged Europe;</w:t>
      </w:r>
    </w:p>
    <w:p>
      <w:pPr>
        <w:spacing w:after="0" w:line="157" w:lineRule="exact"/>
        <w:rPr>
          <w:rFonts w:ascii="Arial" w:cs="Arial" w:eastAsia="Arial" w:hAnsi="Arial"/>
          <w:sz w:val="18"/>
          <w:szCs w:val="18"/>
          <w:color w:val="143A84"/>
        </w:rPr>
      </w:pPr>
    </w:p>
    <w:p>
      <w:pPr>
        <w:ind w:left="160" w:right="280" w:hanging="152"/>
        <w:spacing w:after="0" w:line="334" w:lineRule="auto"/>
        <w:tabs>
          <w:tab w:leader="none" w:pos="121" w:val="left"/>
        </w:tabs>
        <w:numPr>
          <w:ilvl w:val="0"/>
          <w:numId w:val="9"/>
        </w:numPr>
        <w:rPr>
          <w:rFonts w:ascii="Arial" w:cs="Arial" w:eastAsia="Arial" w:hAnsi="Arial"/>
          <w:sz w:val="18"/>
          <w:szCs w:val="18"/>
          <w:color w:val="143A84"/>
        </w:rPr>
      </w:pPr>
      <w:r>
        <w:rPr>
          <w:rFonts w:ascii="Arial" w:cs="Arial" w:eastAsia="Arial" w:hAnsi="Arial"/>
          <w:sz w:val="18"/>
          <w:szCs w:val="18"/>
          <w:color w:val="auto"/>
        </w:rPr>
        <w:t>€227 million primarily related to costs incurred as a result of product plan realignments and program cancellations, including €252 million recognized in North America, as well as a provision reversal of €25 million in Enlarged Europe;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140" w:hanging="152"/>
        <w:spacing w:after="0" w:line="334" w:lineRule="auto"/>
        <w:tabs>
          <w:tab w:leader="none" w:pos="1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€118 million charge related to the Company’s investment in Leasys (refer to note 7, </w:t>
      </w:r>
      <w:r>
        <w:rPr>
          <w:rFonts w:ascii="Arial" w:cs="Arial" w:eastAsia="Arial" w:hAnsi="Arial"/>
          <w:sz w:val="18"/>
          <w:szCs w:val="18"/>
          <w:i w:val="1"/>
          <w:iCs w:val="1"/>
          <w:color w:val="auto"/>
        </w:rPr>
        <w:t>Investments accounted for using equity method</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44" w:lineRule="exact"/>
        <w:rPr>
          <w:rFonts w:ascii="Arial" w:cs="Arial" w:eastAsia="Arial" w:hAnsi="Arial"/>
          <w:sz w:val="18"/>
          <w:szCs w:val="18"/>
          <w:color w:val="auto"/>
        </w:rPr>
      </w:pPr>
    </w:p>
    <w:p>
      <w:pPr>
        <w:ind w:left="160" w:right="380" w:hanging="152"/>
        <w:spacing w:after="0" w:line="309" w:lineRule="auto"/>
        <w:tabs>
          <w:tab w:leader="none" w:pos="121" w:val="left"/>
        </w:tabs>
        <w:numPr>
          <w:ilvl w:val="0"/>
          <w:numId w:val="10"/>
        </w:numPr>
        <w:rPr>
          <w:rFonts w:ascii="Arial" w:cs="Arial" w:eastAsia="Arial" w:hAnsi="Arial"/>
          <w:sz w:val="18"/>
          <w:szCs w:val="18"/>
          <w:color w:val="143A84"/>
        </w:rPr>
      </w:pPr>
      <w:r>
        <w:rPr>
          <w:rFonts w:ascii="Arial" w:cs="Arial" w:eastAsia="Arial" w:hAnsi="Arial"/>
          <w:sz w:val="18"/>
          <w:szCs w:val="18"/>
          <w:color w:val="auto"/>
        </w:rPr>
        <w:t xml:space="preserve">€59 million comprised primarily of (i) gains recognized as a result of the loss of significant influence over Archer and the resulting termination of the equity method (refer to Note 2, </w:t>
      </w:r>
      <w:r>
        <w:rPr>
          <w:rFonts w:ascii="Arial" w:cs="Arial" w:eastAsia="Arial" w:hAnsi="Arial"/>
          <w:sz w:val="18"/>
          <w:szCs w:val="18"/>
          <w:i w:val="1"/>
          <w:iCs w:val="1"/>
          <w:color w:val="auto"/>
        </w:rPr>
        <w:t>Scope of consolidation</w:t>
      </w:r>
      <w:r>
        <w:rPr>
          <w:rFonts w:ascii="Arial" w:cs="Arial" w:eastAsia="Arial" w:hAnsi="Arial"/>
          <w:sz w:val="18"/>
          <w:szCs w:val="18"/>
          <w:color w:val="auto"/>
        </w:rPr>
        <w:t xml:space="preserve"> in the Interim Condensed Consolidated Financial Statements included in this Interim Report for additional information), (ii) a dilution gain related to the investment in Comau Group, and (iii) gains/(losses) recognized on the disposal of non-significant assets in Enlarged Europe;</w:t>
      </w:r>
    </w:p>
    <w:p>
      <w:pPr>
        <w:spacing w:after="0" w:line="68" w:lineRule="exact"/>
        <w:rPr>
          <w:rFonts w:ascii="Arial" w:cs="Arial" w:eastAsia="Arial" w:hAnsi="Arial"/>
          <w:sz w:val="18"/>
          <w:szCs w:val="18"/>
          <w:color w:val="143A84"/>
        </w:rPr>
      </w:pPr>
    </w:p>
    <w:p>
      <w:pPr>
        <w:ind w:left="160" w:right="400" w:hanging="152"/>
        <w:spacing w:after="0" w:line="323" w:lineRule="auto"/>
        <w:tabs>
          <w:tab w:leader="none" w:pos="121" w:val="left"/>
        </w:tabs>
        <w:numPr>
          <w:ilvl w:val="0"/>
          <w:numId w:val="10"/>
        </w:numPr>
        <w:rPr>
          <w:rFonts w:ascii="Arial" w:cs="Arial" w:eastAsia="Arial" w:hAnsi="Arial"/>
          <w:sz w:val="18"/>
          <w:szCs w:val="18"/>
          <w:color w:val="143A84"/>
        </w:rPr>
      </w:pPr>
      <w:r>
        <w:rPr>
          <w:rFonts w:ascii="Arial" w:cs="Arial" w:eastAsia="Arial" w:hAnsi="Arial"/>
          <w:sz w:val="18"/>
          <w:szCs w:val="18"/>
          <w:color w:val="auto"/>
        </w:rPr>
        <w:t>€66 million net gain recognized within Cost of revenues related to the repeal of GHG emissions standards in the U.S. The net gain consisted of an impairment of GHG-related Other intangible assets of €284 million and the elimination of the related GHG provision of €350 million;</w:t>
      </w:r>
    </w:p>
    <w:p>
      <w:pPr>
        <w:spacing w:after="0" w:line="55" w:lineRule="exact"/>
        <w:rPr>
          <w:rFonts w:ascii="Arial" w:cs="Arial" w:eastAsia="Arial" w:hAnsi="Arial"/>
          <w:sz w:val="18"/>
          <w:szCs w:val="18"/>
          <w:color w:val="143A84"/>
        </w:rPr>
      </w:pPr>
    </w:p>
    <w:p>
      <w:pPr>
        <w:ind w:left="160" w:right="260" w:hanging="152"/>
        <w:spacing w:after="0" w:line="334" w:lineRule="auto"/>
        <w:tabs>
          <w:tab w:leader="none" w:pos="121" w:val="left"/>
        </w:tabs>
        <w:numPr>
          <w:ilvl w:val="0"/>
          <w:numId w:val="10"/>
        </w:numPr>
        <w:rPr>
          <w:rFonts w:ascii="Arial" w:cs="Arial" w:eastAsia="Arial" w:hAnsi="Arial"/>
          <w:sz w:val="18"/>
          <w:szCs w:val="18"/>
          <w:color w:val="143A84"/>
        </w:rPr>
      </w:pPr>
      <w:r>
        <w:rPr>
          <w:rFonts w:ascii="Arial" w:cs="Arial" w:eastAsia="Arial" w:hAnsi="Arial"/>
          <w:sz w:val="18"/>
          <w:szCs w:val="18"/>
          <w:color w:val="auto"/>
        </w:rPr>
        <w:t>€317 million net gain recognized within Cost of revenues related to renegotiated contractual commitments for the purchase of regulatory compliance credits; and</w:t>
      </w:r>
    </w:p>
    <w:p>
      <w:pPr>
        <w:spacing w:after="0" w:line="44" w:lineRule="exact"/>
        <w:rPr>
          <w:rFonts w:ascii="Arial" w:cs="Arial" w:eastAsia="Arial" w:hAnsi="Arial"/>
          <w:sz w:val="18"/>
          <w:szCs w:val="18"/>
          <w:color w:val="143A84"/>
        </w:rPr>
      </w:pPr>
    </w:p>
    <w:p>
      <w:pPr>
        <w:ind w:left="160" w:right="500" w:hanging="152"/>
        <w:spacing w:after="0" w:line="334" w:lineRule="auto"/>
        <w:tabs>
          <w:tab w:leader="none" w:pos="1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 million of Other, comprised primarily of adjustments to costs related to the transformation of certain plants in North America and Enlarged Europe, along with a regulatory impairment charge in North America.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2025, Adjusted operating income/(loss) excluded adjustments primarily related to:</w:t>
      </w:r>
    </w:p>
    <w:p>
      <w:pPr>
        <w:spacing w:after="0" w:line="266" w:lineRule="exact"/>
        <w:rPr>
          <w:sz w:val="20"/>
          <w:szCs w:val="20"/>
          <w:color w:val="auto"/>
        </w:rPr>
      </w:pPr>
    </w:p>
    <w:p>
      <w:pPr>
        <w:ind w:left="160" w:hanging="152"/>
        <w:spacing w:after="0" w:line="315" w:lineRule="auto"/>
        <w:tabs>
          <w:tab w:leader="none" w:pos="121"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€3,252 million 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spacing w:after="0" w:line="170" w:lineRule="exact"/>
        <w:rPr>
          <w:rFonts w:ascii="Arial" w:cs="Arial" w:eastAsia="Arial" w:hAnsi="Arial"/>
          <w:sz w:val="18"/>
          <w:szCs w:val="18"/>
          <w:color w:val="143A84"/>
        </w:rPr>
      </w:pPr>
    </w:p>
    <w:p>
      <w:pPr>
        <w:ind w:left="120" w:hanging="112"/>
        <w:spacing w:after="0"/>
        <w:tabs>
          <w:tab w:leader="none" w:pos="120"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€1,748 million related to costs incurred as result of program cancellations;</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€401 million of Restructuring and other costs, net of reversals, primarily related to workforce reductions, mainly in Enlarged Europe;</w:t>
      </w:r>
    </w:p>
    <w:p>
      <w:pPr>
        <w:spacing w:after="0" w:line="265" w:lineRule="exact"/>
        <w:rPr>
          <w:rFonts w:ascii="Arial" w:cs="Arial" w:eastAsia="Arial" w:hAnsi="Arial"/>
          <w:sz w:val="18"/>
          <w:szCs w:val="18"/>
          <w:color w:val="143A84"/>
        </w:rPr>
      </w:pPr>
    </w:p>
    <w:p>
      <w:pPr>
        <w:jc w:val="both"/>
        <w:ind w:left="160" w:right="560" w:hanging="152"/>
        <w:spacing w:after="0" w:line="315" w:lineRule="auto"/>
        <w:tabs>
          <w:tab w:leader="none" w:pos="1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€79 million related to the Company’s decision to discontinue its hydrogen fuel cell strategy, comprising €12 million of impairments of capitalized development expenditures and property, plant and equipment, €47 million of provisions for risks, and €20 million of other expenses;</w:t>
      </w:r>
    </w:p>
    <w:p>
      <w:pPr>
        <w:spacing w:after="0" w:line="170" w:lineRule="exact"/>
        <w:rPr>
          <w:rFonts w:ascii="Arial" w:cs="Arial" w:eastAsia="Arial" w:hAnsi="Arial"/>
          <w:sz w:val="18"/>
          <w:szCs w:val="18"/>
          <w:color w:val="auto"/>
        </w:rPr>
      </w:pPr>
    </w:p>
    <w:p>
      <w:pPr>
        <w:ind w:left="160" w:right="160" w:hanging="152"/>
        <w:spacing w:after="0" w:line="334" w:lineRule="auto"/>
        <w:tabs>
          <w:tab w:leader="none" w:pos="121"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€56 million of Takata airbags recall campaigns, related to stop-drive campaign on certain vehicles in Enlarged Europe announced in June 2025;</w:t>
      </w:r>
    </w:p>
    <w:p>
      <w:pPr>
        <w:spacing w:after="0" w:line="166" w:lineRule="exact"/>
        <w:rPr>
          <w:rFonts w:ascii="Arial" w:cs="Arial" w:eastAsia="Arial" w:hAnsi="Arial"/>
          <w:sz w:val="18"/>
          <w:szCs w:val="18"/>
          <w:color w:val="143A84"/>
        </w:rPr>
      </w:pPr>
    </w:p>
    <w:p>
      <w:pPr>
        <w:ind w:left="160" w:right="480" w:hanging="152"/>
        <w:spacing w:after="0" w:line="334" w:lineRule="auto"/>
        <w:tabs>
          <w:tab w:leader="none" w:pos="121"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€1 million of Platform impairments, due to reduced volumes, platforms used for Maserati and Alfa Romeo vehicles were impaired and recognized in Enlarged Europe; and</w:t>
      </w:r>
    </w:p>
    <w:p>
      <w:pPr>
        <w:spacing w:after="0" w:line="152" w:lineRule="exact"/>
        <w:rPr>
          <w:rFonts w:ascii="Arial" w:cs="Arial" w:eastAsia="Arial" w:hAnsi="Arial"/>
          <w:sz w:val="18"/>
          <w:szCs w:val="18"/>
          <w:color w:val="143A84"/>
        </w:rPr>
      </w:pPr>
    </w:p>
    <w:p>
      <w:pPr>
        <w:ind w:left="160" w:right="60" w:hanging="152"/>
        <w:spacing w:after="0" w:line="315" w:lineRule="auto"/>
        <w:tabs>
          <w:tab w:leader="none" w:pos="121" w:val="left"/>
        </w:tabs>
        <w:numPr>
          <w:ilvl w:val="0"/>
          <w:numId w:val="11"/>
        </w:numPr>
        <w:rPr>
          <w:rFonts w:ascii="Arial" w:cs="Arial" w:eastAsia="Arial" w:hAnsi="Arial"/>
          <w:sz w:val="18"/>
          <w:szCs w:val="18"/>
          <w:color w:val="143A84"/>
        </w:rPr>
      </w:pPr>
      <w:r>
        <w:rPr>
          <w:rFonts w:ascii="Arial" w:cs="Arial" w:eastAsia="Arial" w:hAnsi="Arial"/>
          <w:sz w:val="18"/>
          <w:szCs w:val="18"/>
          <w:color w:val="auto"/>
        </w:rPr>
        <w:t>€254 million of Other, primarily comprising of (i) net costs recognized to support the workforce during the transformation of certain plants in North America, (ii) gains on disposal of investments in Enlarged Europe and (iii) a gain from dilution related to the investment in Archer Aviation.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 Adjusted operating income/(loss) excluded adjustments primarily related to:</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1440" w:right="39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60" w:hanging="152"/>
        <w:spacing w:after="0" w:line="315"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€3,252 million 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spacing w:after="0" w:line="62" w:lineRule="exact"/>
        <w:rPr>
          <w:rFonts w:ascii="Arial" w:cs="Arial" w:eastAsia="Arial" w:hAnsi="Arial"/>
          <w:sz w:val="18"/>
          <w:szCs w:val="18"/>
          <w:color w:val="143A84"/>
        </w:rPr>
      </w:pPr>
    </w:p>
    <w:p>
      <w:pPr>
        <w:ind w:left="120" w:hanging="112"/>
        <w:spacing w:after="0"/>
        <w:tabs>
          <w:tab w:leader="none" w:pos="120"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€2,537 million related to costs incurred as result of product plan realignments and program cancellations;</w:t>
      </w:r>
    </w:p>
    <w:p>
      <w:pPr>
        <w:spacing w:after="0" w:line="157" w:lineRule="exact"/>
        <w:rPr>
          <w:rFonts w:ascii="Arial" w:cs="Arial" w:eastAsia="Arial" w:hAnsi="Arial"/>
          <w:sz w:val="18"/>
          <w:szCs w:val="18"/>
          <w:color w:val="143A84"/>
        </w:rPr>
      </w:pPr>
    </w:p>
    <w:p>
      <w:pPr>
        <w:ind w:left="160" w:right="180" w:hanging="152"/>
        <w:spacing w:after="0" w:line="334"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€923 million of restructuring and other costs, primarily related to workforce reductions, mainly in Enlarged Europe, partially offset by a €72 million reduction in estimated North America restructuring costs;</w:t>
      </w:r>
    </w:p>
    <w:p>
      <w:pPr>
        <w:spacing w:after="0" w:line="44" w:lineRule="exact"/>
        <w:rPr>
          <w:rFonts w:ascii="Arial" w:cs="Arial" w:eastAsia="Arial" w:hAnsi="Arial"/>
          <w:sz w:val="18"/>
          <w:szCs w:val="18"/>
          <w:color w:val="143A84"/>
        </w:rPr>
      </w:pPr>
    </w:p>
    <w:p>
      <w:pPr>
        <w:ind w:left="160" w:right="60" w:hanging="152"/>
        <w:spacing w:after="0" w:line="305"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€812 million related to the Company’s decision to discontinue its hydrogen fuel cell strategy. As a result, the following items have been impaired: (i) investment in Symbio (€179 million), (ii) loans granted to Symbio (€162 million), (iii) capitalized development expenditures and</w:t>
      </w:r>
    </w:p>
    <w:p>
      <w:pPr>
        <w:ind w:left="160" w:right="200"/>
        <w:spacing w:after="0" w:line="334" w:lineRule="auto"/>
        <w:rPr>
          <w:rFonts w:ascii="Arial" w:cs="Arial" w:eastAsia="Arial" w:hAnsi="Arial"/>
          <w:sz w:val="18"/>
          <w:szCs w:val="18"/>
          <w:color w:val="143A84"/>
        </w:rPr>
      </w:pPr>
      <w:r>
        <w:rPr>
          <w:rFonts w:ascii="Arial" w:cs="Arial" w:eastAsia="Arial" w:hAnsi="Arial"/>
          <w:sz w:val="18"/>
          <w:szCs w:val="18"/>
          <w:color w:val="auto"/>
        </w:rPr>
        <w:t>property, plant and equipment related to fuel cells (€341 million), (iv) in addition, provisions for risks (€110 million) and (v) other expenses (€20 million) were recognized;</w:t>
      </w:r>
    </w:p>
    <w:p>
      <w:pPr>
        <w:spacing w:after="0" w:line="44" w:lineRule="exact"/>
        <w:rPr>
          <w:rFonts w:ascii="Arial" w:cs="Arial" w:eastAsia="Arial" w:hAnsi="Arial"/>
          <w:sz w:val="18"/>
          <w:szCs w:val="18"/>
          <w:color w:val="143A84"/>
        </w:rPr>
      </w:pPr>
    </w:p>
    <w:p>
      <w:pPr>
        <w:ind w:left="160" w:right="60" w:hanging="152"/>
        <w:spacing w:after="0" w:line="334"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€579 million of impairment charges were recognized in Enlarged Europe on platforms used for Maserati and Alfa Romeo vehicles, primarily as a result of reduced volumes;</w:t>
      </w:r>
    </w:p>
    <w:p>
      <w:pPr>
        <w:spacing w:after="0" w:line="44" w:lineRule="exact"/>
        <w:rPr>
          <w:rFonts w:ascii="Arial" w:cs="Arial" w:eastAsia="Arial" w:hAnsi="Arial"/>
          <w:sz w:val="18"/>
          <w:szCs w:val="18"/>
          <w:color w:val="143A84"/>
        </w:rPr>
      </w:pPr>
    </w:p>
    <w:p>
      <w:pPr>
        <w:ind w:left="160" w:right="120" w:hanging="152"/>
        <w:spacing w:after="0" w:line="334"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€295 million of Takata airbags recall campaigns, related to stop-drive campaign on certain vehicles in Enlarged Europe announced in June 2025;</w:t>
      </w:r>
    </w:p>
    <w:p>
      <w:pPr>
        <w:spacing w:after="0" w:line="44" w:lineRule="exact"/>
        <w:rPr>
          <w:rFonts w:ascii="Arial" w:cs="Arial" w:eastAsia="Arial" w:hAnsi="Arial"/>
          <w:sz w:val="18"/>
          <w:szCs w:val="18"/>
          <w:color w:val="143A84"/>
        </w:rPr>
      </w:pPr>
    </w:p>
    <w:p>
      <w:pPr>
        <w:ind w:left="160" w:right="80" w:hanging="152"/>
        <w:spacing w:after="0" w:line="304"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€269 million of CAFE penalty rate. As a result of the elimination of CAFE fines with the enactment of the One Big Beautiful Bill Act (“OBBB”), the Company recognized a net expense of €97 million, comprised of net €172 million of CAFE credits recognized as a reduction of Cost of revenues, which remains included in Adjusted operating income/(loss) as these amounts reduced prior year CAFE fines, and a net expense of €269 million, which is excluded from AOI and comprised of (i) elimination of the CAFE provision of €844 million, (ii) impairment of the regulatory credit assets of €609 million, and (iii) onerous contracts related to contractual purchase commitments for CAFE credits of €504 million;</w:t>
      </w:r>
    </w:p>
    <w:p>
      <w:pPr>
        <w:spacing w:after="0" w:line="73" w:lineRule="exact"/>
        <w:rPr>
          <w:rFonts w:ascii="Arial" w:cs="Arial" w:eastAsia="Arial" w:hAnsi="Arial"/>
          <w:sz w:val="18"/>
          <w:szCs w:val="18"/>
          <w:color w:val="143A84"/>
        </w:rPr>
      </w:pPr>
    </w:p>
    <w:p>
      <w:pPr>
        <w:ind w:left="160" w:right="100" w:hanging="152"/>
        <w:spacing w:after="0" w:line="315" w:lineRule="auto"/>
        <w:tabs>
          <w:tab w:leader="none" w:pos="121"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€246 million related to the sale of Stellantis Türkiye to the Company’s joint venture, Tofas, for which the Company recognized an estimated loss on disposal of €246 million, driven primarily by the recycling of the cumulative translation reserve from Equity to the Consolidated Income Statement upon disposal; and</w:t>
      </w:r>
    </w:p>
    <w:p>
      <w:pPr>
        <w:spacing w:after="0" w:line="62" w:lineRule="exact"/>
        <w:rPr>
          <w:rFonts w:ascii="Arial" w:cs="Arial" w:eastAsia="Arial" w:hAnsi="Arial"/>
          <w:sz w:val="18"/>
          <w:szCs w:val="18"/>
          <w:color w:val="143A84"/>
        </w:rPr>
      </w:pPr>
    </w:p>
    <w:p>
      <w:pPr>
        <w:ind w:left="120" w:hanging="112"/>
        <w:spacing w:after="0"/>
        <w:tabs>
          <w:tab w:leader="none" w:pos="120" w:val="left"/>
        </w:tabs>
        <w:numPr>
          <w:ilvl w:val="0"/>
          <w:numId w:val="12"/>
        </w:numPr>
        <w:rPr>
          <w:rFonts w:ascii="Arial" w:cs="Arial" w:eastAsia="Arial" w:hAnsi="Arial"/>
          <w:sz w:val="18"/>
          <w:szCs w:val="18"/>
          <w:color w:val="143A84"/>
        </w:rPr>
      </w:pPr>
      <w:r>
        <w:rPr>
          <w:rFonts w:ascii="Arial" w:cs="Arial" w:eastAsia="Arial" w:hAnsi="Arial"/>
          <w:sz w:val="18"/>
          <w:szCs w:val="18"/>
          <w:color w:val="auto"/>
        </w:rPr>
        <w:t>€128 million of Other, primarily related to (i) net costs to support the workforce during the transformation of certain plants in North America,</w:t>
      </w:r>
    </w:p>
    <w:p>
      <w:pPr>
        <w:spacing w:after="0" w:line="63" w:lineRule="exact"/>
        <w:rPr>
          <w:rFonts w:ascii="Arial" w:cs="Arial" w:eastAsia="Arial" w:hAnsi="Arial"/>
          <w:sz w:val="18"/>
          <w:szCs w:val="18"/>
          <w:color w:val="143A84"/>
        </w:rPr>
      </w:pPr>
    </w:p>
    <w:p>
      <w:pPr>
        <w:ind w:left="420" w:hanging="257"/>
        <w:spacing w:after="0"/>
        <w:tabs>
          <w:tab w:leader="none" w:pos="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gains on sales of real estate in Enlarged Europe, and (iii) a gain from dilution related to the investment in Archer Aviation.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gridSpan w:val="5"/>
          </w:tcPr>
          <w:p>
            <w:pPr>
              <w:jc w:val="right"/>
              <w:ind w:right="1299"/>
              <w:spacing w:after="0"/>
              <w:rPr>
                <w:sz w:val="20"/>
                <w:szCs w:val="20"/>
                <w:color w:val="auto"/>
              </w:rPr>
            </w:pPr>
            <w:r>
              <w:rPr>
                <w:rFonts w:ascii="Arial" w:cs="Arial" w:eastAsia="Arial" w:hAnsi="Arial"/>
                <w:sz w:val="16"/>
                <w:szCs w:val="16"/>
                <w:b w:val="1"/>
                <w:bCs w:val="1"/>
                <w:color w:val="143A84"/>
              </w:rPr>
              <w:t>Diluted and Adjusted diluted EPS</w:t>
            </w:r>
          </w:p>
        </w:tc>
        <w:tc>
          <w:tcPr>
            <w:tcW w:w="3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280" w:type="dxa"/>
            <w:vAlign w:val="bottom"/>
            <w:gridSpan w:val="3"/>
            <w:vMerge w:val="continue"/>
          </w:tcPr>
          <w:p>
            <w:pPr>
              <w:spacing w:after="0"/>
              <w:rPr>
                <w:sz w:val="18"/>
                <w:szCs w:val="18"/>
                <w:color w:val="auto"/>
              </w:rPr>
            </w:pPr>
          </w:p>
        </w:tc>
        <w:tc>
          <w:tcPr>
            <w:tcW w:w="1560" w:type="dxa"/>
            <w:vAlign w:val="bottom"/>
            <w:shd w:val="clear" w:color="auto" w:fill="E6E7F4"/>
          </w:tcPr>
          <w:p>
            <w:pPr>
              <w:spacing w:after="0"/>
              <w:rPr>
                <w:sz w:val="18"/>
                <w:szCs w:val="18"/>
                <w:color w:val="auto"/>
              </w:rPr>
            </w:pPr>
          </w:p>
        </w:tc>
        <w:tc>
          <w:tcPr>
            <w:tcW w:w="160" w:type="dxa"/>
            <w:vAlign w:val="bottom"/>
            <w:shd w:val="clear" w:color="auto" w:fill="E6E7F4"/>
          </w:tcPr>
          <w:p>
            <w:pPr>
              <w:spacing w:after="0"/>
              <w:rPr>
                <w:sz w:val="18"/>
                <w:szCs w:val="18"/>
                <w:color w:val="auto"/>
              </w:rPr>
            </w:pPr>
          </w:p>
        </w:tc>
        <w:tc>
          <w:tcPr>
            <w:tcW w:w="3180" w:type="dxa"/>
            <w:vAlign w:val="bottom"/>
          </w:tcPr>
          <w:p>
            <w:pPr>
              <w:spacing w:after="0"/>
              <w:rPr>
                <w:sz w:val="18"/>
                <w:szCs w:val="18"/>
                <w:color w:val="auto"/>
              </w:rPr>
            </w:pPr>
          </w:p>
        </w:tc>
        <w:tc>
          <w:tcPr>
            <w:tcW w:w="2340" w:type="dxa"/>
            <w:vAlign w:val="bottom"/>
            <w:gridSpan w:val="3"/>
            <w:vMerge w:val="continue"/>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8E939F"/>
            </w:tcBorders>
            <w:gridSpan w:val="2"/>
          </w:tcPr>
          <w:p>
            <w:pPr>
              <w:jc w:val="center"/>
              <w:ind w:left="419"/>
              <w:spacing w:after="0"/>
              <w:rPr>
                <w:sz w:val="20"/>
                <w:szCs w:val="20"/>
                <w:color w:val="auto"/>
              </w:rPr>
            </w:pPr>
            <w:r>
              <w:rPr>
                <w:rFonts w:ascii="Arial" w:cs="Arial" w:eastAsia="Arial" w:hAnsi="Arial"/>
                <w:sz w:val="16"/>
                <w:szCs w:val="16"/>
                <w:b w:val="1"/>
                <w:bCs w:val="1"/>
                <w:color w:val="243782"/>
              </w:rPr>
              <w:t>September 30,</w:t>
            </w:r>
          </w:p>
        </w:tc>
        <w:tc>
          <w:tcPr>
            <w:tcW w:w="580" w:type="dxa"/>
            <w:vAlign w:val="bottom"/>
            <w:tcBorders>
              <w:bottom w:val="single" w:sz="8" w:color="8E939F"/>
            </w:tcBorders>
          </w:tcPr>
          <w:p>
            <w:pPr>
              <w:spacing w:after="0"/>
              <w:rPr>
                <w:sz w:val="20"/>
                <w:szCs w:val="20"/>
                <w:color w:val="auto"/>
              </w:rPr>
            </w:pPr>
          </w:p>
        </w:tc>
        <w:tc>
          <w:tcPr>
            <w:tcW w:w="172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b w:val="1"/>
                <w:bCs w:val="1"/>
                <w:color w:val="243782"/>
              </w:rPr>
              <w:t>Increase/(Decrease)</w:t>
            </w:r>
          </w:p>
        </w:tc>
        <w:tc>
          <w:tcPr>
            <w:tcW w:w="3180" w:type="dxa"/>
            <w:vAlign w:val="bottom"/>
          </w:tcPr>
          <w:p>
            <w:pPr>
              <w:spacing w:after="0"/>
              <w:rPr>
                <w:sz w:val="20"/>
                <w:szCs w:val="20"/>
                <w:color w:val="auto"/>
              </w:rPr>
            </w:pPr>
          </w:p>
        </w:tc>
        <w:tc>
          <w:tcPr>
            <w:tcW w:w="1740" w:type="dxa"/>
            <w:vAlign w:val="bottom"/>
            <w:tcBorders>
              <w:bottom w:val="single" w:sz="8" w:color="8E939F"/>
            </w:tcBorders>
            <w:gridSpan w:val="2"/>
          </w:tcPr>
          <w:p>
            <w:pPr>
              <w:jc w:val="center"/>
              <w:ind w:left="439"/>
              <w:spacing w:after="0"/>
              <w:rPr>
                <w:sz w:val="20"/>
                <w:szCs w:val="20"/>
                <w:color w:val="auto"/>
              </w:rPr>
            </w:pPr>
            <w:r>
              <w:rPr>
                <w:rFonts w:ascii="Arial" w:cs="Arial" w:eastAsia="Arial" w:hAnsi="Arial"/>
                <w:sz w:val="16"/>
                <w:szCs w:val="16"/>
                <w:b w:val="1"/>
                <w:bCs w:val="1"/>
                <w:color w:val="243782"/>
              </w:rPr>
              <w:t>September 30,</w:t>
            </w:r>
          </w:p>
        </w:tc>
        <w:tc>
          <w:tcPr>
            <w:tcW w:w="600" w:type="dxa"/>
            <w:vAlign w:val="bottom"/>
            <w:tcBorders>
              <w:bottom w:val="single" w:sz="8" w:color="8E939F"/>
            </w:tcBorders>
          </w:tcPr>
          <w:p>
            <w:pPr>
              <w:spacing w:after="0"/>
              <w:rPr>
                <w:sz w:val="20"/>
                <w:szCs w:val="20"/>
                <w:color w:val="auto"/>
              </w:rPr>
            </w:pPr>
          </w:p>
        </w:tc>
        <w:tc>
          <w:tcPr>
            <w:tcW w:w="1720" w:type="dxa"/>
            <w:vAlign w:val="bottom"/>
            <w:tcBorders>
              <w:bottom w:val="single" w:sz="8" w:color="8E939F"/>
            </w:tcBorders>
            <w:shd w:val="clear" w:color="auto" w:fill="E6E7F4"/>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08"/>
        </w:trPr>
        <w:tc>
          <w:tcPr>
            <w:tcW w:w="1040" w:type="dxa"/>
            <w:vAlign w:val="bottom"/>
            <w:shd w:val="clear" w:color="auto" w:fill="F3F3F9"/>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shd w:val="clear" w:color="auto" w:fill="E6E7F4"/>
          </w:tcPr>
          <w:p>
            <w:pPr>
              <w:spacing w:after="0"/>
              <w:rPr>
                <w:sz w:val="18"/>
                <w:szCs w:val="18"/>
                <w:color w:val="auto"/>
              </w:rPr>
            </w:pPr>
          </w:p>
        </w:tc>
        <w:tc>
          <w:tcPr>
            <w:tcW w:w="160" w:type="dxa"/>
            <w:vAlign w:val="bottom"/>
            <w:shd w:val="clear" w:color="auto" w:fill="E6E7F4"/>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4"/>
                <w:szCs w:val="14"/>
                <w:i w:val="1"/>
                <w:iCs w:val="1"/>
                <w:color w:val="auto"/>
              </w:rPr>
              <w:t>(€ per share)</w:t>
            </w:r>
          </w:p>
        </w:tc>
        <w:tc>
          <w:tcPr>
            <w:tcW w:w="106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0"/>
                <w:szCs w:val="20"/>
                <w:color w:val="auto"/>
              </w:rPr>
            </w:pPr>
          </w:p>
        </w:tc>
        <w:tc>
          <w:tcPr>
            <w:tcW w:w="58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gridSpan w:val="2"/>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3180" w:type="dxa"/>
            <w:vAlign w:val="bottom"/>
            <w:tcBorders>
              <w:bottom w:val="single" w:sz="8" w:color="143A84"/>
            </w:tcBorders>
          </w:tcPr>
          <w:p>
            <w:pPr>
              <w:spacing w:after="0"/>
              <w:rPr>
                <w:sz w:val="20"/>
                <w:szCs w:val="20"/>
                <w:color w:val="auto"/>
              </w:rPr>
            </w:pPr>
          </w:p>
        </w:tc>
        <w:tc>
          <w:tcPr>
            <w:tcW w:w="1060" w:type="dxa"/>
            <w:vAlign w:val="bottom"/>
            <w:tcBorders>
              <w:bottom w:val="single" w:sz="8" w:color="143A84"/>
            </w:tcBorders>
            <w:shd w:val="clear" w:color="auto" w:fill="F3F3F9"/>
          </w:tcPr>
          <w:p>
            <w:pPr>
              <w:ind w:left="680"/>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0"/>
                <w:szCs w:val="20"/>
                <w:color w:val="auto"/>
              </w:rPr>
            </w:pPr>
          </w:p>
        </w:tc>
        <w:tc>
          <w:tcPr>
            <w:tcW w:w="60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4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(0.18)</w:t>
            </w:r>
          </w:p>
        </w:tc>
        <w:tc>
          <w:tcPr>
            <w:tcW w:w="660" w:type="dxa"/>
            <w:vAlign w:val="bottom"/>
            <w:tcBorders>
              <w:bottom w:val="single" w:sz="8" w:color="8E939F"/>
            </w:tcBorders>
          </w:tcPr>
          <w:p>
            <w:pPr>
              <w:spacing w:after="0"/>
              <w:rPr>
                <w:sz w:val="21"/>
                <w:szCs w:val="21"/>
                <w:color w:val="auto"/>
              </w:rPr>
            </w:pPr>
          </w:p>
        </w:tc>
        <w:tc>
          <w:tcPr>
            <w:tcW w:w="5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(1.57)</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88.5</w:t>
            </w:r>
          </w:p>
        </w:tc>
        <w:tc>
          <w:tcPr>
            <w:tcW w:w="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w w:val="84"/>
              </w:rPr>
              <w:t>%</w:t>
            </w:r>
          </w:p>
        </w:tc>
        <w:tc>
          <w:tcPr>
            <w:tcW w:w="318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Diluted EPS</w:t>
            </w:r>
          </w:p>
        </w:tc>
        <w:tc>
          <w:tcPr>
            <w:tcW w:w="1060" w:type="dxa"/>
            <w:vAlign w:val="bottom"/>
            <w:tcBorders>
              <w:bottom w:val="single" w:sz="8" w:color="8E939F"/>
            </w:tcBorders>
            <w:shd w:val="clear" w:color="auto" w:fill="F3F3F9"/>
          </w:tcPr>
          <w:p>
            <w:pPr>
              <w:ind w:left="680"/>
              <w:spacing w:after="0"/>
              <w:rPr>
                <w:sz w:val="20"/>
                <w:szCs w:val="20"/>
                <w:color w:val="auto"/>
              </w:rPr>
            </w:pPr>
            <w:r>
              <w:rPr>
                <w:rFonts w:ascii="Arial" w:cs="Arial" w:eastAsia="Arial" w:hAnsi="Arial"/>
                <w:sz w:val="16"/>
                <w:szCs w:val="16"/>
                <w:color w:val="auto"/>
              </w:rPr>
              <w:t>0.02</w:t>
            </w:r>
          </w:p>
        </w:tc>
        <w:tc>
          <w:tcPr>
            <w:tcW w:w="680" w:type="dxa"/>
            <w:vAlign w:val="bottom"/>
            <w:tcBorders>
              <w:bottom w:val="single" w:sz="8" w:color="8E939F"/>
            </w:tcBorders>
          </w:tcPr>
          <w:p>
            <w:pPr>
              <w:spacing w:after="0"/>
              <w:rPr>
                <w:sz w:val="21"/>
                <w:szCs w:val="21"/>
                <w:color w:val="auto"/>
              </w:rPr>
            </w:pPr>
          </w:p>
        </w:tc>
        <w:tc>
          <w:tcPr>
            <w:tcW w:w="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(2.35)</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0"/>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(0.01)</w:t>
            </w:r>
          </w:p>
        </w:tc>
        <w:tc>
          <w:tcPr>
            <w:tcW w:w="660" w:type="dxa"/>
            <w:vAlign w:val="bottom"/>
            <w:tcBorders>
              <w:bottom w:val="single" w:sz="8" w:color="8E939F"/>
            </w:tcBorders>
          </w:tcPr>
          <w:p>
            <w:pPr>
              <w:spacing w:after="0"/>
              <w:rPr>
                <w:sz w:val="21"/>
                <w:szCs w:val="21"/>
                <w:color w:val="auto"/>
              </w:rPr>
            </w:pPr>
          </w:p>
        </w:tc>
        <w:tc>
          <w:tcPr>
            <w:tcW w:w="5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(0.04)</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w w:val="84"/>
                <w:shd w:val="clear" w:color="auto" w:fill="E6E7F4"/>
              </w:rPr>
              <w:t>%</w:t>
            </w:r>
          </w:p>
        </w:tc>
        <w:tc>
          <w:tcPr>
            <w:tcW w:w="318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Adjusted diluted EPS</w:t>
            </w:r>
          </w:p>
        </w:tc>
        <w:tc>
          <w:tcPr>
            <w:tcW w:w="1060" w:type="dxa"/>
            <w:vAlign w:val="bottom"/>
            <w:tcBorders>
              <w:bottom w:val="single" w:sz="8" w:color="8E939F"/>
            </w:tcBorders>
            <w:shd w:val="clear" w:color="auto" w:fill="F3F3F9"/>
          </w:tcPr>
          <w:p>
            <w:pPr>
              <w:ind w:left="680"/>
              <w:spacing w:after="0"/>
              <w:rPr>
                <w:sz w:val="20"/>
                <w:szCs w:val="20"/>
                <w:color w:val="auto"/>
              </w:rPr>
            </w:pPr>
            <w:r>
              <w:rPr>
                <w:rFonts w:ascii="Arial" w:cs="Arial" w:eastAsia="Arial" w:hAnsi="Arial"/>
                <w:sz w:val="16"/>
                <w:szCs w:val="16"/>
                <w:color w:val="auto"/>
              </w:rPr>
              <w:t>0.31</w:t>
            </w:r>
          </w:p>
        </w:tc>
        <w:tc>
          <w:tcPr>
            <w:tcW w:w="680" w:type="dxa"/>
            <w:vAlign w:val="bottom"/>
            <w:tcBorders>
              <w:bottom w:val="single" w:sz="8" w:color="8E939F"/>
            </w:tcBorders>
          </w:tcPr>
          <w:p>
            <w:pPr>
              <w:spacing w:after="0"/>
              <w:rPr>
                <w:sz w:val="21"/>
                <w:szCs w:val="21"/>
                <w:color w:val="auto"/>
              </w:rPr>
            </w:pPr>
          </w:p>
        </w:tc>
        <w:tc>
          <w:tcPr>
            <w:tcW w:w="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0.14</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121.4 %</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reconciliation of Diluted (loss)/earnings per share to Adjusted diluted earnings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243782"/>
              </w:rPr>
              <w:t>Three months ended</w:t>
            </w:r>
          </w:p>
        </w:tc>
        <w:tc>
          <w:tcPr>
            <w:tcW w:w="6420" w:type="dxa"/>
            <w:vAlign w:val="bottom"/>
          </w:tcPr>
          <w:p>
            <w:pPr>
              <w:spacing w:after="0"/>
              <w:rPr>
                <w:sz w:val="16"/>
                <w:szCs w:val="16"/>
                <w:color w:val="auto"/>
              </w:rPr>
            </w:pPr>
          </w:p>
        </w:tc>
        <w:tc>
          <w:tcPr>
            <w:tcW w:w="24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243782"/>
              </w:rPr>
              <w:t>Nine months ended</w:t>
            </w:r>
          </w:p>
        </w:tc>
        <w:tc>
          <w:tcPr>
            <w:tcW w:w="0" w:type="dxa"/>
            <w:vAlign w:val="bottom"/>
          </w:tcPr>
          <w:p>
            <w:pPr>
              <w:spacing w:after="0"/>
              <w:rPr>
                <w:sz w:val="1"/>
                <w:szCs w:val="1"/>
                <w:color w:val="auto"/>
              </w:rPr>
            </w:pPr>
          </w:p>
        </w:tc>
      </w:tr>
      <w:tr>
        <w:trPr>
          <w:trHeight w:val="223"/>
        </w:trPr>
        <w:tc>
          <w:tcPr>
            <w:tcW w:w="24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243782"/>
              </w:rPr>
              <w:t>September 30,</w:t>
            </w:r>
          </w:p>
        </w:tc>
        <w:tc>
          <w:tcPr>
            <w:tcW w:w="6420" w:type="dxa"/>
            <w:vAlign w:val="bottom"/>
          </w:tcPr>
          <w:p>
            <w:pPr>
              <w:spacing w:after="0"/>
              <w:rPr>
                <w:sz w:val="19"/>
                <w:szCs w:val="19"/>
                <w:color w:val="auto"/>
              </w:rPr>
            </w:pPr>
          </w:p>
        </w:tc>
        <w:tc>
          <w:tcPr>
            <w:tcW w:w="24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243782"/>
              </w:rPr>
              <w:t>September 30,</w:t>
            </w:r>
          </w:p>
        </w:tc>
        <w:tc>
          <w:tcPr>
            <w:tcW w:w="0" w:type="dxa"/>
            <w:vAlign w:val="bottom"/>
          </w:tcPr>
          <w:p>
            <w:pPr>
              <w:spacing w:after="0"/>
              <w:rPr>
                <w:sz w:val="1"/>
                <w:szCs w:val="1"/>
                <w:color w:val="auto"/>
              </w:rPr>
            </w:pPr>
          </w:p>
        </w:tc>
      </w:tr>
      <w:tr>
        <w:trPr>
          <w:trHeight w:val="21"/>
        </w:trPr>
        <w:tc>
          <w:tcPr>
            <w:tcW w:w="1140" w:type="dxa"/>
            <w:vAlign w:val="bottom"/>
            <w:tcBorders>
              <w:bottom w:val="single" w:sz="8" w:color="8E939F"/>
            </w:tcBorders>
          </w:tcPr>
          <w:p>
            <w:pPr>
              <w:spacing w:after="0" w:line="20" w:lineRule="exact"/>
              <w:rPr>
                <w:sz w:val="1"/>
                <w:szCs w:val="1"/>
                <w:color w:val="auto"/>
              </w:rPr>
            </w:pPr>
          </w:p>
        </w:tc>
        <w:tc>
          <w:tcPr>
            <w:tcW w:w="1260" w:type="dxa"/>
            <w:vAlign w:val="bottom"/>
            <w:tcBorders>
              <w:bottom w:val="single" w:sz="8" w:color="8E939F"/>
            </w:tcBorders>
          </w:tcPr>
          <w:p>
            <w:pPr>
              <w:spacing w:after="0" w:line="20" w:lineRule="exact"/>
              <w:rPr>
                <w:sz w:val="1"/>
                <w:szCs w:val="1"/>
                <w:color w:val="auto"/>
              </w:rPr>
            </w:pPr>
          </w:p>
        </w:tc>
        <w:tc>
          <w:tcPr>
            <w:tcW w:w="642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 million except otherwise noted)</w:t>
            </w:r>
          </w:p>
        </w:tc>
        <w:tc>
          <w:tcPr>
            <w:tcW w:w="1160" w:type="dxa"/>
            <w:vAlign w:val="bottom"/>
            <w:tcBorders>
              <w:bottom w:val="single" w:sz="8" w:color="8E939F"/>
            </w:tcBorders>
          </w:tcPr>
          <w:p>
            <w:pPr>
              <w:spacing w:after="0" w:line="20" w:lineRule="exact"/>
              <w:rPr>
                <w:sz w:val="1"/>
                <w:szCs w:val="1"/>
                <w:color w:val="auto"/>
              </w:rPr>
            </w:pPr>
          </w:p>
        </w:tc>
        <w:tc>
          <w:tcPr>
            <w:tcW w:w="126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Borders>
              <w:bottom w:val="single" w:sz="8" w:color="143A84"/>
            </w:tcBorders>
          </w:tcPr>
          <w:p>
            <w:pPr>
              <w:jc w:val="right"/>
              <w:ind w:right="299"/>
              <w:spacing w:after="0"/>
              <w:rPr>
                <w:sz w:val="20"/>
                <w:szCs w:val="20"/>
                <w:color w:val="auto"/>
              </w:rPr>
            </w:pPr>
            <w:r>
              <w:rPr>
                <w:rFonts w:ascii="Arial" w:cs="Arial" w:eastAsia="Arial" w:hAnsi="Arial"/>
                <w:sz w:val="16"/>
                <w:szCs w:val="16"/>
                <w:b w:val="1"/>
                <w:bCs w:val="1"/>
                <w:color w:val="243782"/>
              </w:rPr>
              <w:t>2026</w:t>
            </w:r>
          </w:p>
        </w:tc>
        <w:tc>
          <w:tcPr>
            <w:tcW w:w="1260" w:type="dxa"/>
            <w:vAlign w:val="bottom"/>
            <w:tcBorders>
              <w:bottom w:val="single" w:sz="8" w:color="143A84"/>
            </w:tcBorders>
          </w:tcPr>
          <w:p>
            <w:pPr>
              <w:jc w:val="right"/>
              <w:ind w:right="319"/>
              <w:spacing w:after="0"/>
              <w:rPr>
                <w:sz w:val="20"/>
                <w:szCs w:val="20"/>
                <w:color w:val="auto"/>
              </w:rPr>
            </w:pPr>
            <w:r>
              <w:rPr>
                <w:rFonts w:ascii="Arial" w:cs="Arial" w:eastAsia="Arial" w:hAnsi="Arial"/>
                <w:sz w:val="16"/>
                <w:szCs w:val="16"/>
                <w:b w:val="1"/>
                <w:bCs w:val="1"/>
                <w:color w:val="243782"/>
              </w:rPr>
              <w:t>2025</w:t>
            </w:r>
          </w:p>
        </w:tc>
        <w:tc>
          <w:tcPr>
            <w:tcW w:w="6420" w:type="dxa"/>
            <w:vAlign w:val="bottom"/>
            <w:tcBorders>
              <w:bottom w:val="single" w:sz="8" w:color="143A84"/>
            </w:tcBorders>
          </w:tcPr>
          <w:p>
            <w:pPr>
              <w:spacing w:after="0"/>
              <w:rPr>
                <w:sz w:val="20"/>
                <w:szCs w:val="20"/>
                <w:color w:val="auto"/>
              </w:rPr>
            </w:pPr>
          </w:p>
        </w:tc>
        <w:tc>
          <w:tcPr>
            <w:tcW w:w="1160" w:type="dxa"/>
            <w:vAlign w:val="bottom"/>
            <w:tcBorders>
              <w:bottom w:val="single" w:sz="8" w:color="143A84"/>
            </w:tcBorders>
          </w:tcPr>
          <w:p>
            <w:pPr>
              <w:jc w:val="right"/>
              <w:ind w:right="319"/>
              <w:spacing w:after="0"/>
              <w:rPr>
                <w:sz w:val="20"/>
                <w:szCs w:val="20"/>
                <w:color w:val="auto"/>
              </w:rPr>
            </w:pPr>
            <w:r>
              <w:rPr>
                <w:rFonts w:ascii="Arial" w:cs="Arial" w:eastAsia="Arial" w:hAnsi="Arial"/>
                <w:sz w:val="16"/>
                <w:szCs w:val="16"/>
                <w:b w:val="1"/>
                <w:bCs w:val="1"/>
                <w:color w:val="243782"/>
              </w:rPr>
              <w:t>2026</w:t>
            </w:r>
          </w:p>
        </w:tc>
        <w:tc>
          <w:tcPr>
            <w:tcW w:w="1260" w:type="dxa"/>
            <w:vAlign w:val="bottom"/>
            <w:tcBorders>
              <w:bottom w:val="single" w:sz="8" w:color="143A84"/>
            </w:tcBorders>
          </w:tcPr>
          <w:p>
            <w:pPr>
              <w:jc w:val="right"/>
              <w:ind w:right="31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50"/>
        </w:trPr>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(470)</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(4,542)</w:t>
            </w:r>
          </w:p>
        </w:tc>
        <w:tc>
          <w:tcPr>
            <w:tcW w:w="642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Net (loss)/profit attributable to owners of the parent</w:t>
            </w:r>
          </w:p>
        </w:tc>
        <w:tc>
          <w:tcPr>
            <w:tcW w:w="1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186</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(6,782)</w:t>
            </w:r>
          </w:p>
        </w:tc>
        <w:tc>
          <w:tcPr>
            <w:tcW w:w="0" w:type="dxa"/>
            <w:vAlign w:val="bottom"/>
          </w:tcPr>
          <w:p>
            <w:pPr>
              <w:spacing w:after="0"/>
              <w:rPr>
                <w:sz w:val="1"/>
                <w:szCs w:val="1"/>
                <w:color w:val="auto"/>
              </w:rPr>
            </w:pPr>
          </w:p>
        </w:tc>
      </w:tr>
      <w:tr>
        <w:trPr>
          <w:trHeight w:val="254"/>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(65)</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Coupon and tax impacts on Hybrid perpetual notes</w:t>
            </w:r>
            <w:r>
              <w:rPr>
                <w:rFonts w:ascii="Arial" w:cs="Arial" w:eastAsia="Arial" w:hAnsi="Arial"/>
                <w:sz w:val="21"/>
                <w:szCs w:val="21"/>
                <w:color w:val="auto"/>
                <w:vertAlign w:val="superscript"/>
              </w:rPr>
              <w:t>(1)</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(129)</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2,902,097</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2,888,824</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Weighted average number of shares outstanding (000)</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2,899,471</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2,884,705</w:t>
            </w:r>
          </w:p>
        </w:tc>
        <w:tc>
          <w:tcPr>
            <w:tcW w:w="0" w:type="dxa"/>
            <w:vAlign w:val="bottom"/>
          </w:tcPr>
          <w:p>
            <w:pPr>
              <w:spacing w:after="0"/>
              <w:rPr>
                <w:sz w:val="1"/>
                <w:szCs w:val="1"/>
                <w:color w:val="auto"/>
              </w:rPr>
            </w:pPr>
          </w:p>
        </w:tc>
      </w:tr>
      <w:tr>
        <w:trPr>
          <w:trHeight w:val="257"/>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Number of shares deployable for share-based compensation (000)</w:t>
            </w:r>
            <w:r>
              <w:rPr>
                <w:rFonts w:ascii="Arial" w:cs="Arial" w:eastAsia="Arial" w:hAnsi="Arial"/>
                <w:sz w:val="21"/>
                <w:szCs w:val="21"/>
                <w:color w:val="auto"/>
                <w:vertAlign w:val="superscript"/>
              </w:rPr>
              <w:t>(2)</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8,823</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2,902,097</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2,888,824</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Weighted average number of shares outstanding for diluted earnings per share (000)</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2,908,294</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2,884,705</w:t>
            </w:r>
          </w:p>
        </w:tc>
        <w:tc>
          <w:tcPr>
            <w:tcW w:w="0" w:type="dxa"/>
            <w:vAlign w:val="bottom"/>
          </w:tcPr>
          <w:p>
            <w:pPr>
              <w:spacing w:after="0"/>
              <w:rPr>
                <w:sz w:val="1"/>
                <w:szCs w:val="1"/>
                <w:color w:val="auto"/>
              </w:rPr>
            </w:pPr>
          </w:p>
        </w:tc>
      </w:tr>
      <w:tr>
        <w:trPr>
          <w:trHeight w:val="253"/>
        </w:trPr>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(0.18)</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(1.57)</w:t>
            </w:r>
          </w:p>
        </w:tc>
        <w:tc>
          <w:tcPr>
            <w:tcW w:w="642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Diluted (loss)/earnings per share (A) (€/share)</w:t>
            </w:r>
          </w:p>
        </w:tc>
        <w:tc>
          <w:tcPr>
            <w:tcW w:w="1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0.02</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(2.35)</w:t>
            </w:r>
          </w:p>
        </w:tc>
        <w:tc>
          <w:tcPr>
            <w:tcW w:w="0" w:type="dxa"/>
            <w:vAlign w:val="bottom"/>
          </w:tcPr>
          <w:p>
            <w:pPr>
              <w:spacing w:after="0"/>
              <w:rPr>
                <w:sz w:val="1"/>
                <w:szCs w:val="1"/>
                <w:color w:val="auto"/>
              </w:rPr>
            </w:pPr>
          </w:p>
        </w:tc>
      </w:tr>
      <w:tr>
        <w:trPr>
          <w:trHeight w:val="254"/>
        </w:trPr>
        <w:tc>
          <w:tcPr>
            <w:tcW w:w="1140" w:type="dxa"/>
            <w:vAlign w:val="bottom"/>
            <w:tcBorders>
              <w:bottom w:val="single" w:sz="8" w:color="8E939F"/>
            </w:tcBorders>
            <w:shd w:val="clear" w:color="auto" w:fill="F3F3F9"/>
          </w:tcPr>
          <w:p>
            <w:pPr>
              <w:spacing w:after="0"/>
              <w:rPr>
                <w:sz w:val="22"/>
                <w:szCs w:val="22"/>
                <w:color w:val="auto"/>
              </w:rPr>
            </w:pPr>
          </w:p>
        </w:tc>
        <w:tc>
          <w:tcPr>
            <w:tcW w:w="1260" w:type="dxa"/>
            <w:vAlign w:val="bottom"/>
            <w:tcBorders>
              <w:bottom w:val="single" w:sz="8" w:color="8E939F"/>
            </w:tcBorders>
          </w:tcPr>
          <w:p>
            <w:pPr>
              <w:spacing w:after="0"/>
              <w:rPr>
                <w:sz w:val="22"/>
                <w:szCs w:val="22"/>
                <w:color w:val="auto"/>
              </w:rPr>
            </w:pPr>
          </w:p>
        </w:tc>
        <w:tc>
          <w:tcPr>
            <w:tcW w:w="6420" w:type="dxa"/>
            <w:vAlign w:val="bottom"/>
            <w:tcBorders>
              <w:bottom w:val="single" w:sz="8" w:color="8E939F"/>
            </w:tcBorders>
          </w:tcPr>
          <w:p>
            <w:pPr>
              <w:spacing w:after="0"/>
              <w:rPr>
                <w:sz w:val="22"/>
                <w:szCs w:val="22"/>
                <w:color w:val="auto"/>
              </w:rPr>
            </w:pPr>
          </w:p>
        </w:tc>
        <w:tc>
          <w:tcPr>
            <w:tcW w:w="1160" w:type="dxa"/>
            <w:vAlign w:val="bottom"/>
            <w:tcBorders>
              <w:bottom w:val="single" w:sz="8" w:color="8E939F"/>
            </w:tcBorders>
            <w:shd w:val="clear" w:color="auto" w:fill="F3F3F9"/>
          </w:tcPr>
          <w:p>
            <w:pPr>
              <w:spacing w:after="0"/>
              <w:rPr>
                <w:sz w:val="22"/>
                <w:szCs w:val="22"/>
                <w:color w:val="auto"/>
              </w:rPr>
            </w:pPr>
          </w:p>
        </w:tc>
        <w:tc>
          <w:tcPr>
            <w:tcW w:w="126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587</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5,791</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Adjustments, per above</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930</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9,041</w:t>
            </w:r>
          </w:p>
        </w:tc>
        <w:tc>
          <w:tcPr>
            <w:tcW w:w="0" w:type="dxa"/>
            <w:vAlign w:val="bottom"/>
          </w:tcPr>
          <w:p>
            <w:pPr>
              <w:spacing w:after="0"/>
              <w:rPr>
                <w:sz w:val="1"/>
                <w:szCs w:val="1"/>
                <w:color w:val="auto"/>
              </w:rPr>
            </w:pPr>
          </w:p>
        </w:tc>
      </w:tr>
      <w:tr>
        <w:trPr>
          <w:trHeight w:val="257"/>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(95)</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(1,375)</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Tax impact on adjustments</w:t>
            </w:r>
            <w:r>
              <w:rPr>
                <w:rFonts w:ascii="Arial" w:cs="Arial" w:eastAsia="Arial" w:hAnsi="Arial"/>
                <w:sz w:val="21"/>
                <w:szCs w:val="21"/>
                <w:color w:val="auto"/>
                <w:vertAlign w:val="superscript"/>
              </w:rPr>
              <w:t>(3)</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46"/>
        </w:trPr>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492</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4,416</w:t>
            </w:r>
          </w:p>
        </w:tc>
        <w:tc>
          <w:tcPr>
            <w:tcW w:w="6420" w:type="dxa"/>
            <w:vAlign w:val="bottom"/>
            <w:tcBorders>
              <w:bottom w:val="single" w:sz="8" w:color="8E939F"/>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Total adjustments, net of taxes</w:t>
            </w:r>
          </w:p>
        </w:tc>
        <w:tc>
          <w:tcPr>
            <w:tcW w:w="1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854</w:t>
            </w:r>
          </w:p>
        </w:tc>
        <w:tc>
          <w:tcPr>
            <w:tcW w:w="12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7,196</w:t>
            </w:r>
          </w:p>
        </w:tc>
        <w:tc>
          <w:tcPr>
            <w:tcW w:w="0" w:type="dxa"/>
            <w:vAlign w:val="bottom"/>
          </w:tcPr>
          <w:p>
            <w:pPr>
              <w:spacing w:after="0"/>
              <w:rPr>
                <w:sz w:val="1"/>
                <w:szCs w:val="1"/>
                <w:color w:val="auto"/>
              </w:rPr>
            </w:pPr>
          </w:p>
        </w:tc>
      </w:tr>
      <w:tr>
        <w:trPr>
          <w:trHeight w:val="254"/>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Number of shares deployable for share-based compensation (000)</w:t>
            </w:r>
            <w:r>
              <w:rPr>
                <w:rFonts w:ascii="Arial" w:cs="Arial" w:eastAsia="Arial" w:hAnsi="Arial"/>
                <w:sz w:val="21"/>
                <w:szCs w:val="21"/>
                <w:color w:val="auto"/>
                <w:vertAlign w:val="superscript"/>
              </w:rPr>
              <w:t>(2)</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15,846</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Adjusted dilutive impact per share</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56"/>
        </w:trPr>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0.17</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1.53</w:t>
            </w:r>
          </w:p>
        </w:tc>
        <w:tc>
          <w:tcPr>
            <w:tcW w:w="64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Impact of adjustments above, net of taxes, on Diluted earnings per share (B) (€/share)</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0.29</w:t>
            </w:r>
          </w:p>
        </w:tc>
        <w:tc>
          <w:tcPr>
            <w:tcW w:w="12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47"/>
        </w:trPr>
        <w:tc>
          <w:tcPr>
            <w:tcW w:w="114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(0.01)</w:t>
            </w:r>
          </w:p>
        </w:tc>
        <w:tc>
          <w:tcPr>
            <w:tcW w:w="12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(0.04)</w:t>
            </w:r>
          </w:p>
        </w:tc>
        <w:tc>
          <w:tcPr>
            <w:tcW w:w="6420" w:type="dxa"/>
            <w:vAlign w:val="bottom"/>
            <w:tcBorders>
              <w:bottom w:val="single" w:sz="8" w:color="143A84"/>
            </w:tcBorders>
            <w:shd w:val="clear" w:color="auto" w:fill="E6E7F4"/>
          </w:tcPr>
          <w:p>
            <w:pPr>
              <w:ind w:left="120"/>
              <w:spacing w:after="0"/>
              <w:rPr>
                <w:sz w:val="20"/>
                <w:szCs w:val="20"/>
                <w:color w:val="auto"/>
              </w:rPr>
            </w:pPr>
            <w:r>
              <w:rPr>
                <w:rFonts w:ascii="Arial" w:cs="Arial" w:eastAsia="Arial" w:hAnsi="Arial"/>
                <w:sz w:val="16"/>
                <w:szCs w:val="16"/>
                <w:b w:val="1"/>
                <w:bCs w:val="1"/>
                <w:color w:val="243782"/>
              </w:rPr>
              <w:t>Adjusted Diluted earnings per share (€/share) (A+B)</w:t>
            </w:r>
          </w:p>
        </w:tc>
        <w:tc>
          <w:tcPr>
            <w:tcW w:w="11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0.31</w:t>
            </w:r>
          </w:p>
        </w:tc>
        <w:tc>
          <w:tcPr>
            <w:tcW w:w="12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0.14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Refer to Note 19, </w:t>
      </w:r>
      <w:r>
        <w:rPr>
          <w:rFonts w:ascii="Arial" w:cs="Arial" w:eastAsia="Arial" w:hAnsi="Arial"/>
          <w:sz w:val="14"/>
          <w:szCs w:val="14"/>
          <w:i w:val="1"/>
          <w:iCs w:val="1"/>
          <w:color w:val="auto"/>
        </w:rPr>
        <w:t>Equity</w:t>
      </w:r>
      <w:r>
        <w:rPr>
          <w:rFonts w:ascii="Arial" w:cs="Arial" w:eastAsia="Arial" w:hAnsi="Arial"/>
          <w:sz w:val="14"/>
          <w:szCs w:val="14"/>
          <w:color w:val="auto"/>
        </w:rPr>
        <w:t xml:space="preserve"> in the Interim Condensed Consolidated Financial Statements included in this Interim Report for additional information</w:t>
      </w:r>
    </w:p>
    <w:p>
      <w:pPr>
        <w:spacing w:after="0" w:line="28" w:lineRule="exact"/>
        <w:rPr>
          <w:rFonts w:ascii="Arial" w:cs="Arial" w:eastAsia="Arial" w:hAnsi="Arial"/>
          <w:sz w:val="14"/>
          <w:szCs w:val="14"/>
          <w:color w:val="auto"/>
        </w:rPr>
      </w:pPr>
    </w:p>
    <w:p>
      <w:pPr>
        <w:ind w:right="100" w:firstLine="8"/>
        <w:spacing w:after="0" w:line="257" w:lineRule="auto"/>
        <w:tabs>
          <w:tab w:leader="none" w:pos="222"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three months ended September 30, 2026 and for the three and nine months ended September 30, 2025, the Company reported a loss attributable to the owners of the parent. Consequently, the potential dilutive impact of share-based payment plans was excluded from the calculation of diluted earnings/(loss) per share, as its inclusion would have been anti-dilutive. For the nine months ended September 30, 2025, however, the adjusted net result reflected a profit and, therefore, the potential dilutive effect of share-based payment plans was included in the calculation of Adjusted diluted earnings per share. For the three months ended September 30, 2026 and September 30, 2025, the adjusted net result remained a loss and no dilutive effect was included</w:t>
      </w:r>
    </w:p>
    <w:p>
      <w:pPr>
        <w:spacing w:after="0" w:line="2"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 impact on adjustments is calculated based on the expected local country tax implications for each adjustment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Results by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results by segment for the three and nine months ended September 30, 2026 and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1"/>
                <w:szCs w:val="21"/>
                <w:color w:val="auto"/>
              </w:rPr>
            </w:pPr>
          </w:p>
        </w:tc>
        <w:tc>
          <w:tcPr>
            <w:tcW w:w="3000" w:type="dxa"/>
            <w:vAlign w:val="bottom"/>
            <w:tcBorders>
              <w:bottom w:val="single" w:sz="8" w:color="8E939F"/>
            </w:tcBorders>
            <w:gridSpan w:val="2"/>
          </w:tcPr>
          <w:p>
            <w:pPr>
              <w:jc w:val="right"/>
              <w:ind w:right="899"/>
              <w:spacing w:after="0"/>
              <w:rPr>
                <w:sz w:val="20"/>
                <w:szCs w:val="20"/>
                <w:color w:val="auto"/>
              </w:rPr>
            </w:pPr>
            <w:r>
              <w:rPr>
                <w:rFonts w:ascii="Arial" w:cs="Arial" w:eastAsia="Arial" w:hAnsi="Arial"/>
                <w:sz w:val="16"/>
                <w:szCs w:val="16"/>
                <w:b w:val="1"/>
                <w:bCs w:val="1"/>
                <w:color w:val="243782"/>
              </w:rPr>
              <w:t>Net revenues</w:t>
            </w:r>
            <w:r>
              <w:rPr>
                <w:rFonts w:ascii="Arial" w:cs="Arial" w:eastAsia="Arial" w:hAnsi="Arial"/>
                <w:sz w:val="21"/>
                <w:szCs w:val="21"/>
                <w:b w:val="1"/>
                <w:bCs w:val="1"/>
                <w:color w:val="243782"/>
                <w:vertAlign w:val="superscript"/>
              </w:rPr>
              <w:t>(2)</w:t>
            </w:r>
          </w:p>
        </w:tc>
        <w:tc>
          <w:tcPr>
            <w:tcW w:w="3260" w:type="dxa"/>
            <w:vAlign w:val="bottom"/>
            <w:tcBorders>
              <w:bottom w:val="single" w:sz="8" w:color="8E939F"/>
            </w:tcBorders>
            <w:gridSpan w:val="3"/>
          </w:tcPr>
          <w:p>
            <w:pPr>
              <w:jc w:val="center"/>
              <w:ind w:right="360"/>
              <w:spacing w:after="0"/>
              <w:rPr>
                <w:sz w:val="20"/>
                <w:szCs w:val="20"/>
                <w:color w:val="auto"/>
              </w:rPr>
            </w:pPr>
            <w:r>
              <w:rPr>
                <w:rFonts w:ascii="Arial" w:cs="Arial" w:eastAsia="Arial" w:hAnsi="Arial"/>
                <w:sz w:val="16"/>
                <w:szCs w:val="16"/>
                <w:b w:val="1"/>
                <w:bCs w:val="1"/>
                <w:color w:val="243782"/>
              </w:rPr>
              <w:t>Adjusted operating income/(loss)</w:t>
            </w:r>
          </w:p>
        </w:tc>
        <w:tc>
          <w:tcPr>
            <w:tcW w:w="2640" w:type="dxa"/>
            <w:vAlign w:val="bottom"/>
            <w:tcBorders>
              <w:bottom w:val="single" w:sz="8" w:color="8E939F"/>
            </w:tcBorders>
            <w:gridSpan w:val="2"/>
          </w:tcPr>
          <w:p>
            <w:pPr>
              <w:ind w:left="240"/>
              <w:spacing w:after="0"/>
              <w:rPr>
                <w:sz w:val="20"/>
                <w:szCs w:val="20"/>
                <w:color w:val="auto"/>
              </w:rPr>
            </w:pPr>
            <w:r>
              <w:rPr>
                <w:rFonts w:ascii="Arial" w:cs="Arial" w:eastAsia="Arial" w:hAnsi="Arial"/>
                <w:sz w:val="16"/>
                <w:szCs w:val="16"/>
                <w:b w:val="1"/>
                <w:bCs w:val="1"/>
                <w:color w:val="243782"/>
              </w:rPr>
              <w:t>Consolidated Shipments</w:t>
            </w:r>
          </w:p>
        </w:tc>
      </w:tr>
      <w:tr>
        <w:trPr>
          <w:trHeight w:val="243"/>
        </w:trPr>
        <w:tc>
          <w:tcPr>
            <w:tcW w:w="2340" w:type="dxa"/>
            <w:vAlign w:val="bottom"/>
          </w:tcPr>
          <w:p>
            <w:pPr>
              <w:spacing w:after="0"/>
              <w:rPr>
                <w:sz w:val="21"/>
                <w:szCs w:val="21"/>
                <w:color w:val="auto"/>
              </w:rPr>
            </w:pPr>
          </w:p>
        </w:tc>
        <w:tc>
          <w:tcPr>
            <w:tcW w:w="1400" w:type="dxa"/>
            <w:vAlign w:val="bottom"/>
            <w:tcBorders>
              <w:bottom w:val="single" w:sz="8" w:color="8E939F"/>
            </w:tcBorders>
          </w:tcPr>
          <w:p>
            <w:pPr>
              <w:spacing w:after="0"/>
              <w:rPr>
                <w:sz w:val="21"/>
                <w:szCs w:val="21"/>
                <w:color w:val="auto"/>
              </w:rPr>
            </w:pPr>
          </w:p>
        </w:tc>
        <w:tc>
          <w:tcPr>
            <w:tcW w:w="4860" w:type="dxa"/>
            <w:vAlign w:val="bottom"/>
            <w:tcBorders>
              <w:bottom w:val="single" w:sz="8" w:color="8E939F"/>
            </w:tcBorders>
            <w:gridSpan w:val="4"/>
          </w:tcPr>
          <w:p>
            <w:pPr>
              <w:jc w:val="center"/>
              <w:ind w:left="1159"/>
              <w:spacing w:after="0"/>
              <w:rPr>
                <w:sz w:val="20"/>
                <w:szCs w:val="20"/>
                <w:color w:val="auto"/>
              </w:rPr>
            </w:pPr>
            <w:r>
              <w:rPr>
                <w:rFonts w:ascii="Arial" w:cs="Arial" w:eastAsia="Arial" w:hAnsi="Arial"/>
                <w:sz w:val="16"/>
                <w:szCs w:val="16"/>
                <w:b w:val="1"/>
                <w:bCs w:val="1"/>
                <w:color w:val="243782"/>
              </w:rPr>
              <w:t>Three months ended September 30, 2026</w:t>
            </w:r>
          </w:p>
        </w:tc>
        <w:tc>
          <w:tcPr>
            <w:tcW w:w="1140" w:type="dxa"/>
            <w:vAlign w:val="bottom"/>
            <w:tcBorders>
              <w:bottom w:val="single" w:sz="8" w:color="8E939F"/>
            </w:tcBorders>
          </w:tcPr>
          <w:p>
            <w:pPr>
              <w:spacing w:after="0"/>
              <w:rPr>
                <w:sz w:val="21"/>
                <w:szCs w:val="21"/>
                <w:color w:val="auto"/>
              </w:rPr>
            </w:pPr>
          </w:p>
        </w:tc>
        <w:tc>
          <w:tcPr>
            <w:tcW w:w="1500" w:type="dxa"/>
            <w:vAlign w:val="bottom"/>
            <w:tcBorders>
              <w:bottom w:val="single" w:sz="8" w:color="8E939F"/>
            </w:tcBorders>
          </w:tcPr>
          <w:p>
            <w:pPr>
              <w:spacing w:after="0"/>
              <w:rPr>
                <w:sz w:val="21"/>
                <w:szCs w:val="21"/>
                <w:color w:val="auto"/>
              </w:rPr>
            </w:pPr>
          </w:p>
        </w:tc>
      </w:tr>
      <w:tr>
        <w:trPr>
          <w:trHeight w:val="195"/>
        </w:trPr>
        <w:tc>
          <w:tcPr>
            <w:tcW w:w="2340" w:type="dxa"/>
            <w:vAlign w:val="bottom"/>
          </w:tcPr>
          <w:p>
            <w:pPr>
              <w:ind w:left="20"/>
              <w:spacing w:after="0"/>
              <w:rPr>
                <w:sz w:val="20"/>
                <w:szCs w:val="20"/>
                <w:color w:val="auto"/>
              </w:rPr>
            </w:pPr>
            <w:r>
              <w:rPr>
                <w:rFonts w:ascii="Arial" w:cs="Arial" w:eastAsia="Arial" w:hAnsi="Arial"/>
                <w:sz w:val="14"/>
                <w:szCs w:val="14"/>
                <w:i w:val="1"/>
                <w:iCs w:val="1"/>
                <w:color w:val="auto"/>
              </w:rPr>
              <w:t>(€ million, except shipments which</w:t>
            </w: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shd w:val="clear" w:color="auto" w:fill="F3F3F9"/>
          </w:tcPr>
          <w:p>
            <w:pPr>
              <w:spacing w:after="0"/>
              <w:rPr>
                <w:sz w:val="16"/>
                <w:szCs w:val="16"/>
                <w:color w:val="auto"/>
              </w:rPr>
            </w:pPr>
          </w:p>
        </w:tc>
        <w:tc>
          <w:tcPr>
            <w:tcW w:w="1140" w:type="dxa"/>
            <w:vAlign w:val="bottom"/>
            <w:shd w:val="clear" w:color="auto" w:fill="F3F3F9"/>
          </w:tcPr>
          <w:p>
            <w:pPr>
              <w:spacing w:after="0"/>
              <w:rPr>
                <w:sz w:val="16"/>
                <w:szCs w:val="16"/>
                <w:color w:val="auto"/>
              </w:rPr>
            </w:pPr>
          </w:p>
        </w:tc>
        <w:tc>
          <w:tcPr>
            <w:tcW w:w="1500" w:type="dxa"/>
            <w:vAlign w:val="bottom"/>
          </w:tcPr>
          <w:p>
            <w:pPr>
              <w:spacing w:after="0"/>
              <w:rPr>
                <w:sz w:val="16"/>
                <w:szCs w:val="16"/>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i w:val="1"/>
                <w:iCs w:val="1"/>
                <w:color w:val="auto"/>
              </w:rPr>
              <w:t>are in thousands of units)</w:t>
            </w: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shd w:val="clear" w:color="auto" w:fill="F3F3F9"/>
          </w:tcPr>
          <w:p>
            <w:pPr>
              <w:spacing w:after="0"/>
              <w:rPr>
                <w:sz w:val="16"/>
                <w:szCs w:val="16"/>
                <w:color w:val="auto"/>
              </w:rPr>
            </w:pPr>
          </w:p>
        </w:tc>
        <w:tc>
          <w:tcPr>
            <w:tcW w:w="1140" w:type="dxa"/>
            <w:vAlign w:val="bottom"/>
            <w:shd w:val="clear" w:color="auto" w:fill="F3F3F9"/>
          </w:tcPr>
          <w:p>
            <w:pPr>
              <w:spacing w:after="0"/>
              <w:rPr>
                <w:sz w:val="16"/>
                <w:szCs w:val="16"/>
                <w:color w:val="auto"/>
              </w:rPr>
            </w:pPr>
          </w:p>
        </w:tc>
        <w:tc>
          <w:tcPr>
            <w:tcW w:w="1500" w:type="dxa"/>
            <w:vAlign w:val="bottom"/>
          </w:tcPr>
          <w:p>
            <w:pPr>
              <w:spacing w:after="0"/>
              <w:rPr>
                <w:sz w:val="16"/>
                <w:szCs w:val="16"/>
                <w:color w:val="auto"/>
              </w:rPr>
            </w:pPr>
          </w:p>
        </w:tc>
      </w:tr>
      <w:tr>
        <w:trPr>
          <w:trHeight w:val="234"/>
        </w:trPr>
        <w:tc>
          <w:tcPr>
            <w:tcW w:w="2340" w:type="dxa"/>
            <w:vAlign w:val="bottom"/>
            <w:tcBorders>
              <w:bottom w:val="single" w:sz="8" w:color="143A84"/>
            </w:tcBorders>
          </w:tcPr>
          <w:p>
            <w:pPr>
              <w:spacing w:after="0"/>
              <w:rPr>
                <w:sz w:val="20"/>
                <w:szCs w:val="20"/>
                <w:color w:val="auto"/>
              </w:rPr>
            </w:pPr>
          </w:p>
        </w:tc>
        <w:tc>
          <w:tcPr>
            <w:tcW w:w="1400" w:type="dxa"/>
            <w:vAlign w:val="bottom"/>
            <w:tcBorders>
              <w:bottom w:val="single" w:sz="8" w:color="143A84"/>
            </w:tcBorders>
            <w:shd w:val="clear" w:color="auto" w:fill="F3F3F9"/>
          </w:tcPr>
          <w:p>
            <w:pPr>
              <w:jc w:val="right"/>
              <w:ind w:right="439"/>
              <w:spacing w:after="0"/>
              <w:rPr>
                <w:sz w:val="20"/>
                <w:szCs w:val="20"/>
                <w:color w:val="auto"/>
              </w:rPr>
            </w:pPr>
            <w:r>
              <w:rPr>
                <w:rFonts w:ascii="Arial" w:cs="Arial" w:eastAsia="Arial" w:hAnsi="Arial"/>
                <w:sz w:val="16"/>
                <w:szCs w:val="16"/>
                <w:b w:val="1"/>
                <w:bCs w:val="1"/>
                <w:color w:val="243782"/>
              </w:rPr>
              <w:t>2026</w:t>
            </w:r>
          </w:p>
        </w:tc>
        <w:tc>
          <w:tcPr>
            <w:tcW w:w="16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1400" w:type="dxa"/>
            <w:vAlign w:val="bottom"/>
            <w:tcBorders>
              <w:bottom w:val="single" w:sz="8" w:color="143A84"/>
            </w:tcBorders>
            <w:shd w:val="clear" w:color="auto" w:fill="F3F3F9"/>
          </w:tcPr>
          <w:p>
            <w:pPr>
              <w:jc w:val="right"/>
              <w:ind w:right="439"/>
              <w:spacing w:after="0"/>
              <w:rPr>
                <w:sz w:val="20"/>
                <w:szCs w:val="20"/>
                <w:color w:val="auto"/>
              </w:rPr>
            </w:pPr>
            <w:r>
              <w:rPr>
                <w:rFonts w:ascii="Arial" w:cs="Arial" w:eastAsia="Arial" w:hAnsi="Arial"/>
                <w:sz w:val="16"/>
                <w:szCs w:val="16"/>
                <w:b w:val="1"/>
                <w:bCs w:val="1"/>
                <w:color w:val="243782"/>
              </w:rPr>
              <w:t>2026</w:t>
            </w:r>
          </w:p>
        </w:tc>
        <w:tc>
          <w:tcPr>
            <w:tcW w:w="16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260" w:type="dxa"/>
            <w:vAlign w:val="bottom"/>
            <w:tcBorders>
              <w:bottom w:val="single" w:sz="8" w:color="143A84"/>
            </w:tcBorders>
            <w:shd w:val="clear" w:color="auto" w:fill="F3F3F9"/>
          </w:tcPr>
          <w:p>
            <w:pPr>
              <w:spacing w:after="0"/>
              <w:rPr>
                <w:sz w:val="20"/>
                <w:szCs w:val="20"/>
                <w:color w:val="auto"/>
              </w:rPr>
            </w:pPr>
          </w:p>
        </w:tc>
        <w:tc>
          <w:tcPr>
            <w:tcW w:w="1140" w:type="dxa"/>
            <w:vAlign w:val="bottom"/>
            <w:tcBorders>
              <w:bottom w:val="single" w:sz="8" w:color="143A84"/>
            </w:tcBorders>
            <w:shd w:val="clear" w:color="auto" w:fill="F3F3F9"/>
          </w:tcPr>
          <w:p>
            <w:pPr>
              <w:ind w:left="260"/>
              <w:spacing w:after="0"/>
              <w:rPr>
                <w:sz w:val="20"/>
                <w:szCs w:val="20"/>
                <w:color w:val="auto"/>
              </w:rPr>
            </w:pPr>
            <w:r>
              <w:rPr>
                <w:rFonts w:ascii="Arial" w:cs="Arial" w:eastAsia="Arial" w:hAnsi="Arial"/>
                <w:sz w:val="16"/>
                <w:szCs w:val="16"/>
                <w:b w:val="1"/>
                <w:bCs w:val="1"/>
                <w:color w:val="243782"/>
              </w:rPr>
              <w:t>2026</w:t>
            </w:r>
          </w:p>
        </w:tc>
        <w:tc>
          <w:tcPr>
            <w:tcW w:w="1500" w:type="dxa"/>
            <w:vAlign w:val="bottom"/>
            <w:tcBorders>
              <w:bottom w:val="single" w:sz="8" w:color="143A84"/>
            </w:tcBorders>
          </w:tcPr>
          <w:p>
            <w:pPr>
              <w:jc w:val="right"/>
              <w:ind w:right="439"/>
              <w:spacing w:after="0"/>
              <w:rPr>
                <w:sz w:val="20"/>
                <w:szCs w:val="20"/>
                <w:color w:val="auto"/>
              </w:rPr>
            </w:pPr>
            <w:r>
              <w:rPr>
                <w:rFonts w:ascii="Arial" w:cs="Arial" w:eastAsia="Arial" w:hAnsi="Arial"/>
                <w:sz w:val="16"/>
                <w:szCs w:val="16"/>
                <w:b w:val="1"/>
                <w:bCs w:val="1"/>
                <w:color w:val="243782"/>
              </w:rPr>
              <w:t>2025</w:t>
            </w:r>
          </w:p>
        </w:tc>
      </w:tr>
      <w:tr>
        <w:trPr>
          <w:trHeight w:val="247"/>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15,586</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16,087</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64</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(475)</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357</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404</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14,062</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13,631</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(311)</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157</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588</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534</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1,673</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2,060</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244</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272</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95</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4,120</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3,989</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431</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429</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251</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252</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445</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476</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16</w:t>
            </w:r>
          </w:p>
        </w:tc>
      </w:tr>
      <w:tr>
        <w:trPr>
          <w:trHeight w:val="253"/>
        </w:trPr>
        <w:tc>
          <w:tcPr>
            <w:tcW w:w="23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Segments</w:t>
            </w:r>
          </w:p>
        </w:tc>
        <w:tc>
          <w:tcPr>
            <w:tcW w:w="14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35,886</w:t>
            </w:r>
          </w:p>
        </w:tc>
        <w:tc>
          <w:tcPr>
            <w:tcW w:w="160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36,243</w:t>
            </w:r>
          </w:p>
        </w:tc>
        <w:tc>
          <w:tcPr>
            <w:tcW w:w="14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446</w:t>
            </w:r>
          </w:p>
        </w:tc>
        <w:tc>
          <w:tcPr>
            <w:tcW w:w="160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379</w:t>
            </w:r>
          </w:p>
        </w:tc>
        <w:tc>
          <w:tcPr>
            <w:tcW w:w="260" w:type="dxa"/>
            <w:vAlign w:val="bottom"/>
            <w:tcBorders>
              <w:bottom w:val="single" w:sz="8" w:color="8E939F"/>
            </w:tcBorders>
            <w:shd w:val="clear" w:color="auto" w:fill="E6E7F4"/>
          </w:tcPr>
          <w:p>
            <w:pPr>
              <w:spacing w:after="0"/>
              <w:rPr>
                <w:sz w:val="21"/>
                <w:szCs w:val="21"/>
                <w:color w:val="auto"/>
              </w:rPr>
            </w:pPr>
          </w:p>
        </w:tc>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1,286</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1,300</w:t>
            </w:r>
          </w:p>
        </w:tc>
      </w:tr>
      <w:tr>
        <w:trPr>
          <w:trHeight w:val="247"/>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activities</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1,840</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1,105</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123</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340" w:type="dxa"/>
            <w:vAlign w:val="bottom"/>
          </w:tcPr>
          <w:p>
            <w:pPr>
              <w:ind w:left="20"/>
              <w:spacing w:after="0"/>
              <w:rPr>
                <w:sz w:val="20"/>
                <w:szCs w:val="20"/>
                <w:color w:val="auto"/>
              </w:rPr>
            </w:pPr>
            <w:r>
              <w:rPr>
                <w:rFonts w:ascii="Arial" w:cs="Arial" w:eastAsia="Arial" w:hAnsi="Arial"/>
                <w:sz w:val="16"/>
                <w:szCs w:val="16"/>
                <w:color w:val="auto"/>
              </w:rPr>
              <w:t>Unallocated items &amp;</w:t>
            </w:r>
          </w:p>
        </w:tc>
        <w:tc>
          <w:tcPr>
            <w:tcW w:w="140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shd w:val="clear" w:color="auto" w:fill="F3F3F9"/>
          </w:tcPr>
          <w:p>
            <w:pPr>
              <w:spacing w:after="0"/>
              <w:rPr>
                <w:sz w:val="18"/>
                <w:szCs w:val="18"/>
                <w:color w:val="auto"/>
              </w:rPr>
            </w:pPr>
          </w:p>
        </w:tc>
        <w:tc>
          <w:tcPr>
            <w:tcW w:w="1140" w:type="dxa"/>
            <w:vAlign w:val="bottom"/>
            <w:shd w:val="clear" w:color="auto" w:fill="F3F3F9"/>
          </w:tcPr>
          <w:p>
            <w:pPr>
              <w:spacing w:after="0"/>
              <w:rPr>
                <w:sz w:val="18"/>
                <w:szCs w:val="18"/>
                <w:color w:val="auto"/>
              </w:rPr>
            </w:pPr>
          </w:p>
        </w:tc>
        <w:tc>
          <w:tcPr>
            <w:tcW w:w="1500" w:type="dxa"/>
            <w:vAlign w:val="bottom"/>
          </w:tcPr>
          <w:p>
            <w:pPr>
              <w:spacing w:after="0"/>
              <w:rPr>
                <w:sz w:val="18"/>
                <w:szCs w:val="18"/>
                <w:color w:val="auto"/>
              </w:rPr>
            </w:pPr>
          </w:p>
        </w:tc>
      </w:tr>
      <w:tr>
        <w:trPr>
          <w:trHeight w:val="244"/>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(115)</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(142)</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(313)</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(281)</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340" w:type="dxa"/>
            <w:vAlign w:val="bottom"/>
            <w:tcBorders>
              <w:bottom w:val="single" w:sz="8" w:color="143A84"/>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w:t>
            </w:r>
          </w:p>
        </w:tc>
        <w:tc>
          <w:tcPr>
            <w:tcW w:w="14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37,611</w:t>
            </w:r>
          </w:p>
        </w:tc>
        <w:tc>
          <w:tcPr>
            <w:tcW w:w="1600" w:type="dxa"/>
            <w:vAlign w:val="bottom"/>
            <w:tcBorders>
              <w:bottom w:val="single" w:sz="8" w:color="143A84"/>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37,206</w:t>
            </w:r>
          </w:p>
        </w:tc>
        <w:tc>
          <w:tcPr>
            <w:tcW w:w="14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256</w:t>
            </w:r>
          </w:p>
        </w:tc>
        <w:tc>
          <w:tcPr>
            <w:tcW w:w="1600" w:type="dxa"/>
            <w:vAlign w:val="bottom"/>
            <w:tcBorders>
              <w:bottom w:val="single" w:sz="8" w:color="143A84"/>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90</w:t>
            </w:r>
          </w:p>
        </w:tc>
        <w:tc>
          <w:tcPr>
            <w:tcW w:w="260" w:type="dxa"/>
            <w:vAlign w:val="bottom"/>
            <w:tcBorders>
              <w:bottom w:val="single" w:sz="8" w:color="143A84"/>
            </w:tcBorders>
            <w:shd w:val="clear" w:color="auto" w:fill="E6E7F4"/>
          </w:tcPr>
          <w:p>
            <w:pPr>
              <w:spacing w:after="0"/>
              <w:rPr>
                <w:sz w:val="21"/>
                <w:szCs w:val="21"/>
                <w:color w:val="auto"/>
              </w:rPr>
            </w:pPr>
          </w:p>
        </w:tc>
        <w:tc>
          <w:tcPr>
            <w:tcW w:w="114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1,286</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1,300</w:t>
            </w:r>
          </w:p>
        </w:tc>
      </w:tr>
      <w:tr>
        <w:trPr>
          <w:trHeight w:val="375"/>
        </w:trPr>
        <w:tc>
          <w:tcPr>
            <w:tcW w:w="2340" w:type="dxa"/>
            <w:vAlign w:val="bottom"/>
          </w:tcPr>
          <w:p>
            <w:pPr>
              <w:spacing w:after="0"/>
              <w:rPr>
                <w:sz w:val="24"/>
                <w:szCs w:val="24"/>
                <w:color w:val="auto"/>
              </w:rPr>
            </w:pPr>
          </w:p>
        </w:tc>
        <w:tc>
          <w:tcPr>
            <w:tcW w:w="3000" w:type="dxa"/>
            <w:vAlign w:val="bottom"/>
            <w:tcBorders>
              <w:bottom w:val="single" w:sz="8" w:color="8E939F"/>
            </w:tcBorders>
            <w:gridSpan w:val="2"/>
          </w:tcPr>
          <w:p>
            <w:pPr>
              <w:jc w:val="right"/>
              <w:ind w:right="899"/>
              <w:spacing w:after="0"/>
              <w:rPr>
                <w:sz w:val="20"/>
                <w:szCs w:val="20"/>
                <w:color w:val="auto"/>
              </w:rPr>
            </w:pPr>
            <w:r>
              <w:rPr>
                <w:rFonts w:ascii="Arial" w:cs="Arial" w:eastAsia="Arial" w:hAnsi="Arial"/>
                <w:sz w:val="16"/>
                <w:szCs w:val="16"/>
                <w:b w:val="1"/>
                <w:bCs w:val="1"/>
                <w:color w:val="243782"/>
              </w:rPr>
              <w:t>Net revenues</w:t>
            </w:r>
            <w:r>
              <w:rPr>
                <w:rFonts w:ascii="Arial" w:cs="Arial" w:eastAsia="Arial" w:hAnsi="Arial"/>
                <w:sz w:val="21"/>
                <w:szCs w:val="21"/>
                <w:b w:val="1"/>
                <w:bCs w:val="1"/>
                <w:color w:val="243782"/>
                <w:vertAlign w:val="superscript"/>
              </w:rPr>
              <w:t>(2)</w:t>
            </w:r>
          </w:p>
        </w:tc>
        <w:tc>
          <w:tcPr>
            <w:tcW w:w="3260" w:type="dxa"/>
            <w:vAlign w:val="bottom"/>
            <w:tcBorders>
              <w:bottom w:val="single" w:sz="8" w:color="8E939F"/>
            </w:tcBorders>
            <w:gridSpan w:val="3"/>
          </w:tcPr>
          <w:p>
            <w:pPr>
              <w:jc w:val="center"/>
              <w:ind w:right="360"/>
              <w:spacing w:after="0"/>
              <w:rPr>
                <w:sz w:val="20"/>
                <w:szCs w:val="20"/>
                <w:color w:val="auto"/>
              </w:rPr>
            </w:pPr>
            <w:r>
              <w:rPr>
                <w:rFonts w:ascii="Arial" w:cs="Arial" w:eastAsia="Arial" w:hAnsi="Arial"/>
                <w:sz w:val="16"/>
                <w:szCs w:val="16"/>
                <w:b w:val="1"/>
                <w:bCs w:val="1"/>
                <w:color w:val="243782"/>
                <w:w w:val="99"/>
              </w:rPr>
              <w:t>Adjusted operating income/(loss)</w:t>
            </w:r>
            <w:r>
              <w:rPr>
                <w:rFonts w:ascii="Arial" w:cs="Arial" w:eastAsia="Arial" w:hAnsi="Arial"/>
                <w:sz w:val="21"/>
                <w:szCs w:val="21"/>
                <w:b w:val="1"/>
                <w:bCs w:val="1"/>
                <w:color w:val="243782"/>
                <w:w w:val="99"/>
                <w:vertAlign w:val="superscript"/>
              </w:rPr>
              <w:t>(2)</w:t>
            </w:r>
          </w:p>
        </w:tc>
        <w:tc>
          <w:tcPr>
            <w:tcW w:w="2640" w:type="dxa"/>
            <w:vAlign w:val="bottom"/>
            <w:tcBorders>
              <w:bottom w:val="single" w:sz="8" w:color="8E939F"/>
            </w:tcBorders>
            <w:gridSpan w:val="2"/>
          </w:tcPr>
          <w:p>
            <w:pPr>
              <w:ind w:left="240"/>
              <w:spacing w:after="0"/>
              <w:rPr>
                <w:sz w:val="20"/>
                <w:szCs w:val="20"/>
                <w:color w:val="auto"/>
              </w:rPr>
            </w:pPr>
            <w:r>
              <w:rPr>
                <w:rFonts w:ascii="Arial" w:cs="Arial" w:eastAsia="Arial" w:hAnsi="Arial"/>
                <w:sz w:val="16"/>
                <w:szCs w:val="16"/>
                <w:b w:val="1"/>
                <w:bCs w:val="1"/>
                <w:color w:val="243782"/>
              </w:rPr>
              <w:t>Consolidated Shipments</w:t>
            </w:r>
          </w:p>
        </w:tc>
      </w:tr>
      <w:tr>
        <w:trPr>
          <w:trHeight w:val="243"/>
        </w:trPr>
        <w:tc>
          <w:tcPr>
            <w:tcW w:w="2340" w:type="dxa"/>
            <w:vAlign w:val="bottom"/>
          </w:tcPr>
          <w:p>
            <w:pPr>
              <w:spacing w:after="0"/>
              <w:rPr>
                <w:sz w:val="21"/>
                <w:szCs w:val="21"/>
                <w:color w:val="auto"/>
              </w:rPr>
            </w:pPr>
          </w:p>
        </w:tc>
        <w:tc>
          <w:tcPr>
            <w:tcW w:w="1400" w:type="dxa"/>
            <w:vAlign w:val="bottom"/>
            <w:tcBorders>
              <w:bottom w:val="single" w:sz="8" w:color="8E939F"/>
            </w:tcBorders>
          </w:tcPr>
          <w:p>
            <w:pPr>
              <w:spacing w:after="0"/>
              <w:rPr>
                <w:sz w:val="21"/>
                <w:szCs w:val="21"/>
                <w:color w:val="auto"/>
              </w:rPr>
            </w:pPr>
          </w:p>
        </w:tc>
        <w:tc>
          <w:tcPr>
            <w:tcW w:w="1600" w:type="dxa"/>
            <w:vAlign w:val="bottom"/>
            <w:tcBorders>
              <w:bottom w:val="single" w:sz="8" w:color="8E939F"/>
            </w:tcBorders>
          </w:tcPr>
          <w:p>
            <w:pPr>
              <w:spacing w:after="0"/>
              <w:rPr>
                <w:sz w:val="21"/>
                <w:szCs w:val="21"/>
                <w:color w:val="auto"/>
              </w:rPr>
            </w:pPr>
          </w:p>
        </w:tc>
        <w:tc>
          <w:tcPr>
            <w:tcW w:w="3260" w:type="dxa"/>
            <w:vAlign w:val="bottom"/>
            <w:tcBorders>
              <w:bottom w:val="single" w:sz="8" w:color="8E939F"/>
            </w:tcBorders>
            <w:gridSpan w:val="3"/>
          </w:tcPr>
          <w:p>
            <w:pPr>
              <w:jc w:val="center"/>
              <w:ind w:right="360"/>
              <w:spacing w:after="0"/>
              <w:rPr>
                <w:sz w:val="20"/>
                <w:szCs w:val="20"/>
                <w:color w:val="auto"/>
              </w:rPr>
            </w:pPr>
            <w:r>
              <w:rPr>
                <w:rFonts w:ascii="Arial" w:cs="Arial" w:eastAsia="Arial" w:hAnsi="Arial"/>
                <w:sz w:val="16"/>
                <w:szCs w:val="16"/>
                <w:b w:val="1"/>
                <w:bCs w:val="1"/>
                <w:color w:val="243782"/>
              </w:rPr>
              <w:t>Nine months ended September 30,</w:t>
            </w:r>
          </w:p>
        </w:tc>
        <w:tc>
          <w:tcPr>
            <w:tcW w:w="1140" w:type="dxa"/>
            <w:vAlign w:val="bottom"/>
            <w:tcBorders>
              <w:bottom w:val="single" w:sz="8" w:color="8E939F"/>
            </w:tcBorders>
          </w:tcPr>
          <w:p>
            <w:pPr>
              <w:spacing w:after="0"/>
              <w:rPr>
                <w:sz w:val="21"/>
                <w:szCs w:val="21"/>
                <w:color w:val="auto"/>
              </w:rPr>
            </w:pPr>
          </w:p>
        </w:tc>
        <w:tc>
          <w:tcPr>
            <w:tcW w:w="1500" w:type="dxa"/>
            <w:vAlign w:val="bottom"/>
            <w:tcBorders>
              <w:bottom w:val="single" w:sz="8" w:color="8E939F"/>
            </w:tcBorders>
          </w:tcPr>
          <w:p>
            <w:pPr>
              <w:spacing w:after="0"/>
              <w:rPr>
                <w:sz w:val="21"/>
                <w:szCs w:val="21"/>
                <w:color w:val="auto"/>
              </w:rPr>
            </w:pPr>
          </w:p>
        </w:tc>
      </w:tr>
      <w:tr>
        <w:trPr>
          <w:trHeight w:val="195"/>
        </w:trPr>
        <w:tc>
          <w:tcPr>
            <w:tcW w:w="2340" w:type="dxa"/>
            <w:vAlign w:val="bottom"/>
          </w:tcPr>
          <w:p>
            <w:pPr>
              <w:ind w:left="20"/>
              <w:spacing w:after="0"/>
              <w:rPr>
                <w:sz w:val="20"/>
                <w:szCs w:val="20"/>
                <w:color w:val="auto"/>
              </w:rPr>
            </w:pPr>
            <w:r>
              <w:rPr>
                <w:rFonts w:ascii="Arial" w:cs="Arial" w:eastAsia="Arial" w:hAnsi="Arial"/>
                <w:sz w:val="14"/>
                <w:szCs w:val="14"/>
                <w:i w:val="1"/>
                <w:iCs w:val="1"/>
                <w:color w:val="auto"/>
              </w:rPr>
              <w:t>(€ million, except shipments which</w:t>
            </w: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shd w:val="clear" w:color="auto" w:fill="F3F3F9"/>
          </w:tcPr>
          <w:p>
            <w:pPr>
              <w:spacing w:after="0"/>
              <w:rPr>
                <w:sz w:val="16"/>
                <w:szCs w:val="16"/>
                <w:color w:val="auto"/>
              </w:rPr>
            </w:pPr>
          </w:p>
        </w:tc>
        <w:tc>
          <w:tcPr>
            <w:tcW w:w="1140" w:type="dxa"/>
            <w:vAlign w:val="bottom"/>
            <w:shd w:val="clear" w:color="auto" w:fill="F3F3F9"/>
          </w:tcPr>
          <w:p>
            <w:pPr>
              <w:spacing w:after="0"/>
              <w:rPr>
                <w:sz w:val="16"/>
                <w:szCs w:val="16"/>
                <w:color w:val="auto"/>
              </w:rPr>
            </w:pPr>
          </w:p>
        </w:tc>
        <w:tc>
          <w:tcPr>
            <w:tcW w:w="1500" w:type="dxa"/>
            <w:vAlign w:val="bottom"/>
          </w:tcPr>
          <w:p>
            <w:pPr>
              <w:spacing w:after="0"/>
              <w:rPr>
                <w:sz w:val="16"/>
                <w:szCs w:val="16"/>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i w:val="1"/>
                <w:iCs w:val="1"/>
                <w:color w:val="auto"/>
              </w:rPr>
              <w:t>are in thousands of units)</w:t>
            </w: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shd w:val="clear" w:color="auto" w:fill="F3F3F9"/>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shd w:val="clear" w:color="auto" w:fill="F3F3F9"/>
          </w:tcPr>
          <w:p>
            <w:pPr>
              <w:spacing w:after="0"/>
              <w:rPr>
                <w:sz w:val="16"/>
                <w:szCs w:val="16"/>
                <w:color w:val="auto"/>
              </w:rPr>
            </w:pPr>
          </w:p>
        </w:tc>
        <w:tc>
          <w:tcPr>
            <w:tcW w:w="1140" w:type="dxa"/>
            <w:vAlign w:val="bottom"/>
            <w:shd w:val="clear" w:color="auto" w:fill="F3F3F9"/>
          </w:tcPr>
          <w:p>
            <w:pPr>
              <w:spacing w:after="0"/>
              <w:rPr>
                <w:sz w:val="16"/>
                <w:szCs w:val="16"/>
                <w:color w:val="auto"/>
              </w:rPr>
            </w:pPr>
          </w:p>
        </w:tc>
        <w:tc>
          <w:tcPr>
            <w:tcW w:w="1500" w:type="dxa"/>
            <w:vAlign w:val="bottom"/>
          </w:tcPr>
          <w:p>
            <w:pPr>
              <w:spacing w:after="0"/>
              <w:rPr>
                <w:sz w:val="16"/>
                <w:szCs w:val="16"/>
                <w:color w:val="auto"/>
              </w:rPr>
            </w:pPr>
          </w:p>
        </w:tc>
      </w:tr>
      <w:tr>
        <w:trPr>
          <w:trHeight w:val="234"/>
        </w:trPr>
        <w:tc>
          <w:tcPr>
            <w:tcW w:w="2340" w:type="dxa"/>
            <w:vAlign w:val="bottom"/>
            <w:tcBorders>
              <w:bottom w:val="single" w:sz="8" w:color="143A84"/>
            </w:tcBorders>
          </w:tcPr>
          <w:p>
            <w:pPr>
              <w:spacing w:after="0"/>
              <w:rPr>
                <w:sz w:val="20"/>
                <w:szCs w:val="20"/>
                <w:color w:val="auto"/>
              </w:rPr>
            </w:pPr>
          </w:p>
        </w:tc>
        <w:tc>
          <w:tcPr>
            <w:tcW w:w="1400" w:type="dxa"/>
            <w:vAlign w:val="bottom"/>
            <w:tcBorders>
              <w:bottom w:val="single" w:sz="8" w:color="143A84"/>
            </w:tcBorders>
            <w:shd w:val="clear" w:color="auto" w:fill="F3F3F9"/>
          </w:tcPr>
          <w:p>
            <w:pPr>
              <w:jc w:val="right"/>
              <w:ind w:right="439"/>
              <w:spacing w:after="0"/>
              <w:rPr>
                <w:sz w:val="20"/>
                <w:szCs w:val="20"/>
                <w:color w:val="auto"/>
              </w:rPr>
            </w:pPr>
            <w:r>
              <w:rPr>
                <w:rFonts w:ascii="Arial" w:cs="Arial" w:eastAsia="Arial" w:hAnsi="Arial"/>
                <w:sz w:val="16"/>
                <w:szCs w:val="16"/>
                <w:b w:val="1"/>
                <w:bCs w:val="1"/>
                <w:color w:val="243782"/>
              </w:rPr>
              <w:t>2026</w:t>
            </w:r>
          </w:p>
        </w:tc>
        <w:tc>
          <w:tcPr>
            <w:tcW w:w="16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1400" w:type="dxa"/>
            <w:vAlign w:val="bottom"/>
            <w:tcBorders>
              <w:bottom w:val="single" w:sz="8" w:color="143A84"/>
            </w:tcBorders>
            <w:shd w:val="clear" w:color="auto" w:fill="F3F3F9"/>
          </w:tcPr>
          <w:p>
            <w:pPr>
              <w:jc w:val="right"/>
              <w:ind w:right="439"/>
              <w:spacing w:after="0"/>
              <w:rPr>
                <w:sz w:val="20"/>
                <w:szCs w:val="20"/>
                <w:color w:val="auto"/>
              </w:rPr>
            </w:pPr>
            <w:r>
              <w:rPr>
                <w:rFonts w:ascii="Arial" w:cs="Arial" w:eastAsia="Arial" w:hAnsi="Arial"/>
                <w:sz w:val="16"/>
                <w:szCs w:val="16"/>
                <w:b w:val="1"/>
                <w:bCs w:val="1"/>
                <w:color w:val="243782"/>
              </w:rPr>
              <w:t>2026</w:t>
            </w:r>
          </w:p>
        </w:tc>
        <w:tc>
          <w:tcPr>
            <w:tcW w:w="16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260" w:type="dxa"/>
            <w:vAlign w:val="bottom"/>
            <w:tcBorders>
              <w:bottom w:val="single" w:sz="8" w:color="143A84"/>
            </w:tcBorders>
            <w:shd w:val="clear" w:color="auto" w:fill="F3F3F9"/>
          </w:tcPr>
          <w:p>
            <w:pPr>
              <w:spacing w:after="0"/>
              <w:rPr>
                <w:sz w:val="20"/>
                <w:szCs w:val="20"/>
                <w:color w:val="auto"/>
              </w:rPr>
            </w:pPr>
          </w:p>
        </w:tc>
        <w:tc>
          <w:tcPr>
            <w:tcW w:w="1140" w:type="dxa"/>
            <w:vAlign w:val="bottom"/>
            <w:tcBorders>
              <w:bottom w:val="single" w:sz="8" w:color="143A84"/>
            </w:tcBorders>
            <w:shd w:val="clear" w:color="auto" w:fill="F3F3F9"/>
          </w:tcPr>
          <w:p>
            <w:pPr>
              <w:ind w:left="260"/>
              <w:spacing w:after="0"/>
              <w:rPr>
                <w:sz w:val="20"/>
                <w:szCs w:val="20"/>
                <w:color w:val="auto"/>
              </w:rPr>
            </w:pPr>
            <w:r>
              <w:rPr>
                <w:rFonts w:ascii="Arial" w:cs="Arial" w:eastAsia="Arial" w:hAnsi="Arial"/>
                <w:sz w:val="16"/>
                <w:szCs w:val="16"/>
                <w:b w:val="1"/>
                <w:bCs w:val="1"/>
                <w:color w:val="243782"/>
              </w:rPr>
              <w:t>2026</w:t>
            </w:r>
          </w:p>
        </w:tc>
        <w:tc>
          <w:tcPr>
            <w:tcW w:w="1500" w:type="dxa"/>
            <w:vAlign w:val="bottom"/>
            <w:tcBorders>
              <w:bottom w:val="single" w:sz="8" w:color="143A84"/>
            </w:tcBorders>
          </w:tcPr>
          <w:p>
            <w:pPr>
              <w:jc w:val="right"/>
              <w:ind w:right="439"/>
              <w:spacing w:after="0"/>
              <w:rPr>
                <w:sz w:val="20"/>
                <w:szCs w:val="20"/>
                <w:color w:val="auto"/>
              </w:rPr>
            </w:pPr>
            <w:r>
              <w:rPr>
                <w:rFonts w:ascii="Arial" w:cs="Arial" w:eastAsia="Arial" w:hAnsi="Arial"/>
                <w:sz w:val="16"/>
                <w:szCs w:val="16"/>
                <w:b w:val="1"/>
                <w:bCs w:val="1"/>
                <w:color w:val="243782"/>
              </w:rPr>
              <w:t>2025</w:t>
            </w:r>
          </w:p>
        </w:tc>
      </w:tr>
      <w:tr>
        <w:trPr>
          <w:trHeight w:val="247"/>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49,893</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44,390</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611</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(1,457)</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1,181</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1,052</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44,863</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44,188</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(397)</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1,987</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1,825</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6,626</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7,022</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855</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1,040</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307</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320</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12,081</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11,760</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1,226</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1,618</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723</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723</w:t>
            </w:r>
          </w:p>
        </w:tc>
      </w:tr>
      <w:tr>
        <w:trPr>
          <w:trHeight w:val="250"/>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1,379</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1,486</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46</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45</w:t>
            </w:r>
          </w:p>
        </w:tc>
      </w:tr>
      <w:tr>
        <w:trPr>
          <w:trHeight w:val="253"/>
        </w:trPr>
        <w:tc>
          <w:tcPr>
            <w:tcW w:w="23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Segments</w:t>
            </w:r>
          </w:p>
        </w:tc>
        <w:tc>
          <w:tcPr>
            <w:tcW w:w="14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114,842</w:t>
            </w:r>
          </w:p>
        </w:tc>
        <w:tc>
          <w:tcPr>
            <w:tcW w:w="160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108,846</w:t>
            </w:r>
          </w:p>
        </w:tc>
        <w:tc>
          <w:tcPr>
            <w:tcW w:w="14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2,310</w:t>
            </w:r>
          </w:p>
        </w:tc>
        <w:tc>
          <w:tcPr>
            <w:tcW w:w="160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1,287</w:t>
            </w:r>
          </w:p>
        </w:tc>
        <w:tc>
          <w:tcPr>
            <w:tcW w:w="260" w:type="dxa"/>
            <w:vAlign w:val="bottom"/>
            <w:tcBorders>
              <w:bottom w:val="single" w:sz="8" w:color="8E939F"/>
            </w:tcBorders>
            <w:shd w:val="clear" w:color="auto" w:fill="E6E7F4"/>
          </w:tcPr>
          <w:p>
            <w:pPr>
              <w:spacing w:after="0"/>
              <w:rPr>
                <w:sz w:val="21"/>
                <w:szCs w:val="21"/>
                <w:color w:val="auto"/>
              </w:rPr>
            </w:pPr>
          </w:p>
        </w:tc>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4,244</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3,964</w:t>
            </w:r>
          </w:p>
        </w:tc>
      </w:tr>
      <w:tr>
        <w:trPr>
          <w:trHeight w:val="247"/>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activities</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4,715</w:t>
            </w:r>
          </w:p>
        </w:tc>
        <w:tc>
          <w:tcPr>
            <w:tcW w:w="16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2,978</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388</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340" w:type="dxa"/>
            <w:vAlign w:val="bottom"/>
          </w:tcPr>
          <w:p>
            <w:pPr>
              <w:ind w:left="20"/>
              <w:spacing w:after="0"/>
              <w:rPr>
                <w:sz w:val="20"/>
                <w:szCs w:val="20"/>
                <w:color w:val="auto"/>
              </w:rPr>
            </w:pPr>
            <w:r>
              <w:rPr>
                <w:rFonts w:ascii="Arial" w:cs="Arial" w:eastAsia="Arial" w:hAnsi="Arial"/>
                <w:sz w:val="16"/>
                <w:szCs w:val="16"/>
                <w:color w:val="auto"/>
              </w:rPr>
              <w:t>Unallocated items &amp;</w:t>
            </w:r>
          </w:p>
        </w:tc>
        <w:tc>
          <w:tcPr>
            <w:tcW w:w="140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shd w:val="clear" w:color="auto" w:fill="F3F3F9"/>
          </w:tcPr>
          <w:p>
            <w:pPr>
              <w:spacing w:after="0"/>
              <w:rPr>
                <w:sz w:val="18"/>
                <w:szCs w:val="18"/>
                <w:color w:val="auto"/>
              </w:rPr>
            </w:pPr>
          </w:p>
        </w:tc>
        <w:tc>
          <w:tcPr>
            <w:tcW w:w="1140" w:type="dxa"/>
            <w:vAlign w:val="bottom"/>
            <w:shd w:val="clear" w:color="auto" w:fill="F3F3F9"/>
          </w:tcPr>
          <w:p>
            <w:pPr>
              <w:spacing w:after="0"/>
              <w:rPr>
                <w:sz w:val="18"/>
                <w:szCs w:val="18"/>
                <w:color w:val="auto"/>
              </w:rPr>
            </w:pPr>
          </w:p>
        </w:tc>
        <w:tc>
          <w:tcPr>
            <w:tcW w:w="1500" w:type="dxa"/>
            <w:vAlign w:val="bottom"/>
          </w:tcPr>
          <w:p>
            <w:pPr>
              <w:spacing w:after="0"/>
              <w:rPr>
                <w:sz w:val="18"/>
                <w:szCs w:val="18"/>
                <w:color w:val="auto"/>
              </w:rPr>
            </w:pPr>
          </w:p>
        </w:tc>
      </w:tr>
      <w:tr>
        <w:trPr>
          <w:trHeight w:val="244"/>
        </w:trPr>
        <w:tc>
          <w:tcPr>
            <w:tcW w:w="23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(332)</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(357)</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(709)</w:t>
            </w:r>
          </w:p>
        </w:tc>
        <w:tc>
          <w:tcPr>
            <w:tcW w:w="160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(576)</w:t>
            </w:r>
          </w:p>
        </w:tc>
        <w:tc>
          <w:tcPr>
            <w:tcW w:w="260" w:type="dxa"/>
            <w:vAlign w:val="bottom"/>
            <w:tcBorders>
              <w:bottom w:val="single" w:sz="8" w:color="8E939F"/>
            </w:tcBorders>
            <w:shd w:val="clear" w:color="auto" w:fill="F3F3F9"/>
          </w:tcPr>
          <w:p>
            <w:pPr>
              <w:spacing w:after="0"/>
              <w:rPr>
                <w:sz w:val="21"/>
                <w:szCs w:val="21"/>
                <w:color w:val="auto"/>
              </w:rPr>
            </w:pP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340" w:type="dxa"/>
            <w:vAlign w:val="bottom"/>
            <w:tcBorders>
              <w:bottom w:val="single" w:sz="8" w:color="143A84"/>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w:t>
            </w:r>
          </w:p>
        </w:tc>
        <w:tc>
          <w:tcPr>
            <w:tcW w:w="14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119,225</w:t>
            </w:r>
          </w:p>
        </w:tc>
        <w:tc>
          <w:tcPr>
            <w:tcW w:w="1600" w:type="dxa"/>
            <w:vAlign w:val="bottom"/>
            <w:tcBorders>
              <w:bottom w:val="single" w:sz="8" w:color="143A84"/>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111,467</w:t>
            </w:r>
          </w:p>
        </w:tc>
        <w:tc>
          <w:tcPr>
            <w:tcW w:w="14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1,989</w:t>
            </w:r>
          </w:p>
        </w:tc>
        <w:tc>
          <w:tcPr>
            <w:tcW w:w="1600" w:type="dxa"/>
            <w:vAlign w:val="bottom"/>
            <w:tcBorders>
              <w:bottom w:val="single" w:sz="8" w:color="143A84"/>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630</w:t>
            </w:r>
          </w:p>
        </w:tc>
        <w:tc>
          <w:tcPr>
            <w:tcW w:w="260" w:type="dxa"/>
            <w:vAlign w:val="bottom"/>
            <w:tcBorders>
              <w:bottom w:val="single" w:sz="8" w:color="143A84"/>
            </w:tcBorders>
            <w:shd w:val="clear" w:color="auto" w:fill="E6E7F4"/>
          </w:tcPr>
          <w:p>
            <w:pPr>
              <w:spacing w:after="0"/>
              <w:rPr>
                <w:sz w:val="21"/>
                <w:szCs w:val="21"/>
                <w:color w:val="auto"/>
              </w:rPr>
            </w:pPr>
          </w:p>
        </w:tc>
        <w:tc>
          <w:tcPr>
            <w:tcW w:w="114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4,244</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3,964</w:t>
            </w:r>
          </w:p>
        </w:tc>
      </w:tr>
    </w:tbl>
    <w:p>
      <w:pPr>
        <w:spacing w:after="0" w:line="180"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includes intercompany transactions which are eliminated on consolidation</w:t>
      </w:r>
    </w:p>
    <w:p>
      <w:pPr>
        <w:spacing w:after="0" w:line="28" w:lineRule="exact"/>
        <w:rPr>
          <w:rFonts w:ascii="Arial" w:cs="Arial" w:eastAsia="Arial" w:hAnsi="Arial"/>
          <w:sz w:val="14"/>
          <w:szCs w:val="14"/>
          <w:color w:val="auto"/>
        </w:rPr>
      </w:pPr>
    </w:p>
    <w:p>
      <w:pPr>
        <w:ind w:right="60" w:firstLine="8"/>
        <w:spacing w:after="0" w:line="272" w:lineRule="auto"/>
        <w:tabs>
          <w:tab w:leader="none" w:pos="222"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Effective January 2026, the Company’s segment structure was updated to align with how the CODM reviews performance and allocates resources. Under the revised structure, the CODM reviews the business through the following operating and reporting segments: North America; Enlarged Europe; Middle East &amp; Africa; South America; and Asia Pacific. Refer to Note 1, </w:t>
      </w:r>
      <w:r>
        <w:rPr>
          <w:rFonts w:ascii="Arial" w:cs="Arial" w:eastAsia="Arial" w:hAnsi="Arial"/>
          <w:sz w:val="14"/>
          <w:szCs w:val="14"/>
          <w:i w:val="1"/>
          <w:iCs w:val="1"/>
          <w:color w:val="auto"/>
        </w:rPr>
        <w:t>Basis of Preparation</w:t>
      </w:r>
      <w:r>
        <w:rPr>
          <w:rFonts w:ascii="Arial" w:cs="Arial" w:eastAsia="Arial" w:hAnsi="Arial"/>
          <w:sz w:val="14"/>
          <w:szCs w:val="14"/>
          <w:color w:val="auto"/>
        </w:rPr>
        <w:t xml:space="preserve"> in the Interim Condensed Consolidated Financial Statements included in this Interim Report for additional information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market shares by segment for the three and nine months ended September 30, 2026 and 2025:</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1"/>
                <w:szCs w:val="21"/>
                <w:color w:val="auto"/>
              </w:rPr>
            </w:pPr>
          </w:p>
        </w:tc>
        <w:tc>
          <w:tcPr>
            <w:tcW w:w="2700" w:type="dxa"/>
            <w:vAlign w:val="bottom"/>
            <w:tcBorders>
              <w:bottom w:val="single" w:sz="8" w:color="8E939F"/>
            </w:tcBorders>
            <w:gridSpan w:val="3"/>
          </w:tcPr>
          <w:p>
            <w:pPr>
              <w:jc w:val="center"/>
              <w:ind w:left="519"/>
              <w:spacing w:after="0"/>
              <w:rPr>
                <w:sz w:val="20"/>
                <w:szCs w:val="20"/>
                <w:color w:val="auto"/>
              </w:rPr>
            </w:pPr>
            <w:r>
              <w:rPr>
                <w:rFonts w:ascii="Arial" w:cs="Arial" w:eastAsia="Arial" w:hAnsi="Arial"/>
                <w:sz w:val="16"/>
                <w:szCs w:val="16"/>
                <w:b w:val="1"/>
                <w:bCs w:val="1"/>
                <w:color w:val="243782"/>
                <w:w w:val="98"/>
              </w:rPr>
              <w:t>Stellantis market share</w:t>
            </w:r>
            <w:r>
              <w:rPr>
                <w:rFonts w:ascii="Arial" w:cs="Arial" w:eastAsia="Arial" w:hAnsi="Arial"/>
                <w:sz w:val="21"/>
                <w:szCs w:val="21"/>
                <w:b w:val="1"/>
                <w:bCs w:val="1"/>
                <w:color w:val="243782"/>
                <w:w w:val="98"/>
                <w:vertAlign w:val="superscript"/>
              </w:rPr>
              <w:t>(1)</w:t>
            </w:r>
          </w:p>
        </w:tc>
        <w:tc>
          <w:tcPr>
            <w:tcW w:w="800" w:type="dxa"/>
            <w:vAlign w:val="bottom"/>
            <w:tcBorders>
              <w:bottom w:val="single" w:sz="8" w:color="8E939F"/>
            </w:tcBorders>
          </w:tcPr>
          <w:p>
            <w:pPr>
              <w:spacing w:after="0"/>
              <w:rPr>
                <w:sz w:val="21"/>
                <w:szCs w:val="21"/>
                <w:color w:val="auto"/>
              </w:rPr>
            </w:pPr>
          </w:p>
        </w:tc>
        <w:tc>
          <w:tcPr>
            <w:tcW w:w="330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w w:val="99"/>
              </w:rPr>
              <w:t>Stellantis and LPM</w:t>
            </w:r>
            <w:r>
              <w:rPr>
                <w:rFonts w:ascii="Arial" w:cs="Arial" w:eastAsia="Arial" w:hAnsi="Arial"/>
                <w:sz w:val="21"/>
                <w:szCs w:val="21"/>
                <w:b w:val="1"/>
                <w:bCs w:val="1"/>
                <w:color w:val="243782"/>
                <w:w w:val="99"/>
                <w:vertAlign w:val="superscript"/>
              </w:rPr>
              <w:t>(2)</w:t>
            </w:r>
            <w:r>
              <w:rPr>
                <w:rFonts w:ascii="Arial" w:cs="Arial" w:eastAsia="Arial" w:hAnsi="Arial"/>
                <w:sz w:val="16"/>
                <w:szCs w:val="16"/>
                <w:b w:val="1"/>
                <w:bCs w:val="1"/>
                <w:color w:val="243782"/>
                <w:w w:val="99"/>
              </w:rPr>
              <w:t xml:space="preserve"> market share</w:t>
            </w:r>
          </w:p>
        </w:tc>
      </w:tr>
      <w:tr>
        <w:trPr>
          <w:trHeight w:val="246"/>
        </w:trPr>
        <w:tc>
          <w:tcPr>
            <w:tcW w:w="4440" w:type="dxa"/>
            <w:vAlign w:val="bottom"/>
          </w:tcPr>
          <w:p>
            <w:pPr>
              <w:spacing w:after="0"/>
              <w:rPr>
                <w:sz w:val="21"/>
                <w:szCs w:val="21"/>
                <w:color w:val="auto"/>
              </w:rPr>
            </w:pPr>
          </w:p>
        </w:tc>
        <w:tc>
          <w:tcPr>
            <w:tcW w:w="3500" w:type="dxa"/>
            <w:vAlign w:val="bottom"/>
            <w:tcBorders>
              <w:bottom w:val="single" w:sz="8" w:color="8E939F"/>
            </w:tcBorders>
            <w:gridSpan w:val="4"/>
          </w:tcPr>
          <w:p>
            <w:pPr>
              <w:jc w:val="center"/>
              <w:ind w:right="119"/>
              <w:spacing w:after="0"/>
              <w:rPr>
                <w:sz w:val="20"/>
                <w:szCs w:val="20"/>
                <w:color w:val="auto"/>
              </w:rPr>
            </w:pPr>
            <w:r>
              <w:rPr>
                <w:rFonts w:ascii="Arial" w:cs="Arial" w:eastAsia="Arial" w:hAnsi="Arial"/>
                <w:sz w:val="16"/>
                <w:szCs w:val="16"/>
                <w:b w:val="1"/>
                <w:bCs w:val="1"/>
                <w:color w:val="243782"/>
              </w:rPr>
              <w:t>Three months ended September 30,</w:t>
            </w:r>
          </w:p>
        </w:tc>
        <w:tc>
          <w:tcPr>
            <w:tcW w:w="330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rPr>
              <w:t>Three months ended September 30,</w:t>
            </w:r>
          </w:p>
        </w:tc>
      </w:tr>
      <w:tr>
        <w:trPr>
          <w:trHeight w:val="250"/>
        </w:trPr>
        <w:tc>
          <w:tcPr>
            <w:tcW w:w="4440" w:type="dxa"/>
            <w:vAlign w:val="bottom"/>
            <w:tcBorders>
              <w:bottom w:val="single" w:sz="8" w:color="143A84"/>
            </w:tcBorders>
          </w:tcPr>
          <w:p>
            <w:pPr>
              <w:spacing w:after="0"/>
              <w:rPr>
                <w:sz w:val="21"/>
                <w:szCs w:val="21"/>
                <w:color w:val="auto"/>
              </w:rPr>
            </w:pPr>
          </w:p>
        </w:tc>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540" w:type="dxa"/>
            <w:vAlign w:val="bottom"/>
            <w:tcBorders>
              <w:bottom w:val="single" w:sz="8" w:color="143A84"/>
            </w:tcBorders>
            <w:shd w:val="clear" w:color="auto" w:fill="F3F3F9"/>
          </w:tcPr>
          <w:p>
            <w:pPr>
              <w:spacing w:after="0"/>
              <w:rPr>
                <w:sz w:val="21"/>
                <w:szCs w:val="21"/>
                <w:color w:val="auto"/>
              </w:rPr>
            </w:pPr>
          </w:p>
        </w:tc>
        <w:tc>
          <w:tcPr>
            <w:tcW w:w="112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2025</w:t>
            </w:r>
          </w:p>
        </w:tc>
        <w:tc>
          <w:tcPr>
            <w:tcW w:w="800" w:type="dxa"/>
            <w:vAlign w:val="bottom"/>
            <w:tcBorders>
              <w:bottom w:val="single" w:sz="8" w:color="143A84"/>
            </w:tcBorders>
          </w:tcPr>
          <w:p>
            <w:pPr>
              <w:spacing w:after="0"/>
              <w:rPr>
                <w:sz w:val="21"/>
                <w:szCs w:val="21"/>
                <w:color w:val="auto"/>
              </w:rPr>
            </w:pPr>
          </w:p>
        </w:tc>
        <w:tc>
          <w:tcPr>
            <w:tcW w:w="1600" w:type="dxa"/>
            <w:vAlign w:val="bottom"/>
            <w:tcBorders>
              <w:bottom w:val="single" w:sz="8" w:color="143A84"/>
            </w:tcBorders>
            <w:shd w:val="clear" w:color="auto" w:fill="F3F3F9"/>
          </w:tcPr>
          <w:p>
            <w:pPr>
              <w:jc w:val="right"/>
              <w:ind w:right="539"/>
              <w:spacing w:after="0"/>
              <w:rPr>
                <w:sz w:val="20"/>
                <w:szCs w:val="20"/>
                <w:color w:val="auto"/>
              </w:rPr>
            </w:pPr>
            <w:r>
              <w:rPr>
                <w:rFonts w:ascii="Arial" w:cs="Arial" w:eastAsia="Arial" w:hAnsi="Arial"/>
                <w:sz w:val="16"/>
                <w:szCs w:val="16"/>
                <w:b w:val="1"/>
                <w:bCs w:val="1"/>
                <w:color w:val="243782"/>
              </w:rPr>
              <w:t>2026</w:t>
            </w:r>
          </w:p>
        </w:tc>
        <w:tc>
          <w:tcPr>
            <w:tcW w:w="17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r>
      <w:tr>
        <w:trPr>
          <w:trHeight w:val="247"/>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040" w:type="dxa"/>
            <w:vAlign w:val="bottom"/>
            <w:tcBorders>
              <w:bottom w:val="single" w:sz="8" w:color="8E939F"/>
            </w:tcBorders>
            <w:shd w:val="clear" w:color="auto" w:fill="F3F3F9"/>
          </w:tcPr>
          <w:p>
            <w:pPr>
              <w:spacing w:after="0"/>
              <w:rPr>
                <w:sz w:val="21"/>
                <w:szCs w:val="21"/>
                <w:color w:val="auto"/>
              </w:rPr>
            </w:pPr>
          </w:p>
        </w:tc>
        <w:tc>
          <w:tcPr>
            <w:tcW w:w="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7.4 %</w:t>
            </w:r>
          </w:p>
        </w:tc>
        <w:tc>
          <w:tcPr>
            <w:tcW w:w="16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7.4 %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14.0%</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14.4 %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14.8%</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14.6 %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10.1%</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11.6 %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10.2%</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11.6 %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18.6%</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22.0 %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18.9%</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22.0 %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0.2%</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0.3 %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0.2%</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0.3 %</w:t>
            </w:r>
          </w:p>
        </w:tc>
      </w:tr>
      <w:tr>
        <w:trPr>
          <w:trHeight w:val="486"/>
        </w:trPr>
        <w:tc>
          <w:tcPr>
            <w:tcW w:w="4440" w:type="dxa"/>
            <w:vAlign w:val="bottom"/>
          </w:tcPr>
          <w:p>
            <w:pPr>
              <w:spacing w:after="0"/>
              <w:rPr>
                <w:sz w:val="24"/>
                <w:szCs w:val="24"/>
                <w:color w:val="auto"/>
              </w:rPr>
            </w:pPr>
          </w:p>
        </w:tc>
        <w:tc>
          <w:tcPr>
            <w:tcW w:w="2700" w:type="dxa"/>
            <w:vAlign w:val="bottom"/>
            <w:tcBorders>
              <w:bottom w:val="single" w:sz="8" w:color="8E939F"/>
            </w:tcBorders>
            <w:gridSpan w:val="3"/>
          </w:tcPr>
          <w:p>
            <w:pPr>
              <w:jc w:val="center"/>
              <w:ind w:left="519"/>
              <w:spacing w:after="0"/>
              <w:rPr>
                <w:sz w:val="20"/>
                <w:szCs w:val="20"/>
                <w:color w:val="auto"/>
              </w:rPr>
            </w:pPr>
            <w:r>
              <w:rPr>
                <w:rFonts w:ascii="Arial" w:cs="Arial" w:eastAsia="Arial" w:hAnsi="Arial"/>
                <w:sz w:val="16"/>
                <w:szCs w:val="16"/>
                <w:b w:val="1"/>
                <w:bCs w:val="1"/>
                <w:color w:val="243782"/>
                <w:w w:val="98"/>
              </w:rPr>
              <w:t>Stellantis market share</w:t>
            </w:r>
            <w:r>
              <w:rPr>
                <w:rFonts w:ascii="Arial" w:cs="Arial" w:eastAsia="Arial" w:hAnsi="Arial"/>
                <w:sz w:val="21"/>
                <w:szCs w:val="21"/>
                <w:b w:val="1"/>
                <w:bCs w:val="1"/>
                <w:color w:val="243782"/>
                <w:w w:val="98"/>
                <w:vertAlign w:val="superscript"/>
              </w:rPr>
              <w:t>(1)</w:t>
            </w:r>
          </w:p>
        </w:tc>
        <w:tc>
          <w:tcPr>
            <w:tcW w:w="800" w:type="dxa"/>
            <w:vAlign w:val="bottom"/>
            <w:tcBorders>
              <w:bottom w:val="single" w:sz="8" w:color="8E939F"/>
            </w:tcBorders>
          </w:tcPr>
          <w:p>
            <w:pPr>
              <w:spacing w:after="0"/>
              <w:rPr>
                <w:sz w:val="24"/>
                <w:szCs w:val="24"/>
                <w:color w:val="auto"/>
              </w:rPr>
            </w:pPr>
          </w:p>
        </w:tc>
        <w:tc>
          <w:tcPr>
            <w:tcW w:w="330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w w:val="99"/>
              </w:rPr>
              <w:t>Stellantis and LPM</w:t>
            </w:r>
            <w:r>
              <w:rPr>
                <w:rFonts w:ascii="Arial" w:cs="Arial" w:eastAsia="Arial" w:hAnsi="Arial"/>
                <w:sz w:val="21"/>
                <w:szCs w:val="21"/>
                <w:b w:val="1"/>
                <w:bCs w:val="1"/>
                <w:color w:val="243782"/>
                <w:w w:val="99"/>
                <w:vertAlign w:val="superscript"/>
              </w:rPr>
              <w:t>(2)</w:t>
            </w:r>
            <w:r>
              <w:rPr>
                <w:rFonts w:ascii="Arial" w:cs="Arial" w:eastAsia="Arial" w:hAnsi="Arial"/>
                <w:sz w:val="16"/>
                <w:szCs w:val="16"/>
                <w:b w:val="1"/>
                <w:bCs w:val="1"/>
                <w:color w:val="243782"/>
                <w:w w:val="99"/>
              </w:rPr>
              <w:t xml:space="preserve"> market share</w:t>
            </w:r>
          </w:p>
        </w:tc>
      </w:tr>
      <w:tr>
        <w:trPr>
          <w:trHeight w:val="246"/>
        </w:trPr>
        <w:tc>
          <w:tcPr>
            <w:tcW w:w="4440" w:type="dxa"/>
            <w:vAlign w:val="bottom"/>
          </w:tcPr>
          <w:p>
            <w:pPr>
              <w:spacing w:after="0"/>
              <w:rPr>
                <w:sz w:val="21"/>
                <w:szCs w:val="21"/>
                <w:color w:val="auto"/>
              </w:rPr>
            </w:pPr>
          </w:p>
        </w:tc>
        <w:tc>
          <w:tcPr>
            <w:tcW w:w="3500" w:type="dxa"/>
            <w:vAlign w:val="bottom"/>
            <w:tcBorders>
              <w:bottom w:val="single" w:sz="8" w:color="8E939F"/>
            </w:tcBorders>
            <w:gridSpan w:val="4"/>
          </w:tcPr>
          <w:p>
            <w:pPr>
              <w:jc w:val="center"/>
              <w:ind w:right="119"/>
              <w:spacing w:after="0"/>
              <w:rPr>
                <w:sz w:val="20"/>
                <w:szCs w:val="20"/>
                <w:color w:val="auto"/>
              </w:rPr>
            </w:pPr>
            <w:r>
              <w:rPr>
                <w:rFonts w:ascii="Arial" w:cs="Arial" w:eastAsia="Arial" w:hAnsi="Arial"/>
                <w:sz w:val="16"/>
                <w:szCs w:val="16"/>
                <w:b w:val="1"/>
                <w:bCs w:val="1"/>
                <w:color w:val="243782"/>
              </w:rPr>
              <w:t>Nine months ended September 30,</w:t>
            </w:r>
          </w:p>
        </w:tc>
        <w:tc>
          <w:tcPr>
            <w:tcW w:w="3300" w:type="dxa"/>
            <w:vAlign w:val="bottom"/>
            <w:tcBorders>
              <w:bottom w:val="single" w:sz="8" w:color="8E939F"/>
            </w:tcBorders>
            <w:gridSpan w:val="2"/>
          </w:tcPr>
          <w:p>
            <w:pPr>
              <w:jc w:val="center"/>
              <w:spacing w:after="0"/>
              <w:rPr>
                <w:sz w:val="20"/>
                <w:szCs w:val="20"/>
                <w:color w:val="auto"/>
              </w:rPr>
            </w:pPr>
            <w:r>
              <w:rPr>
                <w:rFonts w:ascii="Arial" w:cs="Arial" w:eastAsia="Arial" w:hAnsi="Arial"/>
                <w:sz w:val="16"/>
                <w:szCs w:val="16"/>
                <w:b w:val="1"/>
                <w:bCs w:val="1"/>
                <w:color w:val="243782"/>
              </w:rPr>
              <w:t>Nine months ended September 30,</w:t>
            </w:r>
          </w:p>
        </w:tc>
      </w:tr>
      <w:tr>
        <w:trPr>
          <w:trHeight w:val="250"/>
        </w:trPr>
        <w:tc>
          <w:tcPr>
            <w:tcW w:w="4440" w:type="dxa"/>
            <w:vAlign w:val="bottom"/>
            <w:tcBorders>
              <w:bottom w:val="single" w:sz="8" w:color="143A84"/>
            </w:tcBorders>
          </w:tcPr>
          <w:p>
            <w:pPr>
              <w:spacing w:after="0"/>
              <w:rPr>
                <w:sz w:val="21"/>
                <w:szCs w:val="21"/>
                <w:color w:val="auto"/>
              </w:rPr>
            </w:pPr>
          </w:p>
        </w:tc>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540" w:type="dxa"/>
            <w:vAlign w:val="bottom"/>
            <w:tcBorders>
              <w:bottom w:val="single" w:sz="8" w:color="143A84"/>
            </w:tcBorders>
            <w:shd w:val="clear" w:color="auto" w:fill="F3F3F9"/>
          </w:tcPr>
          <w:p>
            <w:pPr>
              <w:spacing w:after="0"/>
              <w:rPr>
                <w:sz w:val="21"/>
                <w:szCs w:val="21"/>
                <w:color w:val="auto"/>
              </w:rPr>
            </w:pPr>
          </w:p>
        </w:tc>
        <w:tc>
          <w:tcPr>
            <w:tcW w:w="112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2025</w:t>
            </w:r>
          </w:p>
        </w:tc>
        <w:tc>
          <w:tcPr>
            <w:tcW w:w="800" w:type="dxa"/>
            <w:vAlign w:val="bottom"/>
            <w:tcBorders>
              <w:bottom w:val="single" w:sz="8" w:color="143A84"/>
            </w:tcBorders>
          </w:tcPr>
          <w:p>
            <w:pPr>
              <w:spacing w:after="0"/>
              <w:rPr>
                <w:sz w:val="21"/>
                <w:szCs w:val="21"/>
                <w:color w:val="auto"/>
              </w:rPr>
            </w:pPr>
          </w:p>
        </w:tc>
        <w:tc>
          <w:tcPr>
            <w:tcW w:w="1600" w:type="dxa"/>
            <w:vAlign w:val="bottom"/>
            <w:tcBorders>
              <w:bottom w:val="single" w:sz="8" w:color="143A84"/>
            </w:tcBorders>
            <w:shd w:val="clear" w:color="auto" w:fill="F3F3F9"/>
          </w:tcPr>
          <w:p>
            <w:pPr>
              <w:jc w:val="right"/>
              <w:ind w:right="539"/>
              <w:spacing w:after="0"/>
              <w:rPr>
                <w:sz w:val="20"/>
                <w:szCs w:val="20"/>
                <w:color w:val="auto"/>
              </w:rPr>
            </w:pPr>
            <w:r>
              <w:rPr>
                <w:rFonts w:ascii="Arial" w:cs="Arial" w:eastAsia="Arial" w:hAnsi="Arial"/>
                <w:sz w:val="16"/>
                <w:szCs w:val="16"/>
                <w:b w:val="1"/>
                <w:bCs w:val="1"/>
                <w:color w:val="243782"/>
              </w:rPr>
              <w:t>2026</w:t>
            </w:r>
          </w:p>
        </w:tc>
        <w:tc>
          <w:tcPr>
            <w:tcW w:w="170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r>
      <w:tr>
        <w:trPr>
          <w:trHeight w:val="247"/>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040" w:type="dxa"/>
            <w:vAlign w:val="bottom"/>
            <w:tcBorders>
              <w:bottom w:val="single" w:sz="8" w:color="8E939F"/>
            </w:tcBorders>
            <w:shd w:val="clear" w:color="auto" w:fill="F3F3F9"/>
          </w:tcPr>
          <w:p>
            <w:pPr>
              <w:spacing w:after="0"/>
              <w:rPr>
                <w:sz w:val="21"/>
                <w:szCs w:val="21"/>
                <w:color w:val="auto"/>
              </w:rPr>
            </w:pPr>
          </w:p>
        </w:tc>
        <w:tc>
          <w:tcPr>
            <w:tcW w:w="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7.2 %</w:t>
            </w:r>
          </w:p>
        </w:tc>
        <w:tc>
          <w:tcPr>
            <w:tcW w:w="16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7.2 %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15.3%</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15.6 %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16.0%</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15.8 %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11.3%</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11.5 %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11.3%</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11.5 %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19.5%</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23.0 %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19.7%</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23.0 %</w:t>
            </w:r>
          </w:p>
        </w:tc>
      </w:tr>
      <w:tr>
        <w:trPr>
          <w:trHeight w:val="250"/>
        </w:trPr>
        <w:tc>
          <w:tcPr>
            <w:tcW w:w="44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040" w:type="dxa"/>
            <w:vAlign w:val="bottom"/>
            <w:tcBorders>
              <w:bottom w:val="single" w:sz="8" w:color="8E939F"/>
            </w:tcBorders>
          </w:tcPr>
          <w:p>
            <w:pPr>
              <w:spacing w:after="0"/>
              <w:rPr>
                <w:sz w:val="21"/>
                <w:szCs w:val="21"/>
                <w:color w:val="auto"/>
              </w:rPr>
            </w:pPr>
          </w:p>
        </w:tc>
        <w:tc>
          <w:tcPr>
            <w:tcW w:w="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0.2%</w:t>
            </w:r>
          </w:p>
        </w:tc>
        <w:tc>
          <w:tcPr>
            <w:tcW w:w="112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0.3 %</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0.3%</w:t>
            </w:r>
          </w:p>
        </w:tc>
        <w:tc>
          <w:tcPr>
            <w:tcW w:w="17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-2382520</wp:posOffset>
            </wp:positionV>
            <wp:extent cx="1002665" cy="857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2665" cy="8572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-2382520</wp:posOffset>
            </wp:positionV>
            <wp:extent cx="1011555" cy="857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85725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-864870</wp:posOffset>
            </wp:positionV>
            <wp:extent cx="1002665" cy="857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2665" cy="8572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-864870</wp:posOffset>
            </wp:positionV>
            <wp:extent cx="1011555" cy="857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857250"/>
                    </a:xfrm>
                    <a:prstGeom prst="rect">
                      <a:avLst/>
                    </a:prstGeom>
                    <a:noFill/>
                  </pic:spPr>
                </pic:pic>
              </a:graphicData>
            </a:graphic>
          </wp:anchor>
        </w:drawing>
      </w:r>
    </w:p>
    <w:p>
      <w:pPr>
        <w:spacing w:after="0" w:line="160" w:lineRule="exact"/>
        <w:rPr>
          <w:sz w:val="20"/>
          <w:szCs w:val="20"/>
          <w:color w:val="auto"/>
        </w:rPr>
      </w:pPr>
    </w:p>
    <w:p>
      <w:pPr>
        <w:ind w:right="200" w:firstLine="8"/>
        <w:spacing w:after="0" w:line="283" w:lineRule="auto"/>
        <w:tabs>
          <w:tab w:leader="none" w:pos="22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 Represents passenger cars (“PC”) and light commercial vehicles (“LCV”), except as noted</w:t>
      </w:r>
    </w:p>
    <w:p>
      <w:pPr>
        <w:spacing w:after="0" w:line="21"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143A84"/>
        </w:rPr>
      </w:pPr>
      <w:r>
        <w:rPr>
          <w:rFonts w:ascii="Arial" w:cs="Arial" w:eastAsia="Arial" w:hAnsi="Arial"/>
          <w:sz w:val="14"/>
          <w:szCs w:val="14"/>
          <w:color w:val="auto"/>
        </w:rPr>
        <w:t>Enlarged Europe excludes Russia and Belarus;</w:t>
      </w:r>
    </w:p>
    <w:p>
      <w:pPr>
        <w:spacing w:after="0" w:line="63" w:lineRule="exact"/>
        <w:rPr>
          <w:rFonts w:ascii="Arial" w:cs="Arial" w:eastAsia="Arial" w:hAnsi="Arial"/>
          <w:sz w:val="18"/>
          <w:szCs w:val="18"/>
          <w:color w:val="143A84"/>
        </w:rPr>
      </w:pPr>
    </w:p>
    <w:p>
      <w:pPr>
        <w:ind w:left="120" w:hanging="112"/>
        <w:spacing w:after="0"/>
        <w:tabs>
          <w:tab w:leader="none" w:pos="120" w:val="left"/>
        </w:tabs>
        <w:numPr>
          <w:ilvl w:val="0"/>
          <w:numId w:val="16"/>
        </w:numPr>
        <w:rPr>
          <w:rFonts w:ascii="Arial" w:cs="Arial" w:eastAsia="Arial" w:hAnsi="Arial"/>
          <w:sz w:val="18"/>
          <w:szCs w:val="18"/>
          <w:color w:val="143A84"/>
        </w:rPr>
      </w:pPr>
      <w:r>
        <w:rPr>
          <w:rFonts w:ascii="Arial" w:cs="Arial" w:eastAsia="Arial" w:hAnsi="Arial"/>
          <w:sz w:val="14"/>
          <w:szCs w:val="14"/>
          <w:color w:val="auto"/>
        </w:rPr>
        <w:t>Middle East &amp; Africa excludes Iran and Sudan in all periods presented, and Syria in 2025 only;</w:t>
      </w:r>
    </w:p>
    <w:p>
      <w:pPr>
        <w:spacing w:after="0" w:line="63" w:lineRule="exact"/>
        <w:rPr>
          <w:rFonts w:ascii="Arial" w:cs="Arial" w:eastAsia="Arial" w:hAnsi="Arial"/>
          <w:sz w:val="18"/>
          <w:szCs w:val="18"/>
          <w:color w:val="143A84"/>
        </w:rPr>
      </w:pPr>
    </w:p>
    <w:p>
      <w:pPr>
        <w:ind w:left="120" w:hanging="112"/>
        <w:spacing w:after="0"/>
        <w:tabs>
          <w:tab w:leader="none" w:pos="120" w:val="left"/>
        </w:tabs>
        <w:numPr>
          <w:ilvl w:val="0"/>
          <w:numId w:val="16"/>
        </w:numPr>
        <w:rPr>
          <w:rFonts w:ascii="Arial" w:cs="Arial" w:eastAsia="Arial" w:hAnsi="Arial"/>
          <w:sz w:val="18"/>
          <w:szCs w:val="18"/>
          <w:color w:val="143A84"/>
        </w:rPr>
      </w:pPr>
      <w:r>
        <w:rPr>
          <w:rFonts w:ascii="Arial" w:cs="Arial" w:eastAsia="Arial" w:hAnsi="Arial"/>
          <w:sz w:val="14"/>
          <w:szCs w:val="14"/>
          <w:color w:val="auto"/>
        </w:rPr>
        <w:t>South America excludes Cuba; and</w:t>
      </w:r>
    </w:p>
    <w:p>
      <w:pPr>
        <w:spacing w:after="0" w:line="79" w:lineRule="exact"/>
        <w:rPr>
          <w:rFonts w:ascii="Arial" w:cs="Arial" w:eastAsia="Arial" w:hAnsi="Arial"/>
          <w:sz w:val="18"/>
          <w:szCs w:val="18"/>
          <w:color w:val="143A84"/>
        </w:rPr>
      </w:pPr>
    </w:p>
    <w:p>
      <w:pPr>
        <w:ind w:left="160" w:right="800" w:hanging="152"/>
        <w:spacing w:after="0" w:line="256" w:lineRule="auto"/>
        <w:tabs>
          <w:tab w:leader="none" w:pos="123" w:val="left"/>
        </w:tabs>
        <w:numPr>
          <w:ilvl w:val="0"/>
          <w:numId w:val="16"/>
        </w:numPr>
        <w:rPr>
          <w:rFonts w:ascii="Arial" w:cs="Arial" w:eastAsia="Arial" w:hAnsi="Arial"/>
          <w:sz w:val="18"/>
          <w:szCs w:val="18"/>
          <w:color w:val="143A84"/>
        </w:rPr>
      </w:pPr>
      <w:r>
        <w:rPr>
          <w:rFonts w:ascii="Arial" w:cs="Arial" w:eastAsia="Arial" w:hAnsi="Arial"/>
          <w:sz w:val="14"/>
          <w:szCs w:val="14"/>
          <w:color w:val="auto"/>
        </w:rPr>
        <w:t>Asia Pacific reflects aggregate for major markets where Stellantis competes including China (PC only) including licensed sales from Dongfeng Peugeot Citroën Automobiles, Japan (PC), India (PC), South Korea (PC + Pickups), Australia, New Zealand and South East Asia</w:t>
      </w:r>
    </w:p>
    <w:p>
      <w:pPr>
        <w:spacing w:after="0" w:line="80" w:lineRule="exact"/>
        <w:rPr>
          <w:sz w:val="20"/>
          <w:szCs w:val="20"/>
          <w:color w:val="auto"/>
        </w:rPr>
      </w:pPr>
    </w:p>
    <w:p>
      <w:pPr>
        <w:ind w:right="320" w:firstLine="8"/>
        <w:spacing w:after="0" w:line="285" w:lineRule="auto"/>
        <w:tabs>
          <w:tab w:leader="none" w:pos="22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Figures may not add due to rounding. Prior period figures have been updated to reflect current information provided by third-party industry sources</w:t>
      </w:r>
    </w:p>
    <w:p>
      <w:pPr>
        <w:spacing w:after="0" w:line="248" w:lineRule="exact"/>
        <w:rPr>
          <w:sz w:val="20"/>
          <w:szCs w:val="20"/>
          <w:color w:val="auto"/>
        </w:rPr>
      </w:pPr>
    </w:p>
    <w:p>
      <w:pPr>
        <w:ind w:right="760"/>
        <w:spacing w:after="0" w:line="334" w:lineRule="auto"/>
        <w:rPr>
          <w:sz w:val="20"/>
          <w:szCs w:val="20"/>
          <w:color w:val="auto"/>
        </w:rPr>
      </w:pPr>
      <w:r>
        <w:rPr>
          <w:rFonts w:ascii="Arial" w:cs="Arial" w:eastAsia="Arial" w:hAnsi="Arial"/>
          <w:sz w:val="18"/>
          <w:szCs w:val="18"/>
          <w:color w:val="auto"/>
        </w:rPr>
        <w:t xml:space="preserve">Refer to Note 21,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in the Interim Condensed Consolidated Financial Statements included in this Interim Report for additional information on the Company’s reporting segments.</w:t>
      </w:r>
    </w:p>
    <w:p>
      <w:pPr>
        <w:spacing w:after="0" w:line="153"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is a discussion of Net revenues, Shipments and Adjusted operating income/(loss) for each of our five reporting segments for the three and nine months ended September 30, 2026 as compared to the three and nine months ended September 30, 2025.</w:t>
      </w:r>
    </w:p>
    <w:p>
      <w:pPr>
        <w:spacing w:after="0" w:line="153" w:lineRule="exact"/>
        <w:rPr>
          <w:sz w:val="20"/>
          <w:szCs w:val="20"/>
          <w:color w:val="auto"/>
        </w:rPr>
      </w:pPr>
    </w:p>
    <w:p>
      <w:pPr>
        <w:ind w:left="160" w:right="20" w:hanging="152"/>
        <w:spacing w:after="0" w:line="334" w:lineRule="auto"/>
        <w:tabs>
          <w:tab w:leader="none" w:pos="121" w:val="left"/>
        </w:tabs>
        <w:numPr>
          <w:ilvl w:val="0"/>
          <w:numId w:val="18"/>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Volume &amp; Mix: </w:t>
      </w:r>
      <w:r>
        <w:rPr>
          <w:rFonts w:ascii="Arial" w:cs="Arial" w:eastAsia="Arial" w:hAnsi="Arial"/>
          <w:sz w:val="18"/>
          <w:szCs w:val="18"/>
          <w:color w:val="auto"/>
        </w:rPr>
        <w:t>Reflects changes in new car volumes (consolidated shipments), driven by industry volume, market share and dealer stocks,</w:t>
      </w:r>
      <w:r>
        <w:rPr>
          <w:rFonts w:ascii="Arial" w:cs="Arial" w:eastAsia="Arial" w:hAnsi="Arial"/>
          <w:sz w:val="18"/>
          <w:szCs w:val="18"/>
          <w:b w:val="1"/>
          <w:bCs w:val="1"/>
          <w:color w:val="auto"/>
        </w:rPr>
        <w:t xml:space="preserve"> </w:t>
      </w:r>
      <w:r>
        <w:rPr>
          <w:rFonts w:ascii="Arial" w:cs="Arial" w:eastAsia="Arial" w:hAnsi="Arial"/>
          <w:sz w:val="18"/>
          <w:szCs w:val="18"/>
          <w:color w:val="auto"/>
        </w:rPr>
        <w:t>and mix evolutions such as channel, product line and trim mix. It also reflects the impact of some non-pricing items;</w:t>
      </w:r>
    </w:p>
    <w:p>
      <w:pPr>
        <w:spacing w:after="0" w:line="44" w:lineRule="exact"/>
        <w:rPr>
          <w:rFonts w:ascii="Arial" w:cs="Arial" w:eastAsia="Arial" w:hAnsi="Arial"/>
          <w:sz w:val="18"/>
          <w:szCs w:val="18"/>
          <w:b w:val="1"/>
          <w:bCs w:val="1"/>
          <w:color w:val="143A84"/>
        </w:rPr>
      </w:pPr>
    </w:p>
    <w:p>
      <w:pPr>
        <w:ind w:left="120" w:hanging="112"/>
        <w:spacing w:after="0"/>
        <w:tabs>
          <w:tab w:leader="none" w:pos="120" w:val="left"/>
        </w:tabs>
        <w:numPr>
          <w:ilvl w:val="0"/>
          <w:numId w:val="18"/>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Vehicle Net Price: </w:t>
      </w:r>
      <w:r>
        <w:rPr>
          <w:rFonts w:ascii="Arial" w:cs="Arial" w:eastAsia="Arial" w:hAnsi="Arial"/>
          <w:sz w:val="18"/>
          <w:szCs w:val="18"/>
          <w:color w:val="auto"/>
        </w:rPr>
        <w:t>Reflects changes in prices, net of discounts and other sales incentive programs;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2" w:hanging="152"/>
        <w:spacing w:after="0" w:line="309" w:lineRule="auto"/>
        <w:tabs>
          <w:tab w:leader="none" w:pos="113" w:val="left"/>
        </w:tabs>
        <w:numPr>
          <w:ilvl w:val="0"/>
          <w:numId w:val="19"/>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Industrial: </w:t>
      </w:r>
      <w:r>
        <w:rPr>
          <w:rFonts w:ascii="Arial" w:cs="Arial" w:eastAsia="Arial" w:hAnsi="Arial"/>
          <w:sz w:val="18"/>
          <w:szCs w:val="18"/>
          <w:color w:val="auto"/>
        </w:rPr>
        <w:t>Reflects manufacturing and purchasing cost changes associated with content, technology and enhancement of vehicle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industrial, logistics and purchasing efficiencies and inefficiencies. The impact of fixed manufacturing costs absorption related to the change in production output is included here. Cost changes to purchasing of raw materials, warranty, compliance costs, as well as depreciation related to property, plant and equipment are also included here. This also encompasses costs of tariffs;</w:t>
      </w:r>
    </w:p>
    <w:p>
      <w:pPr>
        <w:spacing w:after="0" w:line="68" w:lineRule="exact"/>
        <w:rPr>
          <w:rFonts w:ascii="Arial" w:cs="Arial" w:eastAsia="Arial" w:hAnsi="Arial"/>
          <w:sz w:val="18"/>
          <w:szCs w:val="18"/>
          <w:b w:val="1"/>
          <w:bCs w:val="1"/>
          <w:color w:val="143A84"/>
        </w:rPr>
      </w:pPr>
    </w:p>
    <w:p>
      <w:pPr>
        <w:ind w:left="152" w:right="20" w:hanging="152"/>
        <w:spacing w:after="0" w:line="334" w:lineRule="auto"/>
        <w:tabs>
          <w:tab w:leader="none" w:pos="113" w:val="left"/>
        </w:tabs>
        <w:numPr>
          <w:ilvl w:val="0"/>
          <w:numId w:val="19"/>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SG&amp;A: </w:t>
      </w:r>
      <w:r>
        <w:rPr>
          <w:rFonts w:ascii="Arial" w:cs="Arial" w:eastAsia="Arial" w:hAnsi="Arial"/>
          <w:sz w:val="18"/>
          <w:szCs w:val="18"/>
          <w:color w:val="auto"/>
        </w:rPr>
        <w:t>Primarily includes costs for advertising and promotional activities, purchased services, information technology costs and other costs</w:t>
      </w:r>
      <w:r>
        <w:rPr>
          <w:rFonts w:ascii="Arial" w:cs="Arial" w:eastAsia="Arial" w:hAnsi="Arial"/>
          <w:sz w:val="18"/>
          <w:szCs w:val="18"/>
          <w:b w:val="1"/>
          <w:bCs w:val="1"/>
          <w:color w:val="auto"/>
        </w:rPr>
        <w:t xml:space="preserve"> </w:t>
      </w:r>
      <w:r>
        <w:rPr>
          <w:rFonts w:ascii="Arial" w:cs="Arial" w:eastAsia="Arial" w:hAnsi="Arial"/>
          <w:sz w:val="18"/>
          <w:szCs w:val="18"/>
          <w:color w:val="auto"/>
        </w:rPr>
        <w:t>not directly related to the development and manufacturing of Stellantis products;</w:t>
      </w:r>
    </w:p>
    <w:p>
      <w:pPr>
        <w:spacing w:after="0" w:line="44" w:lineRule="exact"/>
        <w:rPr>
          <w:rFonts w:ascii="Arial" w:cs="Arial" w:eastAsia="Arial" w:hAnsi="Arial"/>
          <w:sz w:val="18"/>
          <w:szCs w:val="18"/>
          <w:b w:val="1"/>
          <w:bCs w:val="1"/>
          <w:color w:val="143A84"/>
        </w:rPr>
      </w:pPr>
    </w:p>
    <w:p>
      <w:pPr>
        <w:ind w:left="112" w:hanging="112"/>
        <w:spacing w:after="0"/>
        <w:tabs>
          <w:tab w:leader="none" w:pos="112" w:val="left"/>
        </w:tabs>
        <w:numPr>
          <w:ilvl w:val="0"/>
          <w:numId w:val="19"/>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R&amp;D: </w:t>
      </w:r>
      <w:r>
        <w:rPr>
          <w:rFonts w:ascii="Arial" w:cs="Arial" w:eastAsia="Arial" w:hAnsi="Arial"/>
          <w:sz w:val="18"/>
          <w:szCs w:val="18"/>
          <w:color w:val="auto"/>
        </w:rPr>
        <w:t>Includes research and development costs, as well as amortization of capitalized development expenditures; and</w:t>
      </w:r>
    </w:p>
    <w:p>
      <w:pPr>
        <w:spacing w:after="0" w:line="157" w:lineRule="exact"/>
        <w:rPr>
          <w:rFonts w:ascii="Arial" w:cs="Arial" w:eastAsia="Arial" w:hAnsi="Arial"/>
          <w:sz w:val="18"/>
          <w:szCs w:val="18"/>
          <w:b w:val="1"/>
          <w:bCs w:val="1"/>
          <w:color w:val="143A84"/>
        </w:rPr>
      </w:pPr>
    </w:p>
    <w:p>
      <w:pPr>
        <w:ind w:left="152" w:right="500" w:hanging="152"/>
        <w:spacing w:after="0" w:line="350" w:lineRule="auto"/>
        <w:tabs>
          <w:tab w:leader="none" w:pos="113" w:val="left"/>
        </w:tabs>
        <w:numPr>
          <w:ilvl w:val="0"/>
          <w:numId w:val="19"/>
        </w:numPr>
        <w:rPr>
          <w:rFonts w:ascii="Arial" w:cs="Arial" w:eastAsia="Arial" w:hAnsi="Arial"/>
          <w:sz w:val="18"/>
          <w:szCs w:val="18"/>
          <w:b w:val="1"/>
          <w:bCs w:val="1"/>
          <w:color w:val="143A84"/>
        </w:rPr>
      </w:pPr>
      <w:r>
        <w:rPr>
          <w:rFonts w:ascii="Arial" w:cs="Arial" w:eastAsia="Arial" w:hAnsi="Arial"/>
          <w:sz w:val="18"/>
          <w:szCs w:val="18"/>
          <w:b w:val="1"/>
          <w:bCs w:val="1"/>
          <w:color w:val="auto"/>
        </w:rPr>
        <w:t xml:space="preserve">FX and Other: </w:t>
      </w:r>
      <w:r>
        <w:rPr>
          <w:rFonts w:ascii="Arial" w:cs="Arial" w:eastAsia="Arial" w:hAnsi="Arial"/>
          <w:sz w:val="18"/>
          <w:szCs w:val="18"/>
          <w:color w:val="auto"/>
        </w:rPr>
        <w:t>includes other items not mentioned above, such as used cars, parts &amp; services, sales to partners, royalties,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exchange translation, transaction and hedging.</w:t>
      </w:r>
    </w:p>
    <w:p>
      <w:pPr>
        <w:spacing w:after="0" w:line="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12"/>
          </w:cols>
          <w:pgMar w:left="328" w:top="1440" w:right="35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gridSpan w:val="2"/>
          </w:tcPr>
          <w:p>
            <w:pPr>
              <w:spacing w:after="0"/>
              <w:rPr>
                <w:sz w:val="20"/>
                <w:szCs w:val="20"/>
                <w:color w:val="auto"/>
              </w:rPr>
            </w:pPr>
            <w:r>
              <w:rPr>
                <w:rFonts w:ascii="Arial" w:cs="Arial" w:eastAsia="Arial" w:hAnsi="Arial"/>
                <w:sz w:val="16"/>
                <w:szCs w:val="16"/>
                <w:b w:val="1"/>
                <w:bCs w:val="1"/>
                <w:color w:val="143A84"/>
              </w:rPr>
              <w:t>North America</w:t>
            </w: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44"/>
        </w:trPr>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20" w:type="dxa"/>
            <w:vAlign w:val="bottom"/>
          </w:tcPr>
          <w:p>
            <w:pPr>
              <w:spacing w:after="0"/>
              <w:rPr>
                <w:sz w:val="24"/>
                <w:szCs w:val="24"/>
                <w:color w:val="auto"/>
              </w:rPr>
            </w:pPr>
          </w:p>
        </w:tc>
      </w:tr>
      <w:tr>
        <w:trPr>
          <w:trHeight w:val="226"/>
        </w:trPr>
        <w:tc>
          <w:tcPr>
            <w:tcW w:w="1740" w:type="dxa"/>
            <w:vAlign w:val="bottom"/>
            <w:tcBorders>
              <w:bottom w:val="single" w:sz="8" w:color="8E939F"/>
            </w:tcBorders>
            <w:gridSpan w:val="2"/>
          </w:tcPr>
          <w:p>
            <w:pPr>
              <w:jc w:val="center"/>
              <w:ind w:left="47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900" w:type="dxa"/>
            <w:vAlign w:val="bottom"/>
          </w:tcPr>
          <w:p>
            <w:pPr>
              <w:spacing w:after="0"/>
              <w:rPr>
                <w:sz w:val="19"/>
                <w:szCs w:val="19"/>
                <w:color w:val="auto"/>
              </w:rPr>
            </w:pPr>
          </w:p>
        </w:tc>
        <w:tc>
          <w:tcPr>
            <w:tcW w:w="1800" w:type="dxa"/>
            <w:vAlign w:val="bottom"/>
            <w:tcBorders>
              <w:bottom w:val="single" w:sz="8" w:color="8E939F"/>
            </w:tcBorders>
            <w:gridSpan w:val="2"/>
          </w:tcPr>
          <w:p>
            <w:pPr>
              <w:jc w:val="center"/>
              <w:ind w:left="49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b w:val="1"/>
                <w:bCs w:val="1"/>
                <w:color w:val="243782"/>
              </w:rPr>
              <w:t>Increase/(Decrease)</w:t>
            </w:r>
          </w:p>
        </w:tc>
      </w:tr>
      <w:tr>
        <w:trPr>
          <w:trHeight w:val="250"/>
        </w:trPr>
        <w:tc>
          <w:tcPr>
            <w:tcW w:w="10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00" w:type="dxa"/>
            <w:vAlign w:val="bottom"/>
            <w:tcBorders>
              <w:bottom w:val="single" w:sz="8" w:color="143A84"/>
            </w:tcBorders>
          </w:tcPr>
          <w:p>
            <w:pPr>
              <w:spacing w:after="0"/>
              <w:rPr>
                <w:sz w:val="21"/>
                <w:szCs w:val="21"/>
                <w:color w:val="auto"/>
              </w:rPr>
            </w:pPr>
          </w:p>
        </w:tc>
        <w:tc>
          <w:tcPr>
            <w:tcW w:w="11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26"/>
        </w:trPr>
        <w:tc>
          <w:tcPr>
            <w:tcW w:w="1080" w:type="dxa"/>
            <w:vAlign w:val="bottom"/>
            <w:shd w:val="clear" w:color="auto" w:fill="F3F3F9"/>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shd w:val="clear" w:color="auto" w:fill="E6E7F4"/>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Consolidated shipments (thousands</w:t>
            </w:r>
          </w:p>
        </w:tc>
        <w:tc>
          <w:tcPr>
            <w:tcW w:w="1140" w:type="dxa"/>
            <w:vAlign w:val="bottom"/>
            <w:shd w:val="clear" w:color="auto" w:fill="F3F3F9"/>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shd w:val="clear" w:color="auto" w:fill="E6E7F4"/>
          </w:tcPr>
          <w:p>
            <w:pPr>
              <w:spacing w:after="0"/>
              <w:rPr>
                <w:sz w:val="19"/>
                <w:szCs w:val="19"/>
                <w:color w:val="auto"/>
              </w:rPr>
            </w:pPr>
          </w:p>
        </w:tc>
      </w:tr>
      <w:tr>
        <w:trPr>
          <w:trHeight w:val="224"/>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357</w:t>
            </w:r>
          </w:p>
        </w:tc>
        <w:tc>
          <w:tcPr>
            <w:tcW w:w="660" w:type="dxa"/>
            <w:vAlign w:val="bottom"/>
            <w:tcBorders>
              <w:bottom w:val="single" w:sz="8" w:color="8E939F"/>
            </w:tcBorders>
          </w:tcPr>
          <w:p>
            <w:pPr>
              <w:spacing w:after="0"/>
              <w:rPr>
                <w:sz w:val="19"/>
                <w:szCs w:val="19"/>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404</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(11.6%)</w:t>
            </w:r>
          </w:p>
        </w:tc>
        <w:tc>
          <w:tcPr>
            <w:tcW w:w="2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units)</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1,181</w:t>
            </w:r>
          </w:p>
        </w:tc>
        <w:tc>
          <w:tcPr>
            <w:tcW w:w="660" w:type="dxa"/>
            <w:vAlign w:val="bottom"/>
            <w:tcBorders>
              <w:bottom w:val="single" w:sz="8" w:color="8E939F"/>
            </w:tcBorders>
          </w:tcPr>
          <w:p>
            <w:pPr>
              <w:spacing w:after="0"/>
              <w:rPr>
                <w:sz w:val="19"/>
                <w:szCs w:val="19"/>
                <w:color w:val="auto"/>
              </w:rPr>
            </w:pPr>
          </w:p>
        </w:tc>
        <w:tc>
          <w:tcPr>
            <w:tcW w:w="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1,052</w:t>
            </w:r>
          </w:p>
        </w:tc>
        <w:tc>
          <w:tcPr>
            <w:tcW w:w="17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12.3%</w:t>
            </w:r>
          </w:p>
        </w:tc>
      </w:tr>
      <w:tr>
        <w:trPr>
          <w:trHeight w:val="250"/>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15,586</w:t>
            </w:r>
          </w:p>
        </w:tc>
        <w:tc>
          <w:tcPr>
            <w:tcW w:w="66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16,087</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(3.1%)</w:t>
            </w:r>
          </w:p>
        </w:tc>
        <w:tc>
          <w:tcPr>
            <w:tcW w:w="290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revenues (€ million)</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49,893</w:t>
            </w:r>
          </w:p>
        </w:tc>
        <w:tc>
          <w:tcPr>
            <w:tcW w:w="66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44,390</w:t>
            </w:r>
          </w:p>
        </w:tc>
        <w:tc>
          <w:tcPr>
            <w:tcW w:w="17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12.4%</w:t>
            </w:r>
          </w:p>
        </w:tc>
      </w:tr>
      <w:tr>
        <w:trPr>
          <w:trHeight w:val="284"/>
        </w:trPr>
        <w:tc>
          <w:tcPr>
            <w:tcW w:w="1080" w:type="dxa"/>
            <w:vAlign w:val="bottom"/>
            <w:shd w:val="clear" w:color="auto" w:fill="F3F3F9"/>
          </w:tcPr>
          <w:p>
            <w:pPr>
              <w:jc w:val="right"/>
              <w:spacing w:after="0"/>
              <w:rPr>
                <w:sz w:val="20"/>
                <w:szCs w:val="20"/>
                <w:color w:val="auto"/>
              </w:rPr>
            </w:pPr>
            <w:r>
              <w:rPr>
                <w:rFonts w:ascii="Arial" w:cs="Arial" w:eastAsia="Arial" w:hAnsi="Arial"/>
                <w:sz w:val="16"/>
                <w:szCs w:val="16"/>
                <w:color w:val="auto"/>
              </w:rPr>
              <w:t>64</w:t>
            </w:r>
          </w:p>
        </w:tc>
        <w:tc>
          <w:tcPr>
            <w:tcW w:w="66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760" w:type="dxa"/>
            <w:vAlign w:val="bottom"/>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2900" w:type="dxa"/>
            <w:vAlign w:val="bottom"/>
          </w:tcPr>
          <w:p>
            <w:pPr>
              <w:ind w:left="120"/>
              <w:spacing w:after="0"/>
              <w:rPr>
                <w:sz w:val="20"/>
                <w:szCs w:val="20"/>
                <w:color w:val="auto"/>
              </w:rPr>
            </w:pPr>
            <w:r>
              <w:rPr>
                <w:rFonts w:ascii="Arial" w:cs="Arial" w:eastAsia="Arial" w:hAnsi="Arial"/>
                <w:sz w:val="16"/>
                <w:szCs w:val="16"/>
                <w:color w:val="auto"/>
              </w:rPr>
              <w:t>Adjusted operating income/(loss)</w:t>
            </w:r>
          </w:p>
        </w:tc>
        <w:tc>
          <w:tcPr>
            <w:tcW w:w="1140" w:type="dxa"/>
            <w:vAlign w:val="bottom"/>
            <w:shd w:val="clear" w:color="auto" w:fill="F3F3F9"/>
          </w:tcPr>
          <w:p>
            <w:pPr>
              <w:jc w:val="right"/>
              <w:spacing w:after="0"/>
              <w:rPr>
                <w:sz w:val="20"/>
                <w:szCs w:val="20"/>
                <w:color w:val="auto"/>
              </w:rPr>
            </w:pPr>
            <w:r>
              <w:rPr>
                <w:rFonts w:ascii="Arial" w:cs="Arial" w:eastAsia="Arial" w:hAnsi="Arial"/>
                <w:sz w:val="16"/>
                <w:szCs w:val="16"/>
                <w:color w:val="auto"/>
              </w:rPr>
              <w:t>611</w:t>
            </w:r>
          </w:p>
        </w:tc>
        <w:tc>
          <w:tcPr>
            <w:tcW w:w="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(1,457)</w:t>
            </w:r>
          </w:p>
        </w:tc>
        <w:tc>
          <w:tcPr>
            <w:tcW w:w="1720" w:type="dxa"/>
            <w:vAlign w:val="bottom"/>
            <w:shd w:val="clear" w:color="auto" w:fill="E6E7F4"/>
          </w:tcPr>
          <w:p>
            <w:pPr>
              <w:jc w:val="right"/>
              <w:spacing w:after="0"/>
              <w:rPr>
                <w:sz w:val="20"/>
                <w:szCs w:val="20"/>
                <w:color w:val="auto"/>
              </w:rPr>
            </w:pPr>
            <w:r>
              <w:rPr>
                <w:rFonts w:ascii="Arial" w:cs="Arial" w:eastAsia="Arial" w:hAnsi="Arial"/>
                <w:sz w:val="16"/>
                <w:szCs w:val="16"/>
                <w:color w:val="auto"/>
              </w:rPr>
              <w:t>n.m.</w:t>
            </w:r>
          </w:p>
        </w:tc>
      </w:tr>
      <w:tr>
        <w:trPr>
          <w:trHeight w:val="175"/>
        </w:trPr>
        <w:tc>
          <w:tcPr>
            <w:tcW w:w="1080" w:type="dxa"/>
            <w:vAlign w:val="bottom"/>
            <w:tcBorders>
              <w:bottom w:val="single" w:sz="8" w:color="8E939F"/>
            </w:tcBorders>
            <w:shd w:val="clear" w:color="auto" w:fill="F3F3F9"/>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60" w:type="dxa"/>
            <w:vAlign w:val="bottom"/>
            <w:tcBorders>
              <w:bottom w:val="single" w:sz="8" w:color="8E939F"/>
            </w:tcBorders>
            <w:shd w:val="clear" w:color="auto" w:fill="E6E7F4"/>
          </w:tcPr>
          <w:p>
            <w:pPr>
              <w:spacing w:after="0"/>
              <w:rPr>
                <w:sz w:val="15"/>
                <w:szCs w:val="15"/>
                <w:color w:val="auto"/>
              </w:rPr>
            </w:pPr>
          </w:p>
        </w:tc>
        <w:tc>
          <w:tcPr>
            <w:tcW w:w="2900" w:type="dxa"/>
            <w:vAlign w:val="bottom"/>
            <w:tcBorders>
              <w:bottom w:val="single" w:sz="8" w:color="8E939F"/>
            </w:tcBorders>
          </w:tcPr>
          <w:p>
            <w:pPr>
              <w:ind w:left="120"/>
              <w:spacing w:after="0" w:line="175" w:lineRule="exact"/>
              <w:rPr>
                <w:sz w:val="20"/>
                <w:szCs w:val="20"/>
                <w:color w:val="auto"/>
              </w:rPr>
            </w:pPr>
            <w:r>
              <w:rPr>
                <w:rFonts w:ascii="Arial" w:cs="Arial" w:eastAsia="Arial" w:hAnsi="Arial"/>
                <w:sz w:val="16"/>
                <w:szCs w:val="16"/>
                <w:color w:val="auto"/>
              </w:rPr>
              <w:t>(€ million)</w:t>
            </w:r>
          </w:p>
        </w:tc>
        <w:tc>
          <w:tcPr>
            <w:tcW w:w="1140" w:type="dxa"/>
            <w:vAlign w:val="bottom"/>
            <w:tcBorders>
              <w:bottom w:val="single" w:sz="8" w:color="8E939F"/>
            </w:tcBorders>
            <w:shd w:val="clear" w:color="auto" w:fill="F3F3F9"/>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20" w:type="dxa"/>
            <w:vAlign w:val="bottom"/>
            <w:tcBorders>
              <w:bottom w:val="single" w:sz="8" w:color="8E939F"/>
            </w:tcBorders>
            <w:shd w:val="clear" w:color="auto" w:fill="E6E7F4"/>
          </w:tcPr>
          <w:p>
            <w:pPr>
              <w:spacing w:after="0"/>
              <w:rPr>
                <w:sz w:val="15"/>
                <w:szCs w:val="15"/>
                <w:color w:val="auto"/>
              </w:rPr>
            </w:pPr>
          </w:p>
        </w:tc>
      </w:tr>
      <w:tr>
        <w:trPr>
          <w:trHeight w:val="277"/>
        </w:trPr>
        <w:tc>
          <w:tcPr>
            <w:tcW w:w="1080" w:type="dxa"/>
            <w:vAlign w:val="bottom"/>
            <w:shd w:val="clear" w:color="auto" w:fill="F3F3F9"/>
          </w:tcPr>
          <w:p>
            <w:pPr>
              <w:jc w:val="right"/>
              <w:spacing w:after="0"/>
              <w:rPr>
                <w:sz w:val="20"/>
                <w:szCs w:val="20"/>
                <w:color w:val="auto"/>
              </w:rPr>
            </w:pPr>
            <w:r>
              <w:rPr>
                <w:rFonts w:ascii="Arial" w:cs="Arial" w:eastAsia="Arial" w:hAnsi="Arial"/>
                <w:sz w:val="16"/>
                <w:szCs w:val="16"/>
                <w:color w:val="auto"/>
              </w:rPr>
              <w:t>0.4%</w:t>
            </w:r>
          </w:p>
        </w:tc>
        <w:tc>
          <w:tcPr>
            <w:tcW w:w="66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760" w:type="dxa"/>
            <w:vAlign w:val="bottom"/>
            <w:shd w:val="clear" w:color="auto" w:fill="E6E7F4"/>
          </w:tcPr>
          <w:p>
            <w:pPr>
              <w:jc w:val="right"/>
              <w:spacing w:after="0"/>
              <w:rPr>
                <w:sz w:val="20"/>
                <w:szCs w:val="20"/>
                <w:color w:val="auto"/>
              </w:rPr>
            </w:pPr>
            <w:r>
              <w:rPr>
                <w:rFonts w:ascii="Arial" w:cs="Arial" w:eastAsia="Arial" w:hAnsi="Arial"/>
                <w:sz w:val="16"/>
                <w:szCs w:val="16"/>
                <w:color w:val="auto"/>
              </w:rPr>
              <w:t>340 bps</w:t>
            </w:r>
          </w:p>
        </w:tc>
        <w:tc>
          <w:tcPr>
            <w:tcW w:w="2900" w:type="dxa"/>
            <w:vAlign w:val="bottom"/>
          </w:tcPr>
          <w:p>
            <w:pPr>
              <w:ind w:left="120"/>
              <w:spacing w:after="0"/>
              <w:rPr>
                <w:sz w:val="20"/>
                <w:szCs w:val="20"/>
                <w:color w:val="auto"/>
              </w:rPr>
            </w:pPr>
            <w:r>
              <w:rPr>
                <w:rFonts w:ascii="Arial" w:cs="Arial" w:eastAsia="Arial" w:hAnsi="Arial"/>
                <w:sz w:val="16"/>
                <w:szCs w:val="16"/>
                <w:color w:val="auto"/>
              </w:rPr>
              <w:t>Adjusted operating income/(loss)</w:t>
            </w:r>
          </w:p>
        </w:tc>
        <w:tc>
          <w:tcPr>
            <w:tcW w:w="1140" w:type="dxa"/>
            <w:vAlign w:val="bottom"/>
            <w:shd w:val="clear" w:color="auto" w:fill="F3F3F9"/>
          </w:tcPr>
          <w:p>
            <w:pPr>
              <w:jc w:val="right"/>
              <w:spacing w:after="0"/>
              <w:rPr>
                <w:sz w:val="20"/>
                <w:szCs w:val="20"/>
                <w:color w:val="auto"/>
              </w:rPr>
            </w:pPr>
            <w:r>
              <w:rPr>
                <w:rFonts w:ascii="Arial" w:cs="Arial" w:eastAsia="Arial" w:hAnsi="Arial"/>
                <w:sz w:val="16"/>
                <w:szCs w:val="16"/>
                <w:color w:val="auto"/>
              </w:rPr>
              <w:t>1.2%</w:t>
            </w:r>
          </w:p>
        </w:tc>
        <w:tc>
          <w:tcPr>
            <w:tcW w:w="6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720" w:type="dxa"/>
            <w:vAlign w:val="bottom"/>
            <w:shd w:val="clear" w:color="auto" w:fill="E6E7F4"/>
          </w:tcPr>
          <w:p>
            <w:pPr>
              <w:jc w:val="right"/>
              <w:spacing w:after="0"/>
              <w:rPr>
                <w:sz w:val="20"/>
                <w:szCs w:val="20"/>
                <w:color w:val="auto"/>
              </w:rPr>
            </w:pPr>
            <w:r>
              <w:rPr>
                <w:rFonts w:ascii="Arial" w:cs="Arial" w:eastAsia="Arial" w:hAnsi="Arial"/>
                <w:sz w:val="16"/>
                <w:szCs w:val="16"/>
                <w:color w:val="auto"/>
              </w:rPr>
              <w:t>450 bps</w:t>
            </w:r>
          </w:p>
        </w:tc>
      </w:tr>
      <w:tr>
        <w:trPr>
          <w:trHeight w:val="175"/>
        </w:trPr>
        <w:tc>
          <w:tcPr>
            <w:tcW w:w="1080" w:type="dxa"/>
            <w:vAlign w:val="bottom"/>
            <w:tcBorders>
              <w:bottom w:val="single" w:sz="8" w:color="8E939F"/>
            </w:tcBorders>
            <w:shd w:val="clear" w:color="auto" w:fill="F3F3F9"/>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60" w:type="dxa"/>
            <w:vAlign w:val="bottom"/>
            <w:tcBorders>
              <w:bottom w:val="single" w:sz="8" w:color="8E939F"/>
            </w:tcBorders>
            <w:shd w:val="clear" w:color="auto" w:fill="E6E7F4"/>
          </w:tcPr>
          <w:p>
            <w:pPr>
              <w:spacing w:after="0"/>
              <w:rPr>
                <w:sz w:val="15"/>
                <w:szCs w:val="15"/>
                <w:color w:val="auto"/>
              </w:rPr>
            </w:pPr>
          </w:p>
        </w:tc>
        <w:tc>
          <w:tcPr>
            <w:tcW w:w="2900" w:type="dxa"/>
            <w:vAlign w:val="bottom"/>
            <w:tcBorders>
              <w:bottom w:val="single" w:sz="8" w:color="8E939F"/>
            </w:tcBorders>
          </w:tcPr>
          <w:p>
            <w:pPr>
              <w:ind w:left="120"/>
              <w:spacing w:after="0" w:line="175" w:lineRule="exact"/>
              <w:rPr>
                <w:sz w:val="20"/>
                <w:szCs w:val="20"/>
                <w:color w:val="auto"/>
              </w:rPr>
            </w:pPr>
            <w:r>
              <w:rPr>
                <w:rFonts w:ascii="Arial" w:cs="Arial" w:eastAsia="Arial" w:hAnsi="Arial"/>
                <w:sz w:val="16"/>
                <w:szCs w:val="16"/>
                <w:color w:val="auto"/>
              </w:rPr>
              <w:t>margin (%)</w:t>
            </w:r>
          </w:p>
        </w:tc>
        <w:tc>
          <w:tcPr>
            <w:tcW w:w="1140" w:type="dxa"/>
            <w:vAlign w:val="bottom"/>
            <w:tcBorders>
              <w:bottom w:val="single" w:sz="8" w:color="8E939F"/>
            </w:tcBorders>
            <w:shd w:val="clear" w:color="auto" w:fill="F3F3F9"/>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20" w:type="dxa"/>
            <w:vAlign w:val="bottom"/>
            <w:tcBorders>
              <w:bottom w:val="single" w:sz="8" w:color="8E939F"/>
            </w:tcBorders>
            <w:shd w:val="clear" w:color="auto" w:fill="E6E7F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-1079500</wp:posOffset>
            </wp:positionV>
            <wp:extent cx="98552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5520" cy="4718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986155"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47180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143A84"/>
        </w:rPr>
        <w:t>Three months ended September 30, 2026</w:t>
      </w:r>
    </w:p>
    <w:p>
      <w:pPr>
        <w:spacing w:after="0" w:line="243"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three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p>
        </w:tc>
        <w:tc>
          <w:tcPr>
            <w:tcW w:w="4680" w:type="dxa"/>
            <w:vAlign w:val="bottom"/>
            <w:tcBorders>
              <w:bottom w:val="single" w:sz="8" w:color="143A84"/>
            </w:tcBorders>
            <w:gridSpan w:val="4"/>
          </w:tcPr>
          <w:p>
            <w:pPr>
              <w:ind w:left="134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2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20" w:type="dxa"/>
            <w:vAlign w:val="bottom"/>
          </w:tcPr>
          <w:p>
            <w:pPr>
              <w:spacing w:after="0"/>
              <w:rPr>
                <w:sz w:val="19"/>
                <w:szCs w:val="19"/>
                <w:color w:val="auto"/>
              </w:rPr>
            </w:pPr>
          </w:p>
        </w:tc>
        <w:tc>
          <w:tcPr>
            <w:tcW w:w="3100" w:type="dxa"/>
            <w:vAlign w:val="bottom"/>
            <w:gridSpan w:val="2"/>
          </w:tcPr>
          <w:p>
            <w:pPr>
              <w:jc w:val="right"/>
              <w:ind w:right="219"/>
              <w:spacing w:after="0"/>
              <w:rPr>
                <w:sz w:val="20"/>
                <w:szCs w:val="20"/>
                <w:color w:val="auto"/>
              </w:rPr>
            </w:pPr>
            <w:r>
              <w:rPr>
                <w:rFonts w:ascii="Arial" w:cs="Arial" w:eastAsia="Arial" w:hAnsi="Arial"/>
                <w:sz w:val="15"/>
                <w:szCs w:val="15"/>
                <w:b w:val="1"/>
                <w:bCs w:val="1"/>
                <w:color w:val="243782"/>
              </w:rPr>
              <w:t>Three months ended September 30,</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39"/>
              <w:spacing w:after="0"/>
              <w:rPr>
                <w:sz w:val="20"/>
                <w:szCs w:val="20"/>
                <w:color w:val="auto"/>
              </w:rPr>
            </w:pPr>
            <w:r>
              <w:rPr>
                <w:rFonts w:ascii="Arial" w:cs="Arial" w:eastAsia="Arial" w:hAnsi="Arial"/>
                <w:sz w:val="15"/>
                <w:szCs w:val="15"/>
                <w:b w:val="1"/>
                <w:bCs w:val="1"/>
                <w:color w:val="243782"/>
              </w:rPr>
              <w:t>Three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20" w:type="dxa"/>
            <w:vAlign w:val="bottom"/>
          </w:tcPr>
          <w:p>
            <w:pPr>
              <w:spacing w:after="0"/>
              <w:rPr>
                <w:sz w:val="2"/>
                <w:szCs w:val="2"/>
                <w:color w:val="auto"/>
              </w:rPr>
            </w:pPr>
          </w:p>
        </w:tc>
        <w:tc>
          <w:tcPr>
            <w:tcW w:w="144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500" w:type="dxa"/>
            <w:vAlign w:val="bottom"/>
            <w:tcBorders>
              <w:bottom w:val="single" w:sz="8" w:color="8E939F"/>
            </w:tcBorders>
          </w:tcPr>
          <w:p>
            <w:pPr>
              <w:spacing w:after="0"/>
              <w:rPr>
                <w:sz w:val="2"/>
                <w:szCs w:val="2"/>
                <w:color w:val="auto"/>
              </w:rPr>
            </w:pPr>
          </w:p>
        </w:tc>
        <w:tc>
          <w:tcPr>
            <w:tcW w:w="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20" w:type="dxa"/>
            <w:vAlign w:val="bottom"/>
            <w:tcBorders>
              <w:bottom w:val="single" w:sz="8" w:color="143A84"/>
            </w:tcBorders>
          </w:tcPr>
          <w:p>
            <w:pPr>
              <w:spacing w:after="0"/>
              <w:rPr>
                <w:sz w:val="21"/>
                <w:szCs w:val="21"/>
                <w:color w:val="auto"/>
              </w:rPr>
            </w:pPr>
          </w:p>
        </w:tc>
        <w:tc>
          <w:tcPr>
            <w:tcW w:w="14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7.4%</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c>
          <w:tcPr>
            <w:tcW w:w="8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7.4%</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r>
      <w:tr>
        <w:trPr>
          <w:trHeight w:val="250"/>
        </w:trPr>
        <w:tc>
          <w:tcPr>
            <w:tcW w:w="1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U.S.</w:t>
            </w:r>
          </w:p>
        </w:tc>
        <w:tc>
          <w:tcPr>
            <w:tcW w:w="14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7.8%</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7.7%</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c>
          <w:tcPr>
            <w:tcW w:w="8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7.8%</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7.7%</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-350520</wp:posOffset>
            </wp:positionV>
            <wp:extent cx="82296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34290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wp:posOffset>
            </wp:positionV>
            <wp:extent cx="83121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173" w:lineRule="exact"/>
        <w:rPr>
          <w:sz w:val="20"/>
          <w:szCs w:val="20"/>
          <w:color w:val="auto"/>
        </w:rPr>
      </w:pPr>
    </w:p>
    <w:p>
      <w:pPr>
        <w:ind w:right="460" w:firstLine="8"/>
        <w:spacing w:after="0" w:line="272" w:lineRule="auto"/>
        <w:tabs>
          <w:tab w:leader="none" w:pos="22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ind w:right="320" w:firstLine="8"/>
        <w:spacing w:after="0" w:line="264" w:lineRule="auto"/>
        <w:tabs>
          <w:tab w:leader="none" w:pos="22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North America shipments decreased in the three months ended September 30, 2026 compared to the corresponding period in 2025, primarily due to planned production shutdown affecting certain Jeep models, including Grand Cherokee and Compass, partially offset by new and refreshed products, including Ram 1500 HEMI V8, Ram 1500 TRX and Jeep Cherokee HEV.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The decrease in North America Net revenues in the three months ended September 30, 2026 compared to the corresponding period in 2025 was driven by lower volumes, partially offset by favorable mix, positive net pricing, and favorable foreign exchange translation impacts.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auto"/>
        </w:rPr>
        <w:t>The following chart reflects the change in North America Adjusted operating income/(loss) by operational driver for the three months ended September 30, 2026 compared to the same period in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143A84"/>
        </w:rPr>
        <w:t>Adjusted operating income/(loss)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269240</wp:posOffset>
            </wp:positionV>
            <wp:extent cx="5709285" cy="228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60"/>
        <w:spacing w:after="0" w:line="315" w:lineRule="auto"/>
        <w:rPr>
          <w:sz w:val="20"/>
          <w:szCs w:val="20"/>
          <w:color w:val="auto"/>
        </w:rPr>
      </w:pPr>
      <w:r>
        <w:rPr>
          <w:rFonts w:ascii="Arial" w:cs="Arial" w:eastAsia="Arial" w:hAnsi="Arial"/>
          <w:sz w:val="18"/>
          <w:szCs w:val="18"/>
          <w:color w:val="auto"/>
        </w:rPr>
        <w:t>The increase in North America Adjusted operating income/(loss) in the three months ended September 30, 2026 compared to the same period in 2025 was driven by positive net pricing and industrial cost savings, including Value Creation Program (“VCP”), partially offset by lower volumes.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43A84"/>
        </w:rPr>
        <w:t>Nine Months Ended September 30, 2026</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nine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p>
        </w:tc>
        <w:tc>
          <w:tcPr>
            <w:tcW w:w="4680" w:type="dxa"/>
            <w:vAlign w:val="bottom"/>
            <w:tcBorders>
              <w:bottom w:val="single" w:sz="8" w:color="143A84"/>
            </w:tcBorders>
            <w:gridSpan w:val="4"/>
          </w:tcPr>
          <w:p>
            <w:pPr>
              <w:ind w:left="134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2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20" w:type="dxa"/>
            <w:vAlign w:val="bottom"/>
          </w:tcPr>
          <w:p>
            <w:pPr>
              <w:spacing w:after="0"/>
              <w:rPr>
                <w:sz w:val="19"/>
                <w:szCs w:val="19"/>
                <w:color w:val="auto"/>
              </w:rPr>
            </w:pPr>
          </w:p>
        </w:tc>
        <w:tc>
          <w:tcPr>
            <w:tcW w:w="3100" w:type="dxa"/>
            <w:vAlign w:val="bottom"/>
            <w:gridSpan w:val="2"/>
          </w:tcPr>
          <w:p>
            <w:pPr>
              <w:jc w:val="right"/>
              <w:ind w:right="259"/>
              <w:spacing w:after="0"/>
              <w:rPr>
                <w:sz w:val="20"/>
                <w:szCs w:val="20"/>
                <w:color w:val="auto"/>
              </w:rPr>
            </w:pPr>
            <w:r>
              <w:rPr>
                <w:rFonts w:ascii="Arial" w:cs="Arial" w:eastAsia="Arial" w:hAnsi="Arial"/>
                <w:sz w:val="15"/>
                <w:szCs w:val="15"/>
                <w:b w:val="1"/>
                <w:bCs w:val="1"/>
                <w:color w:val="243782"/>
              </w:rPr>
              <w:t>Nine months ended September 30,</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99"/>
              <w:spacing w:after="0"/>
              <w:rPr>
                <w:sz w:val="20"/>
                <w:szCs w:val="20"/>
                <w:color w:val="auto"/>
              </w:rPr>
            </w:pPr>
            <w:r>
              <w:rPr>
                <w:rFonts w:ascii="Arial" w:cs="Arial" w:eastAsia="Arial" w:hAnsi="Arial"/>
                <w:sz w:val="15"/>
                <w:szCs w:val="15"/>
                <w:b w:val="1"/>
                <w:bCs w:val="1"/>
                <w:color w:val="243782"/>
              </w:rPr>
              <w:t>Nine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20" w:type="dxa"/>
            <w:vAlign w:val="bottom"/>
          </w:tcPr>
          <w:p>
            <w:pPr>
              <w:spacing w:after="0"/>
              <w:rPr>
                <w:sz w:val="2"/>
                <w:szCs w:val="2"/>
                <w:color w:val="auto"/>
              </w:rPr>
            </w:pPr>
          </w:p>
        </w:tc>
        <w:tc>
          <w:tcPr>
            <w:tcW w:w="144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500" w:type="dxa"/>
            <w:vAlign w:val="bottom"/>
            <w:tcBorders>
              <w:bottom w:val="single" w:sz="8" w:color="8E939F"/>
            </w:tcBorders>
          </w:tcPr>
          <w:p>
            <w:pPr>
              <w:spacing w:after="0"/>
              <w:rPr>
                <w:sz w:val="2"/>
                <w:szCs w:val="2"/>
                <w:color w:val="auto"/>
              </w:rPr>
            </w:pPr>
          </w:p>
        </w:tc>
        <w:tc>
          <w:tcPr>
            <w:tcW w:w="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20" w:type="dxa"/>
            <w:vAlign w:val="bottom"/>
            <w:tcBorders>
              <w:bottom w:val="single" w:sz="8" w:color="143A84"/>
            </w:tcBorders>
          </w:tcPr>
          <w:p>
            <w:pPr>
              <w:spacing w:after="0"/>
              <w:rPr>
                <w:sz w:val="21"/>
                <w:szCs w:val="21"/>
                <w:color w:val="auto"/>
              </w:rPr>
            </w:pPr>
          </w:p>
        </w:tc>
        <w:tc>
          <w:tcPr>
            <w:tcW w:w="14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7.2%</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c>
          <w:tcPr>
            <w:tcW w:w="8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7.2%</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r>
      <w:tr>
        <w:trPr>
          <w:trHeight w:val="250"/>
        </w:trPr>
        <w:tc>
          <w:tcPr>
            <w:tcW w:w="1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U.S.</w:t>
            </w:r>
          </w:p>
        </w:tc>
        <w:tc>
          <w:tcPr>
            <w:tcW w:w="14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7.8%</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7.4%</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c>
          <w:tcPr>
            <w:tcW w:w="8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7.8%</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7.4%</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-350520</wp:posOffset>
            </wp:positionV>
            <wp:extent cx="82296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34290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wp:posOffset>
            </wp:positionV>
            <wp:extent cx="83121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173" w:lineRule="exact"/>
        <w:rPr>
          <w:sz w:val="20"/>
          <w:szCs w:val="20"/>
          <w:color w:val="auto"/>
        </w:rPr>
      </w:pPr>
    </w:p>
    <w:p>
      <w:pPr>
        <w:ind w:right="460" w:firstLine="8"/>
        <w:spacing w:after="0" w:line="261" w:lineRule="auto"/>
        <w:tabs>
          <w:tab w:leader="none" w:pos="222"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spacing w:after="0" w:line="1" w:lineRule="exact"/>
        <w:rPr>
          <w:rFonts w:ascii="Arial" w:cs="Arial" w:eastAsia="Arial" w:hAnsi="Arial"/>
          <w:sz w:val="14"/>
          <w:szCs w:val="14"/>
          <w:color w:val="auto"/>
        </w:rPr>
      </w:pPr>
    </w:p>
    <w:p>
      <w:pPr>
        <w:ind w:right="320" w:firstLine="8"/>
        <w:spacing w:after="0" w:line="284" w:lineRule="auto"/>
        <w:tabs>
          <w:tab w:leader="none" w:pos="22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North America shipments increased in the nine months ended September 30, 2026 compared to the corresponding period in 2025, primarily reflecting higher Ram and Dodge volumes following new and refreshed model launches.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auto"/>
        </w:rPr>
        <w:t>The increase in North America Net revenues in the nine months ended September 30, 2026 compared to the corresponding period in 2025 was driven by higher volumes, improved mix and positive net pricing, partially offset by unfavorable foreign exchange translation impacts.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The following chart reflects the change in North America Adjusted operating income/(loss) by operational driver for the nine months ended September 30, 2026 compared to the same period in 2025.</w:t>
      </w:r>
    </w:p>
    <w:p>
      <w:pPr>
        <w:spacing w:after="0" w:line="131" w:lineRule="exact"/>
        <w:rPr>
          <w:sz w:val="20"/>
          <w:szCs w:val="20"/>
          <w:color w:val="auto"/>
        </w:rPr>
      </w:pPr>
    </w:p>
    <w:p>
      <w:pPr>
        <w:ind w:right="740"/>
        <w:spacing w:after="0" w:line="314" w:lineRule="auto"/>
        <w:rPr>
          <w:sz w:val="20"/>
          <w:szCs w:val="20"/>
          <w:color w:val="auto"/>
        </w:rPr>
      </w:pPr>
      <w:r>
        <w:rPr>
          <w:rFonts w:ascii="Arial" w:cs="Arial" w:eastAsia="Arial" w:hAnsi="Arial"/>
          <w:sz w:val="16"/>
          <w:szCs w:val="16"/>
          <w:b w:val="1"/>
          <w:bCs w:val="1"/>
          <w:color w:val="143A84"/>
        </w:rPr>
        <w:t>Adjusted operating income/(loss)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9285" cy="2280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The increase in North America Adjusted operating income/(loss) in the nine months ended September 30, 2026 compared to the same period in 2025 was mainly driven by higher volumes, favorable product mix and positive net pricing. In addition, improved industrial costs, including VCP, included a reduction of (i) warranty expenses, driven by the non-repeat of the prior year contractual warranty change in estimate net of higher warranty costs and higher recall campaign costs, and (ii) regulatory expenses. These benefits were partially offset by higher SG&amp;A reflecting increased general and administrative expenses, increased marketing expenses and increased R&amp;D as a result of expensing certain development costs incurred on platforms that were fully-impaired in 2025 and therefore no longer eligible for capitalization. During the nine months ended September 30, 2026, tariff impacts were broadly neutral year-over-year, with the International Emergency Economic Powers Act (“IEEPA”) tariff cost adjustment offsetting 2026 tariff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440" w:right="37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gridSpan w:val="2"/>
          </w:tcPr>
          <w:p>
            <w:pPr>
              <w:spacing w:after="0"/>
              <w:rPr>
                <w:sz w:val="20"/>
                <w:szCs w:val="20"/>
                <w:color w:val="auto"/>
              </w:rPr>
            </w:pPr>
            <w:r>
              <w:rPr>
                <w:rFonts w:ascii="Arial" w:cs="Arial" w:eastAsia="Arial" w:hAnsi="Arial"/>
                <w:sz w:val="16"/>
                <w:szCs w:val="16"/>
                <w:b w:val="1"/>
                <w:bCs w:val="1"/>
                <w:color w:val="143A84"/>
              </w:rPr>
              <w:t>Enlarged Europe</w:t>
            </w: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44"/>
        </w:trPr>
        <w:tc>
          <w:tcPr>
            <w:tcW w:w="244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20" w:type="dxa"/>
            <w:vAlign w:val="bottom"/>
          </w:tcPr>
          <w:p>
            <w:pPr>
              <w:spacing w:after="0"/>
              <w:rPr>
                <w:sz w:val="24"/>
                <w:szCs w:val="24"/>
                <w:color w:val="auto"/>
              </w:rPr>
            </w:pPr>
          </w:p>
        </w:tc>
      </w:tr>
      <w:tr>
        <w:trPr>
          <w:trHeight w:val="226"/>
        </w:trPr>
        <w:tc>
          <w:tcPr>
            <w:tcW w:w="1780" w:type="dxa"/>
            <w:vAlign w:val="bottom"/>
            <w:tcBorders>
              <w:bottom w:val="single" w:sz="8" w:color="8E939F"/>
            </w:tcBorders>
            <w:gridSpan w:val="2"/>
          </w:tcPr>
          <w:p>
            <w:pPr>
              <w:jc w:val="center"/>
              <w:ind w:left="47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b w:val="1"/>
                <w:bCs w:val="1"/>
                <w:color w:val="243782"/>
              </w:rPr>
              <w:t>Increase/(Decrease)</w:t>
            </w:r>
          </w:p>
        </w:tc>
        <w:tc>
          <w:tcPr>
            <w:tcW w:w="2860" w:type="dxa"/>
            <w:vAlign w:val="bottom"/>
          </w:tcPr>
          <w:p>
            <w:pPr>
              <w:spacing w:after="0"/>
              <w:rPr>
                <w:sz w:val="19"/>
                <w:szCs w:val="19"/>
                <w:color w:val="auto"/>
              </w:rPr>
            </w:pPr>
          </w:p>
        </w:tc>
        <w:tc>
          <w:tcPr>
            <w:tcW w:w="1840" w:type="dxa"/>
            <w:vAlign w:val="bottom"/>
            <w:tcBorders>
              <w:bottom w:val="single" w:sz="8" w:color="8E939F"/>
            </w:tcBorders>
            <w:gridSpan w:val="2"/>
          </w:tcPr>
          <w:p>
            <w:pPr>
              <w:jc w:val="center"/>
              <w:ind w:left="49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72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b w:val="1"/>
                <w:bCs w:val="1"/>
                <w:color w:val="243782"/>
              </w:rPr>
              <w:t>Increase/(Decrease)</w:t>
            </w:r>
          </w:p>
        </w:tc>
      </w:tr>
      <w:tr>
        <w:trPr>
          <w:trHeight w:val="250"/>
        </w:trPr>
        <w:tc>
          <w:tcPr>
            <w:tcW w:w="11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4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860" w:type="dxa"/>
            <w:vAlign w:val="bottom"/>
            <w:tcBorders>
              <w:bottom w:val="single" w:sz="8" w:color="143A84"/>
            </w:tcBorders>
          </w:tcPr>
          <w:p>
            <w:pPr>
              <w:spacing w:after="0"/>
              <w:rPr>
                <w:sz w:val="21"/>
                <w:szCs w:val="21"/>
                <w:color w:val="auto"/>
              </w:rPr>
            </w:pPr>
          </w:p>
        </w:tc>
        <w:tc>
          <w:tcPr>
            <w:tcW w:w="11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6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2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38"/>
        </w:trPr>
        <w:tc>
          <w:tcPr>
            <w:tcW w:w="1140" w:type="dxa"/>
            <w:vAlign w:val="bottom"/>
            <w:shd w:val="clear" w:color="auto" w:fill="F3F3F9"/>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shd w:val="clear" w:color="auto" w:fill="E6E7F4"/>
          </w:tcPr>
          <w:p>
            <w:pPr>
              <w:spacing w:after="0"/>
              <w:rPr>
                <w:sz w:val="20"/>
                <w:szCs w:val="20"/>
                <w:color w:val="auto"/>
              </w:rPr>
            </w:pPr>
          </w:p>
        </w:tc>
        <w:tc>
          <w:tcPr>
            <w:tcW w:w="2860" w:type="dxa"/>
            <w:vAlign w:val="bottom"/>
          </w:tcPr>
          <w:p>
            <w:pPr>
              <w:ind w:left="100"/>
              <w:spacing w:after="0"/>
              <w:rPr>
                <w:sz w:val="20"/>
                <w:szCs w:val="20"/>
                <w:color w:val="auto"/>
              </w:rPr>
            </w:pPr>
            <w:r>
              <w:rPr>
                <w:rFonts w:ascii="Arial" w:cs="Arial" w:eastAsia="Arial" w:hAnsi="Arial"/>
                <w:sz w:val="16"/>
                <w:szCs w:val="16"/>
                <w:color w:val="auto"/>
              </w:rPr>
              <w:t>Consolidated shipments (thousands</w:t>
            </w:r>
          </w:p>
        </w:tc>
        <w:tc>
          <w:tcPr>
            <w:tcW w:w="1180" w:type="dxa"/>
            <w:vAlign w:val="bottom"/>
            <w:shd w:val="clear" w:color="auto" w:fill="F3F3F9"/>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shd w:val="clear" w:color="auto" w:fill="E6E7F4"/>
          </w:tcPr>
          <w:p>
            <w:pPr>
              <w:spacing w:after="0"/>
              <w:rPr>
                <w:sz w:val="20"/>
                <w:szCs w:val="20"/>
                <w:color w:val="auto"/>
              </w:rPr>
            </w:pPr>
          </w:p>
        </w:tc>
      </w:tr>
      <w:tr>
        <w:trPr>
          <w:trHeight w:val="218"/>
        </w:trPr>
        <w:tc>
          <w:tcPr>
            <w:tcW w:w="114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rPr>
              <w:t>588</w:t>
            </w:r>
          </w:p>
        </w:tc>
        <w:tc>
          <w:tcPr>
            <w:tcW w:w="6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72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6"/>
                <w:szCs w:val="16"/>
                <w:color w:val="auto"/>
              </w:rPr>
              <w:t>10.1%</w:t>
            </w:r>
          </w:p>
        </w:tc>
        <w:tc>
          <w:tcPr>
            <w:tcW w:w="2860" w:type="dxa"/>
            <w:vAlign w:val="bottom"/>
          </w:tcPr>
          <w:p>
            <w:pPr>
              <w:ind w:left="100"/>
              <w:spacing w:after="0"/>
              <w:rPr>
                <w:sz w:val="20"/>
                <w:szCs w:val="20"/>
                <w:color w:val="auto"/>
              </w:rPr>
            </w:pPr>
            <w:r>
              <w:rPr>
                <w:rFonts w:ascii="Arial" w:cs="Arial" w:eastAsia="Arial" w:hAnsi="Arial"/>
                <w:sz w:val="16"/>
                <w:szCs w:val="16"/>
                <w:color w:val="auto"/>
              </w:rPr>
              <w:t>of units)</w:t>
            </w:r>
          </w:p>
        </w:tc>
        <w:tc>
          <w:tcPr>
            <w:tcW w:w="118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1,987</w:t>
            </w:r>
          </w:p>
        </w:tc>
        <w:tc>
          <w:tcPr>
            <w:tcW w:w="6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1,825</w:t>
            </w:r>
          </w:p>
        </w:tc>
        <w:tc>
          <w:tcPr>
            <w:tcW w:w="172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6"/>
                <w:szCs w:val="16"/>
                <w:color w:val="auto"/>
              </w:rPr>
              <w:t>8.9%</w:t>
            </w:r>
          </w:p>
        </w:tc>
      </w:tr>
      <w:tr>
        <w:trPr>
          <w:trHeight w:val="250"/>
        </w:trPr>
        <w:tc>
          <w:tcPr>
            <w:tcW w:w="114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rPr>
              <w:t>14,062</w:t>
            </w:r>
          </w:p>
        </w:tc>
        <w:tc>
          <w:tcPr>
            <w:tcW w:w="640" w:type="dxa"/>
            <w:vAlign w:val="bottom"/>
            <w:tcBorders>
              <w:top w:val="single" w:sz="8" w:color="8E939F"/>
            </w:tcBorders>
          </w:tcPr>
          <w:p>
            <w:pPr>
              <w:spacing w:after="0"/>
              <w:rPr>
                <w:sz w:val="21"/>
                <w:szCs w:val="21"/>
                <w:color w:val="auto"/>
              </w:rPr>
            </w:pPr>
          </w:p>
        </w:tc>
        <w:tc>
          <w:tcPr>
            <w:tcW w:w="660" w:type="dxa"/>
            <w:vAlign w:val="bottom"/>
            <w:tcBorders>
              <w:top w:val="single" w:sz="8" w:color="8E939F"/>
            </w:tcBorders>
          </w:tcPr>
          <w:p>
            <w:pPr>
              <w:jc w:val="right"/>
              <w:ind w:right="39"/>
              <w:spacing w:after="0"/>
              <w:rPr>
                <w:sz w:val="20"/>
                <w:szCs w:val="20"/>
                <w:color w:val="auto"/>
              </w:rPr>
            </w:pPr>
            <w:r>
              <w:rPr>
                <w:rFonts w:ascii="Arial" w:cs="Arial" w:eastAsia="Arial" w:hAnsi="Arial"/>
                <w:sz w:val="16"/>
                <w:szCs w:val="16"/>
                <w:color w:val="auto"/>
              </w:rPr>
              <w:t>13,631</w:t>
            </w:r>
          </w:p>
        </w:tc>
        <w:tc>
          <w:tcPr>
            <w:tcW w:w="172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3.2%</w:t>
            </w:r>
          </w:p>
        </w:tc>
        <w:tc>
          <w:tcPr>
            <w:tcW w:w="2860" w:type="dxa"/>
            <w:vAlign w:val="bottom"/>
            <w:tcBorders>
              <w:top w:val="single" w:sz="8" w:color="8E939F"/>
            </w:tcBorders>
          </w:tcPr>
          <w:p>
            <w:pPr>
              <w:ind w:left="100"/>
              <w:spacing w:after="0"/>
              <w:rPr>
                <w:sz w:val="20"/>
                <w:szCs w:val="20"/>
                <w:color w:val="auto"/>
              </w:rPr>
            </w:pPr>
            <w:r>
              <w:rPr>
                <w:rFonts w:ascii="Arial" w:cs="Arial" w:eastAsia="Arial" w:hAnsi="Arial"/>
                <w:sz w:val="16"/>
                <w:szCs w:val="16"/>
                <w:color w:val="auto"/>
              </w:rPr>
              <w:t>Net revenues (€ million)</w:t>
            </w:r>
          </w:p>
        </w:tc>
        <w:tc>
          <w:tcPr>
            <w:tcW w:w="118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44,863</w:t>
            </w:r>
          </w:p>
        </w:tc>
        <w:tc>
          <w:tcPr>
            <w:tcW w:w="660" w:type="dxa"/>
            <w:vAlign w:val="bottom"/>
            <w:tcBorders>
              <w:top w:val="single" w:sz="8" w:color="8E939F"/>
            </w:tcBorders>
          </w:tcPr>
          <w:p>
            <w:pPr>
              <w:spacing w:after="0"/>
              <w:rPr>
                <w:sz w:val="21"/>
                <w:szCs w:val="21"/>
                <w:color w:val="auto"/>
              </w:rPr>
            </w:pPr>
          </w:p>
        </w:tc>
        <w:tc>
          <w:tcPr>
            <w:tcW w:w="660" w:type="dxa"/>
            <w:vAlign w:val="bottom"/>
            <w:tcBorders>
              <w:top w:val="single" w:sz="8" w:color="8E939F"/>
            </w:tcBorders>
          </w:tcPr>
          <w:p>
            <w:pPr>
              <w:jc w:val="right"/>
              <w:ind w:right="19"/>
              <w:spacing w:after="0"/>
              <w:rPr>
                <w:sz w:val="20"/>
                <w:szCs w:val="20"/>
                <w:color w:val="auto"/>
              </w:rPr>
            </w:pPr>
            <w:r>
              <w:rPr>
                <w:rFonts w:ascii="Arial" w:cs="Arial" w:eastAsia="Arial" w:hAnsi="Arial"/>
                <w:sz w:val="16"/>
                <w:szCs w:val="16"/>
                <w:color w:val="auto"/>
              </w:rPr>
              <w:t>44,188</w:t>
            </w:r>
          </w:p>
        </w:tc>
        <w:tc>
          <w:tcPr>
            <w:tcW w:w="1720" w:type="dxa"/>
            <w:vAlign w:val="bottom"/>
            <w:tcBorders>
              <w:top w:val="single" w:sz="8" w:color="8E939F"/>
            </w:tcBorders>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1140" w:type="dxa"/>
            <w:vAlign w:val="bottom"/>
            <w:tcBorders>
              <w:top w:val="single" w:sz="8" w:color="8E939F"/>
            </w:tcBorders>
            <w:shd w:val="clear" w:color="auto" w:fill="F3F3F9"/>
          </w:tcPr>
          <w:p>
            <w:pPr>
              <w:spacing w:after="0"/>
              <w:rPr>
                <w:sz w:val="20"/>
                <w:szCs w:val="20"/>
                <w:color w:val="auto"/>
              </w:rPr>
            </w:pPr>
          </w:p>
        </w:tc>
        <w:tc>
          <w:tcPr>
            <w:tcW w:w="640" w:type="dxa"/>
            <w:vAlign w:val="bottom"/>
            <w:tcBorders>
              <w:top w:val="single" w:sz="8" w:color="8E939F"/>
            </w:tcBorders>
          </w:tcPr>
          <w:p>
            <w:pPr>
              <w:spacing w:after="0"/>
              <w:rPr>
                <w:sz w:val="20"/>
                <w:szCs w:val="20"/>
                <w:color w:val="auto"/>
              </w:rPr>
            </w:pPr>
          </w:p>
        </w:tc>
        <w:tc>
          <w:tcPr>
            <w:tcW w:w="660" w:type="dxa"/>
            <w:vAlign w:val="bottom"/>
            <w:tcBorders>
              <w:top w:val="single" w:sz="8" w:color="8E939F"/>
            </w:tcBorders>
          </w:tcPr>
          <w:p>
            <w:pPr>
              <w:spacing w:after="0"/>
              <w:rPr>
                <w:sz w:val="20"/>
                <w:szCs w:val="20"/>
                <w:color w:val="auto"/>
              </w:rPr>
            </w:pPr>
          </w:p>
        </w:tc>
        <w:tc>
          <w:tcPr>
            <w:tcW w:w="1720" w:type="dxa"/>
            <w:vAlign w:val="bottom"/>
            <w:tcBorders>
              <w:top w:val="single" w:sz="8" w:color="8E939F"/>
            </w:tcBorders>
            <w:shd w:val="clear" w:color="auto" w:fill="E6E7F4"/>
          </w:tcPr>
          <w:p>
            <w:pPr>
              <w:spacing w:after="0"/>
              <w:rPr>
                <w:sz w:val="20"/>
                <w:szCs w:val="20"/>
                <w:color w:val="auto"/>
              </w:rPr>
            </w:pPr>
          </w:p>
        </w:tc>
        <w:tc>
          <w:tcPr>
            <w:tcW w:w="2860" w:type="dxa"/>
            <w:vAlign w:val="bottom"/>
            <w:tcBorders>
              <w:top w:val="single" w:sz="8" w:color="8E939F"/>
            </w:tcBorders>
          </w:tcPr>
          <w:p>
            <w:pPr>
              <w:ind w:left="100"/>
              <w:spacing w:after="0"/>
              <w:rPr>
                <w:sz w:val="20"/>
                <w:szCs w:val="20"/>
                <w:color w:val="auto"/>
              </w:rPr>
            </w:pPr>
            <w:r>
              <w:rPr>
                <w:rFonts w:ascii="Arial" w:cs="Arial" w:eastAsia="Arial" w:hAnsi="Arial"/>
                <w:sz w:val="16"/>
                <w:szCs w:val="16"/>
                <w:color w:val="auto"/>
              </w:rPr>
              <w:t>Adjusted operating income/(loss) (€</w:t>
            </w:r>
          </w:p>
        </w:tc>
        <w:tc>
          <w:tcPr>
            <w:tcW w:w="1180" w:type="dxa"/>
            <w:vAlign w:val="bottom"/>
            <w:tcBorders>
              <w:top w:val="single" w:sz="8" w:color="8E939F"/>
            </w:tcBorders>
            <w:shd w:val="clear" w:color="auto" w:fill="F3F3F9"/>
          </w:tcPr>
          <w:p>
            <w:pPr>
              <w:spacing w:after="0"/>
              <w:rPr>
                <w:sz w:val="20"/>
                <w:szCs w:val="20"/>
                <w:color w:val="auto"/>
              </w:rPr>
            </w:pPr>
          </w:p>
        </w:tc>
        <w:tc>
          <w:tcPr>
            <w:tcW w:w="660" w:type="dxa"/>
            <w:vAlign w:val="bottom"/>
            <w:tcBorders>
              <w:top w:val="single" w:sz="8" w:color="8E939F"/>
            </w:tcBorders>
          </w:tcPr>
          <w:p>
            <w:pPr>
              <w:spacing w:after="0"/>
              <w:rPr>
                <w:sz w:val="20"/>
                <w:szCs w:val="20"/>
                <w:color w:val="auto"/>
              </w:rPr>
            </w:pPr>
          </w:p>
        </w:tc>
        <w:tc>
          <w:tcPr>
            <w:tcW w:w="660" w:type="dxa"/>
            <w:vAlign w:val="bottom"/>
            <w:tcBorders>
              <w:top w:val="single" w:sz="8" w:color="8E939F"/>
            </w:tcBorders>
          </w:tcPr>
          <w:p>
            <w:pPr>
              <w:spacing w:after="0"/>
              <w:rPr>
                <w:sz w:val="20"/>
                <w:szCs w:val="20"/>
                <w:color w:val="auto"/>
              </w:rPr>
            </w:pPr>
          </w:p>
        </w:tc>
        <w:tc>
          <w:tcPr>
            <w:tcW w:w="1720" w:type="dxa"/>
            <w:vAlign w:val="bottom"/>
            <w:tcBorders>
              <w:top w:val="single" w:sz="8" w:color="8E939F"/>
            </w:tcBorders>
            <w:shd w:val="clear" w:color="auto" w:fill="E6E7F4"/>
          </w:tcPr>
          <w:p>
            <w:pPr>
              <w:spacing w:after="0"/>
              <w:rPr>
                <w:sz w:val="20"/>
                <w:szCs w:val="20"/>
                <w:color w:val="auto"/>
              </w:rPr>
            </w:pPr>
          </w:p>
        </w:tc>
      </w:tr>
      <w:tr>
        <w:trPr>
          <w:trHeight w:val="218"/>
        </w:trPr>
        <w:tc>
          <w:tcPr>
            <w:tcW w:w="114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(311)</w:t>
            </w:r>
          </w:p>
        </w:tc>
        <w:tc>
          <w:tcPr>
            <w:tcW w:w="6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72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2860" w:type="dxa"/>
            <w:vAlign w:val="bottom"/>
          </w:tcPr>
          <w:p>
            <w:pPr>
              <w:ind w:left="100"/>
              <w:spacing w:after="0"/>
              <w:rPr>
                <w:sz w:val="20"/>
                <w:szCs w:val="20"/>
                <w:color w:val="auto"/>
              </w:rPr>
            </w:pPr>
            <w:r>
              <w:rPr>
                <w:rFonts w:ascii="Arial" w:cs="Arial" w:eastAsia="Arial" w:hAnsi="Arial"/>
                <w:sz w:val="16"/>
                <w:szCs w:val="16"/>
                <w:color w:val="auto"/>
              </w:rPr>
              <w:t>million)</w:t>
            </w:r>
          </w:p>
        </w:tc>
        <w:tc>
          <w:tcPr>
            <w:tcW w:w="118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6"/>
                <w:szCs w:val="16"/>
                <w:color w:val="auto"/>
                <w:highlight w:val="white"/>
              </w:rPr>
              <w:t>(397)</w:t>
            </w:r>
          </w:p>
        </w:tc>
        <w:tc>
          <w:tcPr>
            <w:tcW w:w="6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72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6"/>
                <w:szCs w:val="16"/>
                <w:color w:val="auto"/>
              </w:rPr>
              <w:t>n.m.</w:t>
            </w:r>
          </w:p>
        </w:tc>
      </w:tr>
      <w:tr>
        <w:trPr>
          <w:trHeight w:val="277"/>
        </w:trPr>
        <w:tc>
          <w:tcPr>
            <w:tcW w:w="1140" w:type="dxa"/>
            <w:vAlign w:val="bottom"/>
            <w:tcBorders>
              <w:top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(2.2%)</w:t>
            </w:r>
          </w:p>
        </w:tc>
        <w:tc>
          <w:tcPr>
            <w:tcW w:w="640" w:type="dxa"/>
            <w:vAlign w:val="bottom"/>
            <w:tcBorders>
              <w:top w:val="single" w:sz="8" w:color="8E939F"/>
            </w:tcBorders>
          </w:tcPr>
          <w:p>
            <w:pPr>
              <w:spacing w:after="0"/>
              <w:rPr>
                <w:sz w:val="24"/>
                <w:szCs w:val="24"/>
                <w:color w:val="auto"/>
              </w:rPr>
            </w:pPr>
          </w:p>
        </w:tc>
        <w:tc>
          <w:tcPr>
            <w:tcW w:w="660" w:type="dxa"/>
            <w:vAlign w:val="bottom"/>
            <w:tcBorders>
              <w:top w:val="single" w:sz="8" w:color="8E939F"/>
            </w:tcBorders>
          </w:tcPr>
          <w:p>
            <w:pPr>
              <w:jc w:val="right"/>
              <w:ind w:right="39"/>
              <w:spacing w:after="0"/>
              <w:rPr>
                <w:sz w:val="20"/>
                <w:szCs w:val="20"/>
                <w:color w:val="auto"/>
              </w:rPr>
            </w:pPr>
            <w:r>
              <w:rPr>
                <w:rFonts w:ascii="Arial" w:cs="Arial" w:eastAsia="Arial" w:hAnsi="Arial"/>
                <w:sz w:val="16"/>
                <w:szCs w:val="16"/>
                <w:color w:val="auto"/>
              </w:rPr>
              <w:t>1.2%</w:t>
            </w:r>
          </w:p>
        </w:tc>
        <w:tc>
          <w:tcPr>
            <w:tcW w:w="1720" w:type="dxa"/>
            <w:vAlign w:val="bottom"/>
            <w:tcBorders>
              <w:top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(340) bps</w:t>
            </w:r>
          </w:p>
        </w:tc>
        <w:tc>
          <w:tcPr>
            <w:tcW w:w="2860" w:type="dxa"/>
            <w:vAlign w:val="bottom"/>
            <w:tcBorders>
              <w:top w:val="single" w:sz="8" w:color="8E939F"/>
            </w:tcBorders>
          </w:tcPr>
          <w:p>
            <w:pPr>
              <w:ind w:left="100"/>
              <w:spacing w:after="0"/>
              <w:rPr>
                <w:sz w:val="20"/>
                <w:szCs w:val="20"/>
                <w:color w:val="auto"/>
              </w:rPr>
            </w:pPr>
            <w:r>
              <w:rPr>
                <w:rFonts w:ascii="Arial" w:cs="Arial" w:eastAsia="Arial" w:hAnsi="Arial"/>
                <w:sz w:val="16"/>
                <w:szCs w:val="16"/>
                <w:color w:val="auto"/>
              </w:rPr>
              <w:t>Adjusted operating income/(loss)</w:t>
            </w:r>
          </w:p>
        </w:tc>
        <w:tc>
          <w:tcPr>
            <w:tcW w:w="1180" w:type="dxa"/>
            <w:vAlign w:val="bottom"/>
            <w:tcBorders>
              <w:top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(0.9%)</w:t>
            </w:r>
          </w:p>
        </w:tc>
        <w:tc>
          <w:tcPr>
            <w:tcW w:w="660" w:type="dxa"/>
            <w:vAlign w:val="bottom"/>
            <w:tcBorders>
              <w:top w:val="single" w:sz="8" w:color="8E939F"/>
            </w:tcBorders>
          </w:tcPr>
          <w:p>
            <w:pPr>
              <w:spacing w:after="0"/>
              <w:rPr>
                <w:sz w:val="24"/>
                <w:szCs w:val="24"/>
                <w:color w:val="auto"/>
              </w:rPr>
            </w:pPr>
          </w:p>
        </w:tc>
        <w:tc>
          <w:tcPr>
            <w:tcW w:w="660" w:type="dxa"/>
            <w:vAlign w:val="bottom"/>
            <w:tcBorders>
              <w:top w:val="single" w:sz="8" w:color="8E939F"/>
            </w:tcBorders>
          </w:tcPr>
          <w:p>
            <w:pPr>
              <w:jc w:val="right"/>
              <w:ind w:right="19"/>
              <w:spacing w:after="0"/>
              <w:rPr>
                <w:sz w:val="20"/>
                <w:szCs w:val="20"/>
                <w:color w:val="auto"/>
              </w:rPr>
            </w:pPr>
            <w:r>
              <w:rPr>
                <w:rFonts w:ascii="Arial" w:cs="Arial" w:eastAsia="Arial" w:hAnsi="Arial"/>
                <w:sz w:val="16"/>
                <w:szCs w:val="16"/>
                <w:color w:val="auto"/>
              </w:rPr>
              <w:t>0.2%</w:t>
            </w:r>
          </w:p>
        </w:tc>
        <w:tc>
          <w:tcPr>
            <w:tcW w:w="1720" w:type="dxa"/>
            <w:vAlign w:val="bottom"/>
            <w:tcBorders>
              <w:top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(110) bps</w:t>
            </w:r>
          </w:p>
        </w:tc>
      </w:tr>
      <w:tr>
        <w:trPr>
          <w:trHeight w:val="175"/>
        </w:trPr>
        <w:tc>
          <w:tcPr>
            <w:tcW w:w="1140" w:type="dxa"/>
            <w:vAlign w:val="bottom"/>
            <w:tcBorders>
              <w:bottom w:val="single" w:sz="8" w:color="8E939F"/>
            </w:tcBorders>
            <w:shd w:val="clear" w:color="auto" w:fill="F3F3F9"/>
          </w:tcPr>
          <w:p>
            <w:pPr>
              <w:spacing w:after="0"/>
              <w:rPr>
                <w:sz w:val="15"/>
                <w:szCs w:val="15"/>
                <w:color w:val="auto"/>
              </w:rPr>
            </w:pPr>
          </w:p>
        </w:tc>
        <w:tc>
          <w:tcPr>
            <w:tcW w:w="64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20" w:type="dxa"/>
            <w:vAlign w:val="bottom"/>
            <w:tcBorders>
              <w:bottom w:val="single" w:sz="8" w:color="8E939F"/>
            </w:tcBorders>
            <w:shd w:val="clear" w:color="auto" w:fill="E6E7F4"/>
          </w:tcPr>
          <w:p>
            <w:pPr>
              <w:spacing w:after="0"/>
              <w:rPr>
                <w:sz w:val="15"/>
                <w:szCs w:val="15"/>
                <w:color w:val="auto"/>
              </w:rPr>
            </w:pPr>
          </w:p>
        </w:tc>
        <w:tc>
          <w:tcPr>
            <w:tcW w:w="2860" w:type="dxa"/>
            <w:vAlign w:val="bottom"/>
            <w:tcBorders>
              <w:bottom w:val="single" w:sz="8" w:color="8E939F"/>
            </w:tcBorders>
          </w:tcPr>
          <w:p>
            <w:pPr>
              <w:ind w:left="100"/>
              <w:spacing w:after="0" w:line="175" w:lineRule="exact"/>
              <w:rPr>
                <w:sz w:val="20"/>
                <w:szCs w:val="20"/>
                <w:color w:val="auto"/>
              </w:rPr>
            </w:pPr>
            <w:r>
              <w:rPr>
                <w:rFonts w:ascii="Arial" w:cs="Arial" w:eastAsia="Arial" w:hAnsi="Arial"/>
                <w:sz w:val="16"/>
                <w:szCs w:val="16"/>
                <w:color w:val="auto"/>
              </w:rPr>
              <w:t>margin (%)</w:t>
            </w:r>
          </w:p>
        </w:tc>
        <w:tc>
          <w:tcPr>
            <w:tcW w:w="1180" w:type="dxa"/>
            <w:vAlign w:val="bottom"/>
            <w:tcBorders>
              <w:bottom w:val="single" w:sz="8" w:color="8E939F"/>
            </w:tcBorders>
            <w:shd w:val="clear" w:color="auto" w:fill="F3F3F9"/>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20" w:type="dxa"/>
            <w:vAlign w:val="bottom"/>
            <w:tcBorders>
              <w:bottom w:val="single" w:sz="8" w:color="8E939F"/>
            </w:tcBorders>
            <w:shd w:val="clear" w:color="auto" w:fill="E6E7F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-1079500</wp:posOffset>
            </wp:positionV>
            <wp:extent cx="986155"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4718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-1079500</wp:posOffset>
            </wp:positionV>
            <wp:extent cx="986155" cy="47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47180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143A84"/>
        </w:rPr>
        <w:t>Three months ended September 30, 2026</w:t>
      </w:r>
    </w:p>
    <w:p>
      <w:pPr>
        <w:spacing w:after="0" w:line="252"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three months ended September 30, 2026 and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p>
        </w:tc>
        <w:tc>
          <w:tcPr>
            <w:tcW w:w="1300" w:type="dxa"/>
            <w:vAlign w:val="bottom"/>
            <w:tcBorders>
              <w:bottom w:val="single" w:sz="8" w:color="143A84"/>
            </w:tcBorders>
          </w:tcPr>
          <w:p>
            <w:pPr>
              <w:spacing w:after="0"/>
              <w:rPr>
                <w:sz w:val="20"/>
                <w:szCs w:val="20"/>
                <w:color w:val="auto"/>
              </w:rPr>
            </w:pPr>
          </w:p>
        </w:tc>
        <w:tc>
          <w:tcPr>
            <w:tcW w:w="3400" w:type="dxa"/>
            <w:vAlign w:val="bottom"/>
            <w:tcBorders>
              <w:bottom w:val="single" w:sz="8" w:color="143A84"/>
            </w:tcBorders>
            <w:gridSpan w:val="4"/>
          </w:tcPr>
          <w:p>
            <w:pPr>
              <w:ind w:left="4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4"/>
          </w:tcPr>
          <w:p>
            <w:pPr>
              <w:jc w:val="right"/>
              <w:ind w:right="94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00" w:type="dxa"/>
            <w:vAlign w:val="bottom"/>
          </w:tcPr>
          <w:p>
            <w:pPr>
              <w:spacing w:after="0"/>
              <w:rPr>
                <w:sz w:val="19"/>
                <w:szCs w:val="19"/>
                <w:color w:val="auto"/>
              </w:rPr>
            </w:pPr>
          </w:p>
        </w:tc>
        <w:tc>
          <w:tcPr>
            <w:tcW w:w="3120" w:type="dxa"/>
            <w:vAlign w:val="bottom"/>
            <w:gridSpan w:val="3"/>
          </w:tcPr>
          <w:p>
            <w:pPr>
              <w:jc w:val="right"/>
              <w:ind w:right="239"/>
              <w:spacing w:after="0"/>
              <w:rPr>
                <w:sz w:val="20"/>
                <w:szCs w:val="20"/>
                <w:color w:val="auto"/>
              </w:rPr>
            </w:pPr>
            <w:r>
              <w:rPr>
                <w:rFonts w:ascii="Arial" w:cs="Arial" w:eastAsia="Arial" w:hAnsi="Arial"/>
                <w:sz w:val="15"/>
                <w:szCs w:val="15"/>
                <w:b w:val="1"/>
                <w:bCs w:val="1"/>
                <w:color w:val="243782"/>
              </w:rPr>
              <w:t>Three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3"/>
          </w:tcPr>
          <w:p>
            <w:pPr>
              <w:jc w:val="right"/>
              <w:ind w:right="259"/>
              <w:spacing w:after="0"/>
              <w:rPr>
                <w:sz w:val="20"/>
                <w:szCs w:val="20"/>
                <w:color w:val="auto"/>
              </w:rPr>
            </w:pPr>
            <w:r>
              <w:rPr>
                <w:rFonts w:ascii="Arial" w:cs="Arial" w:eastAsia="Arial" w:hAnsi="Arial"/>
                <w:sz w:val="15"/>
                <w:szCs w:val="15"/>
                <w:b w:val="1"/>
                <w:bCs w:val="1"/>
                <w:color w:val="243782"/>
              </w:rPr>
              <w:t>Three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00" w:type="dxa"/>
            <w:vAlign w:val="bottom"/>
          </w:tcPr>
          <w:p>
            <w:pPr>
              <w:spacing w:after="0"/>
              <w:rPr>
                <w:sz w:val="2"/>
                <w:szCs w:val="2"/>
                <w:color w:val="auto"/>
              </w:rPr>
            </w:pPr>
          </w:p>
        </w:tc>
        <w:tc>
          <w:tcPr>
            <w:tcW w:w="130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32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00" w:type="dxa"/>
            <w:vAlign w:val="bottom"/>
            <w:tcBorders>
              <w:bottom w:val="single" w:sz="8" w:color="143A84"/>
            </w:tcBorders>
          </w:tcPr>
          <w:p>
            <w:pPr>
              <w:spacing w:after="0"/>
              <w:rPr>
                <w:sz w:val="21"/>
                <w:szCs w:val="21"/>
                <w:color w:val="auto"/>
              </w:rPr>
            </w:pPr>
          </w:p>
        </w:tc>
        <w:tc>
          <w:tcPr>
            <w:tcW w:w="146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14.4 %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c>
          <w:tcPr>
            <w:tcW w:w="10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14.6 %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EU30</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4"/>
              </w:rPr>
              <w:t>%</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15.4 %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(60) bps</w:t>
            </w:r>
          </w:p>
        </w:tc>
        <w:tc>
          <w:tcPr>
            <w:tcW w:w="10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15.7 %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r>
    </w:tbl>
    <w:p>
      <w:pPr>
        <w:spacing w:after="0" w:line="193" w:lineRule="exact"/>
        <w:rPr>
          <w:sz w:val="20"/>
          <w:szCs w:val="20"/>
          <w:color w:val="auto"/>
        </w:rPr>
      </w:pPr>
    </w:p>
    <w:p>
      <w:pPr>
        <w:ind w:right="200" w:firstLine="8"/>
        <w:spacing w:after="0" w:line="261" w:lineRule="auto"/>
        <w:tabs>
          <w:tab w:leader="none" w:pos="222" w:val="left"/>
        </w:tabs>
        <w:numPr>
          <w:ilvl w:val="0"/>
          <w:numId w:val="22"/>
        </w:numPr>
        <w:rPr>
          <w:rFonts w:ascii="Arial" w:cs="Arial" w:eastAsia="Arial" w:hAnsi="Arial"/>
          <w:sz w:val="14"/>
          <w:szCs w:val="14"/>
          <w:color w:val="auto"/>
        </w:rPr>
      </w:pPr>
      <w:r>
        <w:rPr>
          <w:rFonts w:ascii="Arial" w:cs="Arial" w:eastAsia="Arial" w:hAnsi="Arial"/>
          <w:sz w:val="14"/>
          <w:szCs w:val="14"/>
          <w:color w:val="auto"/>
        </w:rPr>
        <w:t>EU30 = EU27 (excluding Malta) and including Iceland, Norway, Switzerland and UK. 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spacing w:after="0" w:line="1" w:lineRule="exact"/>
        <w:rPr>
          <w:rFonts w:ascii="Arial" w:cs="Arial" w:eastAsia="Arial" w:hAnsi="Arial"/>
          <w:sz w:val="14"/>
          <w:szCs w:val="14"/>
          <w:color w:val="auto"/>
        </w:rPr>
      </w:pPr>
    </w:p>
    <w:p>
      <w:pPr>
        <w:ind w:right="320" w:firstLine="8"/>
        <w:spacing w:after="0" w:line="284" w:lineRule="auto"/>
        <w:tabs>
          <w:tab w:leader="none" w:pos="22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jc w:val="both"/>
        <w:ind w:right="360"/>
        <w:spacing w:after="0" w:line="315" w:lineRule="auto"/>
        <w:rPr>
          <w:sz w:val="20"/>
          <w:szCs w:val="20"/>
          <w:color w:val="auto"/>
        </w:rPr>
      </w:pPr>
      <w:r>
        <w:rPr>
          <w:rFonts w:ascii="Arial" w:cs="Arial" w:eastAsia="Arial" w:hAnsi="Arial"/>
          <w:sz w:val="18"/>
          <w:szCs w:val="18"/>
          <w:color w:val="auto"/>
        </w:rPr>
        <w:t>Shipments in Enlarged Europe increased in the three months ended September 30, 2026 compared to the corresponding period in 2025, primarily driven by higher volumes of Fiat Pandina, Fiat 500 Hybrid, Fiat Grande Panda, Citroën C3 and C3 Aircross, Peugeot 208, Jeep Compass, Opel/Vauxhall Frontera, and Leapmotor-branded vehicles, notably B10 and C10.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320"/>
        <w:spacing w:after="0" w:line="334" w:lineRule="auto"/>
        <w:rPr>
          <w:sz w:val="20"/>
          <w:szCs w:val="20"/>
          <w:color w:val="auto"/>
        </w:rPr>
      </w:pPr>
      <w:r>
        <w:rPr>
          <w:rFonts w:ascii="Arial" w:cs="Arial" w:eastAsia="Arial" w:hAnsi="Arial"/>
          <w:sz w:val="18"/>
          <w:szCs w:val="18"/>
          <w:color w:val="auto"/>
        </w:rPr>
        <w:t>Enlarged Europe Net revenues increased in the three months ended September 30, 2026 compared to the corresponding period in 2025, driven by higher volumes partially offset by negative net pricing and unfavorable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The following chart reflects the change in Enlarged Europe Adjusted operating income/(loss) by operational driver for the three months ended September 30, 2026 compared to the same period in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143A84"/>
        </w:rPr>
        <w:t>Adjusted operating income/(loss)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38100</wp:posOffset>
            </wp:positionV>
            <wp:extent cx="5863590" cy="228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20"/>
        <w:spacing w:after="0" w:line="323" w:lineRule="auto"/>
        <w:rPr>
          <w:sz w:val="20"/>
          <w:szCs w:val="20"/>
          <w:color w:val="auto"/>
        </w:rPr>
      </w:pPr>
      <w:r>
        <w:rPr>
          <w:rFonts w:ascii="Arial" w:cs="Arial" w:eastAsia="Arial" w:hAnsi="Arial"/>
          <w:sz w:val="18"/>
          <w:szCs w:val="18"/>
          <w:color w:val="auto"/>
        </w:rPr>
        <w:t>The decrease in Enlarged Europe Adjusted operating income/(loss) in the three months ended September 30, 2026 compared to the same period in 2025 was driven mainly by negative net pricing, and unfavorable mix, partially offset by higher volumes and industrial cost savings, including VCP.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143A84"/>
        </w:rPr>
        <w:t>Nine Months Ended September 30, 2026</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nine months ended September 30, 2026 and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p>
        </w:tc>
        <w:tc>
          <w:tcPr>
            <w:tcW w:w="1300" w:type="dxa"/>
            <w:vAlign w:val="bottom"/>
            <w:tcBorders>
              <w:bottom w:val="single" w:sz="8" w:color="143A84"/>
            </w:tcBorders>
          </w:tcPr>
          <w:p>
            <w:pPr>
              <w:spacing w:after="0"/>
              <w:rPr>
                <w:sz w:val="20"/>
                <w:szCs w:val="20"/>
                <w:color w:val="auto"/>
              </w:rPr>
            </w:pPr>
          </w:p>
        </w:tc>
        <w:tc>
          <w:tcPr>
            <w:tcW w:w="3400" w:type="dxa"/>
            <w:vAlign w:val="bottom"/>
            <w:tcBorders>
              <w:bottom w:val="single" w:sz="8" w:color="143A84"/>
            </w:tcBorders>
            <w:gridSpan w:val="4"/>
          </w:tcPr>
          <w:p>
            <w:pPr>
              <w:ind w:left="4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4"/>
          </w:tcPr>
          <w:p>
            <w:pPr>
              <w:jc w:val="right"/>
              <w:ind w:right="94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00" w:type="dxa"/>
            <w:vAlign w:val="bottom"/>
          </w:tcPr>
          <w:p>
            <w:pPr>
              <w:spacing w:after="0"/>
              <w:rPr>
                <w:sz w:val="19"/>
                <w:szCs w:val="19"/>
                <w:color w:val="auto"/>
              </w:rPr>
            </w:pPr>
          </w:p>
        </w:tc>
        <w:tc>
          <w:tcPr>
            <w:tcW w:w="3120" w:type="dxa"/>
            <w:vAlign w:val="bottom"/>
            <w:gridSpan w:val="3"/>
          </w:tcPr>
          <w:p>
            <w:pPr>
              <w:jc w:val="right"/>
              <w:ind w:right="279"/>
              <w:spacing w:after="0"/>
              <w:rPr>
                <w:sz w:val="20"/>
                <w:szCs w:val="20"/>
                <w:color w:val="auto"/>
              </w:rPr>
            </w:pPr>
            <w:r>
              <w:rPr>
                <w:rFonts w:ascii="Arial" w:cs="Arial" w:eastAsia="Arial" w:hAnsi="Arial"/>
                <w:sz w:val="15"/>
                <w:szCs w:val="15"/>
                <w:b w:val="1"/>
                <w:bCs w:val="1"/>
                <w:color w:val="243782"/>
              </w:rPr>
              <w:t>Nine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3"/>
          </w:tcPr>
          <w:p>
            <w:pPr>
              <w:jc w:val="right"/>
              <w:ind w:right="299"/>
              <w:spacing w:after="0"/>
              <w:rPr>
                <w:sz w:val="20"/>
                <w:szCs w:val="20"/>
                <w:color w:val="auto"/>
              </w:rPr>
            </w:pPr>
            <w:r>
              <w:rPr>
                <w:rFonts w:ascii="Arial" w:cs="Arial" w:eastAsia="Arial" w:hAnsi="Arial"/>
                <w:sz w:val="15"/>
                <w:szCs w:val="15"/>
                <w:b w:val="1"/>
                <w:bCs w:val="1"/>
                <w:color w:val="243782"/>
              </w:rPr>
              <w:t>Nine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00" w:type="dxa"/>
            <w:vAlign w:val="bottom"/>
          </w:tcPr>
          <w:p>
            <w:pPr>
              <w:spacing w:after="0"/>
              <w:rPr>
                <w:sz w:val="2"/>
                <w:szCs w:val="2"/>
                <w:color w:val="auto"/>
              </w:rPr>
            </w:pPr>
          </w:p>
        </w:tc>
        <w:tc>
          <w:tcPr>
            <w:tcW w:w="130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32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00" w:type="dxa"/>
            <w:vAlign w:val="bottom"/>
            <w:tcBorders>
              <w:bottom w:val="single" w:sz="8" w:color="143A84"/>
            </w:tcBorders>
          </w:tcPr>
          <w:p>
            <w:pPr>
              <w:spacing w:after="0"/>
              <w:rPr>
                <w:sz w:val="21"/>
                <w:szCs w:val="21"/>
                <w:color w:val="auto"/>
              </w:rPr>
            </w:pPr>
          </w:p>
        </w:tc>
        <w:tc>
          <w:tcPr>
            <w:tcW w:w="146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15.6 %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(30) bps</w:t>
            </w:r>
          </w:p>
        </w:tc>
        <w:tc>
          <w:tcPr>
            <w:tcW w:w="10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15.8 %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EU30</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4"/>
              </w:rPr>
              <w:t>%</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16.5 %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(40) bps</w:t>
            </w:r>
          </w:p>
        </w:tc>
        <w:tc>
          <w:tcPr>
            <w:tcW w:w="10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highlight w:val="white"/>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16.7 %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 bps</w:t>
            </w:r>
          </w:p>
        </w:tc>
      </w:tr>
    </w:tbl>
    <w:p>
      <w:pPr>
        <w:spacing w:after="0" w:line="180" w:lineRule="exact"/>
        <w:rPr>
          <w:sz w:val="20"/>
          <w:szCs w:val="20"/>
          <w:color w:val="auto"/>
        </w:rPr>
      </w:pPr>
    </w:p>
    <w:p>
      <w:pPr>
        <w:ind w:right="200" w:firstLine="8"/>
        <w:spacing w:after="0" w:line="268" w:lineRule="auto"/>
        <w:tabs>
          <w:tab w:leader="none" w:pos="2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EU30 = EU27 (excluding Malta) and including Iceland, Norway, Switzerland and UK. 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spacing w:after="0" w:line="1" w:lineRule="exact"/>
        <w:rPr>
          <w:rFonts w:ascii="Arial" w:cs="Arial" w:eastAsia="Arial" w:hAnsi="Arial"/>
          <w:sz w:val="14"/>
          <w:szCs w:val="14"/>
          <w:color w:val="auto"/>
        </w:rPr>
      </w:pPr>
    </w:p>
    <w:p>
      <w:pPr>
        <w:ind w:right="320" w:firstLine="8"/>
        <w:spacing w:after="0" w:line="284" w:lineRule="auto"/>
        <w:tabs>
          <w:tab w:leader="none" w:pos="2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300"/>
        <w:spacing w:after="0" w:line="323" w:lineRule="auto"/>
        <w:rPr>
          <w:sz w:val="20"/>
          <w:szCs w:val="20"/>
          <w:color w:val="auto"/>
        </w:rPr>
      </w:pPr>
      <w:r>
        <w:rPr>
          <w:rFonts w:ascii="Arial" w:cs="Arial" w:eastAsia="Arial" w:hAnsi="Arial"/>
          <w:sz w:val="18"/>
          <w:szCs w:val="18"/>
          <w:color w:val="auto"/>
        </w:rPr>
        <w:t>Shipments in Enlarged Europe increased in the nine months ended September 30, 2026 compared to the corresponding period in 2025, mainly due to higher volumes in FIAT, Citroën, Opel/Vauxhall and Leapmotor brands. Main contributors were Fiat 500 and Grande Panda, Citroën C3 Aircross, Opel/Vauxhall Frontera and Leapmotor T03 and B10.</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440"/>
        <w:spacing w:after="0" w:line="334" w:lineRule="auto"/>
        <w:rPr>
          <w:sz w:val="20"/>
          <w:szCs w:val="20"/>
          <w:color w:val="auto"/>
        </w:rPr>
      </w:pPr>
      <w:r>
        <w:rPr>
          <w:rFonts w:ascii="Arial" w:cs="Arial" w:eastAsia="Arial" w:hAnsi="Arial"/>
          <w:sz w:val="18"/>
          <w:szCs w:val="18"/>
          <w:color w:val="auto"/>
        </w:rPr>
        <w:t>The increase in Enlarged Europe Net revenues in the nine months ended September 30, 2026 compared to the corresponding period in 2025 was driven by higher volumes largely offset by negative net pricing and unfavorable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The following chart reflects the change in Enlarged Europe Adjusted operating income/(loss) by operational driver for the nine months ended September 30, 2026 compared to the same period in 2025.</w:t>
      </w:r>
    </w:p>
    <w:p>
      <w:pPr>
        <w:spacing w:after="0" w:line="131" w:lineRule="exact"/>
        <w:rPr>
          <w:sz w:val="20"/>
          <w:szCs w:val="20"/>
          <w:color w:val="auto"/>
        </w:rPr>
      </w:pPr>
    </w:p>
    <w:p>
      <w:pPr>
        <w:ind w:right="780"/>
        <w:spacing w:after="0" w:line="314" w:lineRule="auto"/>
        <w:rPr>
          <w:sz w:val="20"/>
          <w:szCs w:val="20"/>
          <w:color w:val="auto"/>
        </w:rPr>
      </w:pPr>
      <w:r>
        <w:rPr>
          <w:rFonts w:ascii="Arial" w:cs="Arial" w:eastAsia="Arial" w:hAnsi="Arial"/>
          <w:sz w:val="16"/>
          <w:szCs w:val="16"/>
          <w:b w:val="1"/>
          <w:bCs w:val="1"/>
          <w:color w:val="143A84"/>
        </w:rPr>
        <w:t>Adjusted operating income/(loss)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wp:posOffset>
            </wp:positionV>
            <wp:extent cx="5863590" cy="2280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0"/>
        <w:spacing w:after="0" w:line="309" w:lineRule="auto"/>
        <w:rPr>
          <w:sz w:val="20"/>
          <w:szCs w:val="20"/>
          <w:color w:val="auto"/>
        </w:rPr>
      </w:pPr>
      <w:r>
        <w:rPr>
          <w:rFonts w:ascii="Arial" w:cs="Arial" w:eastAsia="Arial" w:hAnsi="Arial"/>
          <w:sz w:val="18"/>
          <w:szCs w:val="18"/>
          <w:color w:val="auto"/>
        </w:rPr>
        <w:t>Enlarged Europe Adjusted operating income declined from €90 million in the nine months ended September 30, 2025 to an Adjusted operating loss of €397 million in the corresponding period of 2026. Positive impacts from improved industrial costs driven by the non-recurrence of recall campaign costs recognized in 2025 of €0.5 billion, manufacturing and purchasing efficiencies, including VCP as well as increased volumes were offset by negative pricing from higher discounts, and unfavorable mix.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gridSpan w:val="2"/>
          </w:tcPr>
          <w:p>
            <w:pPr>
              <w:spacing w:after="0"/>
              <w:rPr>
                <w:sz w:val="20"/>
                <w:szCs w:val="20"/>
                <w:color w:val="auto"/>
              </w:rPr>
            </w:pPr>
            <w:r>
              <w:rPr>
                <w:rFonts w:ascii="Arial" w:cs="Arial" w:eastAsia="Arial" w:hAnsi="Arial"/>
                <w:sz w:val="16"/>
                <w:szCs w:val="16"/>
                <w:b w:val="1"/>
                <w:bCs w:val="1"/>
                <w:color w:val="143A84"/>
              </w:rPr>
              <w:t>Middle East &amp; Africa</w:t>
            </w:r>
          </w:p>
        </w:tc>
        <w:tc>
          <w:tcPr>
            <w:tcW w:w="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44"/>
        </w:trPr>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Nine months ended</w:t>
            </w:r>
          </w:p>
        </w:tc>
        <w:tc>
          <w:tcPr>
            <w:tcW w:w="1760" w:type="dxa"/>
            <w:vAlign w:val="bottom"/>
          </w:tcPr>
          <w:p>
            <w:pPr>
              <w:spacing w:after="0"/>
              <w:rPr>
                <w:sz w:val="24"/>
                <w:szCs w:val="24"/>
                <w:color w:val="auto"/>
              </w:rPr>
            </w:pPr>
          </w:p>
        </w:tc>
      </w:tr>
      <w:tr>
        <w:trPr>
          <w:trHeight w:val="226"/>
        </w:trPr>
        <w:tc>
          <w:tcPr>
            <w:tcW w:w="1720" w:type="dxa"/>
            <w:vAlign w:val="bottom"/>
            <w:tcBorders>
              <w:bottom w:val="single" w:sz="8" w:color="8E939F"/>
            </w:tcBorders>
            <w:gridSpan w:val="2"/>
          </w:tcPr>
          <w:p>
            <w:pPr>
              <w:jc w:val="center"/>
              <w:ind w:left="459"/>
              <w:spacing w:after="0"/>
              <w:rPr>
                <w:sz w:val="20"/>
                <w:szCs w:val="20"/>
                <w:color w:val="auto"/>
              </w:rPr>
            </w:pPr>
            <w:r>
              <w:rPr>
                <w:rFonts w:ascii="Arial" w:cs="Arial" w:eastAsia="Arial" w:hAnsi="Arial"/>
                <w:sz w:val="16"/>
                <w:szCs w:val="16"/>
                <w:b w:val="1"/>
                <w:bCs w:val="1"/>
                <w:color w:val="243782"/>
              </w:rPr>
              <w:t>September 30,</w:t>
            </w:r>
          </w:p>
        </w:tc>
        <w:tc>
          <w:tcPr>
            <w:tcW w:w="64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940" w:type="dxa"/>
            <w:vAlign w:val="bottom"/>
          </w:tcPr>
          <w:p>
            <w:pPr>
              <w:spacing w:after="0"/>
              <w:rPr>
                <w:sz w:val="19"/>
                <w:szCs w:val="19"/>
                <w:color w:val="auto"/>
              </w:rPr>
            </w:pPr>
          </w:p>
        </w:tc>
        <w:tc>
          <w:tcPr>
            <w:tcW w:w="1760" w:type="dxa"/>
            <w:vAlign w:val="bottom"/>
            <w:tcBorders>
              <w:bottom w:val="single" w:sz="8" w:color="8E939F"/>
            </w:tcBorders>
            <w:gridSpan w:val="2"/>
          </w:tcPr>
          <w:p>
            <w:pPr>
              <w:jc w:val="center"/>
              <w:ind w:left="47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19"/>
                <w:szCs w:val="19"/>
                <w:color w:val="auto"/>
              </w:rPr>
            </w:pPr>
          </w:p>
        </w:tc>
        <w:tc>
          <w:tcPr>
            <w:tcW w:w="17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Increase/(Decrease)</w:t>
            </w:r>
          </w:p>
        </w:tc>
      </w:tr>
      <w:tr>
        <w:trPr>
          <w:trHeight w:val="250"/>
        </w:trPr>
        <w:tc>
          <w:tcPr>
            <w:tcW w:w="10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40" w:type="dxa"/>
            <w:vAlign w:val="bottom"/>
            <w:tcBorders>
              <w:bottom w:val="single" w:sz="8" w:color="143A84"/>
            </w:tcBorders>
          </w:tcPr>
          <w:p>
            <w:pPr>
              <w:spacing w:after="0"/>
              <w:rPr>
                <w:sz w:val="21"/>
                <w:szCs w:val="21"/>
                <w:color w:val="auto"/>
              </w:rPr>
            </w:pPr>
          </w:p>
        </w:tc>
        <w:tc>
          <w:tcPr>
            <w:tcW w:w="64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40" w:type="dxa"/>
            <w:vAlign w:val="bottom"/>
            <w:tcBorders>
              <w:bottom w:val="single" w:sz="8" w:color="143A84"/>
            </w:tcBorders>
          </w:tcPr>
          <w:p>
            <w:pPr>
              <w:spacing w:after="0"/>
              <w:rPr>
                <w:sz w:val="21"/>
                <w:szCs w:val="21"/>
                <w:color w:val="auto"/>
              </w:rPr>
            </w:pPr>
          </w:p>
        </w:tc>
        <w:tc>
          <w:tcPr>
            <w:tcW w:w="11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4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26"/>
        </w:trPr>
        <w:tc>
          <w:tcPr>
            <w:tcW w:w="108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shd w:val="clear" w:color="auto" w:fill="E6E7F4"/>
          </w:tcPr>
          <w:p>
            <w:pPr>
              <w:spacing w:after="0"/>
              <w:rPr>
                <w:sz w:val="19"/>
                <w:szCs w:val="19"/>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Combined shipments (thousands of</w:t>
            </w:r>
          </w:p>
        </w:tc>
        <w:tc>
          <w:tcPr>
            <w:tcW w:w="112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shd w:val="clear" w:color="auto" w:fill="E6E7F4"/>
          </w:tcPr>
          <w:p>
            <w:pPr>
              <w:spacing w:after="0"/>
              <w:rPr>
                <w:sz w:val="19"/>
                <w:szCs w:val="19"/>
                <w:color w:val="auto"/>
              </w:rPr>
            </w:pPr>
          </w:p>
        </w:tc>
      </w:tr>
      <w:tr>
        <w:trPr>
          <w:trHeight w:val="224"/>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95</w:t>
            </w:r>
          </w:p>
        </w:tc>
        <w:tc>
          <w:tcPr>
            <w:tcW w:w="640" w:type="dxa"/>
            <w:vAlign w:val="bottom"/>
            <w:tcBorders>
              <w:bottom w:val="single" w:sz="8" w:color="8E939F"/>
            </w:tcBorders>
          </w:tcPr>
          <w:p>
            <w:pPr>
              <w:spacing w:after="0"/>
              <w:rPr>
                <w:sz w:val="19"/>
                <w:szCs w:val="19"/>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128</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(25.8%)</w:t>
            </w:r>
          </w:p>
        </w:tc>
        <w:tc>
          <w:tcPr>
            <w:tcW w:w="29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units)</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338</w:t>
            </w:r>
          </w:p>
        </w:tc>
        <w:tc>
          <w:tcPr>
            <w:tcW w:w="640" w:type="dxa"/>
            <w:vAlign w:val="bottom"/>
            <w:tcBorders>
              <w:bottom w:val="single" w:sz="8" w:color="8E939F"/>
            </w:tcBorders>
          </w:tcPr>
          <w:p>
            <w:pPr>
              <w:spacing w:after="0"/>
              <w:rPr>
                <w:sz w:val="19"/>
                <w:szCs w:val="19"/>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379</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(10.8%)</w:t>
            </w:r>
          </w:p>
        </w:tc>
      </w:tr>
      <w:tr>
        <w:trPr>
          <w:trHeight w:val="229"/>
        </w:trPr>
        <w:tc>
          <w:tcPr>
            <w:tcW w:w="108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Consolidated shipments (thousands</w:t>
            </w:r>
          </w:p>
        </w:tc>
        <w:tc>
          <w:tcPr>
            <w:tcW w:w="112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4"/>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w:t>
            </w:r>
          </w:p>
        </w:tc>
        <w:tc>
          <w:tcPr>
            <w:tcW w:w="640" w:type="dxa"/>
            <w:vAlign w:val="bottom"/>
            <w:tcBorders>
              <w:bottom w:val="single" w:sz="8" w:color="8E939F"/>
            </w:tcBorders>
          </w:tcPr>
          <w:p>
            <w:pPr>
              <w:spacing w:after="0"/>
              <w:rPr>
                <w:sz w:val="19"/>
                <w:szCs w:val="19"/>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95</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(21.1%)</w:t>
            </w:r>
          </w:p>
        </w:tc>
        <w:tc>
          <w:tcPr>
            <w:tcW w:w="29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units)</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307</w:t>
            </w:r>
          </w:p>
        </w:tc>
        <w:tc>
          <w:tcPr>
            <w:tcW w:w="640" w:type="dxa"/>
            <w:vAlign w:val="bottom"/>
            <w:tcBorders>
              <w:bottom w:val="single" w:sz="8" w:color="8E939F"/>
            </w:tcBorders>
          </w:tcPr>
          <w:p>
            <w:pPr>
              <w:spacing w:after="0"/>
              <w:rPr>
                <w:sz w:val="19"/>
                <w:szCs w:val="19"/>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320</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(4.1%)</w:t>
            </w:r>
          </w:p>
        </w:tc>
      </w:tr>
      <w:tr>
        <w:trPr>
          <w:trHeight w:val="250"/>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1,673</w:t>
            </w:r>
          </w:p>
        </w:tc>
        <w:tc>
          <w:tcPr>
            <w:tcW w:w="640" w:type="dxa"/>
            <w:vAlign w:val="bottom"/>
            <w:tcBorders>
              <w:bottom w:val="single" w:sz="8" w:color="8E939F"/>
            </w:tcBorders>
          </w:tcPr>
          <w:p>
            <w:pPr>
              <w:spacing w:after="0"/>
              <w:rPr>
                <w:sz w:val="21"/>
                <w:szCs w:val="21"/>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2,060</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(18.8%)</w:t>
            </w:r>
          </w:p>
        </w:tc>
        <w:tc>
          <w:tcPr>
            <w:tcW w:w="29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revenues (€ million)</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6,626</w:t>
            </w:r>
          </w:p>
        </w:tc>
        <w:tc>
          <w:tcPr>
            <w:tcW w:w="64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7,022</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(5.6%)</w:t>
            </w:r>
          </w:p>
        </w:tc>
      </w:tr>
      <w:tr>
        <w:trPr>
          <w:trHeight w:val="229"/>
        </w:trPr>
        <w:tc>
          <w:tcPr>
            <w:tcW w:w="108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Adjusted operating income/(loss) (€</w:t>
            </w:r>
          </w:p>
        </w:tc>
        <w:tc>
          <w:tcPr>
            <w:tcW w:w="1120" w:type="dxa"/>
            <w:vAlign w:val="bottom"/>
            <w:shd w:val="clear" w:color="auto" w:fill="F3F3F9"/>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4"/>
        </w:trPr>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244</w:t>
            </w:r>
          </w:p>
        </w:tc>
        <w:tc>
          <w:tcPr>
            <w:tcW w:w="640" w:type="dxa"/>
            <w:vAlign w:val="bottom"/>
            <w:tcBorders>
              <w:bottom w:val="single" w:sz="8" w:color="8E939F"/>
            </w:tcBorders>
          </w:tcPr>
          <w:p>
            <w:pPr>
              <w:spacing w:after="0"/>
              <w:rPr>
                <w:sz w:val="19"/>
                <w:szCs w:val="19"/>
                <w:color w:val="auto"/>
              </w:rPr>
            </w:pPr>
          </w:p>
        </w:tc>
        <w:tc>
          <w:tcPr>
            <w:tcW w:w="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272</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(10.3%)</w:t>
            </w:r>
          </w:p>
        </w:tc>
        <w:tc>
          <w:tcPr>
            <w:tcW w:w="294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million)</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855</w:t>
            </w:r>
          </w:p>
        </w:tc>
        <w:tc>
          <w:tcPr>
            <w:tcW w:w="640" w:type="dxa"/>
            <w:vAlign w:val="bottom"/>
            <w:tcBorders>
              <w:bottom w:val="single" w:sz="8" w:color="8E939F"/>
            </w:tcBorders>
          </w:tcPr>
          <w:p>
            <w:pPr>
              <w:spacing w:after="0"/>
              <w:rPr>
                <w:sz w:val="19"/>
                <w:szCs w:val="19"/>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1,040</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(17.8%)</w:t>
            </w:r>
          </w:p>
        </w:tc>
      </w:tr>
      <w:tr>
        <w:trPr>
          <w:trHeight w:val="284"/>
        </w:trPr>
        <w:tc>
          <w:tcPr>
            <w:tcW w:w="1080" w:type="dxa"/>
            <w:vAlign w:val="bottom"/>
            <w:shd w:val="clear" w:color="auto" w:fill="F3F3F9"/>
          </w:tcPr>
          <w:p>
            <w:pPr>
              <w:jc w:val="right"/>
              <w:spacing w:after="0"/>
              <w:rPr>
                <w:sz w:val="20"/>
                <w:szCs w:val="20"/>
                <w:color w:val="auto"/>
              </w:rPr>
            </w:pPr>
            <w:r>
              <w:rPr>
                <w:rFonts w:ascii="Arial" w:cs="Arial" w:eastAsia="Arial" w:hAnsi="Arial"/>
                <w:sz w:val="16"/>
                <w:szCs w:val="16"/>
                <w:color w:val="auto"/>
              </w:rPr>
              <w:t>14.6 %</w:t>
            </w:r>
          </w:p>
        </w:tc>
        <w:tc>
          <w:tcPr>
            <w:tcW w:w="64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13.2 %</w:t>
            </w:r>
          </w:p>
        </w:tc>
        <w:tc>
          <w:tcPr>
            <w:tcW w:w="1760" w:type="dxa"/>
            <w:vAlign w:val="bottom"/>
            <w:shd w:val="clear" w:color="auto" w:fill="E6E7F4"/>
          </w:tcPr>
          <w:p>
            <w:pPr>
              <w:jc w:val="right"/>
              <w:spacing w:after="0"/>
              <w:rPr>
                <w:sz w:val="20"/>
                <w:szCs w:val="20"/>
                <w:color w:val="auto"/>
              </w:rPr>
            </w:pPr>
            <w:r>
              <w:rPr>
                <w:rFonts w:ascii="Arial" w:cs="Arial" w:eastAsia="Arial" w:hAnsi="Arial"/>
                <w:sz w:val="16"/>
                <w:szCs w:val="16"/>
                <w:color w:val="auto"/>
              </w:rPr>
              <w:t>140 bps</w:t>
            </w:r>
          </w:p>
        </w:tc>
        <w:tc>
          <w:tcPr>
            <w:tcW w:w="2940" w:type="dxa"/>
            <w:vAlign w:val="bottom"/>
          </w:tcPr>
          <w:p>
            <w:pPr>
              <w:ind w:left="120"/>
              <w:spacing w:after="0"/>
              <w:rPr>
                <w:sz w:val="20"/>
                <w:szCs w:val="20"/>
                <w:color w:val="auto"/>
              </w:rPr>
            </w:pPr>
            <w:r>
              <w:rPr>
                <w:rFonts w:ascii="Arial" w:cs="Arial" w:eastAsia="Arial" w:hAnsi="Arial"/>
                <w:sz w:val="16"/>
                <w:szCs w:val="16"/>
                <w:color w:val="auto"/>
              </w:rPr>
              <w:t>Adjusted operating income/(loss)</w:t>
            </w:r>
          </w:p>
        </w:tc>
        <w:tc>
          <w:tcPr>
            <w:tcW w:w="1120" w:type="dxa"/>
            <w:vAlign w:val="bottom"/>
            <w:shd w:val="clear" w:color="auto" w:fill="F3F3F9"/>
          </w:tcPr>
          <w:p>
            <w:pPr>
              <w:jc w:val="right"/>
              <w:spacing w:after="0"/>
              <w:rPr>
                <w:sz w:val="20"/>
                <w:szCs w:val="20"/>
                <w:color w:val="auto"/>
              </w:rPr>
            </w:pPr>
            <w:r>
              <w:rPr>
                <w:rFonts w:ascii="Arial" w:cs="Arial" w:eastAsia="Arial" w:hAnsi="Arial"/>
                <w:sz w:val="16"/>
                <w:szCs w:val="16"/>
                <w:color w:val="auto"/>
              </w:rPr>
              <w:t>12.9 %</w:t>
            </w:r>
          </w:p>
        </w:tc>
        <w:tc>
          <w:tcPr>
            <w:tcW w:w="640" w:type="dxa"/>
            <w:vAlign w:val="bottom"/>
          </w:tcPr>
          <w:p>
            <w:pPr>
              <w:spacing w:after="0"/>
              <w:rPr>
                <w:sz w:val="24"/>
                <w:szCs w:val="24"/>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14.8 %</w:t>
            </w:r>
          </w:p>
        </w:tc>
        <w:tc>
          <w:tcPr>
            <w:tcW w:w="1760" w:type="dxa"/>
            <w:vAlign w:val="bottom"/>
            <w:shd w:val="clear" w:color="auto" w:fill="E6E7F4"/>
          </w:tcPr>
          <w:p>
            <w:pPr>
              <w:jc w:val="right"/>
              <w:spacing w:after="0"/>
              <w:rPr>
                <w:sz w:val="20"/>
                <w:szCs w:val="20"/>
                <w:color w:val="auto"/>
              </w:rPr>
            </w:pPr>
            <w:r>
              <w:rPr>
                <w:rFonts w:ascii="Arial" w:cs="Arial" w:eastAsia="Arial" w:hAnsi="Arial"/>
                <w:sz w:val="16"/>
                <w:szCs w:val="16"/>
                <w:color w:val="auto"/>
              </w:rPr>
              <w:t>(190) bps</w:t>
            </w:r>
          </w:p>
        </w:tc>
      </w:tr>
      <w:tr>
        <w:trPr>
          <w:trHeight w:val="175"/>
        </w:trPr>
        <w:tc>
          <w:tcPr>
            <w:tcW w:w="1080" w:type="dxa"/>
            <w:vAlign w:val="bottom"/>
            <w:tcBorders>
              <w:bottom w:val="single" w:sz="8" w:color="8E939F"/>
            </w:tcBorders>
            <w:shd w:val="clear" w:color="auto" w:fill="F3F3F9"/>
          </w:tcPr>
          <w:p>
            <w:pPr>
              <w:spacing w:after="0"/>
              <w:rPr>
                <w:sz w:val="15"/>
                <w:szCs w:val="15"/>
                <w:color w:val="auto"/>
              </w:rPr>
            </w:pPr>
          </w:p>
        </w:tc>
        <w:tc>
          <w:tcPr>
            <w:tcW w:w="640" w:type="dxa"/>
            <w:vAlign w:val="bottom"/>
            <w:tcBorders>
              <w:bottom w:val="single" w:sz="8" w:color="8E939F"/>
            </w:tcBorders>
          </w:tcPr>
          <w:p>
            <w:pPr>
              <w:spacing w:after="0"/>
              <w:rPr>
                <w:sz w:val="15"/>
                <w:szCs w:val="15"/>
                <w:color w:val="auto"/>
              </w:rPr>
            </w:pPr>
          </w:p>
        </w:tc>
        <w:tc>
          <w:tcPr>
            <w:tcW w:w="640" w:type="dxa"/>
            <w:vAlign w:val="bottom"/>
            <w:tcBorders>
              <w:bottom w:val="single" w:sz="8" w:color="8E939F"/>
            </w:tcBorders>
          </w:tcPr>
          <w:p>
            <w:pPr>
              <w:spacing w:after="0"/>
              <w:rPr>
                <w:sz w:val="15"/>
                <w:szCs w:val="15"/>
                <w:color w:val="auto"/>
              </w:rPr>
            </w:pPr>
          </w:p>
        </w:tc>
        <w:tc>
          <w:tcPr>
            <w:tcW w:w="1760" w:type="dxa"/>
            <w:vAlign w:val="bottom"/>
            <w:tcBorders>
              <w:bottom w:val="single" w:sz="8" w:color="8E939F"/>
            </w:tcBorders>
            <w:shd w:val="clear" w:color="auto" w:fill="E6E7F4"/>
          </w:tcPr>
          <w:p>
            <w:pPr>
              <w:spacing w:after="0"/>
              <w:rPr>
                <w:sz w:val="15"/>
                <w:szCs w:val="15"/>
                <w:color w:val="auto"/>
              </w:rPr>
            </w:pPr>
          </w:p>
        </w:tc>
        <w:tc>
          <w:tcPr>
            <w:tcW w:w="2940" w:type="dxa"/>
            <w:vAlign w:val="bottom"/>
            <w:tcBorders>
              <w:bottom w:val="single" w:sz="8" w:color="8E939F"/>
            </w:tcBorders>
          </w:tcPr>
          <w:p>
            <w:pPr>
              <w:ind w:left="120"/>
              <w:spacing w:after="0" w:line="175" w:lineRule="exact"/>
              <w:rPr>
                <w:sz w:val="20"/>
                <w:szCs w:val="20"/>
                <w:color w:val="auto"/>
              </w:rPr>
            </w:pPr>
            <w:r>
              <w:rPr>
                <w:rFonts w:ascii="Arial" w:cs="Arial" w:eastAsia="Arial" w:hAnsi="Arial"/>
                <w:sz w:val="16"/>
                <w:szCs w:val="16"/>
                <w:color w:val="auto"/>
              </w:rPr>
              <w:t>margin (%)</w:t>
            </w:r>
          </w:p>
        </w:tc>
        <w:tc>
          <w:tcPr>
            <w:tcW w:w="1120" w:type="dxa"/>
            <w:vAlign w:val="bottom"/>
            <w:tcBorders>
              <w:bottom w:val="single" w:sz="8" w:color="8E939F"/>
            </w:tcBorders>
            <w:shd w:val="clear" w:color="auto" w:fill="F3F3F9"/>
          </w:tcPr>
          <w:p>
            <w:pPr>
              <w:spacing w:after="0"/>
              <w:rPr>
                <w:sz w:val="15"/>
                <w:szCs w:val="15"/>
                <w:color w:val="auto"/>
              </w:rPr>
            </w:pPr>
          </w:p>
        </w:tc>
        <w:tc>
          <w:tcPr>
            <w:tcW w:w="640" w:type="dxa"/>
            <w:vAlign w:val="bottom"/>
            <w:tcBorders>
              <w:bottom w:val="single" w:sz="8" w:color="8E939F"/>
            </w:tcBorders>
          </w:tcPr>
          <w:p>
            <w:pPr>
              <w:spacing w:after="0"/>
              <w:rPr>
                <w:sz w:val="15"/>
                <w:szCs w:val="15"/>
                <w:color w:val="auto"/>
              </w:rPr>
            </w:pPr>
          </w:p>
        </w:tc>
        <w:tc>
          <w:tcPr>
            <w:tcW w:w="660" w:type="dxa"/>
            <w:vAlign w:val="bottom"/>
            <w:tcBorders>
              <w:bottom w:val="single" w:sz="8" w:color="8E939F"/>
            </w:tcBorders>
          </w:tcPr>
          <w:p>
            <w:pPr>
              <w:spacing w:after="0"/>
              <w:rPr>
                <w:sz w:val="15"/>
                <w:szCs w:val="15"/>
                <w:color w:val="auto"/>
              </w:rPr>
            </w:pPr>
          </w:p>
        </w:tc>
        <w:tc>
          <w:tcPr>
            <w:tcW w:w="1760" w:type="dxa"/>
            <w:vAlign w:val="bottom"/>
            <w:tcBorders>
              <w:bottom w:val="single" w:sz="8" w:color="8E939F"/>
            </w:tcBorders>
            <w:shd w:val="clear" w:color="auto" w:fill="E6E7F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-1379855</wp:posOffset>
            </wp:positionV>
            <wp:extent cx="1122680" cy="1071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22680" cy="107188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-1379855</wp:posOffset>
            </wp:positionV>
            <wp:extent cx="1122680" cy="1071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2680" cy="10718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Three months ended September 30, 2026</w:t>
      </w:r>
    </w:p>
    <w:p>
      <w:pPr>
        <w:spacing w:after="0" w:line="252"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three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1"/>
                <w:szCs w:val="21"/>
                <w:color w:val="auto"/>
              </w:rPr>
            </w:pPr>
          </w:p>
        </w:tc>
        <w:tc>
          <w:tcPr>
            <w:tcW w:w="4720" w:type="dxa"/>
            <w:vAlign w:val="bottom"/>
            <w:tcBorders>
              <w:bottom w:val="single" w:sz="8" w:color="143A84"/>
            </w:tcBorders>
            <w:gridSpan w:val="4"/>
          </w:tcPr>
          <w:p>
            <w:pPr>
              <w:ind w:left="13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41"/>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880" w:type="dxa"/>
            <w:vAlign w:val="bottom"/>
          </w:tcPr>
          <w:p>
            <w:pPr>
              <w:spacing w:after="0"/>
              <w:rPr>
                <w:sz w:val="19"/>
                <w:szCs w:val="19"/>
                <w:color w:val="auto"/>
              </w:rPr>
            </w:pPr>
          </w:p>
        </w:tc>
        <w:tc>
          <w:tcPr>
            <w:tcW w:w="3140" w:type="dxa"/>
            <w:vAlign w:val="bottom"/>
            <w:gridSpan w:val="2"/>
          </w:tcPr>
          <w:p>
            <w:pPr>
              <w:jc w:val="right"/>
              <w:ind w:right="239"/>
              <w:spacing w:after="0"/>
              <w:rPr>
                <w:sz w:val="20"/>
                <w:szCs w:val="20"/>
                <w:color w:val="auto"/>
              </w:rPr>
            </w:pPr>
            <w:r>
              <w:rPr>
                <w:rFonts w:ascii="Arial" w:cs="Arial" w:eastAsia="Arial" w:hAnsi="Arial"/>
                <w:sz w:val="15"/>
                <w:szCs w:val="15"/>
                <w:b w:val="1"/>
                <w:bCs w:val="1"/>
                <w:color w:val="243782"/>
              </w:rPr>
              <w:t>Three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59"/>
              <w:spacing w:after="0"/>
              <w:rPr>
                <w:sz w:val="20"/>
                <w:szCs w:val="20"/>
                <w:color w:val="auto"/>
              </w:rPr>
            </w:pPr>
            <w:r>
              <w:rPr>
                <w:rFonts w:ascii="Arial" w:cs="Arial" w:eastAsia="Arial" w:hAnsi="Arial"/>
                <w:sz w:val="15"/>
                <w:szCs w:val="15"/>
                <w:b w:val="1"/>
                <w:bCs w:val="1"/>
                <w:color w:val="243782"/>
              </w:rPr>
              <w:t>Three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880" w:type="dxa"/>
            <w:vAlign w:val="bottom"/>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8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10.1 %</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11.6 %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(150) bps</w:t>
            </w:r>
          </w:p>
        </w:tc>
        <w:tc>
          <w:tcPr>
            <w:tcW w:w="10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10.2 %</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11.6 %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(140) bps</w:t>
            </w:r>
          </w:p>
        </w:tc>
      </w:tr>
    </w:tbl>
    <w:p>
      <w:pPr>
        <w:spacing w:after="0" w:line="193" w:lineRule="exact"/>
        <w:rPr>
          <w:sz w:val="20"/>
          <w:szCs w:val="20"/>
          <w:color w:val="auto"/>
        </w:rPr>
      </w:pPr>
    </w:p>
    <w:p>
      <w:pPr>
        <w:ind w:right="460" w:firstLine="8"/>
        <w:spacing w:after="0" w:line="261" w:lineRule="auto"/>
        <w:tabs>
          <w:tab w:leader="none" w:pos="22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spacing w:after="0" w:line="1" w:lineRule="exact"/>
        <w:rPr>
          <w:rFonts w:ascii="Arial" w:cs="Arial" w:eastAsia="Arial" w:hAnsi="Arial"/>
          <w:sz w:val="14"/>
          <w:szCs w:val="14"/>
          <w:color w:val="auto"/>
        </w:rPr>
      </w:pPr>
    </w:p>
    <w:p>
      <w:pPr>
        <w:ind w:right="320" w:firstLine="8"/>
        <w:spacing w:after="0" w:line="284" w:lineRule="auto"/>
        <w:tabs>
          <w:tab w:leader="none" w:pos="22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980"/>
        <w:spacing w:after="0" w:line="334" w:lineRule="auto"/>
        <w:rPr>
          <w:sz w:val="20"/>
          <w:szCs w:val="20"/>
          <w:color w:val="auto"/>
        </w:rPr>
      </w:pPr>
      <w:r>
        <w:rPr>
          <w:rFonts w:ascii="Arial" w:cs="Arial" w:eastAsia="Arial" w:hAnsi="Arial"/>
          <w:sz w:val="18"/>
          <w:szCs w:val="18"/>
          <w:color w:val="auto"/>
        </w:rPr>
        <w:t>The decrease in consolidated shipments in Middle East &amp; Africa in the three months ended September 30, 2026 compared to the corresponding period in 2025 was mainly due to lower volumes in Türkiye due to overall industry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The decrease in Middle East &amp; Africa Net revenues in the three months ended September 30, 2026 compared to the corresponding period in 2025 was driven by lower volumes and unfavorable foreign exchange translation effects from the Turkish Lira partially offset by positive net pricing and favorable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chart reflects the change in Middle East &amp; Africa Adjusted operating income/(loss) by operational driver for the three months ended September 30, 2026 compared to the same period in 2025.</w:t>
      </w:r>
    </w:p>
    <w:p>
      <w:pPr>
        <w:spacing w:after="0" w:line="131" w:lineRule="exact"/>
        <w:rPr>
          <w:sz w:val="20"/>
          <w:szCs w:val="20"/>
          <w:color w:val="auto"/>
        </w:rPr>
      </w:pPr>
    </w:p>
    <w:p>
      <w:pPr>
        <w:ind w:right="620"/>
        <w:spacing w:after="0" w:line="314" w:lineRule="auto"/>
        <w:rPr>
          <w:sz w:val="20"/>
          <w:szCs w:val="20"/>
          <w:color w:val="auto"/>
        </w:rPr>
      </w:pPr>
      <w:r>
        <w:rPr>
          <w:rFonts w:ascii="Arial" w:cs="Arial" w:eastAsia="Arial" w:hAnsi="Arial"/>
          <w:sz w:val="16"/>
          <w:szCs w:val="16"/>
          <w:b w:val="1"/>
          <w:bCs w:val="1"/>
          <w:color w:val="143A84"/>
        </w:rPr>
        <w:t>Adjusted operating income/(loss)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wp:posOffset>
            </wp:positionV>
            <wp:extent cx="5863590" cy="2280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spacing w:after="0" w:line="315" w:lineRule="auto"/>
        <w:rPr>
          <w:sz w:val="20"/>
          <w:szCs w:val="20"/>
          <w:color w:val="auto"/>
        </w:rPr>
      </w:pPr>
      <w:r>
        <w:rPr>
          <w:rFonts w:ascii="Arial" w:cs="Arial" w:eastAsia="Arial" w:hAnsi="Arial"/>
          <w:sz w:val="18"/>
          <w:szCs w:val="18"/>
          <w:color w:val="auto"/>
        </w:rPr>
        <w:t>The decrease in Middle East &amp; Africa Adjusted operating income/(loss) in the three months ended September 30, 2026 compared to the same period in 2025 was primarily due to lower volumes and unfavorable foreign exchange effects related to Turkish Lira devaluation, partially offset by positive net pricing and favorable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43A84"/>
        </w:rPr>
        <w:t>Nine Months Ended September 30, 2026</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nine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1"/>
                <w:szCs w:val="21"/>
                <w:color w:val="auto"/>
              </w:rPr>
            </w:pPr>
          </w:p>
        </w:tc>
        <w:tc>
          <w:tcPr>
            <w:tcW w:w="4720" w:type="dxa"/>
            <w:vAlign w:val="bottom"/>
            <w:tcBorders>
              <w:bottom w:val="single" w:sz="8" w:color="143A84"/>
            </w:tcBorders>
            <w:gridSpan w:val="4"/>
          </w:tcPr>
          <w:p>
            <w:pPr>
              <w:ind w:left="13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41"/>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880" w:type="dxa"/>
            <w:vAlign w:val="bottom"/>
          </w:tcPr>
          <w:p>
            <w:pPr>
              <w:spacing w:after="0"/>
              <w:rPr>
                <w:sz w:val="19"/>
                <w:szCs w:val="19"/>
                <w:color w:val="auto"/>
              </w:rPr>
            </w:pPr>
          </w:p>
        </w:tc>
        <w:tc>
          <w:tcPr>
            <w:tcW w:w="3140" w:type="dxa"/>
            <w:vAlign w:val="bottom"/>
            <w:gridSpan w:val="2"/>
          </w:tcPr>
          <w:p>
            <w:pPr>
              <w:jc w:val="right"/>
              <w:ind w:right="279"/>
              <w:spacing w:after="0"/>
              <w:rPr>
                <w:sz w:val="20"/>
                <w:szCs w:val="20"/>
                <w:color w:val="auto"/>
              </w:rPr>
            </w:pPr>
            <w:r>
              <w:rPr>
                <w:rFonts w:ascii="Arial" w:cs="Arial" w:eastAsia="Arial" w:hAnsi="Arial"/>
                <w:sz w:val="15"/>
                <w:szCs w:val="15"/>
                <w:b w:val="1"/>
                <w:bCs w:val="1"/>
                <w:color w:val="243782"/>
              </w:rPr>
              <w:t>Nine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99"/>
              <w:spacing w:after="0"/>
              <w:rPr>
                <w:sz w:val="20"/>
                <w:szCs w:val="20"/>
                <w:color w:val="auto"/>
              </w:rPr>
            </w:pPr>
            <w:r>
              <w:rPr>
                <w:rFonts w:ascii="Arial" w:cs="Arial" w:eastAsia="Arial" w:hAnsi="Arial"/>
                <w:sz w:val="15"/>
                <w:szCs w:val="15"/>
                <w:b w:val="1"/>
                <w:bCs w:val="1"/>
                <w:color w:val="243782"/>
              </w:rPr>
              <w:t>Nine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880" w:type="dxa"/>
            <w:vAlign w:val="bottom"/>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8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11.3 %</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11.5 %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 bps</w:t>
            </w:r>
          </w:p>
        </w:tc>
        <w:tc>
          <w:tcPr>
            <w:tcW w:w="10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11.3 %</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11.5 %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 bps</w:t>
            </w:r>
          </w:p>
        </w:tc>
      </w:tr>
    </w:tbl>
    <w:p>
      <w:pPr>
        <w:spacing w:after="0" w:line="193" w:lineRule="exact"/>
        <w:rPr>
          <w:sz w:val="20"/>
          <w:szCs w:val="20"/>
          <w:color w:val="auto"/>
        </w:rPr>
      </w:pPr>
    </w:p>
    <w:p>
      <w:pPr>
        <w:ind w:right="460" w:firstLine="8"/>
        <w:spacing w:after="0" w:line="272" w:lineRule="auto"/>
        <w:tabs>
          <w:tab w:leader="none" w:pos="222"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ind w:right="320" w:firstLine="8"/>
        <w:spacing w:after="0" w:line="264" w:lineRule="auto"/>
        <w:tabs>
          <w:tab w:leader="none" w:pos="22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auto"/>
        </w:rPr>
        <w:t>The decrease in consolidated shipments in Middle East &amp; Africa in the nine months ended September 30, 2026 compared to the corresponding period in 2025 was driven primarily by decreased volumes in Türkiye and in the Middle East due to the regional conflict which were partially offset by higher volumes in Algeria and Morocco.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60"/>
        <w:spacing w:after="0" w:line="315" w:lineRule="auto"/>
        <w:rPr>
          <w:sz w:val="20"/>
          <w:szCs w:val="20"/>
          <w:color w:val="auto"/>
        </w:rPr>
      </w:pPr>
      <w:r>
        <w:rPr>
          <w:rFonts w:ascii="Arial" w:cs="Arial" w:eastAsia="Arial" w:hAnsi="Arial"/>
          <w:sz w:val="18"/>
          <w:szCs w:val="18"/>
          <w:color w:val="auto"/>
        </w:rPr>
        <w:t>Middle East &amp; Africa Net revenues in the nine months ended September 30, 2026 decreased compared to the corresponding period in 2025, primarily due to positive net pricing and mix more than offset by lower volumes and the negative impact of foreign currency translation, primarily related to the Turkish Lira.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360"/>
        <w:spacing w:after="0" w:line="334" w:lineRule="auto"/>
        <w:rPr>
          <w:sz w:val="20"/>
          <w:szCs w:val="20"/>
          <w:color w:val="auto"/>
        </w:rPr>
      </w:pPr>
      <w:r>
        <w:rPr>
          <w:rFonts w:ascii="Arial" w:cs="Arial" w:eastAsia="Arial" w:hAnsi="Arial"/>
          <w:sz w:val="18"/>
          <w:szCs w:val="18"/>
          <w:color w:val="auto"/>
        </w:rPr>
        <w:t>The following chart reflects the change in Middle East &amp; Africa Adjusted operating income/(loss) by operational driver for the nine months ended September 30, 2026 compared to the same period in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780"/>
        <w:spacing w:after="0" w:line="296" w:lineRule="auto"/>
        <w:rPr>
          <w:sz w:val="20"/>
          <w:szCs w:val="20"/>
          <w:color w:val="auto"/>
        </w:rPr>
      </w:pPr>
      <w:r>
        <w:rPr>
          <w:rFonts w:ascii="Arial" w:cs="Arial" w:eastAsia="Arial" w:hAnsi="Arial"/>
          <w:sz w:val="16"/>
          <w:szCs w:val="16"/>
          <w:b w:val="1"/>
          <w:bCs w:val="1"/>
          <w:color w:val="143A84"/>
        </w:rPr>
        <w:t>Adjusted operating income/(loss)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38100</wp:posOffset>
            </wp:positionV>
            <wp:extent cx="5863590" cy="228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The decrease in Middle East &amp; Africa Adjusted operating income/(loss) in the nine months ended September 30, 2026 compared to the same period in 2025 was primarily due to unfavorable foreign currency translation effects, mainly related to the Turkish Lira, which more than offset the benefits from improved net pricing and mix.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gridSpan w:val="2"/>
          </w:tcPr>
          <w:p>
            <w:pPr>
              <w:spacing w:after="0"/>
              <w:rPr>
                <w:sz w:val="20"/>
                <w:szCs w:val="20"/>
                <w:color w:val="auto"/>
              </w:rPr>
            </w:pPr>
            <w:r>
              <w:rPr>
                <w:rFonts w:ascii="Arial" w:cs="Arial" w:eastAsia="Arial" w:hAnsi="Arial"/>
                <w:sz w:val="16"/>
                <w:szCs w:val="16"/>
                <w:b w:val="1"/>
                <w:bCs w:val="1"/>
                <w:color w:val="143A84"/>
              </w:rPr>
              <w:t>South America</w:t>
            </w: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31"/>
        </w:trPr>
        <w:tc>
          <w:tcPr>
            <w:tcW w:w="2320" w:type="dxa"/>
            <w:vAlign w:val="bottom"/>
            <w:gridSpan w:val="3"/>
          </w:tcPr>
          <w:p>
            <w:pPr>
              <w:jc w:val="center"/>
              <w:spacing w:after="0"/>
              <w:rPr>
                <w:sz w:val="20"/>
                <w:szCs w:val="20"/>
                <w:color w:val="auto"/>
              </w:rPr>
            </w:pPr>
            <w:r>
              <w:rPr>
                <w:rFonts w:ascii="Arial" w:cs="Arial" w:eastAsia="Arial" w:hAnsi="Arial"/>
                <w:sz w:val="16"/>
                <w:szCs w:val="16"/>
                <w:b w:val="1"/>
                <w:bCs w:val="1"/>
                <w:color w:val="243782"/>
              </w:rPr>
              <w:t>Three months ended</w:t>
            </w: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243782"/>
              </w:rPr>
              <w:t>Nine months ended</w:t>
            </w:r>
          </w:p>
        </w:tc>
        <w:tc>
          <w:tcPr>
            <w:tcW w:w="1760" w:type="dxa"/>
            <w:vAlign w:val="bottom"/>
          </w:tcPr>
          <w:p>
            <w:pPr>
              <w:spacing w:after="0"/>
              <w:rPr>
                <w:sz w:val="24"/>
                <w:szCs w:val="24"/>
                <w:color w:val="auto"/>
              </w:rPr>
            </w:pPr>
          </w:p>
        </w:tc>
      </w:tr>
      <w:tr>
        <w:trPr>
          <w:trHeight w:val="240"/>
        </w:trPr>
        <w:tc>
          <w:tcPr>
            <w:tcW w:w="1720" w:type="dxa"/>
            <w:vAlign w:val="bottom"/>
            <w:tcBorders>
              <w:bottom w:val="single" w:sz="8" w:color="8E939F"/>
            </w:tcBorders>
            <w:gridSpan w:val="2"/>
          </w:tcPr>
          <w:p>
            <w:pPr>
              <w:jc w:val="center"/>
              <w:ind w:left="439"/>
              <w:spacing w:after="0"/>
              <w:rPr>
                <w:sz w:val="20"/>
                <w:szCs w:val="20"/>
                <w:color w:val="auto"/>
              </w:rPr>
            </w:pPr>
            <w:r>
              <w:rPr>
                <w:rFonts w:ascii="Arial" w:cs="Arial" w:eastAsia="Arial" w:hAnsi="Arial"/>
                <w:sz w:val="16"/>
                <w:szCs w:val="16"/>
                <w:b w:val="1"/>
                <w:bCs w:val="1"/>
                <w:color w:val="243782"/>
              </w:rPr>
              <w:t>September 30,</w:t>
            </w:r>
          </w:p>
        </w:tc>
        <w:tc>
          <w:tcPr>
            <w:tcW w:w="600" w:type="dxa"/>
            <w:vAlign w:val="bottom"/>
            <w:tcBorders>
              <w:bottom w:val="single" w:sz="8" w:color="8E939F"/>
            </w:tcBorders>
          </w:tcPr>
          <w:p>
            <w:pPr>
              <w:spacing w:after="0"/>
              <w:rPr>
                <w:sz w:val="20"/>
                <w:szCs w:val="20"/>
                <w:color w:val="auto"/>
              </w:rPr>
            </w:pPr>
          </w:p>
        </w:tc>
        <w:tc>
          <w:tcPr>
            <w:tcW w:w="17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920" w:type="dxa"/>
            <w:vAlign w:val="bottom"/>
          </w:tcPr>
          <w:p>
            <w:pPr>
              <w:spacing w:after="0"/>
              <w:rPr>
                <w:sz w:val="20"/>
                <w:szCs w:val="20"/>
                <w:color w:val="auto"/>
              </w:rPr>
            </w:pPr>
          </w:p>
        </w:tc>
        <w:tc>
          <w:tcPr>
            <w:tcW w:w="1800" w:type="dxa"/>
            <w:vAlign w:val="bottom"/>
            <w:tcBorders>
              <w:bottom w:val="single" w:sz="8" w:color="8E939F"/>
            </w:tcBorders>
            <w:gridSpan w:val="2"/>
          </w:tcPr>
          <w:p>
            <w:pPr>
              <w:jc w:val="center"/>
              <w:ind w:left="459"/>
              <w:spacing w:after="0"/>
              <w:rPr>
                <w:sz w:val="20"/>
                <w:szCs w:val="20"/>
                <w:color w:val="auto"/>
              </w:rPr>
            </w:pPr>
            <w:r>
              <w:rPr>
                <w:rFonts w:ascii="Arial" w:cs="Arial" w:eastAsia="Arial" w:hAnsi="Arial"/>
                <w:sz w:val="16"/>
                <w:szCs w:val="16"/>
                <w:b w:val="1"/>
                <w:bCs w:val="1"/>
                <w:color w:val="243782"/>
              </w:rPr>
              <w:t>September 30,</w:t>
            </w:r>
          </w:p>
        </w:tc>
        <w:tc>
          <w:tcPr>
            <w:tcW w:w="660" w:type="dxa"/>
            <w:vAlign w:val="bottom"/>
            <w:tcBorders>
              <w:bottom w:val="single" w:sz="8" w:color="8E939F"/>
            </w:tcBorders>
          </w:tcPr>
          <w:p>
            <w:pPr>
              <w:spacing w:after="0"/>
              <w:rPr>
                <w:sz w:val="20"/>
                <w:szCs w:val="20"/>
                <w:color w:val="auto"/>
              </w:rPr>
            </w:pPr>
          </w:p>
        </w:tc>
        <w:tc>
          <w:tcPr>
            <w:tcW w:w="17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Increase/(Decrease)</w:t>
            </w:r>
          </w:p>
        </w:tc>
      </w:tr>
      <w:tr>
        <w:trPr>
          <w:trHeight w:val="250"/>
        </w:trPr>
        <w:tc>
          <w:tcPr>
            <w:tcW w:w="10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1"/>
                <w:szCs w:val="21"/>
                <w:color w:val="auto"/>
              </w:rPr>
            </w:pPr>
          </w:p>
        </w:tc>
        <w:tc>
          <w:tcPr>
            <w:tcW w:w="60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7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20" w:type="dxa"/>
            <w:vAlign w:val="bottom"/>
            <w:tcBorders>
              <w:bottom w:val="single" w:sz="8" w:color="143A84"/>
            </w:tcBorders>
          </w:tcPr>
          <w:p>
            <w:pPr>
              <w:spacing w:after="0"/>
              <w:rPr>
                <w:sz w:val="21"/>
                <w:szCs w:val="21"/>
                <w:color w:val="auto"/>
              </w:rPr>
            </w:pPr>
          </w:p>
        </w:tc>
        <w:tc>
          <w:tcPr>
            <w:tcW w:w="11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680" w:type="dxa"/>
            <w:vAlign w:val="bottom"/>
            <w:tcBorders>
              <w:bottom w:val="single" w:sz="8" w:color="143A84"/>
            </w:tcBorders>
          </w:tcPr>
          <w:p>
            <w:pPr>
              <w:spacing w:after="0"/>
              <w:rPr>
                <w:sz w:val="21"/>
                <w:szCs w:val="21"/>
                <w:color w:val="auto"/>
              </w:rPr>
            </w:pPr>
          </w:p>
        </w:tc>
        <w:tc>
          <w:tcPr>
            <w:tcW w:w="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13"/>
        </w:trPr>
        <w:tc>
          <w:tcPr>
            <w:tcW w:w="104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Consolidated shipments (thousands</w:t>
            </w:r>
          </w:p>
        </w:tc>
        <w:tc>
          <w:tcPr>
            <w:tcW w:w="112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r>
      <w:tr>
        <w:trPr>
          <w:trHeight w:val="23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251</w:t>
            </w:r>
          </w:p>
        </w:tc>
        <w:tc>
          <w:tcPr>
            <w:tcW w:w="680" w:type="dxa"/>
            <w:vAlign w:val="bottom"/>
            <w:tcBorders>
              <w:bottom w:val="single" w:sz="8" w:color="8E939F"/>
            </w:tcBorders>
          </w:tcPr>
          <w:p>
            <w:pPr>
              <w:spacing w:after="0"/>
              <w:rPr>
                <w:sz w:val="20"/>
                <w:szCs w:val="20"/>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252</w:t>
            </w:r>
          </w:p>
        </w:tc>
        <w:tc>
          <w:tcPr>
            <w:tcW w:w="17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(0.4%)</w:t>
            </w:r>
          </w:p>
        </w:tc>
        <w:tc>
          <w:tcPr>
            <w:tcW w:w="2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units)</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723</w:t>
            </w:r>
          </w:p>
        </w:tc>
        <w:tc>
          <w:tcPr>
            <w:tcW w:w="680" w:type="dxa"/>
            <w:vAlign w:val="bottom"/>
            <w:tcBorders>
              <w:bottom w:val="single" w:sz="8" w:color="8E939F"/>
            </w:tcBorders>
          </w:tcPr>
          <w:p>
            <w:pPr>
              <w:spacing w:after="0"/>
              <w:rPr>
                <w:sz w:val="20"/>
                <w:szCs w:val="20"/>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723</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4,120</w:t>
            </w:r>
          </w:p>
        </w:tc>
        <w:tc>
          <w:tcPr>
            <w:tcW w:w="680" w:type="dxa"/>
            <w:vAlign w:val="bottom"/>
            <w:tcBorders>
              <w:bottom w:val="single" w:sz="8" w:color="8E939F"/>
            </w:tcBorders>
          </w:tcPr>
          <w:p>
            <w:pPr>
              <w:spacing w:after="0"/>
              <w:rPr>
                <w:sz w:val="21"/>
                <w:szCs w:val="21"/>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3,989</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3.3%</w:t>
            </w:r>
          </w:p>
        </w:tc>
        <w:tc>
          <w:tcPr>
            <w:tcW w:w="2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Net revenues (€ million)</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12,081</w:t>
            </w:r>
          </w:p>
        </w:tc>
        <w:tc>
          <w:tcPr>
            <w:tcW w:w="680" w:type="dxa"/>
            <w:vAlign w:val="bottom"/>
            <w:tcBorders>
              <w:bottom w:val="single" w:sz="8" w:color="8E939F"/>
            </w:tcBorders>
          </w:tcPr>
          <w:p>
            <w:pPr>
              <w:spacing w:after="0"/>
              <w:rPr>
                <w:sz w:val="21"/>
                <w:szCs w:val="21"/>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11,760</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104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Adjusted operating income/(loss) (€</w:t>
            </w:r>
          </w:p>
        </w:tc>
        <w:tc>
          <w:tcPr>
            <w:tcW w:w="112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431</w:t>
            </w:r>
          </w:p>
        </w:tc>
        <w:tc>
          <w:tcPr>
            <w:tcW w:w="680" w:type="dxa"/>
            <w:vAlign w:val="bottom"/>
            <w:tcBorders>
              <w:bottom w:val="single" w:sz="8" w:color="8E939F"/>
            </w:tcBorders>
          </w:tcPr>
          <w:p>
            <w:pPr>
              <w:spacing w:after="0"/>
              <w:rPr>
                <w:sz w:val="20"/>
                <w:szCs w:val="20"/>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429</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0.5%</w:t>
            </w:r>
          </w:p>
        </w:tc>
        <w:tc>
          <w:tcPr>
            <w:tcW w:w="2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million)</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1,226</w:t>
            </w:r>
          </w:p>
        </w:tc>
        <w:tc>
          <w:tcPr>
            <w:tcW w:w="680" w:type="dxa"/>
            <w:vAlign w:val="bottom"/>
            <w:tcBorders>
              <w:bottom w:val="single" w:sz="8" w:color="8E939F"/>
            </w:tcBorders>
          </w:tcPr>
          <w:p>
            <w:pPr>
              <w:spacing w:after="0"/>
              <w:rPr>
                <w:sz w:val="20"/>
                <w:szCs w:val="20"/>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1,618</w:t>
            </w:r>
          </w:p>
        </w:tc>
        <w:tc>
          <w:tcPr>
            <w:tcW w:w="1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104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shd w:val="clear" w:color="auto" w:fill="E6E7F4"/>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Adjusted operating income/(loss)</w:t>
            </w:r>
          </w:p>
        </w:tc>
        <w:tc>
          <w:tcPr>
            <w:tcW w:w="1120" w:type="dxa"/>
            <w:vAlign w:val="bottom"/>
            <w:shd w:val="clear" w:color="auto" w:fill="F3F3F9"/>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shd w:val="clear" w:color="auto" w:fill="E6E7F4"/>
          </w:tcPr>
          <w:p>
            <w:pPr>
              <w:spacing w:after="0"/>
              <w:rPr>
                <w:sz w:val="18"/>
                <w:szCs w:val="18"/>
                <w:color w:val="auto"/>
              </w:rPr>
            </w:pPr>
          </w:p>
        </w:tc>
      </w:tr>
      <w:tr>
        <w:trPr>
          <w:trHeight w:val="237"/>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10.5%</w:t>
            </w:r>
          </w:p>
        </w:tc>
        <w:tc>
          <w:tcPr>
            <w:tcW w:w="680" w:type="dxa"/>
            <w:vAlign w:val="bottom"/>
            <w:tcBorders>
              <w:bottom w:val="single" w:sz="8" w:color="8E939F"/>
            </w:tcBorders>
          </w:tcPr>
          <w:p>
            <w:pPr>
              <w:spacing w:after="0"/>
              <w:rPr>
                <w:sz w:val="20"/>
                <w:szCs w:val="20"/>
                <w:color w:val="auto"/>
              </w:rPr>
            </w:pPr>
          </w:p>
        </w:tc>
        <w:tc>
          <w:tcPr>
            <w:tcW w:w="6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10.8%</w:t>
            </w:r>
          </w:p>
        </w:tc>
        <w:tc>
          <w:tcPr>
            <w:tcW w:w="17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(30) bps</w:t>
            </w:r>
          </w:p>
        </w:tc>
        <w:tc>
          <w:tcPr>
            <w:tcW w:w="2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margin (%)</w:t>
            </w:r>
          </w:p>
        </w:tc>
        <w:tc>
          <w:tcPr>
            <w:tcW w:w="11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10.1%</w:t>
            </w:r>
          </w:p>
        </w:tc>
        <w:tc>
          <w:tcPr>
            <w:tcW w:w="680" w:type="dxa"/>
            <w:vAlign w:val="bottom"/>
            <w:tcBorders>
              <w:bottom w:val="single" w:sz="8" w:color="8E939F"/>
            </w:tcBorders>
          </w:tcPr>
          <w:p>
            <w:pPr>
              <w:spacing w:after="0"/>
              <w:rPr>
                <w:sz w:val="20"/>
                <w:szCs w:val="20"/>
                <w:color w:val="auto"/>
              </w:rPr>
            </w:pPr>
          </w:p>
        </w:tc>
        <w:tc>
          <w:tcPr>
            <w:tcW w:w="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13.8%</w:t>
            </w:r>
          </w:p>
        </w:tc>
        <w:tc>
          <w:tcPr>
            <w:tcW w:w="1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(370)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-1079500</wp:posOffset>
            </wp:positionV>
            <wp:extent cx="1122680" cy="771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2680" cy="77152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1122680" cy="771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22680" cy="77152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Three months ended September 30, 2026</w:t>
      </w:r>
    </w:p>
    <w:p>
      <w:pPr>
        <w:spacing w:after="0" w:line="252"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three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1"/>
                <w:szCs w:val="21"/>
                <w:color w:val="auto"/>
              </w:rPr>
            </w:pPr>
          </w:p>
        </w:tc>
        <w:tc>
          <w:tcPr>
            <w:tcW w:w="1300" w:type="dxa"/>
            <w:vAlign w:val="bottom"/>
            <w:tcBorders>
              <w:bottom w:val="single" w:sz="8" w:color="143A84"/>
            </w:tcBorders>
          </w:tcPr>
          <w:p>
            <w:pPr>
              <w:spacing w:after="0"/>
              <w:rPr>
                <w:sz w:val="21"/>
                <w:szCs w:val="21"/>
                <w:color w:val="auto"/>
              </w:rPr>
            </w:pPr>
          </w:p>
        </w:tc>
        <w:tc>
          <w:tcPr>
            <w:tcW w:w="3400" w:type="dxa"/>
            <w:vAlign w:val="bottom"/>
            <w:tcBorders>
              <w:bottom w:val="single" w:sz="8" w:color="143A84"/>
            </w:tcBorders>
            <w:gridSpan w:val="4"/>
          </w:tcPr>
          <w:p>
            <w:pPr>
              <w:ind w:left="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4"/>
          </w:tcPr>
          <w:p>
            <w:pPr>
              <w:jc w:val="right"/>
              <w:ind w:right="92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00" w:type="dxa"/>
            <w:vAlign w:val="bottom"/>
          </w:tcPr>
          <w:p>
            <w:pPr>
              <w:spacing w:after="0"/>
              <w:rPr>
                <w:sz w:val="19"/>
                <w:szCs w:val="19"/>
                <w:color w:val="auto"/>
              </w:rPr>
            </w:pPr>
          </w:p>
        </w:tc>
        <w:tc>
          <w:tcPr>
            <w:tcW w:w="3120" w:type="dxa"/>
            <w:vAlign w:val="bottom"/>
            <w:gridSpan w:val="3"/>
          </w:tcPr>
          <w:p>
            <w:pPr>
              <w:jc w:val="right"/>
              <w:ind w:right="219"/>
              <w:spacing w:after="0"/>
              <w:rPr>
                <w:sz w:val="20"/>
                <w:szCs w:val="20"/>
                <w:color w:val="auto"/>
              </w:rPr>
            </w:pPr>
            <w:r>
              <w:rPr>
                <w:rFonts w:ascii="Arial" w:cs="Arial" w:eastAsia="Arial" w:hAnsi="Arial"/>
                <w:sz w:val="15"/>
                <w:szCs w:val="15"/>
                <w:b w:val="1"/>
                <w:bCs w:val="1"/>
                <w:color w:val="243782"/>
              </w:rPr>
              <w:t>Three months ended September 30,</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3"/>
          </w:tcPr>
          <w:p>
            <w:pPr>
              <w:jc w:val="right"/>
              <w:ind w:right="239"/>
              <w:spacing w:after="0"/>
              <w:rPr>
                <w:sz w:val="20"/>
                <w:szCs w:val="20"/>
                <w:color w:val="auto"/>
              </w:rPr>
            </w:pPr>
            <w:r>
              <w:rPr>
                <w:rFonts w:ascii="Arial" w:cs="Arial" w:eastAsia="Arial" w:hAnsi="Arial"/>
                <w:sz w:val="15"/>
                <w:szCs w:val="15"/>
                <w:b w:val="1"/>
                <w:bCs w:val="1"/>
                <w:color w:val="243782"/>
              </w:rPr>
              <w:t>Three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00" w:type="dxa"/>
            <w:vAlign w:val="bottom"/>
          </w:tcPr>
          <w:p>
            <w:pPr>
              <w:spacing w:after="0"/>
              <w:rPr>
                <w:sz w:val="2"/>
                <w:szCs w:val="2"/>
                <w:color w:val="auto"/>
              </w:rPr>
            </w:pPr>
          </w:p>
        </w:tc>
        <w:tc>
          <w:tcPr>
            <w:tcW w:w="130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500" w:type="dxa"/>
            <w:vAlign w:val="bottom"/>
            <w:tcBorders>
              <w:bottom w:val="single" w:sz="8" w:color="8E939F"/>
            </w:tcBorders>
          </w:tcPr>
          <w:p>
            <w:pPr>
              <w:spacing w:after="0"/>
              <w:rPr>
                <w:sz w:val="2"/>
                <w:szCs w:val="2"/>
                <w:color w:val="auto"/>
              </w:rPr>
            </w:pPr>
          </w:p>
        </w:tc>
        <w:tc>
          <w:tcPr>
            <w:tcW w:w="80" w:type="dxa"/>
            <w:vAlign w:val="bottom"/>
            <w:tcBorders>
              <w:bottom w:val="single" w:sz="8" w:color="8E939F"/>
            </w:tcBorders>
          </w:tcPr>
          <w:p>
            <w:pPr>
              <w:spacing w:after="0"/>
              <w:rPr>
                <w:sz w:val="2"/>
                <w:szCs w:val="2"/>
                <w:color w:val="auto"/>
              </w:rPr>
            </w:pPr>
          </w:p>
        </w:tc>
        <w:tc>
          <w:tcPr>
            <w:tcW w:w="132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00" w:type="dxa"/>
            <w:vAlign w:val="bottom"/>
            <w:tcBorders>
              <w:bottom w:val="single" w:sz="8" w:color="143A84"/>
            </w:tcBorders>
          </w:tcPr>
          <w:p>
            <w:pPr>
              <w:spacing w:after="0"/>
              <w:rPr>
                <w:sz w:val="21"/>
                <w:szCs w:val="21"/>
                <w:color w:val="auto"/>
              </w:rPr>
            </w:pPr>
          </w:p>
        </w:tc>
        <w:tc>
          <w:tcPr>
            <w:tcW w:w="146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22.0 %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(340)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18.9</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22.0 %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(310)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Brazil</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28.7 %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(360)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28.7 %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(320)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Argentina</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28.8 %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(350)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28.8 %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(320) bps</w:t>
            </w:r>
          </w:p>
        </w:tc>
      </w:tr>
    </w:tbl>
    <w:p>
      <w:pPr>
        <w:spacing w:after="0" w:line="193" w:lineRule="exact"/>
        <w:rPr>
          <w:sz w:val="20"/>
          <w:szCs w:val="20"/>
          <w:color w:val="auto"/>
        </w:rPr>
      </w:pPr>
    </w:p>
    <w:p>
      <w:pPr>
        <w:ind w:right="460" w:firstLine="8"/>
        <w:spacing w:after="0" w:line="261" w:lineRule="auto"/>
        <w:tabs>
          <w:tab w:leader="none" w:pos="22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spacing w:after="0" w:line="1" w:lineRule="exact"/>
        <w:rPr>
          <w:rFonts w:ascii="Arial" w:cs="Arial" w:eastAsia="Arial" w:hAnsi="Arial"/>
          <w:sz w:val="14"/>
          <w:szCs w:val="14"/>
          <w:color w:val="auto"/>
        </w:rPr>
      </w:pPr>
    </w:p>
    <w:p>
      <w:pPr>
        <w:ind w:right="320" w:firstLine="8"/>
        <w:spacing w:after="0" w:line="284" w:lineRule="auto"/>
        <w:tabs>
          <w:tab w:leader="none" w:pos="22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Shipments in South America were flat in the three months ended September 30, 2026 compared to the corresponding period in 2025, driven primarily by lower volumes in Argentina, largely offset by higher volumes in Brazil.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jc w:val="both"/>
        <w:ind w:right="500"/>
        <w:spacing w:after="0" w:line="315" w:lineRule="auto"/>
        <w:rPr>
          <w:sz w:val="20"/>
          <w:szCs w:val="20"/>
          <w:color w:val="auto"/>
        </w:rPr>
      </w:pPr>
      <w:r>
        <w:rPr>
          <w:rFonts w:ascii="Arial" w:cs="Arial" w:eastAsia="Arial" w:hAnsi="Arial"/>
          <w:sz w:val="18"/>
          <w:szCs w:val="18"/>
          <w:color w:val="auto"/>
        </w:rPr>
        <w:t>South America Net revenues increased in the three months ended September 30, 2026 compared to the corresponding period in 2025, mainly reflecting positive foreign exchange translation effects of the Brazilian Real, partially offset by unfavorable mix and negative net pricing.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The following chart reflects the change in South America Adjusted operating income/(loss) by operational driver for the three months ended September 30, 2026 compared to the same period in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143A84"/>
        </w:rPr>
        <w:t>Adjusted operating income/(loss)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38100</wp:posOffset>
            </wp:positionV>
            <wp:extent cx="5863590" cy="2280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40"/>
        <w:spacing w:after="0" w:line="350" w:lineRule="auto"/>
        <w:rPr>
          <w:sz w:val="20"/>
          <w:szCs w:val="20"/>
          <w:color w:val="auto"/>
        </w:rPr>
      </w:pPr>
      <w:r>
        <w:rPr>
          <w:rFonts w:ascii="Arial" w:cs="Arial" w:eastAsia="Arial" w:hAnsi="Arial"/>
          <w:sz w:val="18"/>
          <w:szCs w:val="18"/>
          <w:color w:val="auto"/>
        </w:rPr>
        <w:t>The increase in South America Adjusted operating income/(loss) in the three months ended September 30, 2026 compared to the same period in 2025 was primarily due to favorable foreign exchange effects, partially offset by unfavorable mix and negative net pricing.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143A84"/>
        </w:rPr>
        <w:t>Nine Months Ended September 30, 2026</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nine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p>
        </w:tc>
        <w:tc>
          <w:tcPr>
            <w:tcW w:w="1300" w:type="dxa"/>
            <w:vAlign w:val="bottom"/>
            <w:tcBorders>
              <w:bottom w:val="single" w:sz="8" w:color="143A84"/>
            </w:tcBorders>
          </w:tcPr>
          <w:p>
            <w:pPr>
              <w:spacing w:after="0"/>
              <w:rPr>
                <w:sz w:val="20"/>
                <w:szCs w:val="20"/>
                <w:color w:val="auto"/>
              </w:rPr>
            </w:pPr>
          </w:p>
        </w:tc>
        <w:tc>
          <w:tcPr>
            <w:tcW w:w="3400" w:type="dxa"/>
            <w:vAlign w:val="bottom"/>
            <w:tcBorders>
              <w:bottom w:val="single" w:sz="8" w:color="143A84"/>
            </w:tcBorders>
            <w:gridSpan w:val="4"/>
          </w:tcPr>
          <w:p>
            <w:pPr>
              <w:ind w:left="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4"/>
          </w:tcPr>
          <w:p>
            <w:pPr>
              <w:jc w:val="right"/>
              <w:ind w:right="920"/>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900" w:type="dxa"/>
            <w:vAlign w:val="bottom"/>
          </w:tcPr>
          <w:p>
            <w:pPr>
              <w:spacing w:after="0"/>
              <w:rPr>
                <w:sz w:val="19"/>
                <w:szCs w:val="19"/>
                <w:color w:val="auto"/>
              </w:rPr>
            </w:pPr>
          </w:p>
        </w:tc>
        <w:tc>
          <w:tcPr>
            <w:tcW w:w="3120" w:type="dxa"/>
            <w:vAlign w:val="bottom"/>
            <w:gridSpan w:val="3"/>
          </w:tcPr>
          <w:p>
            <w:pPr>
              <w:jc w:val="right"/>
              <w:ind w:right="259"/>
              <w:spacing w:after="0"/>
              <w:rPr>
                <w:sz w:val="20"/>
                <w:szCs w:val="20"/>
                <w:color w:val="auto"/>
              </w:rPr>
            </w:pPr>
            <w:r>
              <w:rPr>
                <w:rFonts w:ascii="Arial" w:cs="Arial" w:eastAsia="Arial" w:hAnsi="Arial"/>
                <w:sz w:val="15"/>
                <w:szCs w:val="15"/>
                <w:b w:val="1"/>
                <w:bCs w:val="1"/>
                <w:color w:val="243782"/>
              </w:rPr>
              <w:t>Nine months ended September 30,</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3"/>
          </w:tcPr>
          <w:p>
            <w:pPr>
              <w:jc w:val="right"/>
              <w:ind w:right="299"/>
              <w:spacing w:after="0"/>
              <w:rPr>
                <w:sz w:val="20"/>
                <w:szCs w:val="20"/>
                <w:color w:val="auto"/>
              </w:rPr>
            </w:pPr>
            <w:r>
              <w:rPr>
                <w:rFonts w:ascii="Arial" w:cs="Arial" w:eastAsia="Arial" w:hAnsi="Arial"/>
                <w:sz w:val="15"/>
                <w:szCs w:val="15"/>
                <w:b w:val="1"/>
                <w:bCs w:val="1"/>
                <w:color w:val="243782"/>
              </w:rPr>
              <w:t>Nine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900" w:type="dxa"/>
            <w:vAlign w:val="bottom"/>
          </w:tcPr>
          <w:p>
            <w:pPr>
              <w:spacing w:after="0"/>
              <w:rPr>
                <w:sz w:val="2"/>
                <w:szCs w:val="2"/>
                <w:color w:val="auto"/>
              </w:rPr>
            </w:pPr>
          </w:p>
        </w:tc>
        <w:tc>
          <w:tcPr>
            <w:tcW w:w="130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500" w:type="dxa"/>
            <w:vAlign w:val="bottom"/>
            <w:tcBorders>
              <w:bottom w:val="single" w:sz="8" w:color="8E939F"/>
            </w:tcBorders>
          </w:tcPr>
          <w:p>
            <w:pPr>
              <w:spacing w:after="0"/>
              <w:rPr>
                <w:sz w:val="2"/>
                <w:szCs w:val="2"/>
                <w:color w:val="auto"/>
              </w:rPr>
            </w:pPr>
          </w:p>
        </w:tc>
        <w:tc>
          <w:tcPr>
            <w:tcW w:w="80" w:type="dxa"/>
            <w:vAlign w:val="bottom"/>
            <w:tcBorders>
              <w:bottom w:val="single" w:sz="8" w:color="8E939F"/>
            </w:tcBorders>
          </w:tcPr>
          <w:p>
            <w:pPr>
              <w:spacing w:after="0"/>
              <w:rPr>
                <w:sz w:val="2"/>
                <w:szCs w:val="2"/>
                <w:color w:val="auto"/>
              </w:rPr>
            </w:pPr>
          </w:p>
        </w:tc>
        <w:tc>
          <w:tcPr>
            <w:tcW w:w="1320" w:type="dxa"/>
            <w:vAlign w:val="bottom"/>
            <w:tcBorders>
              <w:bottom w:val="single" w:sz="8" w:color="8E939F"/>
            </w:tcBorders>
          </w:tcPr>
          <w:p>
            <w:pPr>
              <w:spacing w:after="0"/>
              <w:rPr>
                <w:sz w:val="2"/>
                <w:szCs w:val="2"/>
                <w:color w:val="auto"/>
              </w:rPr>
            </w:pPr>
          </w:p>
        </w:tc>
        <w:tc>
          <w:tcPr>
            <w:tcW w:w="16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900" w:type="dxa"/>
            <w:vAlign w:val="bottom"/>
            <w:tcBorders>
              <w:bottom w:val="single" w:sz="8" w:color="143A84"/>
            </w:tcBorders>
          </w:tcPr>
          <w:p>
            <w:pPr>
              <w:spacing w:after="0"/>
              <w:rPr>
                <w:sz w:val="21"/>
                <w:szCs w:val="21"/>
                <w:color w:val="auto"/>
              </w:rPr>
            </w:pPr>
          </w:p>
        </w:tc>
        <w:tc>
          <w:tcPr>
            <w:tcW w:w="146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19"/>
              <w:spacing w:after="0"/>
              <w:rPr>
                <w:sz w:val="20"/>
                <w:szCs w:val="20"/>
                <w:color w:val="auto"/>
              </w:rPr>
            </w:pPr>
            <w:r>
              <w:rPr>
                <w:rFonts w:ascii="Arial" w:cs="Arial" w:eastAsia="Arial" w:hAnsi="Arial"/>
                <w:sz w:val="16"/>
                <w:szCs w:val="16"/>
                <w:b w:val="1"/>
                <w:bCs w:val="1"/>
                <w:color w:val="243782"/>
              </w:rPr>
              <w:t>2025</w:t>
            </w:r>
          </w:p>
        </w:tc>
        <w:tc>
          <w:tcPr>
            <w:tcW w:w="150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23.0 %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(350)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23.0 %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(330)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Brazil</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26.3</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29.6 %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(330)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26.6</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29.6 %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(300) bps</w:t>
            </w:r>
          </w:p>
        </w:tc>
      </w:tr>
      <w:tr>
        <w:trPr>
          <w:trHeight w:val="250"/>
        </w:trPr>
        <w:tc>
          <w:tcPr>
            <w:tcW w:w="19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Argentina</w:t>
            </w:r>
          </w:p>
        </w:tc>
        <w:tc>
          <w:tcPr>
            <w:tcW w:w="1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98"/>
              </w:rPr>
              <w:t>%</w:t>
            </w:r>
          </w:p>
        </w:tc>
        <w:tc>
          <w:tcPr>
            <w:tcW w:w="166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31.3 %</w:t>
            </w:r>
          </w:p>
        </w:tc>
        <w:tc>
          <w:tcPr>
            <w:tcW w:w="15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(450) bps</w:t>
            </w:r>
          </w:p>
        </w:tc>
        <w:tc>
          <w:tcPr>
            <w:tcW w:w="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w w:val="84"/>
              </w:rPr>
              <w:t>%</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31.3 %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(440) bps</w:t>
            </w:r>
          </w:p>
        </w:tc>
      </w:tr>
    </w:tbl>
    <w:p>
      <w:pPr>
        <w:spacing w:after="0" w:line="180" w:lineRule="exact"/>
        <w:rPr>
          <w:sz w:val="20"/>
          <w:szCs w:val="20"/>
          <w:color w:val="auto"/>
        </w:rPr>
      </w:pPr>
    </w:p>
    <w:p>
      <w:pPr>
        <w:ind w:right="460" w:firstLine="8"/>
        <w:spacing w:after="0" w:line="272" w:lineRule="auto"/>
        <w:tabs>
          <w:tab w:leader="none" w:pos="22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ind w:right="320" w:firstLine="8"/>
        <w:spacing w:after="0" w:line="284" w:lineRule="auto"/>
        <w:tabs>
          <w:tab w:leader="none" w:pos="22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Shipments in South America for the nine months ended September 30, 2026 were in line with the corresponding period in 2025, as increases in Brazil were offset by decreases in Argentina and Chile.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460"/>
        <w:spacing w:after="0" w:line="334" w:lineRule="auto"/>
        <w:rPr>
          <w:sz w:val="20"/>
          <w:szCs w:val="20"/>
          <w:color w:val="auto"/>
        </w:rPr>
      </w:pPr>
      <w:r>
        <w:rPr>
          <w:rFonts w:ascii="Arial" w:cs="Arial" w:eastAsia="Arial" w:hAnsi="Arial"/>
          <w:sz w:val="18"/>
          <w:szCs w:val="18"/>
          <w:color w:val="auto"/>
        </w:rPr>
        <w:t>South America Net revenues increased slightly in the nine months ended September 30, 2026 compared to the corresponding period in 2025, primarily due to foreign currency translation impacts.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The following chart reflects the change in South America Adjusted operating income/(loss) by operational driver for the nine months ended September 30, 2026 compared to the same period in 2025.</w:t>
      </w:r>
    </w:p>
    <w:p>
      <w:pPr>
        <w:spacing w:after="0" w:line="131" w:lineRule="exact"/>
        <w:rPr>
          <w:sz w:val="20"/>
          <w:szCs w:val="20"/>
          <w:color w:val="auto"/>
        </w:rPr>
      </w:pPr>
    </w:p>
    <w:p>
      <w:pPr>
        <w:ind w:right="780"/>
        <w:spacing w:after="0" w:line="314" w:lineRule="auto"/>
        <w:rPr>
          <w:sz w:val="20"/>
          <w:szCs w:val="20"/>
          <w:color w:val="auto"/>
        </w:rPr>
      </w:pPr>
      <w:r>
        <w:rPr>
          <w:rFonts w:ascii="Arial" w:cs="Arial" w:eastAsia="Arial" w:hAnsi="Arial"/>
          <w:sz w:val="16"/>
          <w:szCs w:val="16"/>
          <w:b w:val="1"/>
          <w:bCs w:val="1"/>
          <w:color w:val="143A84"/>
        </w:rPr>
        <w:t>Adjusted operating income/(loss)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wp:posOffset>
            </wp:positionV>
            <wp:extent cx="5863590" cy="2280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20"/>
        <w:spacing w:after="0" w:line="368" w:lineRule="auto"/>
        <w:rPr>
          <w:sz w:val="20"/>
          <w:szCs w:val="20"/>
          <w:color w:val="auto"/>
        </w:rPr>
      </w:pPr>
      <w:r>
        <w:rPr>
          <w:rFonts w:ascii="Arial" w:cs="Arial" w:eastAsia="Arial" w:hAnsi="Arial"/>
          <w:sz w:val="17"/>
          <w:szCs w:val="17"/>
          <w:color w:val="auto"/>
        </w:rPr>
        <w:t>The decrease in South America Adjusted operating income/(loss) in the nine months ended September 30, 2026 compared to the same period in 2025 mainly reflects less favorable mix and the non-recurrence of Brazilian indirect tax credits of €0.3 billion recognized in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143A84"/>
              </w:rPr>
              <w:t>Asia Pacific</w:t>
            </w:r>
          </w:p>
        </w:tc>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340" w:type="dxa"/>
            <w:vAlign w:val="bottom"/>
            <w:gridSpan w:val="2"/>
            <w:vMerge w:val="restart"/>
          </w:tcPr>
          <w:p>
            <w:pPr>
              <w:jc w:val="right"/>
              <w:ind w:right="339"/>
              <w:spacing w:after="0"/>
              <w:rPr>
                <w:sz w:val="20"/>
                <w:szCs w:val="20"/>
                <w:color w:val="auto"/>
              </w:rPr>
            </w:pPr>
            <w:r>
              <w:rPr>
                <w:rFonts w:ascii="Arial" w:cs="Arial" w:eastAsia="Arial" w:hAnsi="Arial"/>
                <w:sz w:val="16"/>
                <w:szCs w:val="16"/>
                <w:b w:val="1"/>
                <w:bCs w:val="1"/>
                <w:color w:val="243782"/>
              </w:rPr>
              <w:t>Three months ended</w:t>
            </w: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2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243782"/>
              </w:rPr>
              <w:t>Nine months ended</w:t>
            </w:r>
          </w:p>
        </w:tc>
        <w:tc>
          <w:tcPr>
            <w:tcW w:w="1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340" w:type="dxa"/>
            <w:vAlign w:val="bottom"/>
            <w:gridSpan w:val="2"/>
            <w:vMerge w:val="continue"/>
          </w:tcPr>
          <w:p>
            <w:pPr>
              <w:spacing w:after="0"/>
              <w:rPr>
                <w:sz w:val="19"/>
                <w:szCs w:val="19"/>
                <w:color w:val="auto"/>
              </w:rPr>
            </w:pPr>
          </w:p>
        </w:tc>
        <w:tc>
          <w:tcPr>
            <w:tcW w:w="156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294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54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40" w:type="dxa"/>
            <w:vAlign w:val="bottom"/>
            <w:tcBorders>
              <w:bottom w:val="single" w:sz="8" w:color="8E939F"/>
            </w:tcBorders>
            <w:gridSpan w:val="2"/>
          </w:tcPr>
          <w:p>
            <w:pPr>
              <w:jc w:val="right"/>
              <w:ind w:right="579"/>
              <w:spacing w:after="0"/>
              <w:rPr>
                <w:sz w:val="20"/>
                <w:szCs w:val="20"/>
                <w:color w:val="auto"/>
              </w:rPr>
            </w:pPr>
            <w:r>
              <w:rPr>
                <w:rFonts w:ascii="Arial" w:cs="Arial" w:eastAsia="Arial" w:hAnsi="Arial"/>
                <w:sz w:val="16"/>
                <w:szCs w:val="16"/>
                <w:b w:val="1"/>
                <w:bCs w:val="1"/>
                <w:color w:val="243782"/>
              </w:rPr>
              <w:t>September 30,</w:t>
            </w:r>
          </w:p>
        </w:tc>
        <w:tc>
          <w:tcPr>
            <w:tcW w:w="1780" w:type="dxa"/>
            <w:vAlign w:val="bottom"/>
            <w:tcBorders>
              <w:bottom w:val="single" w:sz="8" w:color="8E939F"/>
            </w:tcBorders>
            <w:gridSpan w:val="2"/>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2940" w:type="dxa"/>
            <w:vAlign w:val="bottom"/>
          </w:tcPr>
          <w:p>
            <w:pPr>
              <w:spacing w:after="0"/>
              <w:rPr>
                <w:sz w:val="19"/>
                <w:szCs w:val="19"/>
                <w:color w:val="auto"/>
              </w:rPr>
            </w:pPr>
          </w:p>
        </w:tc>
        <w:tc>
          <w:tcPr>
            <w:tcW w:w="2420" w:type="dxa"/>
            <w:vAlign w:val="bottom"/>
            <w:tcBorders>
              <w:bottom w:val="single" w:sz="8" w:color="8E939F"/>
            </w:tcBorders>
            <w:gridSpan w:val="2"/>
          </w:tcPr>
          <w:p>
            <w:pPr>
              <w:jc w:val="right"/>
              <w:ind w:right="639"/>
              <w:spacing w:after="0"/>
              <w:rPr>
                <w:sz w:val="20"/>
                <w:szCs w:val="20"/>
                <w:color w:val="auto"/>
              </w:rPr>
            </w:pPr>
            <w:r>
              <w:rPr>
                <w:rFonts w:ascii="Arial" w:cs="Arial" w:eastAsia="Arial" w:hAnsi="Arial"/>
                <w:sz w:val="16"/>
                <w:szCs w:val="16"/>
                <w:b w:val="1"/>
                <w:bCs w:val="1"/>
                <w:color w:val="243782"/>
              </w:rPr>
              <w:t>September 30,</w:t>
            </w:r>
          </w:p>
        </w:tc>
        <w:tc>
          <w:tcPr>
            <w:tcW w:w="1760" w:type="dxa"/>
            <w:vAlign w:val="bottom"/>
            <w:tcBorders>
              <w:bottom w:val="single" w:sz="8" w:color="8E939F"/>
            </w:tcBorders>
            <w:gridSpan w:val="2"/>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Increase/(Decrease)</w:t>
            </w:r>
          </w:p>
        </w:tc>
        <w:tc>
          <w:tcPr>
            <w:tcW w:w="0" w:type="dxa"/>
            <w:vAlign w:val="bottom"/>
          </w:tcPr>
          <w:p>
            <w:pPr>
              <w:spacing w:after="0"/>
              <w:rPr>
                <w:sz w:val="1"/>
                <w:szCs w:val="1"/>
                <w:color w:val="auto"/>
              </w:rPr>
            </w:pPr>
          </w:p>
        </w:tc>
      </w:tr>
      <w:tr>
        <w:trPr>
          <w:trHeight w:val="250"/>
        </w:trPr>
        <w:tc>
          <w:tcPr>
            <w:tcW w:w="1040" w:type="dxa"/>
            <w:vAlign w:val="bottom"/>
            <w:tcBorders>
              <w:bottom w:val="single" w:sz="8" w:color="143A84"/>
            </w:tcBorders>
            <w:shd w:val="clear" w:color="auto" w:fill="F3F3F9"/>
          </w:tcPr>
          <w:p>
            <w:pPr>
              <w:jc w:val="right"/>
              <w:ind w:right="259"/>
              <w:spacing w:after="0"/>
              <w:rPr>
                <w:sz w:val="20"/>
                <w:szCs w:val="20"/>
                <w:color w:val="auto"/>
              </w:rPr>
            </w:pPr>
            <w:r>
              <w:rPr>
                <w:rFonts w:ascii="Arial" w:cs="Arial" w:eastAsia="Arial" w:hAnsi="Arial"/>
                <w:sz w:val="16"/>
                <w:szCs w:val="16"/>
                <w:b w:val="1"/>
                <w:bCs w:val="1"/>
                <w:color w:val="243782"/>
              </w:rPr>
              <w:t>2026</w:t>
            </w:r>
          </w:p>
        </w:tc>
        <w:tc>
          <w:tcPr>
            <w:tcW w:w="1300" w:type="dxa"/>
            <w:vAlign w:val="bottom"/>
            <w:tcBorders>
              <w:bottom w:val="single" w:sz="8" w:color="143A84"/>
            </w:tcBorders>
          </w:tcPr>
          <w:p>
            <w:pPr>
              <w:jc w:val="right"/>
              <w:ind w:right="399"/>
              <w:spacing w:after="0"/>
              <w:rPr>
                <w:sz w:val="20"/>
                <w:szCs w:val="20"/>
                <w:color w:val="auto"/>
              </w:rPr>
            </w:pPr>
            <w:r>
              <w:rPr>
                <w:rFonts w:ascii="Arial" w:cs="Arial" w:eastAsia="Arial" w:hAnsi="Arial"/>
                <w:sz w:val="16"/>
                <w:szCs w:val="16"/>
                <w:b w:val="1"/>
                <w:bCs w:val="1"/>
                <w:color w:val="243782"/>
              </w:rPr>
              <w:t>2025</w:t>
            </w:r>
          </w:p>
        </w:tc>
        <w:tc>
          <w:tcPr>
            <w:tcW w:w="1780" w:type="dxa"/>
            <w:vAlign w:val="bottom"/>
            <w:tcBorders>
              <w:bottom w:val="single" w:sz="8" w:color="143A84"/>
            </w:tcBorders>
            <w:gridSpan w:val="2"/>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2940" w:type="dxa"/>
            <w:vAlign w:val="bottom"/>
            <w:tcBorders>
              <w:bottom w:val="single" w:sz="8" w:color="143A84"/>
            </w:tcBorders>
          </w:tcPr>
          <w:p>
            <w:pPr>
              <w:spacing w:after="0"/>
              <w:rPr>
                <w:sz w:val="21"/>
                <w:szCs w:val="21"/>
                <w:color w:val="auto"/>
              </w:rPr>
            </w:pPr>
          </w:p>
        </w:tc>
        <w:tc>
          <w:tcPr>
            <w:tcW w:w="1080" w:type="dxa"/>
            <w:vAlign w:val="bottom"/>
            <w:tcBorders>
              <w:bottom w:val="single" w:sz="8" w:color="143A84"/>
            </w:tcBorders>
            <w:shd w:val="clear" w:color="auto" w:fill="F3F3F9"/>
          </w:tcPr>
          <w:p>
            <w:pPr>
              <w:jc w:val="right"/>
              <w:ind w:right="279"/>
              <w:spacing w:after="0"/>
              <w:rPr>
                <w:sz w:val="20"/>
                <w:szCs w:val="20"/>
                <w:color w:val="auto"/>
              </w:rPr>
            </w:pPr>
            <w:r>
              <w:rPr>
                <w:rFonts w:ascii="Arial" w:cs="Arial" w:eastAsia="Arial" w:hAnsi="Arial"/>
                <w:sz w:val="16"/>
                <w:szCs w:val="16"/>
                <w:b w:val="1"/>
                <w:bCs w:val="1"/>
                <w:color w:val="243782"/>
              </w:rPr>
              <w:t>2026</w:t>
            </w:r>
          </w:p>
        </w:tc>
        <w:tc>
          <w:tcPr>
            <w:tcW w:w="1340" w:type="dxa"/>
            <w:vAlign w:val="bottom"/>
            <w:tcBorders>
              <w:bottom w:val="single" w:sz="8" w:color="143A84"/>
            </w:tcBorders>
          </w:tcPr>
          <w:p>
            <w:pPr>
              <w:jc w:val="right"/>
              <w:ind w:right="419"/>
              <w:spacing w:after="0"/>
              <w:rPr>
                <w:sz w:val="20"/>
                <w:szCs w:val="20"/>
                <w:color w:val="auto"/>
              </w:rPr>
            </w:pPr>
            <w:r>
              <w:rPr>
                <w:rFonts w:ascii="Arial" w:cs="Arial" w:eastAsia="Arial" w:hAnsi="Arial"/>
                <w:sz w:val="16"/>
                <w:szCs w:val="16"/>
                <w:b w:val="1"/>
                <w:bCs w:val="1"/>
                <w:color w:val="243782"/>
              </w:rPr>
              <w:t>2025</w:t>
            </w:r>
          </w:p>
        </w:tc>
        <w:tc>
          <w:tcPr>
            <w:tcW w:w="1760" w:type="dxa"/>
            <w:vAlign w:val="bottom"/>
            <w:tcBorders>
              <w:bottom w:val="single" w:sz="8" w:color="143A84"/>
            </w:tcBorders>
            <w:gridSpan w:val="2"/>
            <w:shd w:val="clear" w:color="auto" w:fill="E6E7F4"/>
          </w:tcPr>
          <w:p>
            <w:pPr>
              <w:jc w:val="right"/>
              <w:ind w:right="279"/>
              <w:spacing w:after="0"/>
              <w:rPr>
                <w:sz w:val="20"/>
                <w:szCs w:val="20"/>
                <w:color w:val="auto"/>
              </w:rPr>
            </w:pPr>
            <w:r>
              <w:rPr>
                <w:rFonts w:ascii="Arial" w:cs="Arial" w:eastAsia="Arial" w:hAnsi="Arial"/>
                <w:sz w:val="16"/>
                <w:szCs w:val="16"/>
                <w:b w:val="1"/>
                <w:bCs w:val="1"/>
                <w:color w:val="243782"/>
              </w:rPr>
              <w:t>2026 vs. 2025</w:t>
            </w:r>
          </w:p>
        </w:tc>
        <w:tc>
          <w:tcPr>
            <w:tcW w:w="0" w:type="dxa"/>
            <w:vAlign w:val="bottom"/>
          </w:tcPr>
          <w:p>
            <w:pPr>
              <w:spacing w:after="0"/>
              <w:rPr>
                <w:sz w:val="1"/>
                <w:szCs w:val="1"/>
                <w:color w:val="auto"/>
              </w:rPr>
            </w:pPr>
          </w:p>
        </w:tc>
      </w:tr>
      <w:tr>
        <w:trPr>
          <w:trHeight w:val="226"/>
        </w:trPr>
        <w:tc>
          <w:tcPr>
            <w:tcW w:w="1040" w:type="dxa"/>
            <w:vAlign w:val="bottom"/>
            <w:shd w:val="clear" w:color="auto" w:fill="F3F3F9"/>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Combined shipments (thousands of</w:t>
            </w:r>
          </w:p>
        </w:tc>
        <w:tc>
          <w:tcPr>
            <w:tcW w:w="1080" w:type="dxa"/>
            <w:vAlign w:val="bottom"/>
            <w:shd w:val="clear" w:color="auto" w:fill="F3F3F9"/>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w:t>
            </w:r>
          </w:p>
        </w:tc>
        <w:tc>
          <w:tcPr>
            <w:tcW w:w="13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16</w:t>
            </w:r>
          </w:p>
        </w:tc>
        <w:tc>
          <w:tcPr>
            <w:tcW w:w="178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color w:val="auto"/>
              </w:rPr>
              <w:t>—%</w:t>
            </w:r>
          </w:p>
        </w:tc>
        <w:tc>
          <w:tcPr>
            <w:tcW w:w="2940" w:type="dxa"/>
            <w:vAlign w:val="bottom"/>
            <w:tcBorders>
              <w:bottom w:val="single" w:sz="8" w:color="8E939F"/>
            </w:tcBorders>
          </w:tcPr>
          <w:p>
            <w:pPr>
              <w:ind w:left="100"/>
              <w:spacing w:after="0"/>
              <w:rPr>
                <w:sz w:val="20"/>
                <w:szCs w:val="20"/>
                <w:color w:val="auto"/>
              </w:rPr>
            </w:pPr>
            <w:r>
              <w:rPr>
                <w:rFonts w:ascii="Arial" w:cs="Arial" w:eastAsia="Arial" w:hAnsi="Arial"/>
                <w:sz w:val="16"/>
                <w:szCs w:val="16"/>
                <w:color w:val="auto"/>
              </w:rPr>
              <w:t>units)</w:t>
            </w:r>
          </w:p>
        </w:tc>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w:t>
            </w:r>
          </w:p>
        </w:tc>
        <w:tc>
          <w:tcPr>
            <w:tcW w:w="13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45</w:t>
            </w:r>
          </w:p>
        </w:tc>
        <w:tc>
          <w:tcPr>
            <w:tcW w:w="176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9"/>
        </w:trPr>
        <w:tc>
          <w:tcPr>
            <w:tcW w:w="1040" w:type="dxa"/>
            <w:vAlign w:val="bottom"/>
            <w:shd w:val="clear" w:color="auto" w:fill="F3F3F9"/>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Consolidated shipments (thousands</w:t>
            </w:r>
          </w:p>
        </w:tc>
        <w:tc>
          <w:tcPr>
            <w:tcW w:w="1080" w:type="dxa"/>
            <w:vAlign w:val="bottom"/>
            <w:shd w:val="clear" w:color="auto" w:fill="F3F3F9"/>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w:t>
            </w:r>
          </w:p>
        </w:tc>
        <w:tc>
          <w:tcPr>
            <w:tcW w:w="13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16</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2940" w:type="dxa"/>
            <w:vAlign w:val="bottom"/>
            <w:tcBorders>
              <w:bottom w:val="single" w:sz="8" w:color="8E939F"/>
            </w:tcBorders>
          </w:tcPr>
          <w:p>
            <w:pPr>
              <w:ind w:left="100"/>
              <w:spacing w:after="0"/>
              <w:rPr>
                <w:sz w:val="20"/>
                <w:szCs w:val="20"/>
                <w:color w:val="auto"/>
              </w:rPr>
            </w:pPr>
            <w:r>
              <w:rPr>
                <w:rFonts w:ascii="Arial" w:cs="Arial" w:eastAsia="Arial" w:hAnsi="Arial"/>
                <w:sz w:val="16"/>
                <w:szCs w:val="16"/>
                <w:color w:val="auto"/>
              </w:rPr>
              <w:t>of units)</w:t>
            </w:r>
          </w:p>
        </w:tc>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46</w:t>
            </w:r>
          </w:p>
        </w:tc>
        <w:tc>
          <w:tcPr>
            <w:tcW w:w="13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45</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445</w:t>
            </w:r>
          </w:p>
        </w:tc>
        <w:tc>
          <w:tcPr>
            <w:tcW w:w="13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476</w:t>
            </w:r>
          </w:p>
        </w:tc>
        <w:tc>
          <w:tcPr>
            <w:tcW w:w="178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(6.5%)</w:t>
            </w:r>
          </w:p>
        </w:tc>
        <w:tc>
          <w:tcPr>
            <w:tcW w:w="2940" w:type="dxa"/>
            <w:vAlign w:val="bottom"/>
            <w:tcBorders>
              <w:bottom w:val="single" w:sz="8" w:color="8E939F"/>
            </w:tcBorders>
          </w:tcPr>
          <w:p>
            <w:pPr>
              <w:ind w:left="100"/>
              <w:spacing w:after="0"/>
              <w:rPr>
                <w:sz w:val="20"/>
                <w:szCs w:val="20"/>
                <w:color w:val="auto"/>
              </w:rPr>
            </w:pPr>
            <w:r>
              <w:rPr>
                <w:rFonts w:ascii="Arial" w:cs="Arial" w:eastAsia="Arial" w:hAnsi="Arial"/>
                <w:sz w:val="16"/>
                <w:szCs w:val="16"/>
                <w:color w:val="auto"/>
              </w:rPr>
              <w:t>Net revenues (€ million)</w:t>
            </w:r>
          </w:p>
        </w:tc>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1,379</w:t>
            </w:r>
          </w:p>
        </w:tc>
        <w:tc>
          <w:tcPr>
            <w:tcW w:w="13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1,486</w:t>
            </w:r>
          </w:p>
        </w:tc>
        <w:tc>
          <w:tcPr>
            <w:tcW w:w="176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9"/>
        </w:trPr>
        <w:tc>
          <w:tcPr>
            <w:tcW w:w="1040" w:type="dxa"/>
            <w:vAlign w:val="bottom"/>
            <w:shd w:val="clear" w:color="auto" w:fill="F3F3F9"/>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6"/>
                <w:szCs w:val="16"/>
                <w:color w:val="auto"/>
              </w:rPr>
              <w:t>Adjusted operating income/(loss) (€</w:t>
            </w:r>
          </w:p>
        </w:tc>
        <w:tc>
          <w:tcPr>
            <w:tcW w:w="1080" w:type="dxa"/>
            <w:vAlign w:val="bottom"/>
            <w:shd w:val="clear" w:color="auto" w:fill="F3F3F9"/>
          </w:tcPr>
          <w:p>
            <w:pPr>
              <w:spacing w:after="0"/>
              <w:rPr>
                <w:sz w:val="19"/>
                <w:szCs w:val="19"/>
                <w:color w:val="auto"/>
              </w:rPr>
            </w:pPr>
          </w:p>
        </w:tc>
        <w:tc>
          <w:tcPr>
            <w:tcW w:w="1340" w:type="dxa"/>
            <w:vAlign w:val="bottom"/>
          </w:tcPr>
          <w:p>
            <w:pPr>
              <w:spacing w:after="0"/>
              <w:rPr>
                <w:sz w:val="19"/>
                <w:szCs w:val="19"/>
                <w:color w:val="auto"/>
              </w:rPr>
            </w:pPr>
          </w:p>
        </w:tc>
        <w:tc>
          <w:tcPr>
            <w:tcW w:w="1540" w:type="dxa"/>
            <w:vAlign w:val="bottom"/>
            <w:shd w:val="clear" w:color="auto" w:fill="E6E7F4"/>
          </w:tcPr>
          <w:p>
            <w:pPr>
              <w:spacing w:after="0"/>
              <w:rPr>
                <w:sz w:val="19"/>
                <w:szCs w:val="19"/>
                <w:color w:val="auto"/>
              </w:rPr>
            </w:pPr>
          </w:p>
        </w:tc>
        <w:tc>
          <w:tcPr>
            <w:tcW w:w="220" w:type="dxa"/>
            <w:vAlign w:val="bottom"/>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w:t>
            </w:r>
          </w:p>
        </w:tc>
        <w:tc>
          <w:tcPr>
            <w:tcW w:w="1300" w:type="dxa"/>
            <w:vAlign w:val="bottom"/>
            <w:tcBorders>
              <w:bottom w:val="single" w:sz="8" w:color="8E939F"/>
            </w:tcBorders>
          </w:tcPr>
          <w:p>
            <w:pPr>
              <w:jc w:val="right"/>
              <w:ind w:right="19"/>
              <w:spacing w:after="0"/>
              <w:rPr>
                <w:sz w:val="20"/>
                <w:szCs w:val="20"/>
                <w:color w:val="auto"/>
              </w:rPr>
            </w:pPr>
            <w:r>
              <w:rPr>
                <w:rFonts w:ascii="Arial" w:cs="Arial" w:eastAsia="Arial" w:hAnsi="Arial"/>
                <w:sz w:val="16"/>
                <w:szCs w:val="16"/>
                <w:color w:val="auto"/>
              </w:rPr>
              <w:t>(4)</w:t>
            </w:r>
          </w:p>
        </w:tc>
        <w:tc>
          <w:tcPr>
            <w:tcW w:w="178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2940" w:type="dxa"/>
            <w:vAlign w:val="bottom"/>
            <w:tcBorders>
              <w:bottom w:val="single" w:sz="8" w:color="8E939F"/>
            </w:tcBorders>
          </w:tcPr>
          <w:p>
            <w:pPr>
              <w:ind w:left="100"/>
              <w:spacing w:after="0"/>
              <w:rPr>
                <w:sz w:val="20"/>
                <w:szCs w:val="20"/>
                <w:color w:val="auto"/>
              </w:rPr>
            </w:pPr>
            <w:r>
              <w:rPr>
                <w:rFonts w:ascii="Arial" w:cs="Arial" w:eastAsia="Arial" w:hAnsi="Arial"/>
                <w:sz w:val="16"/>
                <w:szCs w:val="16"/>
                <w:color w:val="auto"/>
              </w:rPr>
              <w:t>million)</w:t>
            </w:r>
          </w:p>
        </w:tc>
        <w:tc>
          <w:tcPr>
            <w:tcW w:w="10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w:t>
            </w:r>
          </w:p>
        </w:tc>
        <w:tc>
          <w:tcPr>
            <w:tcW w:w="1760" w:type="dxa"/>
            <w:vAlign w:val="bottom"/>
            <w:tcBorders>
              <w:bottom w:val="single" w:sz="8" w:color="8E939F"/>
            </w:tcBorders>
            <w:gridSpan w:val="2"/>
            <w:shd w:val="clear" w:color="auto" w:fill="E6E7F4"/>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83"/>
        </w:trPr>
        <w:tc>
          <w:tcPr>
            <w:tcW w:w="1040" w:type="dxa"/>
            <w:vAlign w:val="bottom"/>
            <w:shd w:val="clear" w:color="auto" w:fill="F3F3F9"/>
          </w:tcPr>
          <w:p>
            <w:pPr>
              <w:jc w:val="right"/>
              <w:spacing w:after="0"/>
              <w:rPr>
                <w:sz w:val="20"/>
                <w:szCs w:val="20"/>
                <w:color w:val="auto"/>
              </w:rPr>
            </w:pPr>
            <w:r>
              <w:rPr>
                <w:rFonts w:ascii="Arial" w:cs="Arial" w:eastAsia="Arial" w:hAnsi="Arial"/>
                <w:sz w:val="16"/>
                <w:szCs w:val="16"/>
                <w:color w:val="auto"/>
              </w:rPr>
              <w:t>4.0%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780" w:type="dxa"/>
            <w:vAlign w:val="bottom"/>
            <w:gridSpan w:val="2"/>
            <w:shd w:val="clear" w:color="auto" w:fill="E6E7F4"/>
          </w:tcPr>
          <w:p>
            <w:pPr>
              <w:jc w:val="right"/>
              <w:spacing w:after="0"/>
              <w:rPr>
                <w:sz w:val="20"/>
                <w:szCs w:val="20"/>
                <w:color w:val="auto"/>
              </w:rPr>
            </w:pPr>
            <w:r>
              <w:rPr>
                <w:rFonts w:ascii="Arial" w:cs="Arial" w:eastAsia="Arial" w:hAnsi="Arial"/>
                <w:sz w:val="16"/>
                <w:szCs w:val="16"/>
                <w:color w:val="auto"/>
              </w:rPr>
              <w:t>480 bps</w:t>
            </w:r>
          </w:p>
        </w:tc>
        <w:tc>
          <w:tcPr>
            <w:tcW w:w="2940" w:type="dxa"/>
            <w:vAlign w:val="bottom"/>
          </w:tcPr>
          <w:p>
            <w:pPr>
              <w:ind w:left="100"/>
              <w:spacing w:after="0"/>
              <w:rPr>
                <w:sz w:val="20"/>
                <w:szCs w:val="20"/>
                <w:color w:val="auto"/>
              </w:rPr>
            </w:pPr>
            <w:r>
              <w:rPr>
                <w:rFonts w:ascii="Arial" w:cs="Arial" w:eastAsia="Arial" w:hAnsi="Arial"/>
                <w:sz w:val="16"/>
                <w:szCs w:val="16"/>
                <w:color w:val="auto"/>
              </w:rPr>
              <w:t>Adjusted operating income/(loss)</w:t>
            </w:r>
          </w:p>
        </w:tc>
        <w:tc>
          <w:tcPr>
            <w:tcW w:w="1080" w:type="dxa"/>
            <w:vAlign w:val="bottom"/>
            <w:shd w:val="clear" w:color="auto" w:fill="F3F3F9"/>
          </w:tcPr>
          <w:p>
            <w:pPr>
              <w:jc w:val="right"/>
              <w:spacing w:after="0"/>
              <w:rPr>
                <w:sz w:val="20"/>
                <w:szCs w:val="20"/>
                <w:color w:val="auto"/>
              </w:rPr>
            </w:pPr>
            <w:r>
              <w:rPr>
                <w:rFonts w:ascii="Arial" w:cs="Arial" w:eastAsia="Arial" w:hAnsi="Arial"/>
                <w:sz w:val="16"/>
                <w:szCs w:val="16"/>
                <w:color w:val="auto"/>
              </w:rPr>
              <w:t>1.1 %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760" w:type="dxa"/>
            <w:vAlign w:val="bottom"/>
            <w:gridSpan w:val="2"/>
            <w:shd w:val="clear" w:color="auto" w:fill="E6E7F4"/>
          </w:tcPr>
          <w:p>
            <w:pPr>
              <w:jc w:val="right"/>
              <w:spacing w:after="0"/>
              <w:rPr>
                <w:sz w:val="20"/>
                <w:szCs w:val="20"/>
                <w:color w:val="auto"/>
              </w:rPr>
            </w:pPr>
            <w:r>
              <w:rPr>
                <w:rFonts w:ascii="Arial" w:cs="Arial" w:eastAsia="Arial" w:hAnsi="Arial"/>
                <w:sz w:val="16"/>
                <w:szCs w:val="16"/>
                <w:color w:val="auto"/>
              </w:rPr>
              <w:t>140 bps</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8E939F"/>
            </w:tcBorders>
            <w:shd w:val="clear" w:color="auto" w:fill="F3F3F9"/>
          </w:tcPr>
          <w:p>
            <w:pPr>
              <w:spacing w:after="0"/>
              <w:rPr>
                <w:sz w:val="15"/>
                <w:szCs w:val="15"/>
                <w:color w:val="auto"/>
              </w:rPr>
            </w:pPr>
          </w:p>
        </w:tc>
        <w:tc>
          <w:tcPr>
            <w:tcW w:w="1300" w:type="dxa"/>
            <w:vAlign w:val="bottom"/>
            <w:tcBorders>
              <w:bottom w:val="single" w:sz="8" w:color="8E939F"/>
            </w:tcBorders>
          </w:tcPr>
          <w:p>
            <w:pPr>
              <w:spacing w:after="0"/>
              <w:rPr>
                <w:sz w:val="15"/>
                <w:szCs w:val="15"/>
                <w:color w:val="auto"/>
              </w:rPr>
            </w:pPr>
          </w:p>
        </w:tc>
        <w:tc>
          <w:tcPr>
            <w:tcW w:w="1560" w:type="dxa"/>
            <w:vAlign w:val="bottom"/>
            <w:tcBorders>
              <w:bottom w:val="single" w:sz="8" w:color="8E939F"/>
            </w:tcBorders>
            <w:shd w:val="clear" w:color="auto" w:fill="E6E7F4"/>
          </w:tcPr>
          <w:p>
            <w:pPr>
              <w:spacing w:after="0"/>
              <w:rPr>
                <w:sz w:val="15"/>
                <w:szCs w:val="15"/>
                <w:color w:val="auto"/>
              </w:rPr>
            </w:pPr>
          </w:p>
        </w:tc>
        <w:tc>
          <w:tcPr>
            <w:tcW w:w="220" w:type="dxa"/>
            <w:vAlign w:val="bottom"/>
            <w:tcBorders>
              <w:bottom w:val="single" w:sz="8" w:color="8E939F"/>
            </w:tcBorders>
            <w:shd w:val="clear" w:color="auto" w:fill="E6E7F4"/>
          </w:tcPr>
          <w:p>
            <w:pPr>
              <w:spacing w:after="0"/>
              <w:rPr>
                <w:sz w:val="15"/>
                <w:szCs w:val="15"/>
                <w:color w:val="auto"/>
              </w:rPr>
            </w:pPr>
          </w:p>
        </w:tc>
        <w:tc>
          <w:tcPr>
            <w:tcW w:w="2940" w:type="dxa"/>
            <w:vAlign w:val="bottom"/>
            <w:tcBorders>
              <w:bottom w:val="single" w:sz="8" w:color="8E939F"/>
            </w:tcBorders>
          </w:tcPr>
          <w:p>
            <w:pPr>
              <w:ind w:left="100"/>
              <w:spacing w:after="0" w:line="175" w:lineRule="exact"/>
              <w:rPr>
                <w:sz w:val="20"/>
                <w:szCs w:val="20"/>
                <w:color w:val="auto"/>
              </w:rPr>
            </w:pPr>
            <w:r>
              <w:rPr>
                <w:rFonts w:ascii="Arial" w:cs="Arial" w:eastAsia="Arial" w:hAnsi="Arial"/>
                <w:sz w:val="16"/>
                <w:szCs w:val="16"/>
                <w:color w:val="auto"/>
              </w:rPr>
              <w:t>margin (%)</w:t>
            </w:r>
          </w:p>
        </w:tc>
        <w:tc>
          <w:tcPr>
            <w:tcW w:w="1080" w:type="dxa"/>
            <w:vAlign w:val="bottom"/>
            <w:tcBorders>
              <w:bottom w:val="single" w:sz="8" w:color="8E939F"/>
            </w:tcBorders>
            <w:shd w:val="clear" w:color="auto" w:fill="F3F3F9"/>
          </w:tcPr>
          <w:p>
            <w:pPr>
              <w:spacing w:after="0"/>
              <w:rPr>
                <w:sz w:val="15"/>
                <w:szCs w:val="15"/>
                <w:color w:val="auto"/>
              </w:rPr>
            </w:pPr>
          </w:p>
        </w:tc>
        <w:tc>
          <w:tcPr>
            <w:tcW w:w="1340" w:type="dxa"/>
            <w:vAlign w:val="bottom"/>
            <w:tcBorders>
              <w:bottom w:val="single" w:sz="8" w:color="8E939F"/>
            </w:tcBorders>
          </w:tcPr>
          <w:p>
            <w:pPr>
              <w:spacing w:after="0"/>
              <w:rPr>
                <w:sz w:val="15"/>
                <w:szCs w:val="15"/>
                <w:color w:val="auto"/>
              </w:rPr>
            </w:pPr>
          </w:p>
        </w:tc>
        <w:tc>
          <w:tcPr>
            <w:tcW w:w="1540" w:type="dxa"/>
            <w:vAlign w:val="bottom"/>
            <w:tcBorders>
              <w:bottom w:val="single" w:sz="8" w:color="8E939F"/>
            </w:tcBorders>
            <w:shd w:val="clear" w:color="auto" w:fill="E6E7F4"/>
          </w:tcPr>
          <w:p>
            <w:pPr>
              <w:spacing w:after="0"/>
              <w:rPr>
                <w:sz w:val="15"/>
                <w:szCs w:val="15"/>
                <w:color w:val="auto"/>
              </w:rPr>
            </w:pPr>
          </w:p>
        </w:tc>
        <w:tc>
          <w:tcPr>
            <w:tcW w:w="220" w:type="dxa"/>
            <w:vAlign w:val="bottom"/>
            <w:tcBorders>
              <w:bottom w:val="single" w:sz="8" w:color="8E939F"/>
            </w:tcBorders>
            <w:shd w:val="clear" w:color="auto" w:fill="E6E7F4"/>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-1379220</wp:posOffset>
            </wp:positionV>
            <wp:extent cx="1122680" cy="771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2680" cy="77152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-1379220</wp:posOffset>
            </wp:positionV>
            <wp:extent cx="1122680" cy="771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2680" cy="77152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China, we distribute imported vehicles primarily for the Jeep brand through an asset-light approach.</w:t>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309" w:lineRule="auto"/>
        <w:rPr>
          <w:sz w:val="20"/>
          <w:szCs w:val="20"/>
          <w:color w:val="auto"/>
        </w:rPr>
      </w:pPr>
      <w:r>
        <w:rPr>
          <w:rFonts w:ascii="Arial" w:cs="Arial" w:eastAsia="Arial" w:hAnsi="Arial"/>
          <w:sz w:val="18"/>
          <w:szCs w:val="18"/>
          <w:color w:val="auto"/>
        </w:rPr>
        <w:t xml:space="preserve">In August 2026, Stellantis obtained significant influence over Dongfeng Peugeot Citroën Automobiles Co. Ltd. (“DPCA”), which will produce new Peugeot and Jeep-branded vehicles in China. DPCA is accounted for under the equity method, and its shipments are included in Asia Pacific combined shipments starting from the third quarter of 2026. Refer to Note 2, </w:t>
      </w:r>
      <w:r>
        <w:rPr>
          <w:rFonts w:ascii="Arial" w:cs="Arial" w:eastAsia="Arial" w:hAnsi="Arial"/>
          <w:sz w:val="18"/>
          <w:szCs w:val="18"/>
          <w:i w:val="1"/>
          <w:iCs w:val="1"/>
          <w:color w:val="auto"/>
        </w:rPr>
        <w:t>Scope of consolidation</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176" w:lineRule="exact"/>
        <w:rPr>
          <w:sz w:val="20"/>
          <w:szCs w:val="20"/>
          <w:color w:val="auto"/>
        </w:rPr>
      </w:pPr>
    </w:p>
    <w:p>
      <w:pPr>
        <w:ind w:right="700"/>
        <w:spacing w:after="0" w:line="334" w:lineRule="auto"/>
        <w:rPr>
          <w:sz w:val="20"/>
          <w:szCs w:val="20"/>
          <w:color w:val="auto"/>
        </w:rPr>
      </w:pPr>
      <w:r>
        <w:rPr>
          <w:rFonts w:ascii="Arial" w:cs="Arial" w:eastAsia="Arial" w:hAnsi="Arial"/>
          <w:sz w:val="18"/>
          <w:szCs w:val="18"/>
          <w:color w:val="auto"/>
        </w:rPr>
        <w:t>We produce the Jeep Compass and Jeep Meridian in India through our joint operation Fiat India Automobiles Private Limited and we recognize our related interest in the joint operation on a line-by-line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Three months ended September 30, 2026</w:t>
      </w:r>
    </w:p>
    <w:p>
      <w:pPr>
        <w:spacing w:after="0" w:line="252"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three months ended September 30, 2026 and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1"/>
                <w:szCs w:val="21"/>
                <w:color w:val="auto"/>
              </w:rPr>
            </w:pPr>
          </w:p>
        </w:tc>
        <w:tc>
          <w:tcPr>
            <w:tcW w:w="4720" w:type="dxa"/>
            <w:vAlign w:val="bottom"/>
            <w:tcBorders>
              <w:bottom w:val="single" w:sz="8" w:color="143A84"/>
            </w:tcBorders>
            <w:gridSpan w:val="4"/>
          </w:tcPr>
          <w:p>
            <w:pPr>
              <w:ind w:left="13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41"/>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880" w:type="dxa"/>
            <w:vAlign w:val="bottom"/>
          </w:tcPr>
          <w:p>
            <w:pPr>
              <w:spacing w:after="0"/>
              <w:rPr>
                <w:sz w:val="19"/>
                <w:szCs w:val="19"/>
                <w:color w:val="auto"/>
              </w:rPr>
            </w:pPr>
          </w:p>
        </w:tc>
        <w:tc>
          <w:tcPr>
            <w:tcW w:w="3140" w:type="dxa"/>
            <w:vAlign w:val="bottom"/>
            <w:gridSpan w:val="2"/>
          </w:tcPr>
          <w:p>
            <w:pPr>
              <w:jc w:val="right"/>
              <w:ind w:right="239"/>
              <w:spacing w:after="0"/>
              <w:rPr>
                <w:sz w:val="20"/>
                <w:szCs w:val="20"/>
                <w:color w:val="auto"/>
              </w:rPr>
            </w:pPr>
            <w:r>
              <w:rPr>
                <w:rFonts w:ascii="Arial" w:cs="Arial" w:eastAsia="Arial" w:hAnsi="Arial"/>
                <w:sz w:val="15"/>
                <w:szCs w:val="15"/>
                <w:b w:val="1"/>
                <w:bCs w:val="1"/>
                <w:color w:val="243782"/>
              </w:rPr>
              <w:t>Three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59"/>
              <w:spacing w:after="0"/>
              <w:rPr>
                <w:sz w:val="20"/>
                <w:szCs w:val="20"/>
                <w:color w:val="auto"/>
              </w:rPr>
            </w:pPr>
            <w:r>
              <w:rPr>
                <w:rFonts w:ascii="Arial" w:cs="Arial" w:eastAsia="Arial" w:hAnsi="Arial"/>
                <w:sz w:val="15"/>
                <w:szCs w:val="15"/>
                <w:b w:val="1"/>
                <w:bCs w:val="1"/>
                <w:color w:val="243782"/>
              </w:rPr>
              <w:t>Three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880" w:type="dxa"/>
            <w:vAlign w:val="bottom"/>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8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0.2 %</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0.3 %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c>
          <w:tcPr>
            <w:tcW w:w="10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0.2 %</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0.3 %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r>
    </w:tbl>
    <w:p>
      <w:pPr>
        <w:spacing w:after="0" w:line="126" w:lineRule="exact"/>
        <w:rPr>
          <w:sz w:val="20"/>
          <w:szCs w:val="20"/>
          <w:color w:val="auto"/>
        </w:rPr>
      </w:pPr>
    </w:p>
    <w:p>
      <w:pPr>
        <w:ind w:right="460" w:firstLine="8"/>
        <w:spacing w:after="0" w:line="272" w:lineRule="auto"/>
        <w:tabs>
          <w:tab w:leader="none" w:pos="22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ind w:right="320" w:firstLine="8"/>
        <w:spacing w:after="0" w:line="284" w:lineRule="auto"/>
        <w:tabs>
          <w:tab w:leader="none" w:pos="22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The decrease in Asia Pacific consolidated shipments in the three months ended September 30, 2026 compared to the corresponding period in 2025 was primarily due to lower volumes in Japan and Australia, partially offset by higher volumes in India and China.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280"/>
        <w:spacing w:after="0" w:line="350" w:lineRule="auto"/>
        <w:rPr>
          <w:sz w:val="20"/>
          <w:szCs w:val="20"/>
          <w:color w:val="auto"/>
        </w:rPr>
      </w:pPr>
      <w:r>
        <w:rPr>
          <w:rFonts w:ascii="Arial" w:cs="Arial" w:eastAsia="Arial" w:hAnsi="Arial"/>
          <w:sz w:val="18"/>
          <w:szCs w:val="18"/>
          <w:color w:val="auto"/>
        </w:rPr>
        <w:t>The decrease in Asia Pacific Net revenues in the three months ended September 30, 2026 compared to the corresponding period in 2025 was primarily driven by lower volumes and unfavorable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The following chart reflects the change in Asia Pacific Adjusted operating income/(loss) by operational driver for the three months ended September 30, 2026 compared to the same period in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143A84"/>
        </w:rPr>
        <w:t>Adjusted operating income/(loss) by operational driver - Three months ended September 30, 2026 compared to the three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38100</wp:posOffset>
            </wp:positionV>
            <wp:extent cx="5863590" cy="2280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spacing w:after="0" w:line="350" w:lineRule="auto"/>
        <w:rPr>
          <w:sz w:val="20"/>
          <w:szCs w:val="20"/>
          <w:color w:val="auto"/>
        </w:rPr>
      </w:pPr>
      <w:r>
        <w:rPr>
          <w:rFonts w:ascii="Arial" w:cs="Arial" w:eastAsia="Arial" w:hAnsi="Arial"/>
          <w:sz w:val="18"/>
          <w:szCs w:val="18"/>
          <w:color w:val="auto"/>
        </w:rPr>
        <w:t>The increase in Asia Pacific Adjusted operating income/(loss) in the three months ended September 30, 2026 compared to the same period in 2025 was primarily driven by industrial cost savings, partially offset by negative mix.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143A84"/>
        </w:rPr>
        <w:t>Nine Months Ended September 30, 2026</w:t>
      </w:r>
    </w:p>
    <w:p>
      <w:pPr>
        <w:spacing w:after="0" w:line="252"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following table presents Stellantis market share and Stellantis and LPM market share for the nine months ended September 30,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p>
        </w:tc>
        <w:tc>
          <w:tcPr>
            <w:tcW w:w="4720" w:type="dxa"/>
            <w:vAlign w:val="bottom"/>
            <w:tcBorders>
              <w:bottom w:val="single" w:sz="8" w:color="143A84"/>
            </w:tcBorders>
            <w:gridSpan w:val="4"/>
          </w:tcPr>
          <w:p>
            <w:pPr>
              <w:ind w:left="1360"/>
              <w:spacing w:after="0"/>
              <w:rPr>
                <w:sz w:val="20"/>
                <w:szCs w:val="20"/>
                <w:color w:val="auto"/>
              </w:rPr>
            </w:pPr>
            <w:r>
              <w:rPr>
                <w:rFonts w:ascii="Arial" w:cs="Arial" w:eastAsia="Arial" w:hAnsi="Arial"/>
                <w:sz w:val="16"/>
                <w:szCs w:val="16"/>
                <w:b w:val="1"/>
                <w:bCs w:val="1"/>
                <w:color w:val="243782"/>
              </w:rPr>
              <w:t>Stellantis market share</w:t>
            </w:r>
            <w:r>
              <w:rPr>
                <w:rFonts w:ascii="Arial" w:cs="Arial" w:eastAsia="Arial" w:hAnsi="Arial"/>
                <w:sz w:val="21"/>
                <w:szCs w:val="21"/>
                <w:b w:val="1"/>
                <w:bCs w:val="1"/>
                <w:color w:val="243782"/>
                <w:vertAlign w:val="superscript"/>
              </w:rPr>
              <w:t>(1)</w:t>
            </w:r>
          </w:p>
        </w:tc>
        <w:tc>
          <w:tcPr>
            <w:tcW w:w="4640" w:type="dxa"/>
            <w:vAlign w:val="bottom"/>
            <w:tcBorders>
              <w:bottom w:val="single" w:sz="8" w:color="143A84"/>
            </w:tcBorders>
            <w:gridSpan w:val="3"/>
          </w:tcPr>
          <w:p>
            <w:pPr>
              <w:jc w:val="right"/>
              <w:ind w:right="941"/>
              <w:spacing w:after="0"/>
              <w:rPr>
                <w:sz w:val="20"/>
                <w:szCs w:val="20"/>
                <w:color w:val="auto"/>
              </w:rPr>
            </w:pPr>
            <w:r>
              <w:rPr>
                <w:rFonts w:ascii="Arial" w:cs="Arial" w:eastAsia="Arial" w:hAnsi="Arial"/>
                <w:sz w:val="16"/>
                <w:szCs w:val="16"/>
                <w:b w:val="1"/>
                <w:bCs w:val="1"/>
                <w:color w:val="243782"/>
              </w:rPr>
              <w:t>Stellantis and LPM</w:t>
            </w:r>
            <w:r>
              <w:rPr>
                <w:rFonts w:ascii="Arial" w:cs="Arial" w:eastAsia="Arial" w:hAnsi="Arial"/>
                <w:sz w:val="21"/>
                <w:szCs w:val="21"/>
                <w:b w:val="1"/>
                <w:bCs w:val="1"/>
                <w:color w:val="243782"/>
                <w:vertAlign w:val="superscript"/>
              </w:rPr>
              <w:t>(2)</w:t>
            </w:r>
            <w:r>
              <w:rPr>
                <w:rFonts w:ascii="Arial" w:cs="Arial" w:eastAsia="Arial" w:hAnsi="Arial"/>
                <w:sz w:val="16"/>
                <w:szCs w:val="16"/>
                <w:b w:val="1"/>
                <w:bCs w:val="1"/>
                <w:color w:val="243782"/>
              </w:rPr>
              <w:t xml:space="preserve"> market share</w:t>
            </w:r>
          </w:p>
        </w:tc>
      </w:tr>
      <w:tr>
        <w:trPr>
          <w:trHeight w:val="225"/>
        </w:trPr>
        <w:tc>
          <w:tcPr>
            <w:tcW w:w="1880" w:type="dxa"/>
            <w:vAlign w:val="bottom"/>
          </w:tcPr>
          <w:p>
            <w:pPr>
              <w:spacing w:after="0"/>
              <w:rPr>
                <w:sz w:val="19"/>
                <w:szCs w:val="19"/>
                <w:color w:val="auto"/>
              </w:rPr>
            </w:pPr>
          </w:p>
        </w:tc>
        <w:tc>
          <w:tcPr>
            <w:tcW w:w="3140" w:type="dxa"/>
            <w:vAlign w:val="bottom"/>
            <w:gridSpan w:val="2"/>
          </w:tcPr>
          <w:p>
            <w:pPr>
              <w:jc w:val="right"/>
              <w:ind w:right="279"/>
              <w:spacing w:after="0"/>
              <w:rPr>
                <w:sz w:val="20"/>
                <w:szCs w:val="20"/>
                <w:color w:val="auto"/>
              </w:rPr>
            </w:pPr>
            <w:r>
              <w:rPr>
                <w:rFonts w:ascii="Arial" w:cs="Arial" w:eastAsia="Arial" w:hAnsi="Arial"/>
                <w:sz w:val="15"/>
                <w:szCs w:val="15"/>
                <w:b w:val="1"/>
                <w:bCs w:val="1"/>
                <w:color w:val="243782"/>
              </w:rPr>
              <w:t>Nine months ended September 30,</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243782"/>
              </w:rPr>
              <w:t>Increase/(Decrease)</w:t>
            </w:r>
          </w:p>
        </w:tc>
        <w:tc>
          <w:tcPr>
            <w:tcW w:w="3160" w:type="dxa"/>
            <w:vAlign w:val="bottom"/>
            <w:gridSpan w:val="2"/>
          </w:tcPr>
          <w:p>
            <w:pPr>
              <w:jc w:val="right"/>
              <w:ind w:right="299"/>
              <w:spacing w:after="0"/>
              <w:rPr>
                <w:sz w:val="20"/>
                <w:szCs w:val="20"/>
                <w:color w:val="auto"/>
              </w:rPr>
            </w:pPr>
            <w:r>
              <w:rPr>
                <w:rFonts w:ascii="Arial" w:cs="Arial" w:eastAsia="Arial" w:hAnsi="Arial"/>
                <w:sz w:val="15"/>
                <w:szCs w:val="15"/>
                <w:b w:val="1"/>
                <w:bCs w:val="1"/>
                <w:color w:val="243782"/>
              </w:rPr>
              <w:t>Nine months ended September 30,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243782"/>
              </w:rPr>
              <w:t>Increase/(Decrease)</w:t>
            </w:r>
          </w:p>
        </w:tc>
      </w:tr>
      <w:tr>
        <w:trPr>
          <w:trHeight w:val="25"/>
        </w:trPr>
        <w:tc>
          <w:tcPr>
            <w:tcW w:w="1880" w:type="dxa"/>
            <w:vAlign w:val="bottom"/>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6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0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c>
          <w:tcPr>
            <w:tcW w:w="1680" w:type="dxa"/>
            <w:vAlign w:val="bottom"/>
            <w:tcBorders>
              <w:bottom w:val="single" w:sz="8" w:color="8E939F"/>
            </w:tcBorders>
          </w:tcPr>
          <w:p>
            <w:pPr>
              <w:spacing w:after="0"/>
              <w:rPr>
                <w:sz w:val="2"/>
                <w:szCs w:val="2"/>
                <w:color w:val="auto"/>
              </w:rPr>
            </w:pPr>
          </w:p>
        </w:tc>
        <w:tc>
          <w:tcPr>
            <w:tcW w:w="1480" w:type="dxa"/>
            <w:vAlign w:val="bottom"/>
            <w:tcBorders>
              <w:bottom w:val="single" w:sz="8" w:color="8E939F"/>
            </w:tcBorders>
          </w:tcPr>
          <w:p>
            <w:pPr>
              <w:spacing w:after="0"/>
              <w:rPr>
                <w:sz w:val="2"/>
                <w:szCs w:val="2"/>
                <w:color w:val="auto"/>
              </w:rPr>
            </w:pPr>
          </w:p>
        </w:tc>
      </w:tr>
      <w:tr>
        <w:trPr>
          <w:trHeight w:val="246"/>
        </w:trPr>
        <w:tc>
          <w:tcPr>
            <w:tcW w:w="188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c>
          <w:tcPr>
            <w:tcW w:w="100" w:type="dxa"/>
            <w:vAlign w:val="bottom"/>
            <w:tcBorders>
              <w:bottom w:val="single" w:sz="8" w:color="143A84"/>
            </w:tcBorders>
          </w:tcPr>
          <w:p>
            <w:pPr>
              <w:spacing w:after="0"/>
              <w:rPr>
                <w:sz w:val="21"/>
                <w:szCs w:val="21"/>
                <w:color w:val="auto"/>
              </w:rPr>
            </w:pPr>
          </w:p>
        </w:tc>
        <w:tc>
          <w:tcPr>
            <w:tcW w:w="14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143A84"/>
            </w:tcBorders>
          </w:tcPr>
          <w:p>
            <w:pPr>
              <w:jc w:val="right"/>
              <w:ind w:right="39"/>
              <w:spacing w:after="0"/>
              <w:rPr>
                <w:sz w:val="20"/>
                <w:szCs w:val="20"/>
                <w:color w:val="auto"/>
              </w:rPr>
            </w:pPr>
            <w:r>
              <w:rPr>
                <w:rFonts w:ascii="Arial" w:cs="Arial" w:eastAsia="Arial" w:hAnsi="Arial"/>
                <w:sz w:val="16"/>
                <w:szCs w:val="16"/>
                <w:b w:val="1"/>
                <w:bCs w:val="1"/>
                <w:color w:val="243782"/>
              </w:rPr>
              <w:t>2025</w:t>
            </w:r>
          </w:p>
        </w:tc>
        <w:tc>
          <w:tcPr>
            <w:tcW w:w="1480" w:type="dxa"/>
            <w:vAlign w:val="bottom"/>
            <w:tcBorders>
              <w:bottom w:val="single" w:sz="8" w:color="143A8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2026 vs. 2025</w:t>
            </w:r>
          </w:p>
        </w:tc>
      </w:tr>
      <w:tr>
        <w:trPr>
          <w:trHeight w:val="247"/>
        </w:trPr>
        <w:tc>
          <w:tcPr>
            <w:tcW w:w="1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0.2 %</w:t>
            </w:r>
          </w:p>
        </w:tc>
        <w:tc>
          <w:tcPr>
            <w:tcW w:w="166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0.3 %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 bps</w:t>
            </w:r>
          </w:p>
        </w:tc>
        <w:tc>
          <w:tcPr>
            <w:tcW w:w="100" w:type="dxa"/>
            <w:vAlign w:val="bottom"/>
            <w:tcBorders>
              <w:bottom w:val="single" w:sz="8" w:color="8E939F"/>
            </w:tcBorders>
          </w:tcPr>
          <w:p>
            <w:pPr>
              <w:spacing w:after="0"/>
              <w:rPr>
                <w:sz w:val="21"/>
                <w:szCs w:val="21"/>
                <w:color w:val="auto"/>
              </w:rPr>
            </w:pPr>
          </w:p>
        </w:tc>
        <w:tc>
          <w:tcPr>
            <w:tcW w:w="14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0.3 %</w:t>
            </w:r>
          </w:p>
        </w:tc>
        <w:tc>
          <w:tcPr>
            <w:tcW w:w="168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0.3 %</w:t>
            </w:r>
          </w:p>
        </w:tc>
        <w:tc>
          <w:tcPr>
            <w:tcW w:w="14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0 bps</w:t>
            </w:r>
          </w:p>
        </w:tc>
      </w:tr>
    </w:tbl>
    <w:p>
      <w:pPr>
        <w:spacing w:after="0" w:line="180" w:lineRule="exact"/>
        <w:rPr>
          <w:sz w:val="20"/>
          <w:szCs w:val="20"/>
          <w:color w:val="auto"/>
        </w:rPr>
      </w:pPr>
    </w:p>
    <w:p>
      <w:pPr>
        <w:ind w:right="460" w:firstLine="8"/>
        <w:spacing w:after="0" w:line="272" w:lineRule="auto"/>
        <w:tabs>
          <w:tab w:leader="none" w:pos="22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Industry and market share information is derived from third-party industry sources (e.g. Agence Nationale des Titres Sécurisés (“ANTS”), Associação Nacional dos Fabricantes de Veículos Automotores (“ANFAVEA”), Ministry of Infrastructure and Sustainable Mobility (“MIMS”), Ward’s Automotive) and internal information</w:t>
      </w:r>
    </w:p>
    <w:p>
      <w:pPr>
        <w:ind w:right="320" w:firstLine="8"/>
        <w:spacing w:after="0" w:line="284" w:lineRule="auto"/>
        <w:tabs>
          <w:tab w:leader="none" w:pos="22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metric combines Stellantis-owned brands and Leapmotor vehicles distributed by Leapmotor International. Stellantis does not design or manufacture Leapmotor-branded vehicles and does not own the Leapmotor brand or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43A84"/>
        </w:rPr>
        <w:t>Shipments</w:t>
      </w:r>
    </w:p>
    <w:p>
      <w:pPr>
        <w:spacing w:after="0" w:line="252" w:lineRule="exact"/>
        <w:rPr>
          <w:sz w:val="20"/>
          <w:szCs w:val="20"/>
          <w:color w:val="auto"/>
        </w:rPr>
      </w:pPr>
    </w:p>
    <w:p>
      <w:pPr>
        <w:ind w:right="440"/>
        <w:spacing w:after="0" w:line="334" w:lineRule="auto"/>
        <w:rPr>
          <w:sz w:val="20"/>
          <w:szCs w:val="20"/>
          <w:color w:val="auto"/>
        </w:rPr>
      </w:pPr>
      <w:r>
        <w:rPr>
          <w:rFonts w:ascii="Arial" w:cs="Arial" w:eastAsia="Arial" w:hAnsi="Arial"/>
          <w:sz w:val="18"/>
          <w:szCs w:val="18"/>
          <w:color w:val="auto"/>
        </w:rPr>
        <w:t>In Asia Pacific consolidated shipments slightly increased in the nine months ended September 30, 2026 compared to the corresponding period in 2025 with growth in India and China that was offset by decreases in Japan, Australia and Korea.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Net revenues</w:t>
      </w:r>
    </w:p>
    <w:p>
      <w:pPr>
        <w:spacing w:after="0" w:line="252" w:lineRule="exact"/>
        <w:rPr>
          <w:sz w:val="20"/>
          <w:szCs w:val="20"/>
          <w:color w:val="auto"/>
        </w:rPr>
      </w:pPr>
    </w:p>
    <w:p>
      <w:pPr>
        <w:ind w:right="360"/>
        <w:spacing w:after="0" w:line="334" w:lineRule="auto"/>
        <w:rPr>
          <w:sz w:val="20"/>
          <w:szCs w:val="20"/>
          <w:color w:val="auto"/>
        </w:rPr>
      </w:pPr>
      <w:r>
        <w:rPr>
          <w:rFonts w:ascii="Arial" w:cs="Arial" w:eastAsia="Arial" w:hAnsi="Arial"/>
          <w:sz w:val="18"/>
          <w:szCs w:val="18"/>
          <w:color w:val="auto"/>
        </w:rPr>
        <w:t>The decrease in Asia Pacific Net revenues in the nine months ended September 30, 2026 compared to the corresponding period in 2025 was primarily due to the negative impact of mix and foreign exchange translation effects more than offsetting higher volumes.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Adjusted operating income/(loss)</w:t>
      </w:r>
    </w:p>
    <w:p>
      <w:pPr>
        <w:spacing w:after="0" w:line="252" w:lineRule="exact"/>
        <w:rPr>
          <w:sz w:val="20"/>
          <w:szCs w:val="20"/>
          <w:color w:val="auto"/>
        </w:rPr>
      </w:pPr>
    </w:p>
    <w:p>
      <w:pPr>
        <w:ind w:right="500"/>
        <w:spacing w:after="0" w:line="334" w:lineRule="auto"/>
        <w:rPr>
          <w:sz w:val="20"/>
          <w:szCs w:val="20"/>
          <w:color w:val="auto"/>
        </w:rPr>
      </w:pPr>
      <w:r>
        <w:rPr>
          <w:rFonts w:ascii="Arial" w:cs="Arial" w:eastAsia="Arial" w:hAnsi="Arial"/>
          <w:sz w:val="18"/>
          <w:szCs w:val="18"/>
          <w:color w:val="auto"/>
        </w:rPr>
        <w:t>The following chart reflects the change in Asia Pacific Adjusted operating income/(loss) by operational driver for the nine months ended September 30, 2026 compared to the same period in 2025.</w:t>
      </w:r>
    </w:p>
    <w:p>
      <w:pPr>
        <w:spacing w:after="0" w:line="131" w:lineRule="exact"/>
        <w:rPr>
          <w:sz w:val="20"/>
          <w:szCs w:val="20"/>
          <w:color w:val="auto"/>
        </w:rPr>
      </w:pPr>
    </w:p>
    <w:p>
      <w:pPr>
        <w:ind w:right="780"/>
        <w:spacing w:after="0" w:line="314" w:lineRule="auto"/>
        <w:rPr>
          <w:sz w:val="20"/>
          <w:szCs w:val="20"/>
          <w:color w:val="auto"/>
        </w:rPr>
      </w:pPr>
      <w:r>
        <w:rPr>
          <w:rFonts w:ascii="Arial" w:cs="Arial" w:eastAsia="Arial" w:hAnsi="Arial"/>
          <w:sz w:val="16"/>
          <w:szCs w:val="16"/>
          <w:b w:val="1"/>
          <w:bCs w:val="1"/>
          <w:color w:val="143A84"/>
        </w:rPr>
        <w:t>Adjusted operating income/(loss) by operational driver - Nine months ended September 30, 2026 compared to the nine months ended September 30, 2025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20320</wp:posOffset>
            </wp:positionV>
            <wp:extent cx="5863590" cy="2280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Asia Pacific Adjusted operating income/(loss) increased during the nine months ended September 30, 2026, reflecting benefits from industrial and SG&amp;A efficiencies, which were partially offset by unfavorable mix and adverse foreign exchange impacts, mainly related to the Japanese Yen and Indian Rupee.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Available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Available liquidity: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2660" w:type="dxa"/>
            <w:vAlign w:val="bottom"/>
            <w:shd w:val="clear" w:color="auto" w:fill="F3F3F9"/>
          </w:tcPr>
          <w:p>
            <w:pPr>
              <w:spacing w:after="0"/>
              <w:rPr>
                <w:sz w:val="19"/>
                <w:szCs w:val="19"/>
                <w:color w:val="auto"/>
              </w:rPr>
            </w:pPr>
          </w:p>
        </w:tc>
        <w:tc>
          <w:tcPr>
            <w:tcW w:w="2800" w:type="dxa"/>
            <w:vAlign w:val="bottom"/>
          </w:tcPr>
          <w:p>
            <w:pPr>
              <w:spacing w:after="0"/>
              <w:rPr>
                <w:sz w:val="19"/>
                <w:szCs w:val="19"/>
                <w:color w:val="auto"/>
              </w:rPr>
            </w:pPr>
          </w:p>
        </w:tc>
      </w:tr>
      <w:tr>
        <w:trPr>
          <w:trHeight w:val="234"/>
        </w:trPr>
        <w:tc>
          <w:tcPr>
            <w:tcW w:w="5780" w:type="dxa"/>
            <w:vAlign w:val="bottom"/>
            <w:tcBorders>
              <w:bottom w:val="single" w:sz="8" w:color="143A84"/>
            </w:tcBorders>
          </w:tcPr>
          <w:p>
            <w:pPr>
              <w:spacing w:after="0"/>
              <w:rPr>
                <w:sz w:val="20"/>
                <w:szCs w:val="20"/>
                <w:color w:val="auto"/>
              </w:rPr>
            </w:pPr>
          </w:p>
        </w:tc>
        <w:tc>
          <w:tcPr>
            <w:tcW w:w="2660" w:type="dxa"/>
            <w:vAlign w:val="bottom"/>
            <w:tcBorders>
              <w:bottom w:val="single" w:sz="8" w:color="143A84"/>
            </w:tcBorders>
            <w:shd w:val="clear" w:color="auto" w:fill="F3F3F9"/>
          </w:tcPr>
          <w:p>
            <w:pPr>
              <w:jc w:val="right"/>
              <w:ind w:right="399"/>
              <w:spacing w:after="0"/>
              <w:rPr>
                <w:sz w:val="20"/>
                <w:szCs w:val="20"/>
                <w:color w:val="auto"/>
              </w:rPr>
            </w:pPr>
            <w:r>
              <w:rPr>
                <w:rFonts w:ascii="Arial" w:cs="Arial" w:eastAsia="Arial" w:hAnsi="Arial"/>
                <w:sz w:val="16"/>
                <w:szCs w:val="16"/>
                <w:b w:val="1"/>
                <w:bCs w:val="1"/>
                <w:color w:val="243782"/>
              </w:rPr>
              <w:t>At September 30, 2026</w:t>
            </w:r>
          </w:p>
        </w:tc>
        <w:tc>
          <w:tcPr>
            <w:tcW w:w="2800" w:type="dxa"/>
            <w:vAlign w:val="bottom"/>
            <w:tcBorders>
              <w:bottom w:val="single" w:sz="8" w:color="143A84"/>
            </w:tcBorders>
          </w:tcPr>
          <w:p>
            <w:pPr>
              <w:jc w:val="right"/>
              <w:ind w:right="419"/>
              <w:spacing w:after="0"/>
              <w:rPr>
                <w:sz w:val="20"/>
                <w:szCs w:val="20"/>
                <w:color w:val="auto"/>
              </w:rPr>
            </w:pPr>
            <w:r>
              <w:rPr>
                <w:rFonts w:ascii="Arial" w:cs="Arial" w:eastAsia="Arial" w:hAnsi="Arial"/>
                <w:sz w:val="16"/>
                <w:szCs w:val="16"/>
                <w:b w:val="1"/>
                <w:bCs w:val="1"/>
                <w:color w:val="243782"/>
              </w:rPr>
              <w:t>At December 31, 2025</w:t>
            </w:r>
          </w:p>
        </w:tc>
      </w:tr>
      <w:tr>
        <w:trPr>
          <w:trHeight w:val="254"/>
        </w:trPr>
        <w:tc>
          <w:tcPr>
            <w:tcW w:w="5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Cash, cash equivalents and financial securities</w:t>
            </w:r>
            <w:r>
              <w:rPr>
                <w:rFonts w:ascii="Arial" w:cs="Arial" w:eastAsia="Arial" w:hAnsi="Arial"/>
                <w:sz w:val="21"/>
                <w:szCs w:val="21"/>
                <w:color w:val="auto"/>
                <w:vertAlign w:val="superscript"/>
              </w:rPr>
              <w:t>(1)</w:t>
            </w:r>
          </w:p>
        </w:tc>
        <w:tc>
          <w:tcPr>
            <w:tcW w:w="2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32,489</w:t>
            </w:r>
          </w:p>
        </w:tc>
        <w:tc>
          <w:tcPr>
            <w:tcW w:w="28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31,508</w:t>
            </w:r>
          </w:p>
        </w:tc>
      </w:tr>
      <w:tr>
        <w:trPr>
          <w:trHeight w:val="243"/>
        </w:trPr>
        <w:tc>
          <w:tcPr>
            <w:tcW w:w="5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Undrawn committed credit lines</w:t>
            </w:r>
          </w:p>
        </w:tc>
        <w:tc>
          <w:tcPr>
            <w:tcW w:w="2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13,859</w:t>
            </w:r>
          </w:p>
        </w:tc>
        <w:tc>
          <w:tcPr>
            <w:tcW w:w="28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18,287</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Cash, cash equivalents and financial securities - included within Assets held</w:t>
            </w:r>
          </w:p>
        </w:tc>
        <w:tc>
          <w:tcPr>
            <w:tcW w:w="2660" w:type="dxa"/>
            <w:vAlign w:val="bottom"/>
            <w:shd w:val="clear" w:color="auto" w:fill="F3F3F9"/>
          </w:tcPr>
          <w:p>
            <w:pPr>
              <w:spacing w:after="0"/>
              <w:rPr>
                <w:sz w:val="18"/>
                <w:szCs w:val="18"/>
                <w:color w:val="auto"/>
              </w:rPr>
            </w:pPr>
          </w:p>
        </w:tc>
        <w:tc>
          <w:tcPr>
            <w:tcW w:w="2800" w:type="dxa"/>
            <w:vAlign w:val="bottom"/>
          </w:tcPr>
          <w:p>
            <w:pPr>
              <w:spacing w:after="0"/>
              <w:rPr>
                <w:sz w:val="18"/>
                <w:szCs w:val="18"/>
                <w:color w:val="auto"/>
              </w:rPr>
            </w:pPr>
          </w:p>
        </w:tc>
      </w:tr>
      <w:tr>
        <w:trPr>
          <w:trHeight w:val="237"/>
        </w:trPr>
        <w:tc>
          <w:tcPr>
            <w:tcW w:w="5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for sale</w:t>
            </w:r>
          </w:p>
        </w:tc>
        <w:tc>
          <w:tcPr>
            <w:tcW w:w="2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w:t>
            </w:r>
          </w:p>
        </w:tc>
        <w:tc>
          <w:tcPr>
            <w:tcW w:w="28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7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Available liquidity</w:t>
            </w:r>
            <w:r>
              <w:rPr>
                <w:rFonts w:ascii="Arial" w:cs="Arial" w:eastAsia="Arial" w:hAnsi="Arial"/>
                <w:sz w:val="21"/>
                <w:szCs w:val="21"/>
                <w:b w:val="1"/>
                <w:bCs w:val="1"/>
                <w:color w:val="243782"/>
                <w:vertAlign w:val="superscript"/>
              </w:rPr>
              <w:t>(2)</w:t>
            </w:r>
          </w:p>
        </w:tc>
        <w:tc>
          <w:tcPr>
            <w:tcW w:w="2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46,480</w:t>
            </w:r>
          </w:p>
        </w:tc>
        <w:tc>
          <w:tcPr>
            <w:tcW w:w="28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49,795</w:t>
            </w:r>
          </w:p>
        </w:tc>
      </w:tr>
      <w:tr>
        <w:trPr>
          <w:trHeight w:val="246"/>
        </w:trPr>
        <w:tc>
          <w:tcPr>
            <w:tcW w:w="5780" w:type="dxa"/>
            <w:vAlign w:val="bottom"/>
            <w:tcBorders>
              <w:bottom w:val="single" w:sz="8" w:color="8E939F"/>
            </w:tcBorders>
          </w:tcPr>
          <w:p>
            <w:pPr>
              <w:ind w:left="20"/>
              <w:spacing w:after="0"/>
              <w:rPr>
                <w:sz w:val="20"/>
                <w:szCs w:val="20"/>
                <w:color w:val="auto"/>
              </w:rPr>
            </w:pPr>
            <w:r>
              <w:rPr>
                <w:rFonts w:ascii="Arial" w:cs="Arial" w:eastAsia="Arial" w:hAnsi="Arial"/>
                <w:sz w:val="16"/>
                <w:szCs w:val="16"/>
                <w:b w:val="1"/>
                <w:bCs w:val="1"/>
                <w:color w:val="243782"/>
              </w:rPr>
              <w:t>of which: Available liquidity of the Industrial Activities</w:t>
            </w:r>
          </w:p>
        </w:tc>
        <w:tc>
          <w:tcPr>
            <w:tcW w:w="2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42,652</w:t>
            </w:r>
          </w:p>
        </w:tc>
        <w:tc>
          <w:tcPr>
            <w:tcW w:w="2800" w:type="dxa"/>
            <w:vAlign w:val="bottom"/>
            <w:tcBorders>
              <w:bottom w:val="single" w:sz="8" w:color="8E939F"/>
            </w:tcBorders>
          </w:tcPr>
          <w:p>
            <w:pPr>
              <w:jc w:val="right"/>
              <w:spacing w:after="0"/>
              <w:rPr>
                <w:sz w:val="20"/>
                <w:szCs w:val="20"/>
                <w:color w:val="auto"/>
              </w:rPr>
            </w:pPr>
            <w:r>
              <w:rPr>
                <w:rFonts w:ascii="Arial" w:cs="Arial" w:eastAsia="Arial" w:hAnsi="Arial"/>
                <w:sz w:val="16"/>
                <w:szCs w:val="16"/>
                <w:b w:val="1"/>
                <w:bCs w:val="1"/>
                <w:color w:val="243782"/>
              </w:rPr>
              <w:t>45,711</w:t>
            </w:r>
          </w:p>
        </w:tc>
      </w:tr>
    </w:tbl>
    <w:p>
      <w:pPr>
        <w:spacing w:after="0" w:line="193" w:lineRule="exact"/>
        <w:rPr>
          <w:sz w:val="20"/>
          <w:szCs w:val="20"/>
          <w:color w:val="auto"/>
        </w:rPr>
      </w:pPr>
    </w:p>
    <w:p>
      <w:pPr>
        <w:ind w:right="200" w:firstLine="8"/>
        <w:spacing w:after="0" w:line="255" w:lineRule="auto"/>
        <w:tabs>
          <w:tab w:leader="none" w:pos="222"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Financial securities (€3,443 million at September 30, 2026 and €1,362 million at December 31, 2025) are comprised of short term or marketable securities which represent temporary investments but do not satisfy all the requirements to be classified as cash equivalents as they may be subject to risk of change in value (even if they are short-term in nature or marketable)</w:t>
      </w: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majority of our liquidity is available to our treasury operations in Europe and U.S.; however, liquidity is also available to certain subsidiaries which operate in other</w:t>
      </w:r>
    </w:p>
    <w:p>
      <w:pPr>
        <w:spacing w:after="0" w:line="1" w:lineRule="exact"/>
        <w:rPr>
          <w:rFonts w:ascii="Arial" w:cs="Arial" w:eastAsia="Arial" w:hAnsi="Arial"/>
          <w:sz w:val="14"/>
          <w:szCs w:val="14"/>
          <w:color w:val="auto"/>
        </w:rPr>
      </w:pPr>
    </w:p>
    <w:p>
      <w:pPr>
        <w:ind w:right="20"/>
        <w:spacing w:after="0" w:line="246" w:lineRule="auto"/>
        <w:rPr>
          <w:rFonts w:ascii="Arial" w:cs="Arial" w:eastAsia="Arial" w:hAnsi="Arial"/>
          <w:sz w:val="14"/>
          <w:szCs w:val="14"/>
          <w:color w:val="auto"/>
        </w:rPr>
      </w:pPr>
      <w:r>
        <w:rPr>
          <w:rFonts w:ascii="Arial" w:cs="Arial" w:eastAsia="Arial" w:hAnsi="Arial"/>
          <w:sz w:val="14"/>
          <w:szCs w:val="14"/>
          <w:color w:val="auto"/>
        </w:rPr>
        <w:t>countries. Cash held in such countries may be subject to restrictions on transfer depending on the foreign jurisdictions in which these subsidiaries operate and mainly affects our industrial activities. Based on our review of such transfer restrictions in the countries in which we operate and maintain material cash balances, (and in particular in Argentina, in which we have €242 million cash and securities at September 30, 2026 (€354 million at December 31, 2025), and in Algeria, in which we have cash and cash equivalents at September 30, 2026 of €268 million (€276 million at December 31, 2025)), we do not believe such transfer restrictions had an adverse impact on the Company’s ability to meet its liquidity requirements at the dates presented above. Cash and cash equivalents also include €1,023 million at September 30, 2026 (€663 million at December 31, 2025) held in bank deposits which are restricted to the operations related to securitization programs and warehouses credit facilities of SFS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Available liquidity of the industrial activities at September 30, 2026 decreased by €3.1 billion from December 31, 2025, primarily due to</w:t>
      </w:r>
    </w:p>
    <w:p>
      <w:pPr>
        <w:spacing w:after="0" w:line="50"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€4.9 billion negative Industrial free cash flow, €4.1 billion reduction in available credit lines and €2.5 billion bond repayment, partially offset by €4.9 billion proceeds from the issuance of Hybrid perpetual notes, €3.4 billion proceeds from the issuance of bonds and €0.4 billion foreign exchange translation.</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auto"/>
        </w:rPr>
        <w:t xml:space="preserve">Our Available liquidity is subject to intra-month and seasonal fluctuations resulting from business and collection-payment cycles as well as to changes in foreign exchange conversion rates. Moreover, we tend to operate with negative working capital as we generally receive payment for vehicles within a few days of shipment, whereas there is a lag between the time when parts and materials are received from suppliers and when we pay for such parts and materials; therefore, in periods in which our vehicle shipments decline materially we will suffer a significant negative impact on cash flow and liquidity as we continue to pay suppliers for components purchased in a high volume environment during a period in which we receive lower proceeds from vehicle shipments. Plant shutdowns, whether associated with model year changeovers, or other factors such as temporary supplier interruptions or government-imposed restrictions, can have a significant negative impact on our revenues and working capital as we continue to pay suppliers while we do not receive proceeds from vehicle sales. Refer to the section — </w:t>
      </w:r>
      <w:r>
        <w:rPr>
          <w:rFonts w:ascii="Arial" w:cs="Arial" w:eastAsia="Arial" w:hAnsi="Arial"/>
          <w:sz w:val="18"/>
          <w:szCs w:val="18"/>
          <w:i w:val="1"/>
          <w:iCs w:val="1"/>
          <w:color w:val="auto"/>
        </w:rPr>
        <w:t xml:space="preserve">Cash flows </w:t>
      </w:r>
      <w:r>
        <w:rPr>
          <w:rFonts w:ascii="Arial" w:cs="Arial" w:eastAsia="Arial" w:hAnsi="Arial"/>
          <w:sz w:val="18"/>
          <w:szCs w:val="18"/>
          <w:color w:val="auto"/>
        </w:rPr>
        <w:t>below for additional information regarding the change in cash and cash equivalents.</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Our liquidity is principally denominated in Euro and U.S. Dollar, with the remainder being distributed in various countries and denominated in the relevant local currencies. Of the total cash, cash equivalents and financial securities available at September 30, 2026, €15.8 billion (49 percent) was denominated in Euro, compared with €16.7 billion (53 percent) at December 31, 2025, and €9.4 billion (29.0 percent) was denominated in U.S. Dollar, compared with €8.1 billion (26 percent) at December 31, 2025.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 xml:space="preserve">At September 30, 2026, undrawn committed credit lines of €13.9 billion </w:t>
      </w:r>
      <w:r>
        <w:rPr>
          <w:rFonts w:ascii="Arial" w:cs="Arial" w:eastAsia="Arial" w:hAnsi="Arial"/>
          <w:sz w:val="21"/>
          <w:szCs w:val="21"/>
          <w:color w:val="auto"/>
        </w:rPr>
        <w:t>i</w:t>
      </w:r>
      <w:r>
        <w:rPr>
          <w:rFonts w:ascii="Arial" w:cs="Arial" w:eastAsia="Arial" w:hAnsi="Arial"/>
          <w:sz w:val="18"/>
          <w:szCs w:val="18"/>
          <w:color w:val="auto"/>
        </w:rPr>
        <w:t>nclude the syndicated revolving credit facility (“RCF”) of €12.0 billion, originally signed in July 2021, amended and extended in July 2024, with a group of 29 relationship banks. The RCF is available for general corporate purposes and is structured in two tranches: €6.0 billion, with a three-year tenor, and €6.0 billion, with a five-year tenor, with each tranche benefiting from two further extension options, each of one year exercisable on the first and second anniversary of the amendment signing date. In June 2026, the second-year extension option was exercised extending the maturities to July 2029 and July 2031, respectively, for the two tranches. The amount utilized under these credit lines was nil on September 30, 2026.</w:t>
      </w:r>
    </w:p>
    <w:p>
      <w:pPr>
        <w:spacing w:after="0" w:line="197"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color w:val="auto"/>
        </w:rPr>
        <w:t>The committed credit line signed in January 2025, with a pool of relationship banks, of originally €4.0 billion, was reduced to €1.5 billion effective from March 16, 2026 and further reduced to €0.3 billion effective from June 12, 2026. The line originally had a one-year tenor with two extension options, at the Company’s discretion, of six months each. The first extension option was activated in December 2025, extending the maturity to July 2026. The second extension option was not exercised, so the facility expired on July 15, 2026.</w:t>
      </w:r>
    </w:p>
    <w:p>
      <w:pPr>
        <w:spacing w:after="0" w:line="172" w:lineRule="exact"/>
        <w:rPr>
          <w:sz w:val="20"/>
          <w:szCs w:val="20"/>
          <w:color w:val="auto"/>
        </w:rPr>
      </w:pPr>
    </w:p>
    <w:p>
      <w:pPr>
        <w:ind w:right="380"/>
        <w:spacing w:after="0" w:line="334" w:lineRule="auto"/>
        <w:rPr>
          <w:sz w:val="20"/>
          <w:szCs w:val="20"/>
          <w:color w:val="auto"/>
        </w:rPr>
      </w:pPr>
      <w:r>
        <w:rPr>
          <w:rFonts w:ascii="Arial" w:cs="Arial" w:eastAsia="Arial" w:hAnsi="Arial"/>
          <w:sz w:val="18"/>
          <w:szCs w:val="18"/>
          <w:color w:val="auto"/>
        </w:rPr>
        <w:t>In December 2025, SFS U.S. established a privately placed Commercial Paper (“CP”) program available up to a maximum of €1.9 billion ($2.2 billion). At September 30, 2026, €0.4 billion ($0.5 billion) notes were outstanding under the CP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establishment of the CP program, the €0.9 billion ($1 billion) committed USD credit facility originally signed by SFS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 in March 2024 was amended and refinanced (the "amended SFS RCF"). The amended SFS RCF is structured in two tranches: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 billion ($1.3 billion), with a 364-day tenor, and €0.9 billion ($1 billion), with a three-year tenor, with each tranche benefiting from two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further extension options, each of one year exercisable on the first and second anniversary of the amendment signing date.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the amount available under the amended SFS RCF, net of €0.4 billion of CP outstanding, was €1.5 billion ($1.7 billion).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Perpetual subordinated fixed rate resettable capital securities (“Hybrid perpetual notes”)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March 2026, the Company issued a series of Hybrid perpetual notes:</w:t>
      </w:r>
    </w:p>
    <w:p>
      <w:pPr>
        <w:spacing w:after="0" w:line="266" w:lineRule="exact"/>
        <w:rPr>
          <w:sz w:val="20"/>
          <w:szCs w:val="20"/>
          <w:color w:val="auto"/>
        </w:rPr>
      </w:pPr>
    </w:p>
    <w:p>
      <w:pPr>
        <w:ind w:left="160" w:right="180" w:hanging="152"/>
        <w:spacing w:after="0" w:line="334" w:lineRule="auto"/>
        <w:tabs>
          <w:tab w:leader="none" w:pos="121" w:val="left"/>
        </w:tabs>
        <w:numPr>
          <w:ilvl w:val="0"/>
          <w:numId w:val="31"/>
        </w:numPr>
        <w:rPr>
          <w:rFonts w:ascii="Arial" w:cs="Arial" w:eastAsia="Arial" w:hAnsi="Arial"/>
          <w:sz w:val="18"/>
          <w:szCs w:val="18"/>
          <w:color w:val="143A84"/>
        </w:rPr>
      </w:pPr>
      <w:r>
        <w:rPr>
          <w:rFonts w:ascii="Arial" w:cs="Arial" w:eastAsia="Arial" w:hAnsi="Arial"/>
          <w:sz w:val="18"/>
          <w:szCs w:val="18"/>
          <w:color w:val="auto"/>
        </w:rPr>
        <w:t>€2.2 billion Hybrid perpetual notes, having a non-call period of 5.25 years, perpetual maturity and an annual coupon of 6.250 percent until the first reset date of June 16, 2031;</w:t>
      </w:r>
    </w:p>
    <w:p>
      <w:pPr>
        <w:spacing w:after="0" w:line="44" w:lineRule="exact"/>
        <w:rPr>
          <w:rFonts w:ascii="Arial" w:cs="Arial" w:eastAsia="Arial" w:hAnsi="Arial"/>
          <w:sz w:val="18"/>
          <w:szCs w:val="18"/>
          <w:color w:val="143A84"/>
        </w:rPr>
      </w:pPr>
    </w:p>
    <w:p>
      <w:pPr>
        <w:ind w:left="160" w:right="120" w:hanging="152"/>
        <w:spacing w:after="0" w:line="334" w:lineRule="auto"/>
        <w:tabs>
          <w:tab w:leader="none" w:pos="121" w:val="left"/>
        </w:tabs>
        <w:numPr>
          <w:ilvl w:val="0"/>
          <w:numId w:val="31"/>
        </w:numPr>
        <w:rPr>
          <w:rFonts w:ascii="Arial" w:cs="Arial" w:eastAsia="Arial" w:hAnsi="Arial"/>
          <w:sz w:val="18"/>
          <w:szCs w:val="18"/>
          <w:color w:val="143A84"/>
        </w:rPr>
      </w:pPr>
      <w:r>
        <w:rPr>
          <w:rFonts w:ascii="Arial" w:cs="Arial" w:eastAsia="Arial" w:hAnsi="Arial"/>
          <w:sz w:val="18"/>
          <w:szCs w:val="18"/>
          <w:color w:val="auto"/>
        </w:rPr>
        <w:t>€1.8 billion Hybrid perpetual notes, having a non-call period of 8 years, perpetual maturity and an annual coupon of 6.875 percent until the first reset date of March 16, 2034; and</w:t>
      </w:r>
    </w:p>
    <w:p>
      <w:pPr>
        <w:spacing w:after="0" w:line="44" w:lineRule="exact"/>
        <w:rPr>
          <w:rFonts w:ascii="Arial" w:cs="Arial" w:eastAsia="Arial" w:hAnsi="Arial"/>
          <w:sz w:val="18"/>
          <w:szCs w:val="18"/>
          <w:color w:val="143A84"/>
        </w:rPr>
      </w:pPr>
    </w:p>
    <w:p>
      <w:pPr>
        <w:ind w:left="160" w:right="80" w:hanging="152"/>
        <w:spacing w:after="0" w:line="334" w:lineRule="auto"/>
        <w:tabs>
          <w:tab w:leader="none" w:pos="121" w:val="left"/>
        </w:tabs>
        <w:numPr>
          <w:ilvl w:val="0"/>
          <w:numId w:val="31"/>
        </w:numPr>
        <w:rPr>
          <w:rFonts w:ascii="Arial" w:cs="Arial" w:eastAsia="Arial" w:hAnsi="Arial"/>
          <w:sz w:val="18"/>
          <w:szCs w:val="18"/>
          <w:color w:val="143A84"/>
        </w:rPr>
      </w:pPr>
      <w:r>
        <w:rPr>
          <w:rFonts w:ascii="Arial" w:cs="Arial" w:eastAsia="Arial" w:hAnsi="Arial"/>
          <w:sz w:val="18"/>
          <w:szCs w:val="18"/>
          <w:color w:val="auto"/>
        </w:rPr>
        <w:t>£865 million (€997 million) Hybrid perpetual notes, having a non-call period of 6.5 years, perpetual maturity and an annual coupon of 8.250 percent until the first reset date of September 16, 2032.</w:t>
      </w:r>
    </w:p>
    <w:p>
      <w:pPr>
        <w:spacing w:after="0" w:line="45" w:lineRule="exact"/>
        <w:rPr>
          <w:sz w:val="20"/>
          <w:szCs w:val="20"/>
          <w:color w:val="auto"/>
        </w:rPr>
      </w:pPr>
    </w:p>
    <w:p>
      <w:pPr>
        <w:ind w:right="900"/>
        <w:spacing w:after="0" w:line="350" w:lineRule="auto"/>
        <w:rPr>
          <w:sz w:val="20"/>
          <w:szCs w:val="20"/>
          <w:color w:val="auto"/>
        </w:rPr>
      </w:pPr>
      <w:r>
        <w:rPr>
          <w:rFonts w:ascii="Arial" w:cs="Arial" w:eastAsia="Arial" w:hAnsi="Arial"/>
          <w:sz w:val="18"/>
          <w:szCs w:val="18"/>
          <w:color w:val="auto"/>
        </w:rPr>
        <w:t xml:space="preserve">Refer to Note 19, </w:t>
      </w:r>
      <w:r>
        <w:rPr>
          <w:rFonts w:ascii="Arial" w:cs="Arial" w:eastAsia="Arial" w:hAnsi="Arial"/>
          <w:sz w:val="18"/>
          <w:szCs w:val="18"/>
          <w:i w:val="1"/>
          <w:iCs w:val="1"/>
          <w:color w:val="auto"/>
        </w:rPr>
        <w:t>Equity</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Euro Medium Term Note Programme (“EMTN”) and other Notes</w:t>
      </w:r>
    </w:p>
    <w:p>
      <w:pPr>
        <w:spacing w:after="0" w:line="237"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In January and May 2026, respectively, the Company repaid at maturity, a €1,250 million note issued by FCA N.V. and a €1,000 million note issued by Peugeot S.A. each originally issued in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June 2026, SFS U.S. issued two bonds:</w:t>
      </w:r>
    </w:p>
    <w:p>
      <w:pPr>
        <w:spacing w:after="0" w:line="279"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18"/>
          <w:szCs w:val="18"/>
          <w:color w:val="143A84"/>
        </w:rPr>
      </w:pPr>
      <w:r>
        <w:rPr>
          <w:rFonts w:ascii="Arial" w:cs="Arial" w:eastAsia="Arial" w:hAnsi="Arial"/>
          <w:sz w:val="18"/>
          <w:szCs w:val="18"/>
          <w:color w:val="auto"/>
        </w:rPr>
        <w:t>a USD bond with principal amount of $1,500 million with an interest rate of 5.4 percent and which matures in June 2029; and</w:t>
      </w:r>
    </w:p>
    <w:p>
      <w:pPr>
        <w:spacing w:after="0" w:line="320" w:lineRule="exact"/>
        <w:rPr>
          <w:rFonts w:ascii="Arial" w:cs="Arial" w:eastAsia="Arial" w:hAnsi="Arial"/>
          <w:sz w:val="18"/>
          <w:szCs w:val="18"/>
          <w:color w:val="143A84"/>
        </w:rPr>
      </w:pPr>
    </w:p>
    <w:p>
      <w:pPr>
        <w:ind w:left="5540"/>
        <w:spacing w:after="0"/>
        <w:rPr>
          <w:rFonts w:ascii="Arial" w:cs="Arial" w:eastAsia="Arial" w:hAnsi="Arial"/>
          <w:sz w:val="18"/>
          <w:szCs w:val="18"/>
          <w:color w:val="143A84"/>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1440" w:right="35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560" w:firstLine="8"/>
        <w:spacing w:after="0" w:line="547" w:lineRule="auto"/>
        <w:tabs>
          <w:tab w:leader="none" w:pos="117" w:val="left"/>
        </w:tabs>
        <w:numPr>
          <w:ilvl w:val="0"/>
          <w:numId w:val="33"/>
        </w:numPr>
        <w:rPr>
          <w:rFonts w:ascii="Arial" w:cs="Arial" w:eastAsia="Arial" w:hAnsi="Arial"/>
          <w:sz w:val="18"/>
          <w:szCs w:val="18"/>
          <w:color w:val="143A84"/>
        </w:rPr>
      </w:pPr>
      <w:r>
        <w:rPr>
          <w:rFonts w:ascii="Arial" w:cs="Arial" w:eastAsia="Arial" w:hAnsi="Arial"/>
          <w:sz w:val="18"/>
          <w:szCs w:val="18"/>
          <w:color w:val="auto"/>
        </w:rPr>
        <w:t>a USD bond with principal amount of $1,000 million with an interest rate of 5.8 percent and which matures in June 2031. In June 2026, the Company issued two bonds under its EMTN:</w:t>
      </w:r>
    </w:p>
    <w:p>
      <w:pPr>
        <w:spacing w:after="0" w:line="1" w:lineRule="exact"/>
        <w:rPr>
          <w:rFonts w:ascii="Arial" w:cs="Arial" w:eastAsia="Arial" w:hAnsi="Arial"/>
          <w:sz w:val="18"/>
          <w:szCs w:val="18"/>
          <w:color w:val="143A84"/>
        </w:rPr>
      </w:pPr>
    </w:p>
    <w:p>
      <w:pPr>
        <w:ind w:left="120" w:hanging="112"/>
        <w:spacing w:after="0"/>
        <w:tabs>
          <w:tab w:leader="none" w:pos="120" w:val="left"/>
        </w:tabs>
        <w:numPr>
          <w:ilvl w:val="0"/>
          <w:numId w:val="33"/>
        </w:numPr>
        <w:rPr>
          <w:rFonts w:ascii="Arial" w:cs="Arial" w:eastAsia="Arial" w:hAnsi="Arial"/>
          <w:sz w:val="18"/>
          <w:szCs w:val="18"/>
          <w:color w:val="143A84"/>
        </w:rPr>
      </w:pPr>
      <w:r>
        <w:rPr>
          <w:rFonts w:ascii="Arial" w:cs="Arial" w:eastAsia="Arial" w:hAnsi="Arial"/>
          <w:sz w:val="18"/>
          <w:szCs w:val="18"/>
          <w:color w:val="auto"/>
        </w:rPr>
        <w:t>a EUR bond with principal amount of €750 million with an interest rate of 4.5 percent and which matures in January 2033; and</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33"/>
        </w:numPr>
        <w:rPr>
          <w:rFonts w:ascii="Arial" w:cs="Arial" w:eastAsia="Arial" w:hAnsi="Arial"/>
          <w:sz w:val="18"/>
          <w:szCs w:val="18"/>
          <w:color w:val="143A84"/>
        </w:rPr>
      </w:pPr>
      <w:r>
        <w:rPr>
          <w:rFonts w:ascii="Arial" w:cs="Arial" w:eastAsia="Arial" w:hAnsi="Arial"/>
          <w:sz w:val="18"/>
          <w:szCs w:val="18"/>
          <w:color w:val="auto"/>
        </w:rPr>
        <w:t>a EUR bond with principal amount of €500 million with an interest rate of 5.1 percent and which matures in January 2037.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2026, Stellantis Finance U.S. Inc. issued two bonds unconditionally guaranteed by Stellantis N.V.:</w:t>
      </w:r>
    </w:p>
    <w:p>
      <w:pPr>
        <w:spacing w:after="0" w:line="266"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8"/>
          <w:szCs w:val="18"/>
          <w:color w:val="143A84"/>
        </w:rPr>
      </w:pPr>
      <w:r>
        <w:rPr>
          <w:rFonts w:ascii="Arial" w:cs="Arial" w:eastAsia="Arial" w:hAnsi="Arial"/>
          <w:sz w:val="18"/>
          <w:szCs w:val="18"/>
          <w:color w:val="auto"/>
        </w:rPr>
        <w:t>a USD bond with principal amount of $1,250 million with an interest rate of 6.8 percent which matures in September 2031; and</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34"/>
        </w:numPr>
        <w:rPr>
          <w:rFonts w:ascii="Arial" w:cs="Arial" w:eastAsia="Arial" w:hAnsi="Arial"/>
          <w:sz w:val="18"/>
          <w:szCs w:val="18"/>
          <w:color w:val="143A84"/>
        </w:rPr>
      </w:pPr>
      <w:r>
        <w:rPr>
          <w:rFonts w:ascii="Arial" w:cs="Arial" w:eastAsia="Arial" w:hAnsi="Arial"/>
          <w:sz w:val="18"/>
          <w:szCs w:val="18"/>
          <w:color w:val="auto"/>
        </w:rPr>
        <w:t>a USD bond with principal amount of $1,250 million with an interest rate of 7.4 percent which matures in September 2036.</w:t>
      </w:r>
    </w:p>
    <w:p>
      <w:pPr>
        <w:spacing w:after="0" w:line="266" w:lineRule="exact"/>
        <w:rPr>
          <w:sz w:val="20"/>
          <w:szCs w:val="20"/>
          <w:color w:val="auto"/>
        </w:rPr>
      </w:pPr>
    </w:p>
    <w:p>
      <w:pPr>
        <w:ind w:right="100"/>
        <w:spacing w:after="0" w:line="350" w:lineRule="auto"/>
        <w:rPr>
          <w:sz w:val="20"/>
          <w:szCs w:val="20"/>
          <w:color w:val="auto"/>
        </w:rPr>
      </w:pPr>
      <w:r>
        <w:rPr>
          <w:rFonts w:ascii="Arial" w:cs="Arial" w:eastAsia="Arial" w:hAnsi="Arial"/>
          <w:sz w:val="18"/>
          <w:szCs w:val="18"/>
          <w:color w:val="auto"/>
        </w:rPr>
        <w:t>In September 2026, SFS U.S issued a USD bond with principal amount of $1,000 million with an interest rate of 6.40 percent which matures in September 2029.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143A84"/>
        </w:rPr>
        <w:t>Warehouse credit facilities</w:t>
      </w:r>
    </w:p>
    <w:p>
      <w:pPr>
        <w:spacing w:after="0" w:line="252"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In January 2026, SFS U.S.’s revolving credit floorplan facility (Stellantis Financial Floorplan Master Auto Owner Trust 2024-1) capacity was increased from €1.1 billion ($1.3 billion) to €1.8 billion ($2.0 billion) with the addition of 3 new lenders. Draw downs from the facility will bear an interest rate based on the lender’s asset-backed commercial paper cost of funds or Secured Overnight Financing Rate (“SOFR”), plus a spread. Borrowings are used to support the Company’s commercial floorplan lending business with floor plan receivables providing collateral. At September 30, 2026, €1.0 billion ($1.1 billion) was outstanding under this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July 2026, SFS U.S’s primary syndicated secured warehouse facility size increased from €7.0 billion ($8.0 billion) to €10.6 billion</w:t>
      </w:r>
    </w:p>
    <w:p>
      <w:pPr>
        <w:spacing w:after="0" w:line="50" w:lineRule="exact"/>
        <w:rPr>
          <w:sz w:val="20"/>
          <w:szCs w:val="20"/>
          <w:color w:val="auto"/>
        </w:rPr>
      </w:pPr>
    </w:p>
    <w:p>
      <w:pPr>
        <w:ind w:right="180"/>
        <w:spacing w:after="0" w:line="315" w:lineRule="auto"/>
        <w:rPr>
          <w:sz w:val="20"/>
          <w:szCs w:val="20"/>
          <w:color w:val="auto"/>
        </w:rPr>
      </w:pPr>
      <w:r>
        <w:rPr>
          <w:rFonts w:ascii="Arial" w:cs="Arial" w:eastAsia="Arial" w:hAnsi="Arial"/>
          <w:sz w:val="18"/>
          <w:szCs w:val="18"/>
          <w:color w:val="auto"/>
        </w:rPr>
        <w:t>($12.0 billion). In connection with this upsizing, the number of participating banks increased from 12 to 16. There were no material changes to the transaction documents and the Scheduled Termination Date of the warehouse credit facility was extended to July 2028. The facility bears interest based on the lender’s asset-backed commercial paper cost of funds or SOFR plus a spread.</w:t>
      </w:r>
    </w:p>
    <w:p>
      <w:pPr>
        <w:spacing w:after="0" w:line="170"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SFS U.S. uses interest rate derivatives in order to reduce the interest rate risk of certain warehouse credit facilities where the underlying receivables carry fixed rates of interest and borrowings are based on the floating rate SOFR and CP indices.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Asset-backed securities (“ABS”) Term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2026, SFS U.S., through SFS Auto Receivables Securitization Trust 2026-1, issued six classes of ABS Term Notes totaling</w:t>
      </w:r>
    </w:p>
    <w:p>
      <w:pPr>
        <w:spacing w:after="0" w:line="50"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€1.3 billion ($1.5 billion) in aggregate. One class of notes bears interest at fixed and floating rates, with the remainder bearing interest rates at fixed rates. The ABS Term Notes are secured by a pool of prime retail loans.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440" w:right="35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April 2026, SFS U.S., through First Investors Auto Owner Trust 2026-1, issued six classes of ABS Term Notes totaling €440 million</w:t>
      </w:r>
    </w:p>
    <w:p>
      <w:pPr>
        <w:spacing w:after="0" w:line="50"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($500 million) in aggregate. The notes issued in each class bear a fixed rate. The ABS Term Notes are secured by a pool of near prime retail loans.</w:t>
      </w:r>
    </w:p>
    <w:p>
      <w:pPr>
        <w:spacing w:after="0" w:line="153" w:lineRule="exact"/>
        <w:rPr>
          <w:sz w:val="20"/>
          <w:szCs w:val="20"/>
          <w:color w:val="auto"/>
        </w:rPr>
      </w:pPr>
    </w:p>
    <w:p>
      <w:pPr>
        <w:spacing w:after="0" w:line="315" w:lineRule="auto"/>
        <w:rPr>
          <w:sz w:val="20"/>
          <w:szCs w:val="20"/>
          <w:color w:val="auto"/>
        </w:rPr>
      </w:pPr>
      <w:r>
        <w:rPr>
          <w:rFonts w:ascii="Arial" w:cs="Arial" w:eastAsia="Arial" w:hAnsi="Arial"/>
          <w:sz w:val="18"/>
          <w:szCs w:val="18"/>
          <w:color w:val="auto"/>
        </w:rPr>
        <w:t>In May 2026, SFS U.S., through Stellantis Financial Underwritten Enhanced Lease Trust 2026-A, issued six classes of ABS Term Notes totaling €1.6 billion ($1.8 billion) in aggregate. One class of notes bears interest at fixed and floating rates, with the remainder bearing interest at fixed rates. The ABS Term Notes are secured by a pool of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June 2026, SFS U.S., through SFS Auto Receivables Securitization Trust 2026-2, issued six classes of ABS Term Notes totaling</w:t>
      </w:r>
    </w:p>
    <w:p>
      <w:pPr>
        <w:spacing w:after="0" w:line="50"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€1.1 billion ($1.3 billion) in aggregate. One class of notes bears interest at fixed and floating rates, with the remainder bearing interest at fixed rates. The ABS Term Notes are secured by a pool of prime retail loans.</w:t>
      </w:r>
    </w:p>
    <w:p>
      <w:pPr>
        <w:spacing w:after="0" w:line="139" w:lineRule="exact"/>
        <w:rPr>
          <w:sz w:val="20"/>
          <w:szCs w:val="20"/>
          <w:color w:val="auto"/>
        </w:rPr>
      </w:pPr>
    </w:p>
    <w:p>
      <w:pPr>
        <w:spacing w:after="0" w:line="315" w:lineRule="auto"/>
        <w:rPr>
          <w:sz w:val="20"/>
          <w:szCs w:val="20"/>
          <w:color w:val="auto"/>
        </w:rPr>
      </w:pPr>
      <w:r>
        <w:rPr>
          <w:rFonts w:ascii="Arial" w:cs="Arial" w:eastAsia="Arial" w:hAnsi="Arial"/>
          <w:sz w:val="18"/>
          <w:szCs w:val="18"/>
          <w:color w:val="auto"/>
        </w:rPr>
        <w:t>In July 2026, SFS U.S., through Stellantis Financial Underwritten Enhanced Lease Trust 2026-B, issued six classes of ABS Term Notes totaling €0.9 billion ($1.0 billion) in aggregate. One class of notes bears interest at fixed and floating rates, with the remainder bearing interest at fixed rates. The ABS Term Notes are secured by a pool of leases.</w:t>
      </w:r>
    </w:p>
    <w:p>
      <w:pPr>
        <w:spacing w:after="0" w:line="170"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August 2026, SFS U.S., through Stellantis Financial Floorplan Master Auto Owner Trust, Series 2026-1, issued three classes of ABS Term Notes totaling €661 million ($750 million) in aggregate. The notes issued in each class bear a fixed rate. The ABS Term Notes are secured by a revolving pool of floorplan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143A84"/>
        </w:rPr>
        <w:t>Ratings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2026, S&amp;P revised Stellantis’ issuer credit rating and senior unsecured debt rating from “BBB” to “BBB-” with negative outlook.</w:t>
      </w:r>
    </w:p>
    <w:p>
      <w:pPr>
        <w:spacing w:after="0" w:line="266"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In February 2026, Moody’s revised Stellantis’ long-term issuer rating and senior unsecured debt rating from “Baa2” to “Baa3” and changed the outlook from negative to stable.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43A84"/>
        </w:rPr>
        <w:t>Cash flows</w:t>
      </w:r>
    </w:p>
    <w:p>
      <w:pPr>
        <w:spacing w:after="0" w:line="252" w:lineRule="exact"/>
        <w:rPr>
          <w:sz w:val="20"/>
          <w:szCs w:val="20"/>
          <w:color w:val="auto"/>
        </w:rPr>
      </w:pPr>
    </w:p>
    <w:p>
      <w:pPr>
        <w:ind w:right="80"/>
        <w:spacing w:after="0" w:line="315" w:lineRule="auto"/>
        <w:rPr>
          <w:sz w:val="20"/>
          <w:szCs w:val="20"/>
          <w:color w:val="auto"/>
        </w:rPr>
      </w:pPr>
      <w:r>
        <w:rPr>
          <w:rFonts w:ascii="Arial" w:cs="Arial" w:eastAsia="Arial" w:hAnsi="Arial"/>
          <w:sz w:val="18"/>
          <w:szCs w:val="18"/>
          <w:color w:val="auto"/>
        </w:rPr>
        <w:t>The following table summarizes the cash flows from operating, investing and financing activities for the nine months ended September 30, 2026 and 2025. Refer to the Interim Condensed Consolidated Statement of Cash Flows for the nine months ended September 30, 2026 and 2025 in this Interim Report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243782"/>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680" w:type="dxa"/>
            <w:vAlign w:val="bottom"/>
            <w:tcBorders>
              <w:top w:val="single" w:sz="8" w:color="8E939F"/>
            </w:tcBorders>
            <w:shd w:val="clear" w:color="auto" w:fill="F3F3F9"/>
          </w:tcPr>
          <w:p>
            <w:pPr>
              <w:spacing w:after="0"/>
              <w:rPr>
                <w:sz w:val="18"/>
                <w:szCs w:val="18"/>
                <w:color w:val="auto"/>
              </w:rPr>
            </w:pPr>
          </w:p>
        </w:tc>
        <w:tc>
          <w:tcPr>
            <w:tcW w:w="1780" w:type="dxa"/>
            <w:vAlign w:val="bottom"/>
            <w:tcBorders>
              <w:top w:val="single" w:sz="8" w:color="8E939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Borders>
              <w:bottom w:val="single" w:sz="8" w:color="143A84"/>
            </w:tcBorders>
          </w:tcPr>
          <w:p>
            <w:pPr>
              <w:spacing w:after="0"/>
              <w:rPr>
                <w:sz w:val="20"/>
                <w:szCs w:val="20"/>
                <w:color w:val="auto"/>
              </w:rPr>
            </w:pPr>
          </w:p>
        </w:tc>
        <w:tc>
          <w:tcPr>
            <w:tcW w:w="1680" w:type="dxa"/>
            <w:vAlign w:val="bottom"/>
            <w:tcBorders>
              <w:bottom w:val="single" w:sz="8" w:color="143A84"/>
            </w:tcBorders>
            <w:shd w:val="clear" w:color="auto" w:fill="F3F3F9"/>
          </w:tcPr>
          <w:p>
            <w:pPr>
              <w:jc w:val="right"/>
              <w:ind w:right="579"/>
              <w:spacing w:after="0"/>
              <w:rPr>
                <w:sz w:val="20"/>
                <w:szCs w:val="20"/>
                <w:color w:val="auto"/>
              </w:rPr>
            </w:pPr>
            <w:r>
              <w:rPr>
                <w:rFonts w:ascii="Arial" w:cs="Arial" w:eastAsia="Arial" w:hAnsi="Arial"/>
                <w:sz w:val="16"/>
                <w:szCs w:val="16"/>
                <w:b w:val="1"/>
                <w:bCs w:val="1"/>
                <w:color w:val="243782"/>
              </w:rPr>
              <w:t>2026</w:t>
            </w:r>
          </w:p>
        </w:tc>
        <w:tc>
          <w:tcPr>
            <w:tcW w:w="1780" w:type="dxa"/>
            <w:vAlign w:val="bottom"/>
            <w:tcBorders>
              <w:bottom w:val="single" w:sz="8" w:color="143A84"/>
            </w:tcBorders>
          </w:tcPr>
          <w:p>
            <w:pPr>
              <w:jc w:val="right"/>
              <w:ind w:right="57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47"/>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cash from/(used in) operating activities</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(6,817)</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(6,838)</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cash from/(used in) investing activities</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(7,346)</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cash from/(used in) financing activities</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12,725</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336"/>
        </w:trPr>
        <w:tc>
          <w:tcPr>
            <w:tcW w:w="7780" w:type="dxa"/>
            <w:vAlign w:val="bottom"/>
          </w:tcPr>
          <w:p>
            <w:pPr>
              <w:ind w:left="20"/>
              <w:spacing w:after="0"/>
              <w:rPr>
                <w:sz w:val="20"/>
                <w:szCs w:val="20"/>
                <w:color w:val="auto"/>
              </w:rPr>
            </w:pPr>
            <w:r>
              <w:rPr>
                <w:rFonts w:ascii="Arial" w:cs="Arial" w:eastAsia="Arial" w:hAnsi="Arial"/>
                <w:sz w:val="16"/>
                <w:szCs w:val="16"/>
                <w:color w:val="auto"/>
              </w:rPr>
              <w:t>Effects of changes in exchange rates</w:t>
            </w:r>
          </w:p>
        </w:tc>
        <w:tc>
          <w:tcPr>
            <w:tcW w:w="168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103"/>
        </w:trPr>
        <w:tc>
          <w:tcPr>
            <w:tcW w:w="7780" w:type="dxa"/>
            <w:vAlign w:val="bottom"/>
            <w:tcBorders>
              <w:bottom w:val="single" w:sz="8" w:color="8E939F"/>
            </w:tcBorders>
          </w:tcPr>
          <w:p>
            <w:pPr>
              <w:spacing w:after="0"/>
              <w:rPr>
                <w:sz w:val="9"/>
                <w:szCs w:val="9"/>
                <w:color w:val="auto"/>
              </w:rPr>
            </w:pPr>
          </w:p>
        </w:tc>
        <w:tc>
          <w:tcPr>
            <w:tcW w:w="1680" w:type="dxa"/>
            <w:vAlign w:val="bottom"/>
            <w:tcBorders>
              <w:bottom w:val="single" w:sz="8" w:color="8E939F"/>
            </w:tcBorders>
            <w:vMerge w:val="continue"/>
            <w:shd w:val="clear" w:color="auto" w:fill="F3F3F9"/>
          </w:tcPr>
          <w:p>
            <w:pPr>
              <w:spacing w:after="0"/>
              <w:rPr>
                <w:sz w:val="9"/>
                <w:szCs w:val="9"/>
                <w:color w:val="auto"/>
              </w:rPr>
            </w:pPr>
          </w:p>
        </w:tc>
        <w:tc>
          <w:tcPr>
            <w:tcW w:w="1780" w:type="dxa"/>
            <w:vAlign w:val="bottom"/>
            <w:tcBorders>
              <w:bottom w:val="single" w:sz="8" w:color="8E939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(Increase)/decrease in cash and cash equivalents included in asset held for sale</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Increase/(decrease) in cash and cash equivalents</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(1,100)</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(6,786)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cash and cash equivalents at beginning of period</w:t>
            </w:r>
          </w:p>
        </w:tc>
        <w:tc>
          <w:tcPr>
            <w:tcW w:w="16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30,146</w:t>
            </w:r>
          </w:p>
        </w:tc>
        <w:tc>
          <w:tcPr>
            <w:tcW w:w="17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34,100</w:t>
            </w:r>
          </w:p>
        </w:tc>
        <w:tc>
          <w:tcPr>
            <w:tcW w:w="0" w:type="dxa"/>
            <w:vAlign w:val="bottom"/>
          </w:tcPr>
          <w:p>
            <w:pPr>
              <w:spacing w:after="0"/>
              <w:rPr>
                <w:sz w:val="1"/>
                <w:szCs w:val="1"/>
                <w:color w:val="auto"/>
              </w:rPr>
            </w:pPr>
          </w:p>
        </w:tc>
      </w:tr>
      <w:tr>
        <w:trPr>
          <w:trHeight w:val="253"/>
        </w:trPr>
        <w:tc>
          <w:tcPr>
            <w:tcW w:w="77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CASH AND CASH EQUIVALENTS AT END OF PERIOD</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29,046</w:t>
            </w:r>
          </w:p>
        </w:tc>
        <w:tc>
          <w:tcPr>
            <w:tcW w:w="17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27,314</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Operating activities</w:t>
      </w:r>
    </w:p>
    <w:p>
      <w:pPr>
        <w:spacing w:after="0" w:line="250" w:lineRule="exact"/>
        <w:rPr>
          <w:sz w:val="20"/>
          <w:szCs w:val="20"/>
          <w:color w:val="auto"/>
        </w:rPr>
      </w:pPr>
    </w:p>
    <w:p>
      <w:pPr>
        <w:ind w:right="140"/>
        <w:spacing w:after="0" w:line="334" w:lineRule="auto"/>
        <w:rPr>
          <w:sz w:val="20"/>
          <w:szCs w:val="20"/>
          <w:color w:val="auto"/>
        </w:rPr>
      </w:pPr>
      <w:r>
        <w:rPr>
          <w:rFonts w:ascii="Arial" w:cs="Arial" w:eastAsia="Arial" w:hAnsi="Arial"/>
          <w:sz w:val="18"/>
          <w:szCs w:val="18"/>
          <w:color w:val="auto"/>
        </w:rPr>
        <w:t>For the nine months ended September 30, 2026, cash flows used in operating activities were the result of Profit before taxes of €506 million adjusted primarily for the following items:</w:t>
      </w:r>
    </w:p>
    <w:p>
      <w:pPr>
        <w:spacing w:after="0" w:line="153"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18"/>
          <w:szCs w:val="18"/>
          <w:color w:val="143A84"/>
        </w:rPr>
      </w:pPr>
      <w:r>
        <w:rPr>
          <w:rFonts w:ascii="Arial" w:cs="Arial" w:eastAsia="Arial" w:hAnsi="Arial"/>
          <w:sz w:val="18"/>
          <w:szCs w:val="18"/>
          <w:color w:val="auto"/>
        </w:rPr>
        <w:t>Non-cash items of:</w:t>
      </w:r>
    </w:p>
    <w:p>
      <w:pPr>
        <w:spacing w:after="0" w:line="157" w:lineRule="exact"/>
        <w:rPr>
          <w:rFonts w:ascii="Arial" w:cs="Arial" w:eastAsia="Arial" w:hAnsi="Arial"/>
          <w:sz w:val="18"/>
          <w:szCs w:val="18"/>
          <w:color w:val="143A84"/>
        </w:rPr>
      </w:pPr>
    </w:p>
    <w:p>
      <w:pPr>
        <w:ind w:left="300" w:hanging="137"/>
        <w:spacing w:after="0"/>
        <w:tabs>
          <w:tab w:leader="none" w:pos="300" w:val="left"/>
        </w:tabs>
        <w:numPr>
          <w:ilvl w:val="1"/>
          <w:numId w:val="35"/>
        </w:numPr>
        <w:rPr>
          <w:rFonts w:ascii="Arial" w:cs="Arial" w:eastAsia="Arial" w:hAnsi="Arial"/>
          <w:sz w:val="14"/>
          <w:szCs w:val="14"/>
          <w:color w:val="143A84"/>
        </w:rPr>
      </w:pPr>
      <w:r>
        <w:rPr>
          <w:rFonts w:ascii="Arial" w:cs="Arial" w:eastAsia="Arial" w:hAnsi="Arial"/>
          <w:sz w:val="18"/>
          <w:szCs w:val="18"/>
          <w:color w:val="auto"/>
        </w:rPr>
        <w:t>€4,736 million for depreciation and amortization expense;</w:t>
      </w:r>
    </w:p>
    <w:p>
      <w:pPr>
        <w:spacing w:after="0" w:line="265" w:lineRule="exact"/>
        <w:rPr>
          <w:rFonts w:ascii="Arial" w:cs="Arial" w:eastAsia="Arial" w:hAnsi="Arial"/>
          <w:sz w:val="14"/>
          <w:szCs w:val="14"/>
          <w:color w:val="143A84"/>
        </w:rPr>
      </w:pPr>
    </w:p>
    <w:p>
      <w:pPr>
        <w:ind w:left="320" w:right="140" w:hanging="157"/>
        <w:spacing w:after="0" w:line="334" w:lineRule="auto"/>
        <w:tabs>
          <w:tab w:leader="none" w:pos="296" w:val="left"/>
        </w:tabs>
        <w:numPr>
          <w:ilvl w:val="1"/>
          <w:numId w:val="35"/>
        </w:numPr>
        <w:rPr>
          <w:rFonts w:ascii="Arial" w:cs="Arial" w:eastAsia="Arial" w:hAnsi="Arial"/>
          <w:sz w:val="14"/>
          <w:szCs w:val="14"/>
          <w:color w:val="143A84"/>
        </w:rPr>
      </w:pPr>
      <w:r>
        <w:rPr>
          <w:rFonts w:ascii="Arial" w:cs="Arial" w:eastAsia="Arial" w:hAnsi="Arial"/>
          <w:sz w:val="18"/>
          <w:szCs w:val="18"/>
          <w:color w:val="auto"/>
        </w:rPr>
        <w:t xml:space="preserve">€1,071 million for other non-cash items, primarily including €614 million related to impairments of tangible and intangible assets of which €284 million of U.S. GHG-related Other intangible assets (refer to </w:t>
      </w:r>
      <w:r>
        <w:rPr>
          <w:rFonts w:ascii="Arial" w:cs="Arial" w:eastAsia="Arial" w:hAnsi="Arial"/>
          <w:sz w:val="18"/>
          <w:szCs w:val="18"/>
          <w:i w:val="1"/>
          <w:iCs w:val="1"/>
          <w:color w:val="auto"/>
        </w:rPr>
        <w:t>Company results</w:t>
      </w:r>
      <w:r>
        <w:rPr>
          <w:rFonts w:ascii="Arial" w:cs="Arial" w:eastAsia="Arial" w:hAnsi="Arial"/>
          <w:sz w:val="18"/>
          <w:szCs w:val="18"/>
          <w:color w:val="auto"/>
        </w:rPr>
        <w:t xml:space="preserve"> for additional information);</w:t>
      </w:r>
    </w:p>
    <w:p>
      <w:pPr>
        <w:spacing w:after="0" w:line="152" w:lineRule="exact"/>
        <w:rPr>
          <w:rFonts w:ascii="Arial" w:cs="Arial" w:eastAsia="Arial" w:hAnsi="Arial"/>
          <w:sz w:val="14"/>
          <w:szCs w:val="14"/>
          <w:color w:val="143A84"/>
        </w:rPr>
      </w:pPr>
    </w:p>
    <w:p>
      <w:pPr>
        <w:ind w:left="160" w:right="400" w:hanging="152"/>
        <w:spacing w:after="0" w:line="306" w:lineRule="auto"/>
        <w:tabs>
          <w:tab w:leader="none" w:pos="1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€2,414 million net decrease in provisions and employee benefits liabilities, primarily due to commercial risk provisions and product warranty and recall campaign provisions, which is partially offset by an increase in sales incentives. The net decrease in provisions included €1,060 million of cash payments related to charges recorded in the second half of 2025, as well as the release of U.S. GHG provisions (refer to Note 13, </w:t>
      </w:r>
      <w:r>
        <w:rPr>
          <w:rFonts w:ascii="Arial" w:cs="Arial" w:eastAsia="Arial" w:hAnsi="Arial"/>
          <w:sz w:val="18"/>
          <w:szCs w:val="18"/>
          <w:i w:val="1"/>
          <w:iCs w:val="1"/>
          <w:color w:val="auto"/>
        </w:rPr>
        <w:t>Provisions</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70" w:lineRule="exact"/>
        <w:rPr>
          <w:rFonts w:ascii="Arial" w:cs="Arial" w:eastAsia="Arial" w:hAnsi="Arial"/>
          <w:sz w:val="18"/>
          <w:szCs w:val="18"/>
          <w:color w:val="auto"/>
        </w:rPr>
      </w:pPr>
    </w:p>
    <w:p>
      <w:pPr>
        <w:ind w:left="160" w:right="220" w:hanging="152"/>
        <w:spacing w:after="0" w:line="334" w:lineRule="auto"/>
        <w:tabs>
          <w:tab w:leader="none" w:pos="121" w:val="left"/>
        </w:tabs>
        <w:numPr>
          <w:ilvl w:val="0"/>
          <w:numId w:val="35"/>
        </w:numPr>
        <w:rPr>
          <w:rFonts w:ascii="Arial" w:cs="Arial" w:eastAsia="Arial" w:hAnsi="Arial"/>
          <w:sz w:val="18"/>
          <w:szCs w:val="18"/>
          <w:color w:val="143A84"/>
        </w:rPr>
      </w:pPr>
      <w:r>
        <w:rPr>
          <w:rFonts w:ascii="Arial" w:cs="Arial" w:eastAsia="Arial" w:hAnsi="Arial"/>
          <w:sz w:val="18"/>
          <w:szCs w:val="18"/>
          <w:color w:val="auto"/>
        </w:rPr>
        <w:t>the cash absorption of €2,591 million as a result of the increase in the carrying amount of leased vehicles related primarily to the financial services activity in North America;</w:t>
      </w:r>
    </w:p>
    <w:p>
      <w:pPr>
        <w:spacing w:after="0" w:line="44" w:lineRule="exact"/>
        <w:rPr>
          <w:rFonts w:ascii="Arial" w:cs="Arial" w:eastAsia="Arial" w:hAnsi="Arial"/>
          <w:sz w:val="18"/>
          <w:szCs w:val="18"/>
          <w:color w:val="143A84"/>
        </w:rPr>
      </w:pPr>
    </w:p>
    <w:p>
      <w:pPr>
        <w:ind w:left="160" w:right="180" w:hanging="152"/>
        <w:spacing w:after="0" w:line="350" w:lineRule="auto"/>
        <w:tabs>
          <w:tab w:leader="none" w:pos="121" w:val="left"/>
        </w:tabs>
        <w:numPr>
          <w:ilvl w:val="0"/>
          <w:numId w:val="35"/>
        </w:numPr>
        <w:rPr>
          <w:rFonts w:ascii="Arial" w:cs="Arial" w:eastAsia="Arial" w:hAnsi="Arial"/>
          <w:sz w:val="18"/>
          <w:szCs w:val="18"/>
          <w:color w:val="143A84"/>
        </w:rPr>
      </w:pPr>
      <w:r>
        <w:rPr>
          <w:rFonts w:ascii="Arial" w:cs="Arial" w:eastAsia="Arial" w:hAnsi="Arial"/>
          <w:sz w:val="18"/>
          <w:szCs w:val="18"/>
          <w:color w:val="auto"/>
        </w:rPr>
        <w:t>an increase in receivables from financing activities of €4,281 million, which was mainly attributable to growth in financial services activities in North America and South America;</w:t>
      </w:r>
    </w:p>
    <w:p>
      <w:pPr>
        <w:spacing w:after="0" w:line="30" w:lineRule="exact"/>
        <w:rPr>
          <w:rFonts w:ascii="Arial" w:cs="Arial" w:eastAsia="Arial" w:hAnsi="Arial"/>
          <w:sz w:val="18"/>
          <w:szCs w:val="18"/>
          <w:color w:val="143A84"/>
        </w:rPr>
      </w:pPr>
    </w:p>
    <w:p>
      <w:pPr>
        <w:ind w:left="120" w:hanging="112"/>
        <w:spacing w:after="0"/>
        <w:tabs>
          <w:tab w:leader="none" w:pos="120" w:val="left"/>
        </w:tabs>
        <w:numPr>
          <w:ilvl w:val="0"/>
          <w:numId w:val="35"/>
        </w:numPr>
        <w:rPr>
          <w:rFonts w:ascii="Arial" w:cs="Arial" w:eastAsia="Arial" w:hAnsi="Arial"/>
          <w:sz w:val="18"/>
          <w:szCs w:val="18"/>
          <w:color w:val="143A84"/>
        </w:rPr>
      </w:pPr>
      <w:r>
        <w:rPr>
          <w:rFonts w:ascii="Arial" w:cs="Arial" w:eastAsia="Arial" w:hAnsi="Arial"/>
          <w:sz w:val="18"/>
          <w:szCs w:val="18"/>
          <w:color w:val="auto"/>
        </w:rPr>
        <w:t>A net cash absorption of €3,892 million in working capital, which includes:</w:t>
      </w:r>
    </w:p>
    <w:p>
      <w:pPr>
        <w:spacing w:after="0" w:line="157" w:lineRule="exact"/>
        <w:rPr>
          <w:rFonts w:ascii="Arial" w:cs="Arial" w:eastAsia="Arial" w:hAnsi="Arial"/>
          <w:sz w:val="18"/>
          <w:szCs w:val="18"/>
          <w:color w:val="143A84"/>
        </w:rPr>
      </w:pPr>
    </w:p>
    <w:p>
      <w:pPr>
        <w:ind w:left="320" w:right="320" w:hanging="157"/>
        <w:spacing w:after="0" w:line="315" w:lineRule="auto"/>
        <w:tabs>
          <w:tab w:leader="none" w:pos="296" w:val="left"/>
        </w:tabs>
        <w:numPr>
          <w:ilvl w:val="1"/>
          <w:numId w:val="35"/>
        </w:numPr>
        <w:rPr>
          <w:rFonts w:ascii="Arial" w:cs="Arial" w:eastAsia="Arial" w:hAnsi="Arial"/>
          <w:sz w:val="14"/>
          <w:szCs w:val="14"/>
          <w:color w:val="143A84"/>
        </w:rPr>
      </w:pPr>
      <w:r>
        <w:rPr>
          <w:rFonts w:ascii="Arial" w:cs="Arial" w:eastAsia="Arial" w:hAnsi="Arial"/>
          <w:sz w:val="18"/>
          <w:szCs w:val="18"/>
          <w:color w:val="auto"/>
        </w:rPr>
        <w:t>an increase of €2,614 million in inventories driven primarily by new vehicle stock build-up in Enlarged Europe and South America to support fourth quarter shipment volumes and an increase in manufacturing inventory as compared to December 2025 when inventory levels were reduced reflecting the seasonal shut downs of certain facilities;</w:t>
      </w:r>
    </w:p>
    <w:p>
      <w:pPr>
        <w:spacing w:after="0" w:line="62" w:lineRule="exact"/>
        <w:rPr>
          <w:rFonts w:ascii="Arial" w:cs="Arial" w:eastAsia="Arial" w:hAnsi="Arial"/>
          <w:sz w:val="14"/>
          <w:szCs w:val="14"/>
          <w:color w:val="143A84"/>
        </w:rPr>
      </w:pPr>
    </w:p>
    <w:p>
      <w:pPr>
        <w:ind w:left="320" w:right="620" w:hanging="157"/>
        <w:spacing w:after="0" w:line="334" w:lineRule="auto"/>
        <w:tabs>
          <w:tab w:leader="none" w:pos="296" w:val="left"/>
        </w:tabs>
        <w:numPr>
          <w:ilvl w:val="1"/>
          <w:numId w:val="35"/>
        </w:numPr>
        <w:rPr>
          <w:rFonts w:ascii="Arial" w:cs="Arial" w:eastAsia="Arial" w:hAnsi="Arial"/>
          <w:sz w:val="14"/>
          <w:szCs w:val="14"/>
          <w:color w:val="143A84"/>
        </w:rPr>
      </w:pPr>
      <w:r>
        <w:rPr>
          <w:rFonts w:ascii="Arial" w:cs="Arial" w:eastAsia="Arial" w:hAnsi="Arial"/>
          <w:sz w:val="18"/>
          <w:szCs w:val="18"/>
          <w:color w:val="auto"/>
        </w:rPr>
        <w:t>an increase of €358 million in trade receivables mainly reflecting different sales channel mix with a greater proportion coming from channels with longer payment terms and a decrease in factoring as compared to December 31, 2025;</w:t>
      </w:r>
    </w:p>
    <w:p>
      <w:pPr>
        <w:spacing w:after="0" w:line="44" w:lineRule="exact"/>
        <w:rPr>
          <w:rFonts w:ascii="Arial" w:cs="Arial" w:eastAsia="Arial" w:hAnsi="Arial"/>
          <w:sz w:val="14"/>
          <w:szCs w:val="14"/>
          <w:color w:val="143A84"/>
        </w:rPr>
      </w:pPr>
    </w:p>
    <w:p>
      <w:pPr>
        <w:ind w:left="320" w:right="20" w:hanging="157"/>
        <w:spacing w:after="0" w:line="334" w:lineRule="auto"/>
        <w:tabs>
          <w:tab w:leader="none" w:pos="296" w:val="left"/>
        </w:tabs>
        <w:numPr>
          <w:ilvl w:val="1"/>
          <w:numId w:val="35"/>
        </w:numPr>
        <w:rPr>
          <w:rFonts w:ascii="Arial" w:cs="Arial" w:eastAsia="Arial" w:hAnsi="Arial"/>
          <w:sz w:val="14"/>
          <w:szCs w:val="14"/>
          <w:color w:val="143A84"/>
        </w:rPr>
      </w:pPr>
      <w:r>
        <w:rPr>
          <w:rFonts w:ascii="Arial" w:cs="Arial" w:eastAsia="Arial" w:hAnsi="Arial"/>
          <w:sz w:val="18"/>
          <w:szCs w:val="18"/>
          <w:color w:val="auto"/>
        </w:rPr>
        <w:t>a negative impact of €1,717 million in other changes, primarily reflecting various movements in other receivables and payables across the regions; and</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right="540" w:hanging="157"/>
        <w:spacing w:after="0" w:line="334" w:lineRule="auto"/>
        <w:tabs>
          <w:tab w:leader="none" w:pos="296" w:val="left"/>
        </w:tabs>
        <w:numPr>
          <w:ilvl w:val="0"/>
          <w:numId w:val="36"/>
        </w:numPr>
        <w:rPr>
          <w:rFonts w:ascii="Arial" w:cs="Arial" w:eastAsia="Arial" w:hAnsi="Arial"/>
          <w:sz w:val="14"/>
          <w:szCs w:val="14"/>
          <w:color w:val="143A84"/>
        </w:rPr>
      </w:pPr>
      <w:r>
        <w:rPr>
          <w:rFonts w:ascii="Arial" w:cs="Arial" w:eastAsia="Arial" w:hAnsi="Arial"/>
          <w:sz w:val="18"/>
          <w:szCs w:val="18"/>
          <w:color w:val="auto"/>
        </w:rPr>
        <w:t>an increase of €797 million in trade payables primarily due to higher volume of buy-back returns in Enlarged Europe and increased manufacturing inventory levels.</w:t>
      </w:r>
    </w:p>
    <w:p>
      <w:pPr>
        <w:spacing w:after="0" w:line="153"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For the nine months ended September 30, 2025, cash flows used in operating activities were the result of Loss before taxes of €8,565 million primarily adjusted by the following items:</w:t>
      </w:r>
    </w:p>
    <w:p>
      <w:pPr>
        <w:spacing w:after="0" w:line="153"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8"/>
          <w:szCs w:val="18"/>
          <w:color w:val="143A84"/>
        </w:rPr>
      </w:pPr>
      <w:r>
        <w:rPr>
          <w:rFonts w:ascii="Arial" w:cs="Arial" w:eastAsia="Arial" w:hAnsi="Arial"/>
          <w:sz w:val="18"/>
          <w:szCs w:val="18"/>
          <w:color w:val="auto"/>
        </w:rPr>
        <w:t>Non-cash items of:</w:t>
      </w:r>
    </w:p>
    <w:p>
      <w:pPr>
        <w:spacing w:after="0" w:line="157" w:lineRule="exact"/>
        <w:rPr>
          <w:rFonts w:ascii="Arial" w:cs="Arial" w:eastAsia="Arial" w:hAnsi="Arial"/>
          <w:sz w:val="18"/>
          <w:szCs w:val="18"/>
          <w:color w:val="143A84"/>
        </w:rPr>
      </w:pPr>
    </w:p>
    <w:p>
      <w:pPr>
        <w:ind w:left="300" w:hanging="137"/>
        <w:spacing w:after="0"/>
        <w:tabs>
          <w:tab w:leader="none" w:pos="300" w:val="left"/>
        </w:tabs>
        <w:numPr>
          <w:ilvl w:val="1"/>
          <w:numId w:val="37"/>
        </w:numPr>
        <w:rPr>
          <w:rFonts w:ascii="Arial" w:cs="Arial" w:eastAsia="Arial" w:hAnsi="Arial"/>
          <w:sz w:val="14"/>
          <w:szCs w:val="14"/>
          <w:color w:val="143A84"/>
        </w:rPr>
      </w:pPr>
      <w:r>
        <w:rPr>
          <w:rFonts w:ascii="Arial" w:cs="Arial" w:eastAsia="Arial" w:hAnsi="Arial"/>
          <w:sz w:val="18"/>
          <w:szCs w:val="18"/>
          <w:color w:val="auto"/>
        </w:rPr>
        <w:t>€5,301 million for depreciation and amortization expense; and</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37"/>
        </w:numPr>
        <w:rPr>
          <w:rFonts w:ascii="Arial" w:cs="Arial" w:eastAsia="Arial" w:hAnsi="Arial"/>
          <w:sz w:val="14"/>
          <w:szCs w:val="14"/>
          <w:color w:val="143A84"/>
        </w:rPr>
      </w:pPr>
      <w:r>
        <w:rPr>
          <w:rFonts w:ascii="Arial" w:cs="Arial" w:eastAsia="Arial" w:hAnsi="Arial"/>
          <w:sz w:val="18"/>
          <w:szCs w:val="18"/>
          <w:color w:val="auto"/>
        </w:rPr>
        <w:t>€3,267 million for other non-cash items mainly attributable to impairments;</w:t>
      </w:r>
    </w:p>
    <w:p>
      <w:pPr>
        <w:spacing w:after="0" w:line="265" w:lineRule="exact"/>
        <w:rPr>
          <w:rFonts w:ascii="Arial" w:cs="Arial" w:eastAsia="Arial" w:hAnsi="Arial"/>
          <w:sz w:val="14"/>
          <w:szCs w:val="14"/>
          <w:color w:val="143A84"/>
        </w:rPr>
      </w:pPr>
    </w:p>
    <w:p>
      <w:pPr>
        <w:ind w:left="160" w:right="640" w:hanging="152"/>
        <w:spacing w:after="0" w:line="350" w:lineRule="auto"/>
        <w:tabs>
          <w:tab w:leader="none" w:pos="121" w:val="left"/>
        </w:tabs>
        <w:numPr>
          <w:ilvl w:val="0"/>
          <w:numId w:val="37"/>
        </w:numPr>
        <w:rPr>
          <w:rFonts w:ascii="Arial" w:cs="Arial" w:eastAsia="Arial" w:hAnsi="Arial"/>
          <w:sz w:val="18"/>
          <w:szCs w:val="18"/>
          <w:color w:val="143A84"/>
        </w:rPr>
      </w:pPr>
      <w:r>
        <w:rPr>
          <w:rFonts w:ascii="Arial" w:cs="Arial" w:eastAsia="Arial" w:hAnsi="Arial"/>
          <w:sz w:val="18"/>
          <w:szCs w:val="18"/>
          <w:color w:val="auto"/>
        </w:rPr>
        <w:t>Increase in receivables from financing activities of €3,281 million, which was mainly attributable to financial services activity in North America;</w:t>
      </w:r>
    </w:p>
    <w:p>
      <w:pPr>
        <w:spacing w:after="0" w:line="30" w:lineRule="exact"/>
        <w:rPr>
          <w:rFonts w:ascii="Arial" w:cs="Arial" w:eastAsia="Arial" w:hAnsi="Arial"/>
          <w:sz w:val="18"/>
          <w:szCs w:val="18"/>
          <w:color w:val="143A84"/>
        </w:rPr>
      </w:pPr>
    </w:p>
    <w:p>
      <w:pPr>
        <w:ind w:left="120" w:hanging="112"/>
        <w:spacing w:after="0"/>
        <w:tabs>
          <w:tab w:leader="none" w:pos="120" w:val="left"/>
        </w:tabs>
        <w:numPr>
          <w:ilvl w:val="0"/>
          <w:numId w:val="37"/>
        </w:numPr>
        <w:rPr>
          <w:rFonts w:ascii="Arial" w:cs="Arial" w:eastAsia="Arial" w:hAnsi="Arial"/>
          <w:sz w:val="18"/>
          <w:szCs w:val="18"/>
          <w:color w:val="143A84"/>
        </w:rPr>
      </w:pPr>
      <w:r>
        <w:rPr>
          <w:rFonts w:ascii="Arial" w:cs="Arial" w:eastAsia="Arial" w:hAnsi="Arial"/>
          <w:sz w:val="18"/>
          <w:szCs w:val="18"/>
          <w:color w:val="auto"/>
        </w:rPr>
        <w:t>Increase in carrying amount of leased vehicles of €4,225 million related to the growth of financial services activity in North America;</w:t>
      </w:r>
    </w:p>
    <w:p>
      <w:pPr>
        <w:spacing w:after="0" w:line="157" w:lineRule="exact"/>
        <w:rPr>
          <w:rFonts w:ascii="Arial" w:cs="Arial" w:eastAsia="Arial" w:hAnsi="Arial"/>
          <w:sz w:val="18"/>
          <w:szCs w:val="18"/>
          <w:color w:val="143A84"/>
        </w:rPr>
      </w:pPr>
    </w:p>
    <w:p>
      <w:pPr>
        <w:ind w:left="160" w:right="660" w:hanging="152"/>
        <w:spacing w:after="0" w:line="334" w:lineRule="auto"/>
        <w:tabs>
          <w:tab w:leader="none" w:pos="121" w:val="left"/>
        </w:tabs>
        <w:numPr>
          <w:ilvl w:val="0"/>
          <w:numId w:val="37"/>
        </w:numPr>
        <w:rPr>
          <w:rFonts w:ascii="Arial" w:cs="Arial" w:eastAsia="Arial" w:hAnsi="Arial"/>
          <w:sz w:val="18"/>
          <w:szCs w:val="18"/>
          <w:color w:val="143A84"/>
        </w:rPr>
      </w:pPr>
      <w:r>
        <w:rPr>
          <w:rFonts w:ascii="Arial" w:cs="Arial" w:eastAsia="Arial" w:hAnsi="Arial"/>
          <w:sz w:val="18"/>
          <w:szCs w:val="18"/>
          <w:color w:val="auto"/>
        </w:rPr>
        <w:t>Net increase in provisions of €2,693 million, primarily due to accruals as a result of (i) change in estimate for contractual warranties, partially offset by (ii) the decrease of risk provisions in North America relating to regulatory matters; and</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37"/>
        </w:numPr>
        <w:rPr>
          <w:rFonts w:ascii="Arial" w:cs="Arial" w:eastAsia="Arial" w:hAnsi="Arial"/>
          <w:sz w:val="18"/>
          <w:szCs w:val="18"/>
          <w:color w:val="143A84"/>
        </w:rPr>
      </w:pPr>
      <w:r>
        <w:rPr>
          <w:rFonts w:ascii="Arial" w:cs="Arial" w:eastAsia="Arial" w:hAnsi="Arial"/>
          <w:sz w:val="18"/>
          <w:szCs w:val="18"/>
          <w:color w:val="auto"/>
        </w:rPr>
        <w:t>A net absorption of €2,810 million in working capital, which includes:</w:t>
      </w:r>
    </w:p>
    <w:p>
      <w:pPr>
        <w:spacing w:after="0" w:line="157" w:lineRule="exact"/>
        <w:rPr>
          <w:rFonts w:ascii="Arial" w:cs="Arial" w:eastAsia="Arial" w:hAnsi="Arial"/>
          <w:sz w:val="18"/>
          <w:szCs w:val="18"/>
          <w:color w:val="143A84"/>
        </w:rPr>
      </w:pPr>
    </w:p>
    <w:p>
      <w:pPr>
        <w:ind w:left="320" w:right="600" w:hanging="157"/>
        <w:spacing w:after="0" w:line="334" w:lineRule="auto"/>
        <w:tabs>
          <w:tab w:leader="none" w:pos="296" w:val="left"/>
        </w:tabs>
        <w:numPr>
          <w:ilvl w:val="1"/>
          <w:numId w:val="37"/>
        </w:numPr>
        <w:rPr>
          <w:rFonts w:ascii="Arial" w:cs="Arial" w:eastAsia="Arial" w:hAnsi="Arial"/>
          <w:sz w:val="14"/>
          <w:szCs w:val="14"/>
          <w:color w:val="143A84"/>
        </w:rPr>
      </w:pPr>
      <w:r>
        <w:rPr>
          <w:rFonts w:ascii="Arial" w:cs="Arial" w:eastAsia="Arial" w:hAnsi="Arial"/>
          <w:sz w:val="18"/>
          <w:szCs w:val="18"/>
          <w:color w:val="auto"/>
        </w:rPr>
        <w:t>an increase of €4,250 million in inventories mostly driven by an increase in new vehicles stock and higher manufacturing supplies, reflecting an increase in activity;</w:t>
      </w:r>
    </w:p>
    <w:p>
      <w:pPr>
        <w:spacing w:after="0" w:line="44" w:lineRule="exact"/>
        <w:rPr>
          <w:rFonts w:ascii="Arial" w:cs="Arial" w:eastAsia="Arial" w:hAnsi="Arial"/>
          <w:sz w:val="14"/>
          <w:szCs w:val="14"/>
          <w:color w:val="143A84"/>
        </w:rPr>
      </w:pPr>
    </w:p>
    <w:p>
      <w:pPr>
        <w:ind w:left="300" w:hanging="137"/>
        <w:spacing w:after="0"/>
        <w:tabs>
          <w:tab w:leader="none" w:pos="300" w:val="left"/>
        </w:tabs>
        <w:numPr>
          <w:ilvl w:val="1"/>
          <w:numId w:val="37"/>
        </w:numPr>
        <w:rPr>
          <w:rFonts w:ascii="Arial" w:cs="Arial" w:eastAsia="Arial" w:hAnsi="Arial"/>
          <w:sz w:val="14"/>
          <w:szCs w:val="14"/>
          <w:color w:val="143A84"/>
        </w:rPr>
      </w:pPr>
      <w:r>
        <w:rPr>
          <w:rFonts w:ascii="Arial" w:cs="Arial" w:eastAsia="Arial" w:hAnsi="Arial"/>
          <w:sz w:val="18"/>
          <w:szCs w:val="18"/>
          <w:color w:val="auto"/>
        </w:rPr>
        <w:t>an increase of €1,000 million in trade receivables primarily due to increased activities and a reduction in factoring; and</w:t>
      </w:r>
    </w:p>
    <w:p>
      <w:pPr>
        <w:spacing w:after="0" w:line="157" w:lineRule="exact"/>
        <w:rPr>
          <w:rFonts w:ascii="Arial" w:cs="Arial" w:eastAsia="Arial" w:hAnsi="Arial"/>
          <w:sz w:val="14"/>
          <w:szCs w:val="14"/>
          <w:color w:val="143A84"/>
        </w:rPr>
      </w:pPr>
    </w:p>
    <w:p>
      <w:pPr>
        <w:ind w:left="300" w:hanging="137"/>
        <w:spacing w:after="0"/>
        <w:tabs>
          <w:tab w:leader="none" w:pos="300" w:val="left"/>
        </w:tabs>
        <w:numPr>
          <w:ilvl w:val="1"/>
          <w:numId w:val="37"/>
        </w:numPr>
        <w:rPr>
          <w:rFonts w:ascii="Arial" w:cs="Arial" w:eastAsia="Arial" w:hAnsi="Arial"/>
          <w:sz w:val="14"/>
          <w:szCs w:val="14"/>
          <w:color w:val="143A84"/>
        </w:rPr>
      </w:pPr>
      <w:r>
        <w:rPr>
          <w:rFonts w:ascii="Arial" w:cs="Arial" w:eastAsia="Arial" w:hAnsi="Arial"/>
          <w:sz w:val="18"/>
          <w:szCs w:val="18"/>
          <w:color w:val="auto"/>
        </w:rPr>
        <w:t>a decrease of €1,553 million in other changes primarily related to tariff-related impacts in North America.</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is partially offset by:</w:t>
      </w:r>
    </w:p>
    <w:p>
      <w:pPr>
        <w:spacing w:after="0" w:line="266" w:lineRule="exact"/>
        <w:rPr>
          <w:sz w:val="20"/>
          <w:szCs w:val="20"/>
          <w:color w:val="auto"/>
        </w:rPr>
      </w:pPr>
    </w:p>
    <w:p>
      <w:pPr>
        <w:ind w:left="320" w:right="180" w:hanging="157"/>
        <w:spacing w:after="0" w:line="334" w:lineRule="auto"/>
        <w:tabs>
          <w:tab w:leader="none" w:pos="296" w:val="left"/>
        </w:tabs>
        <w:numPr>
          <w:ilvl w:val="0"/>
          <w:numId w:val="38"/>
        </w:numPr>
        <w:rPr>
          <w:rFonts w:ascii="Arial" w:cs="Arial" w:eastAsia="Arial" w:hAnsi="Arial"/>
          <w:sz w:val="14"/>
          <w:szCs w:val="14"/>
          <w:color w:val="143A84"/>
        </w:rPr>
      </w:pPr>
      <w:r>
        <w:rPr>
          <w:rFonts w:ascii="Arial" w:cs="Arial" w:eastAsia="Arial" w:hAnsi="Arial"/>
          <w:sz w:val="18"/>
          <w:szCs w:val="18"/>
          <w:color w:val="auto"/>
        </w:rPr>
        <w:t>Increase of €3,993 million in trade payables primarily reflecting increased production mainly in North America and higher manufacturing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Investing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2026, cash used in investing activities was primarily the result of:</w:t>
      </w:r>
    </w:p>
    <w:p>
      <w:pPr>
        <w:spacing w:after="0" w:line="26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143A84"/>
        </w:rPr>
      </w:pPr>
      <w:r>
        <w:rPr>
          <w:rFonts w:ascii="Arial" w:cs="Arial" w:eastAsia="Arial" w:hAnsi="Arial"/>
          <w:sz w:val="18"/>
          <w:szCs w:val="18"/>
          <w:color w:val="auto"/>
        </w:rPr>
        <w:t>€354 million of acquisition of investments, mainly due to capital increases in joint ventures and associates;</w:t>
      </w:r>
    </w:p>
    <w:p>
      <w:pPr>
        <w:spacing w:after="0" w:line="265" w:lineRule="exact"/>
        <w:rPr>
          <w:rFonts w:ascii="Arial" w:cs="Arial" w:eastAsia="Arial" w:hAnsi="Arial"/>
          <w:sz w:val="18"/>
          <w:szCs w:val="18"/>
          <w:color w:val="143A84"/>
        </w:rPr>
      </w:pPr>
    </w:p>
    <w:p>
      <w:pPr>
        <w:ind w:left="160" w:right="360" w:hanging="152"/>
        <w:spacing w:after="0" w:line="334" w:lineRule="auto"/>
        <w:tabs>
          <w:tab w:leader="none" w:pos="121" w:val="left"/>
        </w:tabs>
        <w:numPr>
          <w:ilvl w:val="0"/>
          <w:numId w:val="39"/>
        </w:numPr>
        <w:rPr>
          <w:rFonts w:ascii="Arial" w:cs="Arial" w:eastAsia="Arial" w:hAnsi="Arial"/>
          <w:sz w:val="18"/>
          <w:szCs w:val="18"/>
          <w:color w:val="143A84"/>
        </w:rPr>
      </w:pPr>
      <w:r>
        <w:rPr>
          <w:rFonts w:ascii="Arial" w:cs="Arial" w:eastAsia="Arial" w:hAnsi="Arial"/>
          <w:sz w:val="18"/>
          <w:szCs w:val="18"/>
          <w:color w:val="auto"/>
        </w:rPr>
        <w:t>€4,551 million of investment in property, plant and equipment and intangible assets, including €1,976 million of capitalized development expenditures;</w:t>
      </w:r>
    </w:p>
    <w:p>
      <w:pPr>
        <w:spacing w:after="0" w:line="166" w:lineRule="exact"/>
        <w:rPr>
          <w:rFonts w:ascii="Arial" w:cs="Arial" w:eastAsia="Arial" w:hAnsi="Arial"/>
          <w:sz w:val="18"/>
          <w:szCs w:val="18"/>
          <w:color w:val="143A84"/>
        </w:rPr>
      </w:pPr>
    </w:p>
    <w:p>
      <w:pPr>
        <w:ind w:left="180" w:hanging="172"/>
        <w:spacing w:after="0"/>
        <w:tabs>
          <w:tab w:leader="none" w:pos="180" w:val="left"/>
        </w:tabs>
        <w:numPr>
          <w:ilvl w:val="0"/>
          <w:numId w:val="39"/>
        </w:numPr>
        <w:rPr>
          <w:rFonts w:ascii="Arial" w:cs="Arial" w:eastAsia="Arial" w:hAnsi="Arial"/>
          <w:sz w:val="18"/>
          <w:szCs w:val="18"/>
          <w:color w:val="143A84"/>
        </w:rPr>
      </w:pPr>
      <w:r>
        <w:rPr>
          <w:rFonts w:ascii="Arial" w:cs="Arial" w:eastAsia="Arial" w:hAnsi="Arial"/>
          <w:sz w:val="18"/>
          <w:szCs w:val="18"/>
          <w:color w:val="auto"/>
        </w:rPr>
        <w:t>€295 million decrease in payables related to investments in property, plant and equipment and intangible assets; and</w:t>
      </w:r>
    </w:p>
    <w:p>
      <w:pPr>
        <w:spacing w:after="0" w:line="265" w:lineRule="exact"/>
        <w:rPr>
          <w:rFonts w:ascii="Arial" w:cs="Arial" w:eastAsia="Arial" w:hAnsi="Arial"/>
          <w:sz w:val="18"/>
          <w:szCs w:val="18"/>
          <w:color w:val="143A84"/>
        </w:rPr>
      </w:pPr>
    </w:p>
    <w:p>
      <w:pPr>
        <w:ind w:left="180" w:hanging="172"/>
        <w:spacing w:after="0"/>
        <w:tabs>
          <w:tab w:leader="none" w:pos="180" w:val="left"/>
        </w:tabs>
        <w:numPr>
          <w:ilvl w:val="0"/>
          <w:numId w:val="39"/>
        </w:numPr>
        <w:rPr>
          <w:rFonts w:ascii="Arial" w:cs="Arial" w:eastAsia="Arial" w:hAnsi="Arial"/>
          <w:sz w:val="18"/>
          <w:szCs w:val="18"/>
          <w:color w:val="143A84"/>
        </w:rPr>
      </w:pPr>
      <w:r>
        <w:rPr>
          <w:rFonts w:ascii="Arial" w:cs="Arial" w:eastAsia="Arial" w:hAnsi="Arial"/>
          <w:sz w:val="18"/>
          <w:szCs w:val="18"/>
          <w:color w:val="auto"/>
        </w:rPr>
        <w:t>€2,006 million increase in securities which is mainly due to the investments in sovereign bonds as part of liquidity management.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2025, cash used in investing activities was primarily the result of:</w:t>
      </w:r>
    </w:p>
    <w:p>
      <w:pPr>
        <w:sectPr>
          <w:pgSz w:w="11900" w:h="16838" w:orient="portrait"/>
          <w:cols w:equalWidth="0" w:num="1">
            <w:col w:w="11220"/>
          </w:cols>
          <w:pgMar w:left="320" w:top="1440"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hanging="152"/>
        <w:spacing w:after="0" w:line="334" w:lineRule="auto"/>
        <w:tabs>
          <w:tab w:leader="none" w:pos="121"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€324 million investment primarily relating to (i) the capital injections to joint ventures and associates for €118 million and (ii) €206 million in acquisitions of consolidated subsidiaries and equity method investments;</w:t>
      </w:r>
    </w:p>
    <w:p>
      <w:pPr>
        <w:spacing w:after="0" w:line="152" w:lineRule="exact"/>
        <w:rPr>
          <w:rFonts w:ascii="Arial" w:cs="Arial" w:eastAsia="Arial" w:hAnsi="Arial"/>
          <w:sz w:val="18"/>
          <w:szCs w:val="18"/>
          <w:color w:val="143A84"/>
        </w:rPr>
      </w:pPr>
    </w:p>
    <w:p>
      <w:pPr>
        <w:ind w:left="160" w:right="220" w:hanging="152"/>
        <w:spacing w:after="0" w:line="334" w:lineRule="auto"/>
        <w:tabs>
          <w:tab w:leader="none" w:pos="121"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€6,187 million of investment in property, plant and equipment and intangible assets, including €2,481 million of capitalized development expenditures;</w:t>
      </w:r>
    </w:p>
    <w:p>
      <w:pPr>
        <w:spacing w:after="0" w:line="152" w:lineRule="exact"/>
        <w:rPr>
          <w:rFonts w:ascii="Arial" w:cs="Arial" w:eastAsia="Arial" w:hAnsi="Arial"/>
          <w:sz w:val="18"/>
          <w:szCs w:val="18"/>
          <w:color w:val="143A84"/>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€856 million decrease in payables related to investments in property, plant and equipment and intangible assets; and</w:t>
      </w:r>
    </w:p>
    <w:p>
      <w:pPr>
        <w:spacing w:after="0" w:line="265" w:lineRule="exact"/>
        <w:rPr>
          <w:rFonts w:ascii="Arial" w:cs="Arial" w:eastAsia="Arial" w:hAnsi="Arial"/>
          <w:sz w:val="18"/>
          <w:szCs w:val="18"/>
          <w:color w:val="auto"/>
        </w:rPr>
      </w:pPr>
    </w:p>
    <w:p>
      <w:pPr>
        <w:ind w:left="120" w:hanging="112"/>
        <w:spacing w:after="0"/>
        <w:tabs>
          <w:tab w:leader="none" w:pos="120"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These cash outflows were partially offset by:</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€415 million net proceeds from disposals of shares in consolidated companies and of investments in non-consolidated companies;</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the disposal of property, plant and equipment of €172 million;</w:t>
      </w:r>
    </w:p>
    <w:p>
      <w:pPr>
        <w:spacing w:after="0" w:line="279" w:lineRule="exact"/>
        <w:rPr>
          <w:rFonts w:ascii="Arial" w:cs="Arial" w:eastAsia="Arial" w:hAnsi="Arial"/>
          <w:sz w:val="18"/>
          <w:szCs w:val="18"/>
          <w:color w:val="143A84"/>
        </w:rPr>
      </w:pPr>
    </w:p>
    <w:p>
      <w:pPr>
        <w:ind w:left="120" w:hanging="112"/>
        <w:spacing w:after="0"/>
        <w:tabs>
          <w:tab w:leader="none" w:pos="120"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a decrease in loans to joint ventures and associates of €172 million; and</w:t>
      </w:r>
    </w:p>
    <w:p>
      <w:pPr>
        <w:spacing w:after="0" w:line="265" w:lineRule="exact"/>
        <w:rPr>
          <w:rFonts w:ascii="Arial" w:cs="Arial" w:eastAsia="Arial" w:hAnsi="Arial"/>
          <w:sz w:val="18"/>
          <w:szCs w:val="18"/>
          <w:color w:val="143A84"/>
        </w:rPr>
      </w:pPr>
    </w:p>
    <w:p>
      <w:pPr>
        <w:ind w:left="180" w:right="500" w:hanging="172"/>
        <w:spacing w:after="0" w:line="524" w:lineRule="auto"/>
        <w:tabs>
          <w:tab w:leader="none" w:pos="128" w:val="left"/>
        </w:tabs>
        <w:numPr>
          <w:ilvl w:val="0"/>
          <w:numId w:val="40"/>
        </w:numPr>
        <w:rPr>
          <w:rFonts w:ascii="Arial" w:cs="Arial" w:eastAsia="Arial" w:hAnsi="Arial"/>
          <w:sz w:val="18"/>
          <w:szCs w:val="18"/>
          <w:color w:val="143A84"/>
        </w:rPr>
      </w:pPr>
      <w:r>
        <w:rPr>
          <w:rFonts w:ascii="Arial" w:cs="Arial" w:eastAsia="Arial" w:hAnsi="Arial"/>
          <w:sz w:val="18"/>
          <w:szCs w:val="18"/>
          <w:color w:val="auto"/>
        </w:rPr>
        <w:t xml:space="preserve">the decrease in securities of €2,959 million primarily attributable to reduction of investments in Enlarged Europe and North America. </w:t>
      </w:r>
      <w:r>
        <w:rPr>
          <w:rFonts w:ascii="Arial" w:cs="Arial" w:eastAsia="Arial" w:hAnsi="Arial"/>
          <w:sz w:val="18"/>
          <w:szCs w:val="18"/>
          <w:i w:val="1"/>
          <w:iCs w:val="1"/>
          <w:color w:val="143A84"/>
        </w:rPr>
        <w:t>Financing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2026, net cash from financing activities totaled €12,725 million, primarily driven by:</w:t>
      </w:r>
    </w:p>
    <w:p>
      <w:pPr>
        <w:spacing w:after="0" w:line="266" w:lineRule="exact"/>
        <w:rPr>
          <w:sz w:val="20"/>
          <w:szCs w:val="20"/>
          <w:color w:val="auto"/>
        </w:rPr>
      </w:pPr>
    </w:p>
    <w:p>
      <w:pPr>
        <w:ind w:left="160" w:right="280" w:hanging="152"/>
        <w:spacing w:after="0" w:line="334" w:lineRule="auto"/>
        <w:tabs>
          <w:tab w:leader="none" w:pos="121" w:val="left"/>
        </w:tabs>
        <w:numPr>
          <w:ilvl w:val="0"/>
          <w:numId w:val="41"/>
        </w:numPr>
        <w:rPr>
          <w:rFonts w:ascii="Arial" w:cs="Arial" w:eastAsia="Arial" w:hAnsi="Arial"/>
          <w:sz w:val="18"/>
          <w:szCs w:val="18"/>
          <w:color w:val="143A84"/>
        </w:rPr>
      </w:pPr>
      <w:r>
        <w:rPr>
          <w:rFonts w:ascii="Arial" w:cs="Arial" w:eastAsia="Arial" w:hAnsi="Arial"/>
          <w:sz w:val="18"/>
          <w:szCs w:val="18"/>
          <w:color w:val="auto"/>
        </w:rPr>
        <w:t xml:space="preserve">the issuance of Hybrid perpetual notes of €4,927 million, net (refer to Note 19, </w:t>
      </w:r>
      <w:r>
        <w:rPr>
          <w:rFonts w:ascii="Arial" w:cs="Arial" w:eastAsia="Arial" w:hAnsi="Arial"/>
          <w:sz w:val="18"/>
          <w:szCs w:val="18"/>
          <w:i w:val="1"/>
          <w:iCs w:val="1"/>
          <w:color w:val="auto"/>
        </w:rPr>
        <w:t>Equity</w:t>
      </w:r>
      <w:r>
        <w:rPr>
          <w:rFonts w:ascii="Arial" w:cs="Arial" w:eastAsia="Arial" w:hAnsi="Arial"/>
          <w:sz w:val="18"/>
          <w:szCs w:val="18"/>
          <w:color w:val="auto"/>
        </w:rPr>
        <w:t xml:space="preserve"> in the Interim Condensed Consolidated Financial Statements included in this Interim Report for additional information);</w:t>
      </w:r>
    </w:p>
    <w:p>
      <w:pPr>
        <w:spacing w:after="0" w:line="152" w:lineRule="exact"/>
        <w:rPr>
          <w:rFonts w:ascii="Arial" w:cs="Arial" w:eastAsia="Arial" w:hAnsi="Arial"/>
          <w:sz w:val="18"/>
          <w:szCs w:val="18"/>
          <w:color w:val="143A84"/>
        </w:rPr>
      </w:pPr>
    </w:p>
    <w:p>
      <w:pPr>
        <w:ind w:left="120" w:hanging="112"/>
        <w:spacing w:after="0"/>
        <w:tabs>
          <w:tab w:leader="none" w:pos="120" w:val="left"/>
        </w:tabs>
        <w:numPr>
          <w:ilvl w:val="0"/>
          <w:numId w:val="41"/>
        </w:numPr>
        <w:rPr>
          <w:rFonts w:ascii="Arial" w:cs="Arial" w:eastAsia="Arial" w:hAnsi="Arial"/>
          <w:sz w:val="18"/>
          <w:szCs w:val="18"/>
          <w:color w:val="143A84"/>
        </w:rPr>
      </w:pPr>
      <w:r>
        <w:rPr>
          <w:rFonts w:ascii="Arial" w:cs="Arial" w:eastAsia="Arial" w:hAnsi="Arial"/>
          <w:sz w:val="18"/>
          <w:szCs w:val="18"/>
          <w:color w:val="auto"/>
        </w:rPr>
        <w:t>new long-term debt for €7,659 million, mainly to fund financial services in the U.S. and Brazil;</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41"/>
        </w:numPr>
        <w:rPr>
          <w:rFonts w:ascii="Arial" w:cs="Arial" w:eastAsia="Arial" w:hAnsi="Arial"/>
          <w:sz w:val="18"/>
          <w:szCs w:val="18"/>
          <w:color w:val="143A84"/>
        </w:rPr>
      </w:pPr>
      <w:r>
        <w:rPr>
          <w:rFonts w:ascii="Arial" w:cs="Arial" w:eastAsia="Arial" w:hAnsi="Arial"/>
          <w:sz w:val="18"/>
          <w:szCs w:val="18"/>
          <w:color w:val="auto"/>
        </w:rPr>
        <w:t>issuance of bonds of €6,440 million, of which €3,030 million by SFS U.S.; and</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41"/>
        </w:numPr>
        <w:rPr>
          <w:rFonts w:ascii="Arial" w:cs="Arial" w:eastAsia="Arial" w:hAnsi="Arial"/>
          <w:sz w:val="18"/>
          <w:szCs w:val="18"/>
          <w:color w:val="143A84"/>
        </w:rPr>
      </w:pPr>
      <w:r>
        <w:rPr>
          <w:rFonts w:ascii="Arial" w:cs="Arial" w:eastAsia="Arial" w:hAnsi="Arial"/>
          <w:sz w:val="18"/>
          <w:szCs w:val="18"/>
          <w:color w:val="auto"/>
        </w:rPr>
        <w:t>a net increase of €266 million in short-term debt and other financial assets and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These inflows were partially offset by repayments of long-term debt, including:</w:t>
      </w:r>
    </w:p>
    <w:p>
      <w:pPr>
        <w:spacing w:after="0" w:line="266"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18"/>
          <w:szCs w:val="18"/>
          <w:color w:val="143A84"/>
        </w:rPr>
      </w:pPr>
      <w:r>
        <w:rPr>
          <w:rFonts w:ascii="Arial" w:cs="Arial" w:eastAsia="Arial" w:hAnsi="Arial"/>
          <w:sz w:val="18"/>
          <w:szCs w:val="18"/>
          <w:color w:val="auto"/>
        </w:rPr>
        <w:t>€2,514 million of bonds repaid at maturity; and</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42"/>
        </w:numPr>
        <w:rPr>
          <w:rFonts w:ascii="Arial" w:cs="Arial" w:eastAsia="Arial" w:hAnsi="Arial"/>
          <w:sz w:val="18"/>
          <w:szCs w:val="18"/>
          <w:color w:val="143A84"/>
        </w:rPr>
      </w:pPr>
      <w:r>
        <w:rPr>
          <w:rFonts w:ascii="Arial" w:cs="Arial" w:eastAsia="Arial" w:hAnsi="Arial"/>
          <w:sz w:val="18"/>
          <w:szCs w:val="18"/>
          <w:color w:val="auto"/>
        </w:rPr>
        <w:t>€3,942 million of other long-term debt repayments.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2025, net cash from financing activities resulted primarily from:</w:t>
      </w:r>
    </w:p>
    <w:p>
      <w:pPr>
        <w:spacing w:after="0" w:line="266"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18"/>
          <w:szCs w:val="18"/>
          <w:color w:val="143A84"/>
        </w:rPr>
      </w:pPr>
      <w:r>
        <w:rPr>
          <w:rFonts w:ascii="Arial" w:cs="Arial" w:eastAsia="Arial" w:hAnsi="Arial"/>
          <w:sz w:val="18"/>
          <w:szCs w:val="18"/>
          <w:color w:val="auto"/>
        </w:rPr>
        <w:t>the net increase in long-term debt of €7,255 million, including:</w:t>
      </w:r>
    </w:p>
    <w:p>
      <w:pPr>
        <w:spacing w:after="0" w:line="265" w:lineRule="exact"/>
        <w:rPr>
          <w:rFonts w:ascii="Arial" w:cs="Arial" w:eastAsia="Arial" w:hAnsi="Arial"/>
          <w:sz w:val="18"/>
          <w:szCs w:val="18"/>
          <w:color w:val="143A84"/>
        </w:rPr>
      </w:pPr>
    </w:p>
    <w:p>
      <w:pPr>
        <w:ind w:left="300" w:hanging="137"/>
        <w:spacing w:after="0"/>
        <w:tabs>
          <w:tab w:leader="none" w:pos="300" w:val="left"/>
        </w:tabs>
        <w:numPr>
          <w:ilvl w:val="1"/>
          <w:numId w:val="43"/>
        </w:numPr>
        <w:rPr>
          <w:rFonts w:ascii="Arial" w:cs="Arial" w:eastAsia="Arial" w:hAnsi="Arial"/>
          <w:sz w:val="14"/>
          <w:szCs w:val="14"/>
          <w:color w:val="143A84"/>
        </w:rPr>
      </w:pPr>
      <w:r>
        <w:rPr>
          <w:rFonts w:ascii="Arial" w:cs="Arial" w:eastAsia="Arial" w:hAnsi="Arial"/>
          <w:sz w:val="18"/>
          <w:szCs w:val="18"/>
          <w:color w:val="auto"/>
        </w:rPr>
        <w:t>the issuance of bonds for €5,266 million;</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3"/>
        </w:numPr>
        <w:rPr>
          <w:rFonts w:ascii="Arial" w:cs="Arial" w:eastAsia="Arial" w:hAnsi="Arial"/>
          <w:sz w:val="14"/>
          <w:szCs w:val="14"/>
          <w:color w:val="143A84"/>
        </w:rPr>
      </w:pPr>
      <w:r>
        <w:rPr>
          <w:rFonts w:ascii="Arial" w:cs="Arial" w:eastAsia="Arial" w:hAnsi="Arial"/>
          <w:sz w:val="18"/>
          <w:szCs w:val="18"/>
          <w:color w:val="auto"/>
        </w:rPr>
        <w:t>the repayment of bonds at maturity for €650 million;</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3"/>
        </w:numPr>
        <w:rPr>
          <w:rFonts w:ascii="Arial" w:cs="Arial" w:eastAsia="Arial" w:hAnsi="Arial"/>
          <w:sz w:val="14"/>
          <w:szCs w:val="14"/>
          <w:color w:val="143A84"/>
        </w:rPr>
      </w:pPr>
      <w:r>
        <w:rPr>
          <w:rFonts w:ascii="Arial" w:cs="Arial" w:eastAsia="Arial" w:hAnsi="Arial"/>
          <w:sz w:val="18"/>
          <w:szCs w:val="18"/>
          <w:color w:val="auto"/>
        </w:rPr>
        <w:t>new long-term debt for €5,777 million primarily related to the funding of SFS U.S.;</w:t>
      </w:r>
    </w:p>
    <w:p>
      <w:pPr>
        <w:sectPr>
          <w:pgSz w:w="11900" w:h="16838" w:orient="portrait"/>
          <w:cols w:equalWidth="0" w:num="1">
            <w:col w:w="11080"/>
          </w:cols>
          <w:pgMar w:left="320" w:top="1440" w:right="499" w:bottom="1440" w:gutter="0" w:footer="0" w:header="0"/>
        </w:sect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1440" w:right="49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hanging="137"/>
        <w:spacing w:after="0"/>
        <w:tabs>
          <w:tab w:leader="none" w:pos="300" w:val="left"/>
        </w:tabs>
        <w:numPr>
          <w:ilvl w:val="1"/>
          <w:numId w:val="44"/>
        </w:numPr>
        <w:rPr>
          <w:rFonts w:ascii="Arial" w:cs="Arial" w:eastAsia="Arial" w:hAnsi="Arial"/>
          <w:sz w:val="14"/>
          <w:szCs w:val="14"/>
          <w:color w:val="143A84"/>
        </w:rPr>
      </w:pPr>
      <w:r>
        <w:rPr>
          <w:rFonts w:ascii="Arial" w:cs="Arial" w:eastAsia="Arial" w:hAnsi="Arial"/>
          <w:sz w:val="18"/>
          <w:szCs w:val="18"/>
          <w:color w:val="auto"/>
        </w:rPr>
        <w:t>the repayments for €3,138 million mainly related to SFS U.S ABS term notes;</w:t>
      </w:r>
    </w:p>
    <w:p>
      <w:pPr>
        <w:spacing w:after="0" w:line="265" w:lineRule="exact"/>
        <w:rPr>
          <w:rFonts w:ascii="Arial" w:cs="Arial" w:eastAsia="Arial" w:hAnsi="Arial"/>
          <w:sz w:val="14"/>
          <w:szCs w:val="14"/>
          <w:color w:val="143A84"/>
        </w:rPr>
      </w:pPr>
    </w:p>
    <w:p>
      <w:pPr>
        <w:ind w:left="120" w:hanging="112"/>
        <w:spacing w:after="0"/>
        <w:tabs>
          <w:tab w:leader="none" w:pos="120" w:val="left"/>
        </w:tabs>
        <w:numPr>
          <w:ilvl w:val="0"/>
          <w:numId w:val="44"/>
        </w:numPr>
        <w:rPr>
          <w:rFonts w:ascii="Arial" w:cs="Arial" w:eastAsia="Arial" w:hAnsi="Arial"/>
          <w:sz w:val="18"/>
          <w:szCs w:val="18"/>
          <w:color w:val="143A84"/>
        </w:rPr>
      </w:pPr>
      <w:r>
        <w:rPr>
          <w:rFonts w:ascii="Arial" w:cs="Arial" w:eastAsia="Arial" w:hAnsi="Arial"/>
          <w:sz w:val="18"/>
          <w:szCs w:val="18"/>
          <w:color w:val="auto"/>
        </w:rPr>
        <w:t>the distribution of dividends to shareholders of €1,959 million; and</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44"/>
        </w:numPr>
        <w:rPr>
          <w:rFonts w:ascii="Arial" w:cs="Arial" w:eastAsia="Arial" w:hAnsi="Arial"/>
          <w:sz w:val="18"/>
          <w:szCs w:val="18"/>
          <w:color w:val="143A84"/>
        </w:rPr>
      </w:pPr>
      <w:r>
        <w:rPr>
          <w:rFonts w:ascii="Arial" w:cs="Arial" w:eastAsia="Arial" w:hAnsi="Arial"/>
          <w:sz w:val="18"/>
          <w:szCs w:val="18"/>
          <w:color w:val="auto"/>
        </w:rPr>
        <w:t>a decrease in short-term debt and other financial assets and liabilities of €630 million.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143A84"/>
        </w:rPr>
        <w:t>Industrial free cash flows</w:t>
      </w:r>
    </w:p>
    <w:p>
      <w:pPr>
        <w:spacing w:after="0" w:line="252"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auto"/>
        </w:rPr>
        <w:t>The following table provides a reconciliation of Cash flows from operating activities, the most directly comparable measure included in our Interim Condensed Consolidated Statement of Cash Flows, to Industrial free cash flows for the nine months ended September 30, 2026 and 2025:</w:t>
      </w:r>
    </w:p>
    <w:p>
      <w:pPr>
        <w:spacing w:after="0" w:line="216"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243782"/>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20" w:type="dxa"/>
            <w:vAlign w:val="bottom"/>
            <w:tcBorders>
              <w:top w:val="single" w:sz="8" w:color="8E939F"/>
            </w:tcBorders>
            <w:shd w:val="clear" w:color="auto" w:fill="F3F3F9"/>
          </w:tcPr>
          <w:p>
            <w:pPr>
              <w:spacing w:after="0"/>
              <w:rPr>
                <w:sz w:val="18"/>
                <w:szCs w:val="18"/>
                <w:color w:val="auto"/>
              </w:rPr>
            </w:pPr>
          </w:p>
        </w:tc>
        <w:tc>
          <w:tcPr>
            <w:tcW w:w="580" w:type="dxa"/>
            <w:vAlign w:val="bottom"/>
            <w:tcBorders>
              <w:top w:val="single" w:sz="8" w:color="8E939F"/>
            </w:tcBorders>
            <w:shd w:val="clear" w:color="auto" w:fill="F3F3F9"/>
          </w:tcPr>
          <w:p>
            <w:pPr>
              <w:spacing w:after="0"/>
              <w:rPr>
                <w:sz w:val="18"/>
                <w:szCs w:val="18"/>
                <w:color w:val="auto"/>
              </w:rPr>
            </w:pPr>
          </w:p>
        </w:tc>
        <w:tc>
          <w:tcPr>
            <w:tcW w:w="1680" w:type="dxa"/>
            <w:vAlign w:val="bottom"/>
            <w:tcBorders>
              <w:top w:val="single" w:sz="8" w:color="8E939F"/>
            </w:tcBorders>
          </w:tcPr>
          <w:p>
            <w:pPr>
              <w:spacing w:after="0"/>
              <w:rPr>
                <w:sz w:val="18"/>
                <w:szCs w:val="18"/>
                <w:color w:val="auto"/>
              </w:rPr>
            </w:pPr>
          </w:p>
        </w:tc>
      </w:tr>
      <w:tr>
        <w:trPr>
          <w:trHeight w:val="234"/>
        </w:trPr>
        <w:tc>
          <w:tcPr>
            <w:tcW w:w="7960" w:type="dxa"/>
            <w:vAlign w:val="bottom"/>
            <w:tcBorders>
              <w:bottom w:val="single" w:sz="8" w:color="143A84"/>
            </w:tcBorders>
          </w:tcPr>
          <w:p>
            <w:pPr>
              <w:spacing w:after="0"/>
              <w:rPr>
                <w:sz w:val="20"/>
                <w:szCs w:val="20"/>
                <w:color w:val="auto"/>
              </w:rPr>
            </w:pPr>
          </w:p>
        </w:tc>
        <w:tc>
          <w:tcPr>
            <w:tcW w:w="10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580" w:type="dxa"/>
            <w:vAlign w:val="bottom"/>
            <w:tcBorders>
              <w:bottom w:val="single" w:sz="8" w:color="143A84"/>
            </w:tcBorders>
            <w:shd w:val="clear" w:color="auto" w:fill="F3F3F9"/>
          </w:tcPr>
          <w:p>
            <w:pPr>
              <w:spacing w:after="0"/>
              <w:rPr>
                <w:sz w:val="20"/>
                <w:szCs w:val="20"/>
                <w:color w:val="auto"/>
              </w:rPr>
            </w:pPr>
          </w:p>
        </w:tc>
        <w:tc>
          <w:tcPr>
            <w:tcW w:w="1680" w:type="dxa"/>
            <w:vAlign w:val="bottom"/>
            <w:tcBorders>
              <w:bottom w:val="single" w:sz="8" w:color="143A84"/>
            </w:tcBorders>
          </w:tcPr>
          <w:p>
            <w:pPr>
              <w:jc w:val="right"/>
              <w:ind w:right="519"/>
              <w:spacing w:after="0"/>
              <w:rPr>
                <w:sz w:val="20"/>
                <w:szCs w:val="20"/>
                <w:color w:val="auto"/>
              </w:rPr>
            </w:pPr>
            <w:r>
              <w:rPr>
                <w:rFonts w:ascii="Arial" w:cs="Arial" w:eastAsia="Arial" w:hAnsi="Arial"/>
                <w:sz w:val="16"/>
                <w:szCs w:val="16"/>
                <w:b w:val="1"/>
                <w:bCs w:val="1"/>
                <w:color w:val="243782"/>
              </w:rPr>
              <w:t>2025</w:t>
            </w:r>
          </w:p>
        </w:tc>
      </w:tr>
      <w:tr>
        <w:trPr>
          <w:trHeight w:val="250"/>
        </w:trPr>
        <w:tc>
          <w:tcPr>
            <w:tcW w:w="8980" w:type="dxa"/>
            <w:vAlign w:val="bottom"/>
            <w:tcBorders>
              <w:bottom w:val="single" w:sz="8" w:color="8E939F"/>
            </w:tcBorders>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Cash flows from/(used in) operating activities</w:t>
            </w:r>
          </w:p>
        </w:tc>
        <w:tc>
          <w:tcPr>
            <w:tcW w:w="5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(6,817)</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(6,838)</w:t>
            </w:r>
          </w:p>
        </w:tc>
      </w:tr>
      <w:tr>
        <w:trPr>
          <w:trHeight w:val="247"/>
        </w:trPr>
        <w:tc>
          <w:tcPr>
            <w:tcW w:w="79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Less: Financial services, net of inter-segment eliminations</w:t>
            </w:r>
          </w:p>
        </w:tc>
        <w:tc>
          <w:tcPr>
            <w:tcW w:w="1020" w:type="dxa"/>
            <w:vAlign w:val="bottom"/>
            <w:tcBorders>
              <w:bottom w:val="single" w:sz="8" w:color="8E939F"/>
            </w:tcBorders>
            <w:shd w:val="clear" w:color="auto" w:fill="F3F3F9"/>
          </w:tcPr>
          <w:p>
            <w:pPr>
              <w:spacing w:after="0"/>
              <w:rPr>
                <w:sz w:val="21"/>
                <w:szCs w:val="21"/>
                <w:color w:val="auto"/>
              </w:rPr>
            </w:pPr>
          </w:p>
        </w:tc>
        <w:tc>
          <w:tcPr>
            <w:tcW w:w="5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(7,177)</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(6,946)</w:t>
            </w: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Less: Capital Expenditures and capitalized research and development expenditures and change in amounts</w:t>
            </w:r>
          </w:p>
        </w:tc>
        <w:tc>
          <w:tcPr>
            <w:tcW w:w="1020" w:type="dxa"/>
            <w:vAlign w:val="bottom"/>
            <w:shd w:val="clear" w:color="auto" w:fill="F3F3F9"/>
          </w:tcPr>
          <w:p>
            <w:pPr>
              <w:spacing w:after="0"/>
              <w:rPr>
                <w:sz w:val="19"/>
                <w:szCs w:val="19"/>
                <w:color w:val="auto"/>
              </w:rPr>
            </w:pPr>
          </w:p>
        </w:tc>
        <w:tc>
          <w:tcPr>
            <w:tcW w:w="580" w:type="dxa"/>
            <w:vAlign w:val="bottom"/>
            <w:shd w:val="clear" w:color="auto" w:fill="F3F3F9"/>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79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payable on property, plant and equipment and intangible assets for industrial activities</w:t>
            </w:r>
          </w:p>
        </w:tc>
        <w:tc>
          <w:tcPr>
            <w:tcW w:w="1020" w:type="dxa"/>
            <w:vAlign w:val="bottom"/>
            <w:tcBorders>
              <w:bottom w:val="single" w:sz="8" w:color="8E939F"/>
            </w:tcBorders>
            <w:shd w:val="clear" w:color="auto" w:fill="F3F3F9"/>
          </w:tcPr>
          <w:p>
            <w:pPr>
              <w:spacing w:after="0"/>
              <w:rPr>
                <w:sz w:val="19"/>
                <w:szCs w:val="19"/>
                <w:color w:val="auto"/>
              </w:rPr>
            </w:pPr>
          </w:p>
        </w:tc>
        <w:tc>
          <w:tcPr>
            <w:tcW w:w="5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4,811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7,009</w:t>
            </w:r>
          </w:p>
        </w:tc>
      </w:tr>
      <w:tr>
        <w:trPr>
          <w:trHeight w:val="250"/>
        </w:trPr>
        <w:tc>
          <w:tcPr>
            <w:tcW w:w="79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Add: Proceeds from disposal of assets and other changes in investing activities</w:t>
            </w:r>
          </w:p>
        </w:tc>
        <w:tc>
          <w:tcPr>
            <w:tcW w:w="1020" w:type="dxa"/>
            <w:vAlign w:val="bottom"/>
            <w:tcBorders>
              <w:bottom w:val="single" w:sz="8" w:color="8E939F"/>
            </w:tcBorders>
            <w:shd w:val="clear" w:color="auto" w:fill="F3F3F9"/>
          </w:tcPr>
          <w:p>
            <w:pPr>
              <w:spacing w:after="0"/>
              <w:rPr>
                <w:sz w:val="21"/>
                <w:szCs w:val="21"/>
                <w:color w:val="auto"/>
              </w:rPr>
            </w:pPr>
          </w:p>
        </w:tc>
        <w:tc>
          <w:tcPr>
            <w:tcW w:w="5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492</w:t>
            </w: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Less: Contributions of equity to joint ventures and minor acquisitions of consolidated subsidiaries and equity</w:t>
            </w:r>
          </w:p>
        </w:tc>
        <w:tc>
          <w:tcPr>
            <w:tcW w:w="1020" w:type="dxa"/>
            <w:vAlign w:val="bottom"/>
            <w:shd w:val="clear" w:color="auto" w:fill="F3F3F9"/>
          </w:tcPr>
          <w:p>
            <w:pPr>
              <w:spacing w:after="0"/>
              <w:rPr>
                <w:sz w:val="19"/>
                <w:szCs w:val="19"/>
                <w:color w:val="auto"/>
              </w:rPr>
            </w:pPr>
          </w:p>
        </w:tc>
        <w:tc>
          <w:tcPr>
            <w:tcW w:w="580" w:type="dxa"/>
            <w:vAlign w:val="bottom"/>
            <w:shd w:val="clear" w:color="auto" w:fill="F3F3F9"/>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79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method and other investments</w:t>
            </w:r>
          </w:p>
        </w:tc>
        <w:tc>
          <w:tcPr>
            <w:tcW w:w="1020" w:type="dxa"/>
            <w:vAlign w:val="bottom"/>
            <w:tcBorders>
              <w:bottom w:val="single" w:sz="8" w:color="8E939F"/>
            </w:tcBorders>
            <w:shd w:val="clear" w:color="auto" w:fill="F3F3F9"/>
          </w:tcPr>
          <w:p>
            <w:pPr>
              <w:spacing w:after="0"/>
              <w:rPr>
                <w:sz w:val="19"/>
                <w:szCs w:val="19"/>
                <w:color w:val="auto"/>
              </w:rPr>
            </w:pPr>
          </w:p>
        </w:tc>
        <w:tc>
          <w:tcPr>
            <w:tcW w:w="5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520</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935</w:t>
            </w:r>
          </w:p>
        </w:tc>
      </w:tr>
      <w:tr>
        <w:trPr>
          <w:trHeight w:val="250"/>
        </w:trPr>
        <w:tc>
          <w:tcPr>
            <w:tcW w:w="79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Add: Defined benefit pension contributions, net of tax</w:t>
            </w:r>
          </w:p>
        </w:tc>
        <w:tc>
          <w:tcPr>
            <w:tcW w:w="1020" w:type="dxa"/>
            <w:vAlign w:val="bottom"/>
            <w:tcBorders>
              <w:bottom w:val="single" w:sz="8" w:color="8E939F"/>
            </w:tcBorders>
            <w:shd w:val="clear" w:color="auto" w:fill="F3F3F9"/>
          </w:tcPr>
          <w:p>
            <w:pPr>
              <w:spacing w:after="0"/>
              <w:rPr>
                <w:sz w:val="21"/>
                <w:szCs w:val="21"/>
                <w:color w:val="auto"/>
              </w:rPr>
            </w:pPr>
          </w:p>
        </w:tc>
        <w:tc>
          <w:tcPr>
            <w:tcW w:w="5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35</w:t>
            </w:r>
          </w:p>
        </w:tc>
      </w:tr>
      <w:tr>
        <w:trPr>
          <w:trHeight w:val="256"/>
        </w:trPr>
        <w:tc>
          <w:tcPr>
            <w:tcW w:w="8980" w:type="dxa"/>
            <w:vAlign w:val="bottom"/>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Industrial free cash flows</w:t>
            </w:r>
          </w:p>
        </w:tc>
        <w:tc>
          <w:tcPr>
            <w:tcW w:w="58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(4,930)</w:t>
            </w:r>
          </w:p>
        </w:tc>
        <w:tc>
          <w:tcPr>
            <w:tcW w:w="168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(7,309)</w:t>
            </w:r>
          </w:p>
        </w:tc>
      </w:tr>
    </w:tbl>
    <w:p>
      <w:pPr>
        <w:spacing w:after="0" w:line="319" w:lineRule="exact"/>
        <w:rPr>
          <w:sz w:val="20"/>
          <w:szCs w:val="20"/>
          <w:color w:val="auto"/>
        </w:rPr>
      </w:pPr>
    </w:p>
    <w:p>
      <w:pPr>
        <w:ind w:right="720"/>
        <w:spacing w:after="0" w:line="315" w:lineRule="auto"/>
        <w:rPr>
          <w:sz w:val="20"/>
          <w:szCs w:val="20"/>
          <w:color w:val="auto"/>
        </w:rPr>
      </w:pPr>
      <w:r>
        <w:rPr>
          <w:rFonts w:ascii="Arial" w:cs="Arial" w:eastAsia="Arial" w:hAnsi="Arial"/>
          <w:sz w:val="18"/>
          <w:szCs w:val="18"/>
          <w:color w:val="auto"/>
        </w:rPr>
        <w:t>Industrial free cash flows amounted to a net cash absorption of €4,930 million for the nine months ended September 30, 2026, an improvement of €2,379 million, compared to the Industrial free cash flows net absorption of €7,309 million for the nine months ended September 30, 2025. The main contributors to the improvement were:</w:t>
      </w:r>
    </w:p>
    <w:p>
      <w:pPr>
        <w:spacing w:after="0" w:line="171" w:lineRule="exact"/>
        <w:rPr>
          <w:sz w:val="20"/>
          <w:szCs w:val="20"/>
          <w:color w:val="auto"/>
        </w:rPr>
      </w:pPr>
    </w:p>
    <w:p>
      <w:pPr>
        <w:ind w:left="120" w:hanging="112"/>
        <w:spacing w:after="0"/>
        <w:tabs>
          <w:tab w:leader="none" w:pos="120" w:val="left"/>
        </w:tabs>
        <w:numPr>
          <w:ilvl w:val="0"/>
          <w:numId w:val="45"/>
        </w:numPr>
        <w:rPr>
          <w:rFonts w:ascii="Arial" w:cs="Arial" w:eastAsia="Arial" w:hAnsi="Arial"/>
          <w:sz w:val="18"/>
          <w:szCs w:val="18"/>
          <w:color w:val="143A84"/>
        </w:rPr>
      </w:pPr>
      <w:r>
        <w:rPr>
          <w:rFonts w:ascii="Arial" w:cs="Arial" w:eastAsia="Arial" w:hAnsi="Arial"/>
          <w:sz w:val="18"/>
          <w:szCs w:val="18"/>
          <w:color w:val="auto"/>
        </w:rPr>
        <w:t>an increase of €252 million in cash flows from industrial operating activities, primarily as a result of:</w:t>
      </w:r>
    </w:p>
    <w:p>
      <w:pPr>
        <w:spacing w:after="0" w:line="265" w:lineRule="exact"/>
        <w:rPr>
          <w:rFonts w:ascii="Arial" w:cs="Arial" w:eastAsia="Arial" w:hAnsi="Arial"/>
          <w:sz w:val="18"/>
          <w:szCs w:val="18"/>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€5,492 million increase in Profit before taxes from industrial activities net of non-cash items;</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€298 million benefit from payments and refunds of income tax;</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€93 million benefit from the change in carrying amount of leased vehicles;</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€92 million benefit from an increase in dividends received, partially offset by,</w:t>
      </w:r>
    </w:p>
    <w:p>
      <w:pPr>
        <w:spacing w:after="0" w:line="279" w:lineRule="exact"/>
        <w:rPr>
          <w:rFonts w:ascii="Arial" w:cs="Arial" w:eastAsia="Arial" w:hAnsi="Arial"/>
          <w:sz w:val="14"/>
          <w:szCs w:val="14"/>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€5,112 million due to a decrease in change in provisions, and</w:t>
      </w:r>
    </w:p>
    <w:p>
      <w:pPr>
        <w:spacing w:after="0" w:line="265" w:lineRule="exact"/>
        <w:rPr>
          <w:rFonts w:ascii="Arial" w:cs="Arial" w:eastAsia="Arial" w:hAnsi="Arial"/>
          <w:sz w:val="14"/>
          <w:szCs w:val="14"/>
          <w:color w:val="143A84"/>
        </w:rPr>
      </w:pPr>
    </w:p>
    <w:p>
      <w:pPr>
        <w:ind w:left="300" w:hanging="137"/>
        <w:spacing w:after="0"/>
        <w:tabs>
          <w:tab w:leader="none" w:pos="300" w:val="left"/>
        </w:tabs>
        <w:numPr>
          <w:ilvl w:val="1"/>
          <w:numId w:val="45"/>
        </w:numPr>
        <w:rPr>
          <w:rFonts w:ascii="Arial" w:cs="Arial" w:eastAsia="Arial" w:hAnsi="Arial"/>
          <w:sz w:val="14"/>
          <w:szCs w:val="14"/>
          <w:color w:val="143A84"/>
        </w:rPr>
      </w:pPr>
      <w:r>
        <w:rPr>
          <w:rFonts w:ascii="Arial" w:cs="Arial" w:eastAsia="Arial" w:hAnsi="Arial"/>
          <w:sz w:val="18"/>
          <w:szCs w:val="18"/>
          <w:color w:val="auto"/>
        </w:rPr>
        <w:t>a €611 million increase in working capital absorption</w:t>
      </w:r>
    </w:p>
    <w:p>
      <w:pPr>
        <w:spacing w:after="0" w:line="265" w:lineRule="exact"/>
        <w:rPr>
          <w:rFonts w:ascii="Arial" w:cs="Arial" w:eastAsia="Arial" w:hAnsi="Arial"/>
          <w:sz w:val="14"/>
          <w:szCs w:val="14"/>
          <w:color w:val="143A84"/>
        </w:rPr>
      </w:pPr>
    </w:p>
    <w:p>
      <w:pPr>
        <w:ind w:left="160" w:right="280" w:hanging="152"/>
        <w:spacing w:after="0" w:line="334" w:lineRule="auto"/>
        <w:tabs>
          <w:tab w:leader="none" w:pos="121" w:val="left"/>
        </w:tabs>
        <w:numPr>
          <w:ilvl w:val="0"/>
          <w:numId w:val="45"/>
        </w:numPr>
        <w:rPr>
          <w:rFonts w:ascii="Arial" w:cs="Arial" w:eastAsia="Arial" w:hAnsi="Arial"/>
          <w:sz w:val="18"/>
          <w:szCs w:val="18"/>
          <w:color w:val="143A84"/>
        </w:rPr>
      </w:pPr>
      <w:r>
        <w:rPr>
          <w:rFonts w:ascii="Arial" w:cs="Arial" w:eastAsia="Arial" w:hAnsi="Arial"/>
          <w:sz w:val="18"/>
          <w:szCs w:val="18"/>
          <w:color w:val="auto"/>
        </w:rPr>
        <w:t>a decrease in capital expenditures and capitalized research and development expenditures and change in amounts payable on property, plant and equipment and intangible assets for industrial activities of €2,198 million;</w:t>
      </w:r>
    </w:p>
    <w:p>
      <w:pPr>
        <w:spacing w:after="0" w:line="152" w:lineRule="exact"/>
        <w:rPr>
          <w:rFonts w:ascii="Arial" w:cs="Arial" w:eastAsia="Arial" w:hAnsi="Arial"/>
          <w:sz w:val="18"/>
          <w:szCs w:val="18"/>
          <w:color w:val="143A84"/>
        </w:rPr>
      </w:pPr>
    </w:p>
    <w:p>
      <w:pPr>
        <w:ind w:left="120" w:hanging="112"/>
        <w:spacing w:after="0"/>
        <w:tabs>
          <w:tab w:leader="none" w:pos="120" w:val="left"/>
        </w:tabs>
        <w:numPr>
          <w:ilvl w:val="0"/>
          <w:numId w:val="45"/>
        </w:numPr>
        <w:rPr>
          <w:rFonts w:ascii="Arial" w:cs="Arial" w:eastAsia="Arial" w:hAnsi="Arial"/>
          <w:sz w:val="18"/>
          <w:szCs w:val="18"/>
          <w:color w:val="143A84"/>
        </w:rPr>
      </w:pPr>
      <w:r>
        <w:rPr>
          <w:rFonts w:ascii="Arial" w:cs="Arial" w:eastAsia="Arial" w:hAnsi="Arial"/>
          <w:sz w:val="18"/>
          <w:szCs w:val="18"/>
          <w:color w:val="auto"/>
        </w:rPr>
        <w:t>a decrease in acquisitions of subsidiaries and associates of €415 million; and</w:t>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hanging="112"/>
        <w:spacing w:after="0"/>
        <w:tabs>
          <w:tab w:leader="none" w:pos="120" w:val="left"/>
        </w:tabs>
        <w:numPr>
          <w:ilvl w:val="0"/>
          <w:numId w:val="46"/>
        </w:numPr>
        <w:rPr>
          <w:rFonts w:ascii="Arial" w:cs="Arial" w:eastAsia="Arial" w:hAnsi="Arial"/>
          <w:sz w:val="18"/>
          <w:szCs w:val="18"/>
          <w:color w:val="143A84"/>
        </w:rPr>
      </w:pPr>
      <w:r>
        <w:rPr>
          <w:rFonts w:ascii="Arial" w:cs="Arial" w:eastAsia="Arial" w:hAnsi="Arial"/>
          <w:sz w:val="18"/>
          <w:szCs w:val="18"/>
          <w:color w:val="auto"/>
        </w:rPr>
        <w:t>a €481 million decrease primarily in proceeds from disposal of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Industrial net financial position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40" w:type="dxa"/>
            <w:vAlign w:val="bottom"/>
          </w:tcPr>
          <w:p>
            <w:pPr>
              <w:spacing w:after="0"/>
              <w:rPr>
                <w:sz w:val="21"/>
                <w:szCs w:val="21"/>
                <w:color w:val="auto"/>
              </w:rPr>
            </w:pPr>
          </w:p>
        </w:tc>
        <w:tc>
          <w:tcPr>
            <w:tcW w:w="2540" w:type="dxa"/>
            <w:vAlign w:val="bottom"/>
            <w:tcBorders>
              <w:bottom w:val="single" w:sz="8" w:color="8E939F"/>
            </w:tcBorders>
            <w:gridSpan w:val="3"/>
            <w:shd w:val="clear" w:color="auto" w:fill="F3F3F9"/>
          </w:tcPr>
          <w:p>
            <w:pPr>
              <w:ind w:left="780"/>
              <w:spacing w:after="0"/>
              <w:rPr>
                <w:sz w:val="20"/>
                <w:szCs w:val="20"/>
                <w:color w:val="auto"/>
              </w:rPr>
            </w:pPr>
            <w:r>
              <w:rPr>
                <w:rFonts w:ascii="Arial" w:cs="Arial" w:eastAsia="Arial" w:hAnsi="Arial"/>
                <w:sz w:val="16"/>
                <w:szCs w:val="16"/>
                <w:b w:val="1"/>
                <w:bCs w:val="1"/>
                <w:color w:val="243782"/>
              </w:rPr>
              <w:t>At September 30, 2026</w:t>
            </w:r>
          </w:p>
        </w:tc>
        <w:tc>
          <w:tcPr>
            <w:tcW w:w="760" w:type="dxa"/>
            <w:vAlign w:val="bottom"/>
            <w:tcBorders>
              <w:bottom w:val="single" w:sz="8" w:color="8E939F"/>
            </w:tcBorders>
            <w:shd w:val="clear" w:color="auto" w:fill="F3F3F9"/>
          </w:tcPr>
          <w:p>
            <w:pPr>
              <w:spacing w:after="0"/>
              <w:rPr>
                <w:sz w:val="21"/>
                <w:szCs w:val="21"/>
                <w:color w:val="auto"/>
              </w:rPr>
            </w:pPr>
          </w:p>
        </w:tc>
        <w:tc>
          <w:tcPr>
            <w:tcW w:w="264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b w:val="1"/>
                <w:bCs w:val="1"/>
                <w:color w:val="243782"/>
              </w:rPr>
              <w:t>At December 31, 2025</w:t>
            </w:r>
          </w:p>
        </w:tc>
        <w:tc>
          <w:tcPr>
            <w:tcW w:w="76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i w:val="1"/>
                <w:iCs w:val="1"/>
                <w:color w:val="auto"/>
              </w:rPr>
              <w:t>(€ million)</w:t>
            </w:r>
          </w:p>
        </w:tc>
        <w:tc>
          <w:tcPr>
            <w:tcW w:w="1020" w:type="dxa"/>
            <w:vAlign w:val="bottom"/>
            <w:shd w:val="clear" w:color="auto" w:fill="F3F3F9"/>
          </w:tcPr>
          <w:p>
            <w:pPr>
              <w:spacing w:after="0"/>
              <w:rPr>
                <w:sz w:val="18"/>
                <w:szCs w:val="18"/>
                <w:color w:val="auto"/>
              </w:rPr>
            </w:pPr>
          </w:p>
        </w:tc>
        <w:tc>
          <w:tcPr>
            <w:tcW w:w="1520" w:type="dxa"/>
            <w:vAlign w:val="bottom"/>
            <w:gridSpan w:val="2"/>
            <w:shd w:val="clear" w:color="auto" w:fill="F3F3F9"/>
          </w:tcPr>
          <w:p>
            <w:pPr>
              <w:jc w:val="right"/>
              <w:ind w:right="400"/>
              <w:spacing w:after="0"/>
              <w:rPr>
                <w:sz w:val="20"/>
                <w:szCs w:val="20"/>
                <w:color w:val="auto"/>
              </w:rPr>
            </w:pPr>
            <w:r>
              <w:rPr>
                <w:rFonts w:ascii="Arial" w:cs="Arial" w:eastAsia="Arial" w:hAnsi="Arial"/>
                <w:sz w:val="16"/>
                <w:szCs w:val="16"/>
                <w:b w:val="1"/>
                <w:bCs w:val="1"/>
                <w:color w:val="243782"/>
              </w:rPr>
              <w:t>Industrial</w:t>
            </w:r>
          </w:p>
        </w:tc>
        <w:tc>
          <w:tcPr>
            <w:tcW w:w="760" w:type="dxa"/>
            <w:vAlign w:val="bottom"/>
            <w:shd w:val="clear" w:color="auto" w:fill="F3F3F9"/>
          </w:tcPr>
          <w:p>
            <w:pPr>
              <w:jc w:val="right"/>
              <w:spacing w:after="0"/>
              <w:rPr>
                <w:sz w:val="20"/>
                <w:szCs w:val="20"/>
                <w:color w:val="auto"/>
              </w:rPr>
            </w:pPr>
            <w:r>
              <w:rPr>
                <w:rFonts w:ascii="Arial" w:cs="Arial" w:eastAsia="Arial" w:hAnsi="Arial"/>
                <w:sz w:val="16"/>
                <w:szCs w:val="16"/>
                <w:b w:val="1"/>
                <w:bCs w:val="1"/>
                <w:color w:val="243782"/>
              </w:rPr>
              <w:t>Financial</w:t>
            </w:r>
          </w:p>
        </w:tc>
        <w:tc>
          <w:tcPr>
            <w:tcW w:w="13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243782"/>
              </w:rPr>
              <w:t>Industrial</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243782"/>
              </w:rPr>
              <w:t>Financial</w:t>
            </w:r>
          </w:p>
        </w:tc>
        <w:tc>
          <w:tcPr>
            <w:tcW w:w="0" w:type="dxa"/>
            <w:vAlign w:val="bottom"/>
          </w:tcPr>
          <w:p>
            <w:pPr>
              <w:spacing w:after="0"/>
              <w:rPr>
                <w:sz w:val="1"/>
                <w:szCs w:val="1"/>
                <w:color w:val="auto"/>
              </w:rPr>
            </w:pPr>
          </w:p>
        </w:tc>
      </w:tr>
      <w:tr>
        <w:trPr>
          <w:trHeight w:val="240"/>
        </w:trPr>
        <w:tc>
          <w:tcPr>
            <w:tcW w:w="4540" w:type="dxa"/>
            <w:vAlign w:val="bottom"/>
            <w:tcBorders>
              <w:bottom w:val="single" w:sz="8" w:color="143A84"/>
            </w:tcBorders>
          </w:tcPr>
          <w:p>
            <w:pPr>
              <w:spacing w:after="0"/>
              <w:rPr>
                <w:sz w:val="20"/>
                <w:szCs w:val="20"/>
                <w:color w:val="auto"/>
              </w:rPr>
            </w:pPr>
          </w:p>
        </w:tc>
        <w:tc>
          <w:tcPr>
            <w:tcW w:w="10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Stellantis</w:t>
            </w:r>
          </w:p>
        </w:tc>
        <w:tc>
          <w:tcPr>
            <w:tcW w:w="1520" w:type="dxa"/>
            <w:vAlign w:val="bottom"/>
            <w:tcBorders>
              <w:bottom w:val="single" w:sz="8" w:color="143A84"/>
            </w:tcBorders>
            <w:gridSpan w:val="2"/>
            <w:shd w:val="clear" w:color="auto" w:fill="F3F3F9"/>
          </w:tcPr>
          <w:p>
            <w:pPr>
              <w:jc w:val="right"/>
              <w:ind w:right="400"/>
              <w:spacing w:after="0"/>
              <w:rPr>
                <w:sz w:val="20"/>
                <w:szCs w:val="20"/>
                <w:color w:val="auto"/>
              </w:rPr>
            </w:pPr>
            <w:r>
              <w:rPr>
                <w:rFonts w:ascii="Arial" w:cs="Arial" w:eastAsia="Arial" w:hAnsi="Arial"/>
                <w:sz w:val="16"/>
                <w:szCs w:val="16"/>
                <w:b w:val="1"/>
                <w:bCs w:val="1"/>
                <w:color w:val="243782"/>
              </w:rPr>
              <w:t>activities</w:t>
            </w:r>
          </w:p>
        </w:tc>
        <w:tc>
          <w:tcPr>
            <w:tcW w:w="7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services</w:t>
            </w:r>
          </w:p>
        </w:tc>
        <w:tc>
          <w:tcPr>
            <w:tcW w:w="1320" w:type="dxa"/>
            <w:vAlign w:val="bottom"/>
            <w:tcBorders>
              <w:bottom w:val="single" w:sz="8" w:color="143A84"/>
            </w:tcBorders>
          </w:tcPr>
          <w:p>
            <w:pPr>
              <w:jc w:val="right"/>
              <w:ind w:right="119"/>
              <w:spacing w:after="0"/>
              <w:rPr>
                <w:sz w:val="20"/>
                <w:szCs w:val="20"/>
                <w:color w:val="auto"/>
              </w:rPr>
            </w:pPr>
            <w:r>
              <w:rPr>
                <w:rFonts w:ascii="Arial" w:cs="Arial" w:eastAsia="Arial" w:hAnsi="Arial"/>
                <w:sz w:val="16"/>
                <w:szCs w:val="16"/>
                <w:b w:val="1"/>
                <w:bCs w:val="1"/>
                <w:color w:val="243782"/>
              </w:rPr>
              <w:t>Stellantis</w:t>
            </w:r>
          </w:p>
        </w:tc>
        <w:tc>
          <w:tcPr>
            <w:tcW w:w="1320" w:type="dxa"/>
            <w:vAlign w:val="bottom"/>
            <w:tcBorders>
              <w:bottom w:val="single" w:sz="8" w:color="143A84"/>
            </w:tcBorders>
          </w:tcPr>
          <w:p>
            <w:pPr>
              <w:jc w:val="right"/>
              <w:ind w:right="319"/>
              <w:spacing w:after="0"/>
              <w:rPr>
                <w:sz w:val="20"/>
                <w:szCs w:val="20"/>
                <w:color w:val="auto"/>
              </w:rPr>
            </w:pPr>
            <w:r>
              <w:rPr>
                <w:rFonts w:ascii="Arial" w:cs="Arial" w:eastAsia="Arial" w:hAnsi="Arial"/>
                <w:sz w:val="16"/>
                <w:szCs w:val="16"/>
                <w:b w:val="1"/>
                <w:bCs w:val="1"/>
                <w:color w:val="243782"/>
              </w:rPr>
              <w:t>activities</w:t>
            </w:r>
          </w:p>
        </w:tc>
        <w:tc>
          <w:tcPr>
            <w:tcW w:w="760" w:type="dxa"/>
            <w:vAlign w:val="bottom"/>
            <w:tcBorders>
              <w:bottom w:val="single" w:sz="8" w:color="143A84"/>
            </w:tcBorders>
          </w:tcPr>
          <w:p>
            <w:pPr>
              <w:jc w:val="right"/>
              <w:spacing w:after="0"/>
              <w:rPr>
                <w:sz w:val="20"/>
                <w:szCs w:val="20"/>
                <w:color w:val="auto"/>
              </w:rPr>
            </w:pPr>
            <w:r>
              <w:rPr>
                <w:rFonts w:ascii="Arial" w:cs="Arial" w:eastAsia="Arial" w:hAnsi="Arial"/>
                <w:sz w:val="16"/>
                <w:szCs w:val="16"/>
                <w:b w:val="1"/>
                <w:bCs w:val="1"/>
                <w:color w:val="243782"/>
              </w:rPr>
              <w:t>services</w:t>
            </w:r>
          </w:p>
        </w:tc>
        <w:tc>
          <w:tcPr>
            <w:tcW w:w="0" w:type="dxa"/>
            <w:vAlign w:val="bottom"/>
          </w:tcPr>
          <w:p>
            <w:pPr>
              <w:spacing w:after="0"/>
              <w:rPr>
                <w:sz w:val="1"/>
                <w:szCs w:val="1"/>
                <w:color w:val="auto"/>
              </w:rPr>
            </w:pPr>
          </w:p>
        </w:tc>
      </w:tr>
      <w:tr>
        <w:trPr>
          <w:trHeight w:val="247"/>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Third parties debt (Principal)</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(55,344)</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(25,654)</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(29,690)</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(45,318)</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(24,616)</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57"/>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i w:val="1"/>
                <w:iCs w:val="1"/>
                <w:color w:val="auto"/>
              </w:rPr>
              <w:t>Capital market</w:t>
            </w:r>
            <w:r>
              <w:rPr>
                <w:rFonts w:ascii="Arial" w:cs="Arial" w:eastAsia="Arial" w:hAnsi="Arial"/>
                <w:sz w:val="21"/>
                <w:szCs w:val="21"/>
                <w:i w:val="1"/>
                <w:iCs w:val="1"/>
                <w:color w:val="auto"/>
                <w:vertAlign w:val="superscript"/>
              </w:rPr>
              <w:t>(1)</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(30,386)</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(22,045)</w:t>
            </w:r>
          </w:p>
        </w:tc>
        <w:tc>
          <w:tcPr>
            <w:tcW w:w="380" w:type="dxa"/>
            <w:vAlign w:val="bottom"/>
            <w:tcBorders>
              <w:bottom w:val="single" w:sz="8" w:color="8E939F"/>
            </w:tcBorders>
            <w:shd w:val="clear" w:color="auto" w:fill="F3F3F9"/>
          </w:tcPr>
          <w:p>
            <w:pPr>
              <w:spacing w:after="0"/>
              <w:rPr>
                <w:sz w:val="22"/>
                <w:szCs w:val="22"/>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(8,341)</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(25,060)</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(20,945)</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(4,115)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i w:val="1"/>
                <w:iCs w:val="1"/>
                <w:color w:val="auto"/>
              </w:rPr>
              <w:t>Bank debt</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(2,083)</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(605)</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(1,478)</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(1,931)</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(867)</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57"/>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i w:val="1"/>
                <w:iCs w:val="1"/>
                <w:color w:val="auto"/>
              </w:rPr>
              <w:t>Other debt</w:t>
            </w:r>
            <w:r>
              <w:rPr>
                <w:rFonts w:ascii="Arial" w:cs="Arial" w:eastAsia="Arial" w:hAnsi="Arial"/>
                <w:sz w:val="21"/>
                <w:szCs w:val="21"/>
                <w:i w:val="1"/>
                <w:iCs w:val="1"/>
                <w:color w:val="auto"/>
                <w:vertAlign w:val="superscript"/>
              </w:rPr>
              <w:t>(2)</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(20,235)</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(389)</w:t>
            </w:r>
          </w:p>
        </w:tc>
        <w:tc>
          <w:tcPr>
            <w:tcW w:w="380" w:type="dxa"/>
            <w:vAlign w:val="bottom"/>
            <w:tcBorders>
              <w:bottom w:val="single" w:sz="8" w:color="8E939F"/>
            </w:tcBorders>
            <w:shd w:val="clear" w:color="auto" w:fill="F3F3F9"/>
          </w:tcPr>
          <w:p>
            <w:pPr>
              <w:spacing w:after="0"/>
              <w:rPr>
                <w:sz w:val="22"/>
                <w:szCs w:val="22"/>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(19,846)</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(15,873)</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(362)</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(15,511)</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i w:val="1"/>
                <w:iCs w:val="1"/>
                <w:color w:val="auto"/>
              </w:rPr>
              <w:t>Lease liabilities</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(2,640)</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(2,615)</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(2,454)</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(2,442)</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7"/>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Accrued interest and other adjustments</w:t>
            </w:r>
            <w:r>
              <w:rPr>
                <w:rFonts w:ascii="Arial" w:cs="Arial" w:eastAsia="Arial" w:hAnsi="Arial"/>
                <w:sz w:val="21"/>
                <w:szCs w:val="21"/>
                <w:color w:val="auto"/>
                <w:vertAlign w:val="superscript"/>
              </w:rPr>
              <w:t>(3)</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(655)</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Borders>
              <w:bottom w:val="single" w:sz="8" w:color="8E939F"/>
            </w:tcBorders>
            <w:shd w:val="clear" w:color="auto" w:fill="F3F3F9"/>
          </w:tcPr>
          <w:p>
            <w:pPr>
              <w:spacing w:after="0"/>
              <w:rPr>
                <w:sz w:val="22"/>
                <w:szCs w:val="22"/>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(430)</w:t>
            </w:r>
          </w:p>
        </w:tc>
        <w:tc>
          <w:tcPr>
            <w:tcW w:w="1320" w:type="dxa"/>
            <w:vAlign w:val="bottom"/>
            <w:tcBorders>
              <w:bottom w:val="single" w:sz="8" w:color="8E939F"/>
            </w:tcBorders>
          </w:tcPr>
          <w:p>
            <w:pPr>
              <w:jc w:val="right"/>
              <w:ind w:right="139"/>
              <w:spacing w:after="0"/>
              <w:rPr>
                <w:sz w:val="20"/>
                <w:szCs w:val="20"/>
                <w:color w:val="auto"/>
              </w:rPr>
            </w:pPr>
            <w:r>
              <w:rPr>
                <w:rFonts w:ascii="Arial" w:cs="Arial" w:eastAsia="Arial" w:hAnsi="Arial"/>
                <w:sz w:val="16"/>
                <w:szCs w:val="16"/>
                <w:color w:val="auto"/>
              </w:rPr>
              <w:t>(629)</w:t>
            </w:r>
          </w:p>
        </w:tc>
        <w:tc>
          <w:tcPr>
            <w:tcW w:w="1320" w:type="dxa"/>
            <w:vAlign w:val="bottom"/>
            <w:tcBorders>
              <w:bottom w:val="single" w:sz="8" w:color="8E939F"/>
            </w:tcBorders>
          </w:tcPr>
          <w:p>
            <w:pPr>
              <w:jc w:val="right"/>
              <w:ind w:right="319"/>
              <w:spacing w:after="0"/>
              <w:rPr>
                <w:sz w:val="20"/>
                <w:szCs w:val="20"/>
                <w:color w:val="auto"/>
              </w:rPr>
            </w:pPr>
            <w:r>
              <w:rPr>
                <w:rFonts w:ascii="Arial" w:cs="Arial" w:eastAsia="Arial" w:hAnsi="Arial"/>
                <w:sz w:val="16"/>
                <w:szCs w:val="16"/>
                <w:color w:val="auto"/>
              </w:rPr>
              <w:t>(533)</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6"/>
        </w:trPr>
        <w:tc>
          <w:tcPr>
            <w:tcW w:w="45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Debt with third parties (excluding held for sale)</w:t>
            </w:r>
          </w:p>
        </w:tc>
        <w:tc>
          <w:tcPr>
            <w:tcW w:w="10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(55,999)</w:t>
            </w:r>
          </w:p>
        </w:tc>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(25,879)</w:t>
            </w:r>
          </w:p>
        </w:tc>
        <w:tc>
          <w:tcPr>
            <w:tcW w:w="380" w:type="dxa"/>
            <w:vAlign w:val="bottom"/>
            <w:tcBorders>
              <w:bottom w:val="single" w:sz="8" w:color="8E939F"/>
            </w:tcBorders>
            <w:shd w:val="clear" w:color="auto" w:fill="E6E7F4"/>
          </w:tcPr>
          <w:p>
            <w:pPr>
              <w:spacing w:after="0"/>
              <w:rPr>
                <w:sz w:val="21"/>
                <w:szCs w:val="21"/>
                <w:color w:val="auto"/>
              </w:rPr>
            </w:pP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(30,120)</w:t>
            </w:r>
          </w:p>
        </w:tc>
        <w:tc>
          <w:tcPr>
            <w:tcW w:w="1320" w:type="dxa"/>
            <w:vAlign w:val="bottom"/>
            <w:tcBorders>
              <w:bottom w:val="single" w:sz="8" w:color="8E939F"/>
            </w:tcBorders>
            <w:shd w:val="clear" w:color="auto" w:fill="E6E7F4"/>
          </w:tcPr>
          <w:p>
            <w:pPr>
              <w:jc w:val="right"/>
              <w:ind w:right="139"/>
              <w:spacing w:after="0"/>
              <w:rPr>
                <w:sz w:val="20"/>
                <w:szCs w:val="20"/>
                <w:color w:val="auto"/>
              </w:rPr>
            </w:pPr>
            <w:r>
              <w:rPr>
                <w:rFonts w:ascii="Arial" w:cs="Arial" w:eastAsia="Arial" w:hAnsi="Arial"/>
                <w:sz w:val="16"/>
                <w:szCs w:val="16"/>
                <w:b w:val="1"/>
                <w:bCs w:val="1"/>
                <w:color w:val="243782"/>
              </w:rPr>
              <w:t>(45,947)</w:t>
            </w:r>
          </w:p>
        </w:tc>
        <w:tc>
          <w:tcPr>
            <w:tcW w:w="1320" w:type="dxa"/>
            <w:vAlign w:val="bottom"/>
            <w:tcBorders>
              <w:bottom w:val="single" w:sz="8" w:color="8E939F"/>
            </w:tcBorders>
            <w:shd w:val="clear" w:color="auto" w:fill="E6E7F4"/>
          </w:tcPr>
          <w:p>
            <w:pPr>
              <w:jc w:val="right"/>
              <w:ind w:right="319"/>
              <w:spacing w:after="0"/>
              <w:rPr>
                <w:sz w:val="20"/>
                <w:szCs w:val="20"/>
                <w:color w:val="auto"/>
              </w:rPr>
            </w:pPr>
            <w:r>
              <w:rPr>
                <w:rFonts w:ascii="Arial" w:cs="Arial" w:eastAsia="Arial" w:hAnsi="Arial"/>
                <w:sz w:val="16"/>
                <w:szCs w:val="16"/>
                <w:b w:val="1"/>
                <w:bCs w:val="1"/>
                <w:color w:val="243782"/>
              </w:rPr>
              <w:t>(25,149)</w:t>
            </w: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(20,798)</w:t>
            </w:r>
          </w:p>
        </w:tc>
        <w:tc>
          <w:tcPr>
            <w:tcW w:w="0" w:type="dxa"/>
            <w:vAlign w:val="bottom"/>
          </w:tcPr>
          <w:p>
            <w:pPr>
              <w:spacing w:after="0"/>
              <w:rPr>
                <w:sz w:val="1"/>
                <w:szCs w:val="1"/>
                <w:color w:val="auto"/>
              </w:rPr>
            </w:pPr>
          </w:p>
        </w:tc>
      </w:tr>
      <w:tr>
        <w:trPr>
          <w:trHeight w:val="247"/>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Debt classified as held for sale</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5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Debt with third parties including held for sale</w:t>
            </w:r>
          </w:p>
        </w:tc>
        <w:tc>
          <w:tcPr>
            <w:tcW w:w="10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(56,036)</w:t>
            </w:r>
          </w:p>
        </w:tc>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(25,916)</w:t>
            </w:r>
          </w:p>
        </w:tc>
        <w:tc>
          <w:tcPr>
            <w:tcW w:w="380" w:type="dxa"/>
            <w:vAlign w:val="bottom"/>
            <w:tcBorders>
              <w:bottom w:val="single" w:sz="8" w:color="8E939F"/>
            </w:tcBorders>
            <w:shd w:val="clear" w:color="auto" w:fill="E6E7F4"/>
          </w:tcPr>
          <w:p>
            <w:pPr>
              <w:spacing w:after="0"/>
              <w:rPr>
                <w:sz w:val="21"/>
                <w:szCs w:val="21"/>
                <w:color w:val="auto"/>
              </w:rPr>
            </w:pP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(30,120)</w:t>
            </w:r>
          </w:p>
        </w:tc>
        <w:tc>
          <w:tcPr>
            <w:tcW w:w="1320" w:type="dxa"/>
            <w:vAlign w:val="bottom"/>
            <w:tcBorders>
              <w:bottom w:val="single" w:sz="8" w:color="8E939F"/>
            </w:tcBorders>
            <w:shd w:val="clear" w:color="auto" w:fill="E6E7F4"/>
          </w:tcPr>
          <w:p>
            <w:pPr>
              <w:jc w:val="right"/>
              <w:ind w:right="139"/>
              <w:spacing w:after="0"/>
              <w:rPr>
                <w:sz w:val="20"/>
                <w:szCs w:val="20"/>
                <w:color w:val="auto"/>
              </w:rPr>
            </w:pPr>
            <w:r>
              <w:rPr>
                <w:rFonts w:ascii="Arial" w:cs="Arial" w:eastAsia="Arial" w:hAnsi="Arial"/>
                <w:sz w:val="16"/>
                <w:szCs w:val="16"/>
                <w:b w:val="1"/>
                <w:bCs w:val="1"/>
                <w:color w:val="243782"/>
              </w:rPr>
              <w:t>(45,947)</w:t>
            </w:r>
          </w:p>
        </w:tc>
        <w:tc>
          <w:tcPr>
            <w:tcW w:w="1320" w:type="dxa"/>
            <w:vAlign w:val="bottom"/>
            <w:tcBorders>
              <w:bottom w:val="single" w:sz="8" w:color="8E939F"/>
            </w:tcBorders>
            <w:shd w:val="clear" w:color="auto" w:fill="E6E7F4"/>
          </w:tcPr>
          <w:p>
            <w:pPr>
              <w:jc w:val="right"/>
              <w:ind w:right="319"/>
              <w:spacing w:after="0"/>
              <w:rPr>
                <w:sz w:val="20"/>
                <w:szCs w:val="20"/>
                <w:color w:val="auto"/>
              </w:rPr>
            </w:pPr>
            <w:r>
              <w:rPr>
                <w:rFonts w:ascii="Arial" w:cs="Arial" w:eastAsia="Arial" w:hAnsi="Arial"/>
                <w:sz w:val="16"/>
                <w:szCs w:val="16"/>
                <w:b w:val="1"/>
                <w:bCs w:val="1"/>
                <w:color w:val="243782"/>
              </w:rPr>
              <w:t>(25,149)</w:t>
            </w: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(20,798)</w:t>
            </w:r>
          </w:p>
        </w:tc>
        <w:tc>
          <w:tcPr>
            <w:tcW w:w="0" w:type="dxa"/>
            <w:vAlign w:val="bottom"/>
          </w:tcPr>
          <w:p>
            <w:pPr>
              <w:spacing w:after="0"/>
              <w:rPr>
                <w:sz w:val="1"/>
                <w:szCs w:val="1"/>
                <w:color w:val="auto"/>
              </w:rPr>
            </w:pPr>
          </w:p>
        </w:tc>
      </w:tr>
      <w:tr>
        <w:trPr>
          <w:trHeight w:val="254"/>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Intercompany, net</w:t>
            </w:r>
            <w:r>
              <w:rPr>
                <w:rFonts w:ascii="Arial" w:cs="Arial" w:eastAsia="Arial" w:hAnsi="Arial"/>
                <w:sz w:val="21"/>
                <w:szCs w:val="21"/>
                <w:color w:val="auto"/>
                <w:vertAlign w:val="superscript"/>
              </w:rPr>
              <w:t>(4)</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151</w:t>
            </w:r>
          </w:p>
        </w:tc>
        <w:tc>
          <w:tcPr>
            <w:tcW w:w="380" w:type="dxa"/>
            <w:vAlign w:val="bottom"/>
            <w:tcBorders>
              <w:bottom w:val="single" w:sz="8" w:color="8E939F"/>
            </w:tcBorders>
            <w:shd w:val="clear" w:color="auto" w:fill="F3F3F9"/>
          </w:tcPr>
          <w:p>
            <w:pPr>
              <w:spacing w:after="0"/>
              <w:rPr>
                <w:sz w:val="22"/>
                <w:szCs w:val="22"/>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(151)</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1,756</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Current financial receivables from jointly-controlled financial</w:t>
            </w:r>
          </w:p>
        </w:tc>
        <w:tc>
          <w:tcPr>
            <w:tcW w:w="1020" w:type="dxa"/>
            <w:vAlign w:val="bottom"/>
            <w:shd w:val="clear" w:color="auto" w:fill="F3F3F9"/>
          </w:tcPr>
          <w:p>
            <w:pPr>
              <w:spacing w:after="0"/>
              <w:rPr>
                <w:sz w:val="18"/>
                <w:szCs w:val="18"/>
                <w:color w:val="auto"/>
              </w:rPr>
            </w:pPr>
          </w:p>
        </w:tc>
        <w:tc>
          <w:tcPr>
            <w:tcW w:w="1140" w:type="dxa"/>
            <w:vAlign w:val="bottom"/>
            <w:shd w:val="clear" w:color="auto" w:fill="F3F3F9"/>
          </w:tcPr>
          <w:p>
            <w:pPr>
              <w:spacing w:after="0"/>
              <w:rPr>
                <w:sz w:val="18"/>
                <w:szCs w:val="18"/>
                <w:color w:val="auto"/>
              </w:rPr>
            </w:pPr>
          </w:p>
        </w:tc>
        <w:tc>
          <w:tcPr>
            <w:tcW w:w="380" w:type="dxa"/>
            <w:vAlign w:val="bottom"/>
            <w:shd w:val="clear" w:color="auto" w:fill="F3F3F9"/>
          </w:tcPr>
          <w:p>
            <w:pPr>
              <w:spacing w:after="0"/>
              <w:rPr>
                <w:sz w:val="18"/>
                <w:szCs w:val="18"/>
                <w:color w:val="auto"/>
              </w:rPr>
            </w:pPr>
          </w:p>
        </w:tc>
        <w:tc>
          <w:tcPr>
            <w:tcW w:w="760" w:type="dxa"/>
            <w:vAlign w:val="bottom"/>
            <w:shd w:val="clear" w:color="auto" w:fill="F3F3F9"/>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services companies</w:t>
            </w:r>
            <w:r>
              <w:rPr>
                <w:rFonts w:ascii="Arial" w:cs="Arial" w:eastAsia="Arial" w:hAnsi="Arial"/>
                <w:sz w:val="21"/>
                <w:szCs w:val="21"/>
                <w:color w:val="auto"/>
                <w:vertAlign w:val="superscript"/>
              </w:rPr>
              <w:t>(5)</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799</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799</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603</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603</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3"/>
        </w:trPr>
        <w:tc>
          <w:tcPr>
            <w:tcW w:w="454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Debt, net of intercompany, and current financial</w:t>
            </w:r>
          </w:p>
        </w:tc>
        <w:tc>
          <w:tcPr>
            <w:tcW w:w="1020" w:type="dxa"/>
            <w:vAlign w:val="bottom"/>
            <w:shd w:val="clear" w:color="auto" w:fill="E6E7F4"/>
          </w:tcPr>
          <w:p>
            <w:pPr>
              <w:spacing w:after="0"/>
              <w:rPr>
                <w:sz w:val="24"/>
                <w:szCs w:val="24"/>
                <w:color w:val="auto"/>
              </w:rPr>
            </w:pPr>
          </w:p>
        </w:tc>
        <w:tc>
          <w:tcPr>
            <w:tcW w:w="1140" w:type="dxa"/>
            <w:vAlign w:val="bottom"/>
            <w:shd w:val="clear" w:color="auto" w:fill="E6E7F4"/>
          </w:tcPr>
          <w:p>
            <w:pPr>
              <w:spacing w:after="0"/>
              <w:rPr>
                <w:sz w:val="24"/>
                <w:szCs w:val="24"/>
                <w:color w:val="auto"/>
              </w:rPr>
            </w:pPr>
          </w:p>
        </w:tc>
        <w:tc>
          <w:tcPr>
            <w:tcW w:w="380" w:type="dxa"/>
            <w:vAlign w:val="bottom"/>
            <w:shd w:val="clear" w:color="auto" w:fill="E6E7F4"/>
          </w:tcPr>
          <w:p>
            <w:pPr>
              <w:spacing w:after="0"/>
              <w:rPr>
                <w:sz w:val="24"/>
                <w:szCs w:val="24"/>
                <w:color w:val="auto"/>
              </w:rPr>
            </w:pPr>
          </w:p>
        </w:tc>
        <w:tc>
          <w:tcPr>
            <w:tcW w:w="760" w:type="dxa"/>
            <w:vAlign w:val="bottom"/>
            <w:shd w:val="clear" w:color="auto" w:fill="E6E7F4"/>
          </w:tcPr>
          <w:p>
            <w:pPr>
              <w:spacing w:after="0"/>
              <w:rPr>
                <w:sz w:val="24"/>
                <w:szCs w:val="24"/>
                <w:color w:val="auto"/>
              </w:rPr>
            </w:pPr>
          </w:p>
        </w:tc>
        <w:tc>
          <w:tcPr>
            <w:tcW w:w="1320" w:type="dxa"/>
            <w:vAlign w:val="bottom"/>
            <w:shd w:val="clear" w:color="auto" w:fill="E6E7F4"/>
          </w:tcPr>
          <w:p>
            <w:pPr>
              <w:spacing w:after="0"/>
              <w:rPr>
                <w:sz w:val="24"/>
                <w:szCs w:val="24"/>
                <w:color w:val="auto"/>
              </w:rPr>
            </w:pPr>
          </w:p>
        </w:tc>
        <w:tc>
          <w:tcPr>
            <w:tcW w:w="1320" w:type="dxa"/>
            <w:vAlign w:val="bottom"/>
            <w:shd w:val="clear" w:color="auto" w:fill="E6E7F4"/>
          </w:tcPr>
          <w:p>
            <w:pPr>
              <w:spacing w:after="0"/>
              <w:rPr>
                <w:sz w:val="24"/>
                <w:szCs w:val="24"/>
                <w:color w:val="auto"/>
              </w:rPr>
            </w:pPr>
          </w:p>
        </w:tc>
        <w:tc>
          <w:tcPr>
            <w:tcW w:w="760" w:type="dxa"/>
            <w:vAlign w:val="bottom"/>
            <w:shd w:val="clear" w:color="auto" w:fill="E6E7F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receivables from jointly-controlled financial service</w:t>
            </w:r>
          </w:p>
        </w:tc>
        <w:tc>
          <w:tcPr>
            <w:tcW w:w="1020" w:type="dxa"/>
            <w:vAlign w:val="bottom"/>
            <w:shd w:val="clear" w:color="auto" w:fill="E6E7F4"/>
          </w:tcPr>
          <w:p>
            <w:pPr>
              <w:spacing w:after="0"/>
              <w:rPr>
                <w:sz w:val="17"/>
                <w:szCs w:val="17"/>
                <w:color w:val="auto"/>
              </w:rPr>
            </w:pPr>
          </w:p>
        </w:tc>
        <w:tc>
          <w:tcPr>
            <w:tcW w:w="1140" w:type="dxa"/>
            <w:vAlign w:val="bottom"/>
            <w:shd w:val="clear" w:color="auto" w:fill="E6E7F4"/>
          </w:tcPr>
          <w:p>
            <w:pPr>
              <w:spacing w:after="0"/>
              <w:rPr>
                <w:sz w:val="17"/>
                <w:szCs w:val="17"/>
                <w:color w:val="auto"/>
              </w:rPr>
            </w:pPr>
          </w:p>
        </w:tc>
        <w:tc>
          <w:tcPr>
            <w:tcW w:w="380" w:type="dxa"/>
            <w:vAlign w:val="bottom"/>
            <w:shd w:val="clear" w:color="auto" w:fill="E6E7F4"/>
          </w:tcPr>
          <w:p>
            <w:pPr>
              <w:spacing w:after="0"/>
              <w:rPr>
                <w:sz w:val="17"/>
                <w:szCs w:val="17"/>
                <w:color w:val="auto"/>
              </w:rPr>
            </w:pPr>
          </w:p>
        </w:tc>
        <w:tc>
          <w:tcPr>
            <w:tcW w:w="760" w:type="dxa"/>
            <w:vAlign w:val="bottom"/>
            <w:shd w:val="clear" w:color="auto" w:fill="E6E7F4"/>
          </w:tcPr>
          <w:p>
            <w:pPr>
              <w:spacing w:after="0"/>
              <w:rPr>
                <w:sz w:val="17"/>
                <w:szCs w:val="17"/>
                <w:color w:val="auto"/>
              </w:rPr>
            </w:pPr>
          </w:p>
        </w:tc>
        <w:tc>
          <w:tcPr>
            <w:tcW w:w="1320" w:type="dxa"/>
            <w:vAlign w:val="bottom"/>
            <w:shd w:val="clear" w:color="auto" w:fill="E6E7F4"/>
          </w:tcPr>
          <w:p>
            <w:pPr>
              <w:spacing w:after="0"/>
              <w:rPr>
                <w:sz w:val="17"/>
                <w:szCs w:val="17"/>
                <w:color w:val="auto"/>
              </w:rPr>
            </w:pPr>
          </w:p>
        </w:tc>
        <w:tc>
          <w:tcPr>
            <w:tcW w:w="1320" w:type="dxa"/>
            <w:vAlign w:val="bottom"/>
            <w:shd w:val="clear" w:color="auto" w:fill="E6E7F4"/>
          </w:tcPr>
          <w:p>
            <w:pPr>
              <w:spacing w:after="0"/>
              <w:rPr>
                <w:sz w:val="17"/>
                <w:szCs w:val="17"/>
                <w:color w:val="auto"/>
              </w:rPr>
            </w:pPr>
          </w:p>
        </w:tc>
        <w:tc>
          <w:tcPr>
            <w:tcW w:w="760" w:type="dxa"/>
            <w:vAlign w:val="bottom"/>
            <w:shd w:val="clear" w:color="auto" w:fill="E6E7F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companies</w:t>
            </w:r>
          </w:p>
        </w:tc>
        <w:tc>
          <w:tcPr>
            <w:tcW w:w="102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(55,237)</w:t>
            </w:r>
          </w:p>
        </w:tc>
        <w:tc>
          <w:tcPr>
            <w:tcW w:w="114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(24,966)</w:t>
            </w:r>
          </w:p>
        </w:tc>
        <w:tc>
          <w:tcPr>
            <w:tcW w:w="380" w:type="dxa"/>
            <w:vAlign w:val="bottom"/>
            <w:shd w:val="clear" w:color="auto" w:fill="E6E7F4"/>
          </w:tcPr>
          <w:p>
            <w:pPr>
              <w:spacing w:after="0"/>
              <w:rPr>
                <w:sz w:val="19"/>
                <w:szCs w:val="19"/>
                <w:color w:val="auto"/>
              </w:rPr>
            </w:pPr>
          </w:p>
        </w:tc>
        <w:tc>
          <w:tcPr>
            <w:tcW w:w="76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(30,271)</w:t>
            </w:r>
          </w:p>
        </w:tc>
        <w:tc>
          <w:tcPr>
            <w:tcW w:w="1320" w:type="dxa"/>
            <w:vAlign w:val="bottom"/>
            <w:vMerge w:val="restart"/>
            <w:shd w:val="clear" w:color="auto" w:fill="E6E7F4"/>
          </w:tcPr>
          <w:p>
            <w:pPr>
              <w:jc w:val="right"/>
              <w:ind w:right="139"/>
              <w:spacing w:after="0"/>
              <w:rPr>
                <w:sz w:val="20"/>
                <w:szCs w:val="20"/>
                <w:color w:val="auto"/>
              </w:rPr>
            </w:pPr>
            <w:r>
              <w:rPr>
                <w:rFonts w:ascii="Arial" w:cs="Arial" w:eastAsia="Arial" w:hAnsi="Arial"/>
                <w:sz w:val="16"/>
                <w:szCs w:val="16"/>
                <w:b w:val="1"/>
                <w:bCs w:val="1"/>
                <w:color w:val="243782"/>
              </w:rPr>
              <w:t>(45,344)</w:t>
            </w:r>
          </w:p>
        </w:tc>
        <w:tc>
          <w:tcPr>
            <w:tcW w:w="1320" w:type="dxa"/>
            <w:vAlign w:val="bottom"/>
            <w:vMerge w:val="restart"/>
            <w:shd w:val="clear" w:color="auto" w:fill="E6E7F4"/>
          </w:tcPr>
          <w:p>
            <w:pPr>
              <w:jc w:val="right"/>
              <w:ind w:right="319"/>
              <w:spacing w:after="0"/>
              <w:rPr>
                <w:sz w:val="20"/>
                <w:szCs w:val="20"/>
                <w:color w:val="auto"/>
              </w:rPr>
            </w:pPr>
            <w:r>
              <w:rPr>
                <w:rFonts w:ascii="Arial" w:cs="Arial" w:eastAsia="Arial" w:hAnsi="Arial"/>
                <w:sz w:val="16"/>
                <w:szCs w:val="16"/>
                <w:b w:val="1"/>
                <w:bCs w:val="1"/>
                <w:color w:val="243782"/>
              </w:rPr>
              <w:t>(22,790)</w:t>
            </w:r>
          </w:p>
        </w:tc>
        <w:tc>
          <w:tcPr>
            <w:tcW w:w="76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(22,554)</w:t>
            </w:r>
          </w:p>
        </w:tc>
        <w:tc>
          <w:tcPr>
            <w:tcW w:w="0" w:type="dxa"/>
            <w:vAlign w:val="bottom"/>
          </w:tcPr>
          <w:p>
            <w:pPr>
              <w:spacing w:after="0"/>
              <w:rPr>
                <w:sz w:val="1"/>
                <w:szCs w:val="1"/>
                <w:color w:val="auto"/>
              </w:rPr>
            </w:pPr>
          </w:p>
        </w:tc>
      </w:tr>
      <w:tr>
        <w:trPr>
          <w:trHeight w:val="85"/>
        </w:trPr>
        <w:tc>
          <w:tcPr>
            <w:tcW w:w="4540" w:type="dxa"/>
            <w:vAlign w:val="bottom"/>
            <w:tcBorders>
              <w:bottom w:val="single" w:sz="8" w:color="8E939F"/>
            </w:tcBorders>
            <w:shd w:val="clear" w:color="auto" w:fill="E6E7F4"/>
          </w:tcPr>
          <w:p>
            <w:pPr>
              <w:spacing w:after="0"/>
              <w:rPr>
                <w:sz w:val="7"/>
                <w:szCs w:val="7"/>
                <w:color w:val="auto"/>
              </w:rPr>
            </w:pPr>
          </w:p>
        </w:tc>
        <w:tc>
          <w:tcPr>
            <w:tcW w:w="1020" w:type="dxa"/>
            <w:vAlign w:val="bottom"/>
            <w:tcBorders>
              <w:bottom w:val="single" w:sz="8" w:color="8E939F"/>
            </w:tcBorders>
            <w:vMerge w:val="continue"/>
            <w:shd w:val="clear" w:color="auto" w:fill="E6E7F4"/>
          </w:tcPr>
          <w:p>
            <w:pPr>
              <w:spacing w:after="0"/>
              <w:rPr>
                <w:sz w:val="7"/>
                <w:szCs w:val="7"/>
                <w:color w:val="auto"/>
              </w:rPr>
            </w:pPr>
          </w:p>
        </w:tc>
        <w:tc>
          <w:tcPr>
            <w:tcW w:w="1140" w:type="dxa"/>
            <w:vAlign w:val="bottom"/>
            <w:tcBorders>
              <w:bottom w:val="single" w:sz="8" w:color="8E939F"/>
            </w:tcBorders>
            <w:vMerge w:val="continue"/>
            <w:shd w:val="clear" w:color="auto" w:fill="E6E7F4"/>
          </w:tcPr>
          <w:p>
            <w:pPr>
              <w:spacing w:after="0"/>
              <w:rPr>
                <w:sz w:val="7"/>
                <w:szCs w:val="7"/>
                <w:color w:val="auto"/>
              </w:rPr>
            </w:pPr>
          </w:p>
        </w:tc>
        <w:tc>
          <w:tcPr>
            <w:tcW w:w="380" w:type="dxa"/>
            <w:vAlign w:val="bottom"/>
            <w:tcBorders>
              <w:bottom w:val="single" w:sz="8" w:color="8E939F"/>
            </w:tcBorders>
            <w:shd w:val="clear" w:color="auto" w:fill="E6E7F4"/>
          </w:tcPr>
          <w:p>
            <w:pPr>
              <w:spacing w:after="0"/>
              <w:rPr>
                <w:sz w:val="7"/>
                <w:szCs w:val="7"/>
                <w:color w:val="auto"/>
              </w:rPr>
            </w:pPr>
          </w:p>
        </w:tc>
        <w:tc>
          <w:tcPr>
            <w:tcW w:w="760" w:type="dxa"/>
            <w:vAlign w:val="bottom"/>
            <w:tcBorders>
              <w:bottom w:val="single" w:sz="8" w:color="8E939F"/>
            </w:tcBorders>
            <w:vMerge w:val="continue"/>
            <w:shd w:val="clear" w:color="auto" w:fill="E6E7F4"/>
          </w:tcPr>
          <w:p>
            <w:pPr>
              <w:spacing w:after="0"/>
              <w:rPr>
                <w:sz w:val="7"/>
                <w:szCs w:val="7"/>
                <w:color w:val="auto"/>
              </w:rPr>
            </w:pPr>
          </w:p>
        </w:tc>
        <w:tc>
          <w:tcPr>
            <w:tcW w:w="1320" w:type="dxa"/>
            <w:vAlign w:val="bottom"/>
            <w:tcBorders>
              <w:bottom w:val="single" w:sz="8" w:color="8E939F"/>
            </w:tcBorders>
            <w:vMerge w:val="continue"/>
            <w:shd w:val="clear" w:color="auto" w:fill="E6E7F4"/>
          </w:tcPr>
          <w:p>
            <w:pPr>
              <w:spacing w:after="0"/>
              <w:rPr>
                <w:sz w:val="7"/>
                <w:szCs w:val="7"/>
                <w:color w:val="auto"/>
              </w:rPr>
            </w:pPr>
          </w:p>
        </w:tc>
        <w:tc>
          <w:tcPr>
            <w:tcW w:w="1320" w:type="dxa"/>
            <w:vAlign w:val="bottom"/>
            <w:tcBorders>
              <w:bottom w:val="single" w:sz="8" w:color="8E939F"/>
            </w:tcBorders>
            <w:vMerge w:val="continue"/>
            <w:shd w:val="clear" w:color="auto" w:fill="E6E7F4"/>
          </w:tcPr>
          <w:p>
            <w:pPr>
              <w:spacing w:after="0"/>
              <w:rPr>
                <w:sz w:val="7"/>
                <w:szCs w:val="7"/>
                <w:color w:val="auto"/>
              </w:rPr>
            </w:pPr>
          </w:p>
        </w:tc>
        <w:tc>
          <w:tcPr>
            <w:tcW w:w="760" w:type="dxa"/>
            <w:vAlign w:val="bottom"/>
            <w:tcBorders>
              <w:bottom w:val="single" w:sz="8" w:color="8E939F"/>
            </w:tcBorders>
            <w:vMerge w:val="continue"/>
            <w:shd w:val="clear" w:color="auto" w:fill="E6E7F4"/>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Derivative financial assets/(liabilities), net of collateral</w:t>
            </w:r>
          </w:p>
        </w:tc>
        <w:tc>
          <w:tcPr>
            <w:tcW w:w="1020" w:type="dxa"/>
            <w:vAlign w:val="bottom"/>
            <w:shd w:val="clear" w:color="auto" w:fill="F3F3F9"/>
          </w:tcPr>
          <w:p>
            <w:pPr>
              <w:spacing w:after="0"/>
              <w:rPr>
                <w:sz w:val="18"/>
                <w:szCs w:val="18"/>
                <w:color w:val="auto"/>
              </w:rPr>
            </w:pPr>
          </w:p>
        </w:tc>
        <w:tc>
          <w:tcPr>
            <w:tcW w:w="1140" w:type="dxa"/>
            <w:vAlign w:val="bottom"/>
            <w:shd w:val="clear" w:color="auto" w:fill="F3F3F9"/>
          </w:tcPr>
          <w:p>
            <w:pPr>
              <w:spacing w:after="0"/>
              <w:rPr>
                <w:sz w:val="18"/>
                <w:szCs w:val="18"/>
                <w:color w:val="auto"/>
              </w:rPr>
            </w:pPr>
          </w:p>
        </w:tc>
        <w:tc>
          <w:tcPr>
            <w:tcW w:w="380" w:type="dxa"/>
            <w:vAlign w:val="bottom"/>
            <w:shd w:val="clear" w:color="auto" w:fill="F3F3F9"/>
          </w:tcPr>
          <w:p>
            <w:pPr>
              <w:spacing w:after="0"/>
              <w:rPr>
                <w:sz w:val="18"/>
                <w:szCs w:val="18"/>
                <w:color w:val="auto"/>
              </w:rPr>
            </w:pPr>
          </w:p>
        </w:tc>
        <w:tc>
          <w:tcPr>
            <w:tcW w:w="760" w:type="dxa"/>
            <w:vAlign w:val="bottom"/>
            <w:shd w:val="clear" w:color="auto" w:fill="F3F3F9"/>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deposits</w:t>
            </w:r>
            <w:r>
              <w:rPr>
                <w:rFonts w:ascii="Arial" w:cs="Arial" w:eastAsia="Arial" w:hAnsi="Arial"/>
                <w:sz w:val="21"/>
                <w:szCs w:val="21"/>
                <w:color w:val="auto"/>
                <w:vertAlign w:val="superscript"/>
              </w:rPr>
              <w:t>(6)</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181</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188</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Financial securities</w:t>
            </w:r>
            <w:r>
              <w:rPr>
                <w:rFonts w:ascii="Arial" w:cs="Arial" w:eastAsia="Arial" w:hAnsi="Arial"/>
                <w:sz w:val="21"/>
                <w:szCs w:val="21"/>
                <w:color w:val="auto"/>
                <w:vertAlign w:val="superscript"/>
              </w:rPr>
              <w:t>(7)</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3,443</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3,188</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255</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1,362</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1,098</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29,046</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27,012</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2,034</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30,146</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28,198</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Cash and cash equivalents classified as held for sale</w:t>
            </w:r>
          </w:p>
        </w:tc>
        <w:tc>
          <w:tcPr>
            <w:tcW w:w="10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w:t>
            </w:r>
          </w:p>
        </w:tc>
        <w:tc>
          <w:tcPr>
            <w:tcW w:w="11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8E939F"/>
            </w:tcBorders>
            <w:shd w:val="clear" w:color="auto" w:fill="F3F3F9"/>
          </w:tcPr>
          <w:p>
            <w:pPr>
              <w:spacing w:after="0"/>
              <w:rPr>
                <w:sz w:val="21"/>
                <w:szCs w:val="21"/>
                <w:color w:val="auto"/>
              </w:rPr>
            </w:pPr>
          </w:p>
        </w:tc>
        <w:tc>
          <w:tcPr>
            <w:tcW w:w="7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45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financial position</w:t>
            </w:r>
          </w:p>
        </w:tc>
        <w:tc>
          <w:tcPr>
            <w:tcW w:w="10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(22,537)</w:t>
            </w:r>
          </w:p>
        </w:tc>
        <w:tc>
          <w:tcPr>
            <w:tcW w:w="11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5,400</w:t>
            </w:r>
          </w:p>
        </w:tc>
        <w:tc>
          <w:tcPr>
            <w:tcW w:w="380" w:type="dxa"/>
            <w:vAlign w:val="bottom"/>
            <w:tcBorders>
              <w:bottom w:val="single" w:sz="8" w:color="8E939F"/>
            </w:tcBorders>
            <w:shd w:val="clear" w:color="auto" w:fill="E6E7F4"/>
          </w:tcPr>
          <w:p>
            <w:pPr>
              <w:spacing w:after="0"/>
              <w:rPr>
                <w:sz w:val="21"/>
                <w:szCs w:val="21"/>
                <w:color w:val="auto"/>
              </w:rPr>
            </w:pP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(27,937)</w:t>
            </w:r>
          </w:p>
        </w:tc>
        <w:tc>
          <w:tcPr>
            <w:tcW w:w="1320" w:type="dxa"/>
            <w:vAlign w:val="bottom"/>
            <w:tcBorders>
              <w:bottom w:val="single" w:sz="8" w:color="8E939F"/>
            </w:tcBorders>
            <w:shd w:val="clear" w:color="auto" w:fill="E6E7F4"/>
          </w:tcPr>
          <w:p>
            <w:pPr>
              <w:jc w:val="right"/>
              <w:ind w:right="139"/>
              <w:spacing w:after="0"/>
              <w:rPr>
                <w:sz w:val="20"/>
                <w:szCs w:val="20"/>
                <w:color w:val="auto"/>
              </w:rPr>
            </w:pPr>
            <w:r>
              <w:rPr>
                <w:rFonts w:ascii="Arial" w:cs="Arial" w:eastAsia="Arial" w:hAnsi="Arial"/>
                <w:sz w:val="16"/>
                <w:szCs w:val="16"/>
                <w:b w:val="1"/>
                <w:bCs w:val="1"/>
                <w:color w:val="243782"/>
              </w:rPr>
              <w:t>(13,655)</w:t>
            </w:r>
          </w:p>
        </w:tc>
        <w:tc>
          <w:tcPr>
            <w:tcW w:w="1320" w:type="dxa"/>
            <w:vAlign w:val="bottom"/>
            <w:tcBorders>
              <w:bottom w:val="single" w:sz="8" w:color="8E939F"/>
            </w:tcBorders>
            <w:shd w:val="clear" w:color="auto" w:fill="E6E7F4"/>
          </w:tcPr>
          <w:p>
            <w:pPr>
              <w:jc w:val="right"/>
              <w:ind w:right="359"/>
              <w:spacing w:after="0"/>
              <w:rPr>
                <w:sz w:val="20"/>
                <w:szCs w:val="20"/>
                <w:color w:val="auto"/>
              </w:rPr>
            </w:pPr>
            <w:r>
              <w:rPr>
                <w:rFonts w:ascii="Arial" w:cs="Arial" w:eastAsia="Arial" w:hAnsi="Arial"/>
                <w:sz w:val="16"/>
                <w:szCs w:val="16"/>
                <w:b w:val="1"/>
                <w:bCs w:val="1"/>
                <w:color w:val="243782"/>
              </w:rPr>
              <w:t>6,694</w:t>
            </w:r>
          </w:p>
        </w:tc>
        <w:tc>
          <w:tcPr>
            <w:tcW w:w="7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(20,349)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Includes notes issued under the Medium Term Programme, or Medium Term Note (“MTN”) Programme, and other notes for €26,839 million at September 30, 2026</w:t>
      </w:r>
    </w:p>
    <w:p>
      <w:pPr>
        <w:spacing w:after="0" w:line="29"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(€22,333 million at December 31, 2025), Schuldschein for €50 million (€314 million at December 31, 2025) and other financial instruments issued in financial markets, from financial services companies for €3,497 million (€2,413 million at December 31, 2025)</w:t>
      </w:r>
    </w:p>
    <w:p>
      <w:pPr>
        <w:spacing w:after="0" w:line="1" w:lineRule="exact"/>
        <w:rPr>
          <w:sz w:val="20"/>
          <w:szCs w:val="20"/>
          <w:color w:val="auto"/>
        </w:rPr>
      </w:pPr>
    </w:p>
    <w:p>
      <w:pPr>
        <w:ind w:right="320" w:firstLine="8"/>
        <w:spacing w:after="0" w:line="261" w:lineRule="auto"/>
        <w:tabs>
          <w:tab w:leader="none" w:pos="222"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debt for securitizations programs for €19,820 million at September 30, 2026 (€15,471 million at December 31, 2025), and other asset-backed financing, i.e., sales of receivables for which de-recognition is not allowed under IFRS, for €46 million at September 30, 2026 (€8 million at December 31, 2025)</w:t>
      </w: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adjustments for purchase accounting and net (accrued)/deferred interest and other amortizing cost adjustments</w:t>
      </w:r>
    </w:p>
    <w:p>
      <w:pPr>
        <w:spacing w:after="0" w:line="14" w:lineRule="exact"/>
        <w:rPr>
          <w:rFonts w:ascii="Arial" w:cs="Arial" w:eastAsia="Arial" w:hAnsi="Arial"/>
          <w:sz w:val="14"/>
          <w:szCs w:val="14"/>
          <w:color w:val="auto"/>
        </w:rPr>
      </w:pPr>
    </w:p>
    <w:p>
      <w:pPr>
        <w:ind w:right="280" w:firstLine="8"/>
        <w:spacing w:after="0" w:line="254" w:lineRule="auto"/>
        <w:tabs>
          <w:tab w:leader="none" w:pos="222" w:val="left"/>
        </w:tabs>
        <w:numPr>
          <w:ilvl w:val="0"/>
          <w:numId w:val="47"/>
        </w:numPr>
        <w:rPr>
          <w:rFonts w:ascii="Arial" w:cs="Arial" w:eastAsia="Arial" w:hAnsi="Arial"/>
          <w:sz w:val="14"/>
          <w:szCs w:val="14"/>
          <w:color w:val="auto"/>
        </w:rPr>
      </w:pPr>
      <w:r>
        <w:rPr>
          <w:rFonts w:ascii="Arial" w:cs="Arial" w:eastAsia="Arial" w:hAnsi="Arial"/>
          <w:sz w:val="14"/>
          <w:szCs w:val="14"/>
          <w:color w:val="auto"/>
        </w:rPr>
        <w:t>Net amount between industrial activities entities' financial receivables due from financial services entities (€1,270 million at September 30, 2026 and €2,237 million at December 31, 2025) and industrial activities entities' financial payables due to financial services entities (€1,119 million at September 30, 2026 and €481 million at December 31, 2025)</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Financial receivables due from Stellantis Financial Services Europe JVs</w:t>
      </w:r>
    </w:p>
    <w:p>
      <w:pPr>
        <w:spacing w:after="0" w:line="14" w:lineRule="exact"/>
        <w:rPr>
          <w:rFonts w:ascii="Arial" w:cs="Arial" w:eastAsia="Arial" w:hAnsi="Arial"/>
          <w:sz w:val="14"/>
          <w:szCs w:val="14"/>
          <w:color w:val="auto"/>
        </w:rPr>
      </w:pPr>
    </w:p>
    <w:p>
      <w:pPr>
        <w:ind w:right="80" w:firstLine="8"/>
        <w:spacing w:after="0" w:line="251" w:lineRule="auto"/>
        <w:tabs>
          <w:tab w:leader="none" w:pos="222" w:val="left"/>
        </w:tabs>
        <w:numPr>
          <w:ilvl w:val="0"/>
          <w:numId w:val="47"/>
        </w:numPr>
        <w:rPr>
          <w:rFonts w:ascii="Arial" w:cs="Arial" w:eastAsia="Arial" w:hAnsi="Arial"/>
          <w:sz w:val="14"/>
          <w:szCs w:val="14"/>
          <w:color w:val="auto"/>
        </w:rPr>
      </w:pPr>
      <w:r>
        <w:rPr>
          <w:rFonts w:ascii="Arial" w:cs="Arial" w:eastAsia="Arial" w:hAnsi="Arial"/>
          <w:sz w:val="14"/>
          <w:szCs w:val="14"/>
          <w:color w:val="auto"/>
        </w:rPr>
        <w:t>Fair value of derivative financial instruments (net positive €58 million at September 30, 2026 and net positive €161 million at December 31, 2025) and collateral deposits (€21 million at September 30, 2026 and €20 million at December 31, 2025)</w:t>
      </w:r>
    </w:p>
    <w:p>
      <w:pPr>
        <w:ind w:right="100" w:firstLine="8"/>
        <w:spacing w:after="0" w:line="272" w:lineRule="auto"/>
        <w:tabs>
          <w:tab w:leader="none" w:pos="222"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certain financial securities held pursuant to applicable regulations (€381 million at September 30, 2026 and €376 million at December 31, 2025) and non-liquid equity investments (€838 million at September 30, 2026 and €608 million at December 31, 2025) and other non-liquid securities (€126 million at September 30, 2026 and €203 million at December 31, 2025)</w:t>
      </w:r>
    </w:p>
    <w:p>
      <w:pPr>
        <w:spacing w:after="0" w:line="199" w:lineRule="exact"/>
        <w:rPr>
          <w:sz w:val="20"/>
          <w:szCs w:val="20"/>
          <w:color w:val="auto"/>
        </w:rPr>
      </w:pPr>
    </w:p>
    <w:p>
      <w:pPr>
        <w:ind w:right="200"/>
        <w:spacing w:after="0" w:line="368" w:lineRule="auto"/>
        <w:rPr>
          <w:sz w:val="20"/>
          <w:szCs w:val="20"/>
          <w:color w:val="auto"/>
        </w:rPr>
      </w:pPr>
      <w:r>
        <w:rPr>
          <w:rFonts w:ascii="Arial" w:cs="Arial" w:eastAsia="Arial" w:hAnsi="Arial"/>
          <w:sz w:val="17"/>
          <w:szCs w:val="17"/>
          <w:color w:val="auto"/>
        </w:rPr>
        <w:t>The €1.3 billion decrease in Industrial net financial position at September 30, 2026, compared to December 31, 2025, primarily reflected negative Industrial free cash flows and lease additions, partially offset by €4.9 billion proceeds from the issuance of Hybrid perpetual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Risks and uncertainties</w:t>
      </w:r>
    </w:p>
    <w:p>
      <w:pPr>
        <w:spacing w:after="0" w:line="252"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 xml:space="preserve">The Company believes that the risks and uncertainties identified for the nine months ended September 30, 2026 are in line with the main risks and uncertainties that were identified and discussed in the section </w:t>
      </w:r>
      <w:r>
        <w:rPr>
          <w:rFonts w:ascii="Arial" w:cs="Arial" w:eastAsia="Arial" w:hAnsi="Arial"/>
          <w:sz w:val="18"/>
          <w:szCs w:val="18"/>
          <w:i w:val="1"/>
          <w:iCs w:val="1"/>
          <w:color w:val="auto"/>
        </w:rPr>
        <w:t>Risk Management-Risk Factors</w:t>
      </w:r>
      <w:r>
        <w:rPr>
          <w:rFonts w:ascii="Arial" w:cs="Arial" w:eastAsia="Arial" w:hAnsi="Arial"/>
          <w:sz w:val="18"/>
          <w:szCs w:val="18"/>
          <w:color w:val="auto"/>
        </w:rPr>
        <w:t xml:space="preserve"> in the Company's Annual Report and Form 20-F for the year ended December 31, 2025 filed with the SEC and Autoriteit Financiële Markten (“AFM”) on February 26, 2026 and in the section </w:t>
      </w:r>
      <w:r>
        <w:rPr>
          <w:rFonts w:ascii="Arial" w:cs="Arial" w:eastAsia="Arial" w:hAnsi="Arial"/>
          <w:sz w:val="18"/>
          <w:szCs w:val="18"/>
          <w:i w:val="1"/>
          <w:iCs w:val="1"/>
          <w:color w:val="auto"/>
        </w:rPr>
        <w:t>Risks and uncertainties</w:t>
      </w:r>
      <w:r>
        <w:rPr>
          <w:rFonts w:ascii="Arial" w:cs="Arial" w:eastAsia="Arial" w:hAnsi="Arial"/>
          <w:sz w:val="18"/>
          <w:szCs w:val="18"/>
          <w:color w:val="auto"/>
        </w:rPr>
        <w:t xml:space="preserve"> in the Company’s Interim Report as of and for the three and six months ended June 30, 2026 filed with the SEC and AFM on July 30, 2026. Those risks and uncertainties should be read in conjunction with this Interim Report.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color w:val="143A84"/>
        </w:rPr>
        <w:t>GUIDANCE AND OUTLOOK</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143A84"/>
        </w:rPr>
        <w:t>FULL YEAR 2026 STELLANTIS GUIDANCE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revenue</w:t>
            </w:r>
          </w:p>
        </w:tc>
        <w:tc>
          <w:tcPr>
            <w:tcW w:w="61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Mid-single digit percent increase</w:t>
            </w:r>
          </w:p>
        </w:tc>
      </w:tr>
      <w:tr>
        <w:trPr>
          <w:trHeight w:val="250"/>
        </w:trPr>
        <w:tc>
          <w:tcPr>
            <w:tcW w:w="51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Adjusted operating income margin</w:t>
            </w:r>
          </w:p>
        </w:tc>
        <w:tc>
          <w:tcPr>
            <w:tcW w:w="61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Low-single digit percent</w:t>
            </w: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Industrial free cash flows</w:t>
            </w:r>
          </w:p>
        </w:tc>
        <w:tc>
          <w:tcPr>
            <w:tcW w:w="6140" w:type="dxa"/>
            <w:vAlign w:val="bottom"/>
          </w:tcPr>
          <w:p>
            <w:pPr>
              <w:jc w:val="right"/>
              <w:spacing w:after="0"/>
              <w:rPr>
                <w:sz w:val="20"/>
                <w:szCs w:val="20"/>
                <w:color w:val="auto"/>
              </w:rPr>
            </w:pPr>
            <w:r>
              <w:rPr>
                <w:rFonts w:ascii="Arial" w:cs="Arial" w:eastAsia="Arial" w:hAnsi="Arial"/>
                <w:sz w:val="16"/>
                <w:szCs w:val="16"/>
                <w:color w:val="auto"/>
              </w:rPr>
              <w:t>Improved year-over-year</w:t>
            </w:r>
          </w:p>
        </w:tc>
      </w:tr>
      <w:tr>
        <w:trPr>
          <w:trHeight w:val="215"/>
        </w:trPr>
        <w:tc>
          <w:tcPr>
            <w:tcW w:w="510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6"/>
                <w:szCs w:val="16"/>
                <w:color w:val="auto"/>
              </w:rPr>
              <w:t>Expect positive Industrial free cash flows in 2027</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Net revenue:</w:t>
      </w:r>
    </w:p>
    <w:p>
      <w:pPr>
        <w:spacing w:after="0" w:line="252" w:lineRule="exact"/>
        <w:rPr>
          <w:sz w:val="20"/>
          <w:szCs w:val="20"/>
          <w:color w:val="auto"/>
        </w:rPr>
      </w:pPr>
    </w:p>
    <w:p>
      <w:pPr>
        <w:ind w:left="120" w:hanging="112"/>
        <w:spacing w:after="0"/>
        <w:tabs>
          <w:tab w:leader="none" w:pos="120" w:val="left"/>
        </w:tabs>
        <w:numPr>
          <w:ilvl w:val="0"/>
          <w:numId w:val="48"/>
        </w:numPr>
        <w:rPr>
          <w:rFonts w:ascii="Arial" w:cs="Arial" w:eastAsia="Arial" w:hAnsi="Arial"/>
          <w:sz w:val="18"/>
          <w:szCs w:val="18"/>
          <w:color w:val="143A84"/>
        </w:rPr>
      </w:pPr>
      <w:r>
        <w:rPr>
          <w:rFonts w:ascii="Arial" w:cs="Arial" w:eastAsia="Arial" w:hAnsi="Arial"/>
          <w:sz w:val="18"/>
          <w:szCs w:val="18"/>
          <w:color w:val="auto"/>
        </w:rPr>
        <w:t>Expected increase driven by an expanded product portfolio and anticipated volume recovery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AOI considerations:</w:t>
      </w:r>
    </w:p>
    <w:p>
      <w:pPr>
        <w:spacing w:after="0" w:line="252"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18"/>
          <w:szCs w:val="18"/>
          <w:color w:val="143A84"/>
        </w:rPr>
      </w:pPr>
      <w:r>
        <w:rPr>
          <w:rFonts w:ascii="Arial" w:cs="Arial" w:eastAsia="Arial" w:hAnsi="Arial"/>
          <w:sz w:val="18"/>
          <w:szCs w:val="18"/>
          <w:color w:val="auto"/>
        </w:rPr>
        <w:t>Continued focus on mitigating geopolitical, trade, inflationary, and commodity cost pressures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49"/>
        </w:numPr>
        <w:rPr>
          <w:rFonts w:ascii="Arial" w:cs="Arial" w:eastAsia="Arial" w:hAnsi="Arial"/>
          <w:sz w:val="18"/>
          <w:szCs w:val="18"/>
          <w:color w:val="143A84"/>
        </w:rPr>
      </w:pPr>
      <w:r>
        <w:rPr>
          <w:rFonts w:ascii="Arial" w:cs="Arial" w:eastAsia="Arial" w:hAnsi="Arial"/>
          <w:sz w:val="18"/>
          <w:szCs w:val="18"/>
          <w:color w:val="auto"/>
        </w:rPr>
        <w:t>Full year net tariff estimated at approximately €1.0 billion, €0.6 billion incurred September year-to-date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IFCF considerations:</w:t>
      </w:r>
    </w:p>
    <w:p>
      <w:pPr>
        <w:spacing w:after="0" w:line="252" w:lineRule="exact"/>
        <w:rPr>
          <w:sz w:val="20"/>
          <w:szCs w:val="20"/>
          <w:color w:val="auto"/>
        </w:rPr>
      </w:pPr>
    </w:p>
    <w:p>
      <w:pPr>
        <w:ind w:left="180" w:right="400" w:hanging="172"/>
        <w:spacing w:after="0" w:line="334" w:lineRule="auto"/>
        <w:tabs>
          <w:tab w:leader="none" w:pos="131" w:val="left"/>
        </w:tabs>
        <w:numPr>
          <w:ilvl w:val="0"/>
          <w:numId w:val="50"/>
        </w:numPr>
        <w:rPr>
          <w:rFonts w:ascii="Arial" w:cs="Arial" w:eastAsia="Arial" w:hAnsi="Arial"/>
          <w:sz w:val="18"/>
          <w:szCs w:val="18"/>
          <w:color w:val="143A84"/>
        </w:rPr>
      </w:pPr>
      <w:r>
        <w:rPr>
          <w:rFonts w:ascii="Arial" w:cs="Arial" w:eastAsia="Arial" w:hAnsi="Arial"/>
          <w:sz w:val="18"/>
          <w:szCs w:val="18"/>
          <w:color w:val="auto"/>
        </w:rPr>
        <w:t>Full-year cash outflows related to second half of 2025 charges estimated at approximately €1.6 billion including €0.1 billion paid in third quarter of 2026 and €1.1 billion paid through September year-to-date</w:t>
      </w:r>
    </w:p>
    <w:p>
      <w:pPr>
        <w:spacing w:after="0" w:line="44" w:lineRule="exact"/>
        <w:rPr>
          <w:rFonts w:ascii="Arial" w:cs="Arial" w:eastAsia="Arial" w:hAnsi="Arial"/>
          <w:sz w:val="18"/>
          <w:szCs w:val="18"/>
          <w:color w:val="143A84"/>
        </w:rPr>
      </w:pPr>
    </w:p>
    <w:p>
      <w:pPr>
        <w:ind w:left="160" w:right="680" w:hanging="152"/>
        <w:spacing w:after="0" w:line="350" w:lineRule="auto"/>
        <w:tabs>
          <w:tab w:leader="none" w:pos="121" w:val="left"/>
        </w:tabs>
        <w:numPr>
          <w:ilvl w:val="0"/>
          <w:numId w:val="50"/>
        </w:numPr>
        <w:rPr>
          <w:rFonts w:ascii="Arial" w:cs="Arial" w:eastAsia="Arial" w:hAnsi="Arial"/>
          <w:sz w:val="18"/>
          <w:szCs w:val="18"/>
          <w:color w:val="143A84"/>
        </w:rPr>
      </w:pPr>
      <w:r>
        <w:rPr>
          <w:rFonts w:ascii="Arial" w:cs="Arial" w:eastAsia="Arial" w:hAnsi="Arial"/>
          <w:sz w:val="18"/>
          <w:szCs w:val="18"/>
          <w:color w:val="auto"/>
        </w:rPr>
        <w:t>Full year capital expenditures and research and development expenditures estimated to represent approximately 6.5 percent of Net revenues, consistent with 2026 investment plan under FaSTLAne 2030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Full year 2026 guidance reaffirmed, including the following fourth quarter versus third quarter of 2026 dynamics:</w:t>
      </w:r>
    </w:p>
    <w:p>
      <w:pPr>
        <w:spacing w:after="0" w:line="252" w:lineRule="exact"/>
        <w:rPr>
          <w:sz w:val="20"/>
          <w:szCs w:val="20"/>
          <w:color w:val="auto"/>
        </w:rPr>
      </w:pPr>
    </w:p>
    <w:p>
      <w:pPr>
        <w:ind w:left="120" w:hanging="112"/>
        <w:spacing w:after="0"/>
        <w:tabs>
          <w:tab w:leader="none" w:pos="120"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Continued to focus on profitability, aligning production with demand</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Higher total consolidated shipment volumes</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of North America inventory, with December 2026 converging to a similar level as compared to December 2025</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Broadly stable pricing environment</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Incremental cost headwinds from memory chips and recalls</w:t>
      </w:r>
    </w:p>
    <w:p>
      <w:pPr>
        <w:spacing w:after="0" w:line="157" w:lineRule="exact"/>
        <w:rPr>
          <w:rFonts w:ascii="Arial" w:cs="Arial" w:eastAsia="Arial" w:hAnsi="Arial"/>
          <w:sz w:val="18"/>
          <w:szCs w:val="18"/>
          <w:color w:val="143A84"/>
        </w:rPr>
      </w:pPr>
    </w:p>
    <w:p>
      <w:pPr>
        <w:ind w:left="160" w:right="400" w:hanging="152"/>
        <w:spacing w:after="0" w:line="334" w:lineRule="auto"/>
        <w:tabs>
          <w:tab w:leader="none" w:pos="121"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VCP savings expected to continue accelerating, realizing mid-hundreds of millions of euros in the fourth quarter of 2026, approximately double the amount realized in the third quarter of 2026</w:t>
      </w:r>
    </w:p>
    <w:p>
      <w:pPr>
        <w:spacing w:after="0" w:line="44" w:lineRule="exact"/>
        <w:rPr>
          <w:rFonts w:ascii="Arial" w:cs="Arial" w:eastAsia="Arial" w:hAnsi="Arial"/>
          <w:sz w:val="18"/>
          <w:szCs w:val="18"/>
          <w:color w:val="143A84"/>
        </w:rPr>
      </w:pPr>
    </w:p>
    <w:p>
      <w:pPr>
        <w:ind w:left="120" w:hanging="112"/>
        <w:spacing w:after="0"/>
        <w:tabs>
          <w:tab w:leader="none" w:pos="120" w:val="left"/>
        </w:tabs>
        <w:numPr>
          <w:ilvl w:val="0"/>
          <w:numId w:val="51"/>
        </w:numPr>
        <w:rPr>
          <w:rFonts w:ascii="Arial" w:cs="Arial" w:eastAsia="Arial" w:hAnsi="Arial"/>
          <w:sz w:val="18"/>
          <w:szCs w:val="18"/>
          <w:color w:val="143A84"/>
        </w:rPr>
      </w:pPr>
      <w:r>
        <w:rPr>
          <w:rFonts w:ascii="Arial" w:cs="Arial" w:eastAsia="Arial" w:hAnsi="Arial"/>
          <w:sz w:val="18"/>
          <w:szCs w:val="18"/>
          <w:color w:val="auto"/>
        </w:rPr>
        <w:t>Positive working capital contribution in the fourth quarter driven by normal fourth quarter seasonality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5" w:lineRule="auto"/>
        <w:rPr>
          <w:sz w:val="20"/>
          <w:szCs w:val="20"/>
          <w:color w:val="auto"/>
        </w:rPr>
      </w:pPr>
      <w:r>
        <w:rPr>
          <w:rFonts w:ascii="Arial" w:cs="Arial" w:eastAsia="Arial" w:hAnsi="Arial"/>
          <w:sz w:val="25"/>
          <w:szCs w:val="25"/>
          <w:color w:val="143A84"/>
        </w:rPr>
        <w:t>INTERIM CONDENSED CONSOLIDATED FINANCIAL STATEMENTS AND NOTES AS OF AND FOR THE THREE AND NINE MONTHS ENDED SEPTEMBER 30, 2026</w:t>
      </w:r>
    </w:p>
    <w:p>
      <w:pPr>
        <w:spacing w:after="0" w:line="2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40"/>
          </w:cols>
          <w:pgMar w:left="320" w:top="1440" w:right="7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STELLANTIS N.V.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INTERIM CONDENSED CONSOLIDATED INCOME STATEMENT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80" w:type="dxa"/>
            <w:vAlign w:val="bottom"/>
            <w:tcBorders>
              <w:bottom w:val="single" w:sz="8" w:color="8E939F"/>
            </w:tcBorders>
            <w:gridSpan w:val="2"/>
          </w:tcPr>
          <w:p>
            <w:pPr>
              <w:jc w:val="right"/>
              <w:ind w:right="139"/>
              <w:spacing w:after="0"/>
              <w:rPr>
                <w:sz w:val="20"/>
                <w:szCs w:val="20"/>
                <w:color w:val="auto"/>
              </w:rPr>
            </w:pPr>
            <w:r>
              <w:rPr>
                <w:rFonts w:ascii="Arial" w:cs="Arial" w:eastAsia="Arial" w:hAnsi="Arial"/>
                <w:sz w:val="16"/>
                <w:szCs w:val="16"/>
                <w:b w:val="1"/>
                <w:bCs w:val="1"/>
                <w:color w:val="243782"/>
              </w:rPr>
              <w:t>Three months ended September 30,</w:t>
            </w:r>
          </w:p>
        </w:tc>
        <w:tc>
          <w:tcPr>
            <w:tcW w:w="2980" w:type="dxa"/>
            <w:vAlign w:val="bottom"/>
            <w:tcBorders>
              <w:bottom w:val="single" w:sz="8" w:color="8E939F"/>
            </w:tcBorders>
            <w:gridSpan w:val="2"/>
          </w:tcPr>
          <w:p>
            <w:pPr>
              <w:jc w:val="right"/>
              <w:ind w:right="79"/>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22"/>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 million, except per share amounts)</w:t>
            </w:r>
          </w:p>
        </w:tc>
        <w:tc>
          <w:tcPr>
            <w:tcW w:w="780" w:type="dxa"/>
            <w:vAlign w:val="bottom"/>
          </w:tcPr>
          <w:p>
            <w:pPr>
              <w:spacing w:after="0"/>
              <w:rPr>
                <w:sz w:val="19"/>
                <w:szCs w:val="19"/>
                <w:color w:val="auto"/>
              </w:rPr>
            </w:pPr>
          </w:p>
        </w:tc>
        <w:tc>
          <w:tcPr>
            <w:tcW w:w="1440" w:type="dxa"/>
            <w:vAlign w:val="bottom"/>
            <w:shd w:val="clear" w:color="auto" w:fill="F3F3F9"/>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shd w:val="clear" w:color="auto" w:fill="F3F3F9"/>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8E939F"/>
            </w:tcBorders>
          </w:tcPr>
          <w:p>
            <w:pPr>
              <w:spacing w:after="0"/>
              <w:rPr>
                <w:sz w:val="20"/>
                <w:szCs w:val="20"/>
                <w:color w:val="auto"/>
              </w:rPr>
            </w:pPr>
          </w:p>
        </w:tc>
        <w:tc>
          <w:tcPr>
            <w:tcW w:w="780" w:type="dxa"/>
            <w:vAlign w:val="bottom"/>
            <w:tcBorders>
              <w:bottom w:val="single" w:sz="8" w:color="143A84"/>
            </w:tcBorders>
          </w:tcPr>
          <w:p>
            <w:pPr>
              <w:ind w:left="160"/>
              <w:spacing w:after="0"/>
              <w:rPr>
                <w:sz w:val="20"/>
                <w:szCs w:val="20"/>
                <w:color w:val="auto"/>
              </w:rPr>
            </w:pPr>
            <w:r>
              <w:rPr>
                <w:rFonts w:ascii="Arial" w:cs="Arial" w:eastAsia="Arial" w:hAnsi="Arial"/>
                <w:sz w:val="16"/>
                <w:szCs w:val="16"/>
                <w:b w:val="1"/>
                <w:bCs w:val="1"/>
                <w:color w:val="243782"/>
              </w:rPr>
              <w:t>Note</w:t>
            </w:r>
          </w:p>
        </w:tc>
        <w:tc>
          <w:tcPr>
            <w:tcW w:w="1440" w:type="dxa"/>
            <w:vAlign w:val="bottom"/>
            <w:tcBorders>
              <w:bottom w:val="single" w:sz="8" w:color="143A84"/>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640" w:type="dxa"/>
            <w:vAlign w:val="bottom"/>
            <w:tcBorders>
              <w:bottom w:val="single" w:sz="8" w:color="143A84"/>
            </w:tcBorders>
          </w:tcPr>
          <w:p>
            <w:pPr>
              <w:jc w:val="right"/>
              <w:ind w:right="559"/>
              <w:spacing w:after="0"/>
              <w:rPr>
                <w:sz w:val="20"/>
                <w:szCs w:val="20"/>
                <w:color w:val="auto"/>
              </w:rPr>
            </w:pPr>
            <w:r>
              <w:rPr>
                <w:rFonts w:ascii="Arial" w:cs="Arial" w:eastAsia="Arial" w:hAnsi="Arial"/>
                <w:sz w:val="16"/>
                <w:szCs w:val="16"/>
                <w:b w:val="1"/>
                <w:bCs w:val="1"/>
                <w:color w:val="243782"/>
              </w:rPr>
              <w:t>2025</w:t>
            </w:r>
          </w:p>
        </w:tc>
        <w:tc>
          <w:tcPr>
            <w:tcW w:w="1440" w:type="dxa"/>
            <w:vAlign w:val="bottom"/>
            <w:tcBorders>
              <w:bottom w:val="single" w:sz="8" w:color="143A84"/>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40" w:type="dxa"/>
            <w:vAlign w:val="bottom"/>
            <w:tcBorders>
              <w:bottom w:val="single" w:sz="8" w:color="143A84"/>
            </w:tcBorders>
          </w:tcPr>
          <w:p>
            <w:pPr>
              <w:jc w:val="right"/>
              <w:ind w:right="45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revenues</w:t>
            </w:r>
          </w:p>
        </w:tc>
        <w:tc>
          <w:tcPr>
            <w:tcW w:w="780" w:type="dxa"/>
            <w:vAlign w:val="bottom"/>
            <w:tcBorders>
              <w:bottom w:val="single" w:sz="8" w:color="8E939F"/>
            </w:tcBorders>
          </w:tcPr>
          <w:p>
            <w:pPr>
              <w:jc w:val="center"/>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37,611</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37,206</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119,225</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111,467</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Cost of revenues</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34,190</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38,291</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106,601</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106,558</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Selling, general and other costs</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2,303</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2,221</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7,088</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6,395</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Research and development costs</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1,326</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1,942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4,074</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5,313</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on disposal of investments</w:t>
            </w:r>
          </w:p>
        </w:tc>
        <w:tc>
          <w:tcPr>
            <w:tcW w:w="780" w:type="dxa"/>
            <w:vAlign w:val="bottom"/>
            <w:tcBorders>
              <w:bottom w:val="single" w:sz="8" w:color="8E939F"/>
            </w:tcBorders>
          </w:tcPr>
          <w:p>
            <w:pPr>
              <w:jc w:val="center"/>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13</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59</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Restructuring costs</w:t>
            </w:r>
          </w:p>
        </w:tc>
        <w:tc>
          <w:tcPr>
            <w:tcW w:w="780" w:type="dxa"/>
            <w:vAlign w:val="bottom"/>
            <w:tcBorders>
              <w:bottom w:val="single" w:sz="8" w:color="8E939F"/>
            </w:tcBorders>
          </w:tcPr>
          <w:p>
            <w:pPr>
              <w:jc w:val="center"/>
              <w:spacing w:after="0"/>
              <w:rPr>
                <w:sz w:val="20"/>
                <w:szCs w:val="20"/>
                <w:color w:val="auto"/>
              </w:rPr>
            </w:pPr>
            <w:r>
              <w:rPr>
                <w:rFonts w:ascii="Arial" w:cs="Arial" w:eastAsia="Arial" w:hAnsi="Arial"/>
                <w:sz w:val="16"/>
                <w:szCs w:val="16"/>
                <w:color w:val="auto"/>
              </w:rPr>
              <w:t>13</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401</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548</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Share of the profit/(loss) of equity method investees</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(57)</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(65)</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86</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53"/>
        </w:trPr>
        <w:tc>
          <w:tcPr>
            <w:tcW w:w="440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Operating income/(loss)</w:t>
            </w:r>
          </w:p>
        </w:tc>
        <w:tc>
          <w:tcPr>
            <w:tcW w:w="780" w:type="dxa"/>
            <w:vAlign w:val="bottom"/>
            <w:tcBorders>
              <w:bottom w:val="single" w:sz="8" w:color="8E939F"/>
            </w:tcBorders>
            <w:shd w:val="clear" w:color="auto" w:fill="E6E7F4"/>
          </w:tcPr>
          <w:p>
            <w:pPr>
              <w:spacing w:after="0"/>
              <w:rPr>
                <w:sz w:val="21"/>
                <w:szCs w:val="21"/>
                <w:color w:val="auto"/>
              </w:rPr>
            </w:pP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(331)</w:t>
            </w:r>
          </w:p>
        </w:tc>
        <w:tc>
          <w:tcPr>
            <w:tcW w:w="164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(5,701)</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1,059</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(8,411)</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financial expenses/(income)</w:t>
            </w:r>
          </w:p>
        </w:tc>
        <w:tc>
          <w:tcPr>
            <w:tcW w:w="780" w:type="dxa"/>
            <w:vAlign w:val="bottom"/>
            <w:tcBorders>
              <w:bottom w:val="single" w:sz="8" w:color="8E939F"/>
            </w:tcBorders>
          </w:tcPr>
          <w:p>
            <w:pPr>
              <w:jc w:val="center"/>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201</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(6)</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553</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3"/>
        </w:trPr>
        <w:tc>
          <w:tcPr>
            <w:tcW w:w="440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Profit/(loss) before taxes</w:t>
            </w:r>
          </w:p>
        </w:tc>
        <w:tc>
          <w:tcPr>
            <w:tcW w:w="780" w:type="dxa"/>
            <w:vAlign w:val="bottom"/>
            <w:tcBorders>
              <w:bottom w:val="single" w:sz="8" w:color="8E939F"/>
            </w:tcBorders>
            <w:shd w:val="clear" w:color="auto" w:fill="E6E7F4"/>
          </w:tcPr>
          <w:p>
            <w:pPr>
              <w:spacing w:after="0"/>
              <w:rPr>
                <w:sz w:val="21"/>
                <w:szCs w:val="21"/>
                <w:color w:val="auto"/>
              </w:rPr>
            </w:pP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(532)</w:t>
            </w:r>
          </w:p>
        </w:tc>
        <w:tc>
          <w:tcPr>
            <w:tcW w:w="164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(5,695)</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506</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(8,565)</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Tax expense/(benefit)</w:t>
            </w:r>
          </w:p>
        </w:tc>
        <w:tc>
          <w:tcPr>
            <w:tcW w:w="780" w:type="dxa"/>
            <w:vAlign w:val="bottom"/>
            <w:tcBorders>
              <w:bottom w:val="single" w:sz="8" w:color="8E939F"/>
            </w:tcBorders>
          </w:tcPr>
          <w:p>
            <w:pPr>
              <w:jc w:val="center"/>
              <w:spacing w:after="0"/>
              <w:rPr>
                <w:sz w:val="20"/>
                <w:szCs w:val="20"/>
                <w:color w:val="auto"/>
              </w:rPr>
            </w:pPr>
            <w:r>
              <w:rPr>
                <w:rFonts w:ascii="Arial" w:cs="Arial" w:eastAsia="Arial" w:hAnsi="Arial"/>
                <w:sz w:val="16"/>
                <w:szCs w:val="16"/>
                <w:color w:val="auto"/>
              </w:rPr>
              <w:t>5</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(1,163)</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289</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53"/>
        </w:trPr>
        <w:tc>
          <w:tcPr>
            <w:tcW w:w="440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profit/(loss)</w:t>
            </w:r>
          </w:p>
        </w:tc>
        <w:tc>
          <w:tcPr>
            <w:tcW w:w="780" w:type="dxa"/>
            <w:vAlign w:val="bottom"/>
            <w:tcBorders>
              <w:bottom w:val="single" w:sz="8" w:color="8E939F"/>
            </w:tcBorders>
            <w:shd w:val="clear" w:color="auto" w:fill="E6E7F4"/>
          </w:tcPr>
          <w:p>
            <w:pPr>
              <w:spacing w:after="0"/>
              <w:rPr>
                <w:sz w:val="21"/>
                <w:szCs w:val="21"/>
                <w:color w:val="auto"/>
              </w:rPr>
            </w:pP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(453)</w:t>
            </w:r>
          </w:p>
        </w:tc>
        <w:tc>
          <w:tcPr>
            <w:tcW w:w="164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(4,532)</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217</w:t>
            </w: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(6,788)</w:t>
            </w:r>
          </w:p>
        </w:tc>
        <w:tc>
          <w:tcPr>
            <w:tcW w:w="0" w:type="dxa"/>
            <w:vAlign w:val="bottom"/>
          </w:tcPr>
          <w:p>
            <w:pPr>
              <w:spacing w:after="0"/>
              <w:rPr>
                <w:sz w:val="1"/>
                <w:szCs w:val="1"/>
                <w:color w:val="auto"/>
              </w:rPr>
            </w:pPr>
          </w:p>
        </w:tc>
      </w:tr>
      <w:tr>
        <w:trPr>
          <w:trHeight w:val="254"/>
        </w:trPr>
        <w:tc>
          <w:tcPr>
            <w:tcW w:w="440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54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40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Net profit/(loss) attributable to:</w:t>
            </w:r>
          </w:p>
        </w:tc>
        <w:tc>
          <w:tcPr>
            <w:tcW w:w="780" w:type="dxa"/>
            <w:vAlign w:val="bottom"/>
            <w:tcBorders>
              <w:bottom w:val="single" w:sz="8" w:color="8E939F"/>
            </w:tcBorders>
            <w:shd w:val="clear" w:color="auto" w:fill="F3F3F9"/>
          </w:tcPr>
          <w:p>
            <w:pPr>
              <w:spacing w:after="0"/>
              <w:rPr>
                <w:sz w:val="21"/>
                <w:szCs w:val="21"/>
                <w:color w:val="auto"/>
              </w:rPr>
            </w:pPr>
          </w:p>
        </w:tc>
        <w:tc>
          <w:tcPr>
            <w:tcW w:w="1440" w:type="dxa"/>
            <w:vAlign w:val="bottom"/>
            <w:tcBorders>
              <w:bottom w:val="single" w:sz="8" w:color="8E939F"/>
            </w:tcBorders>
            <w:shd w:val="clear" w:color="auto" w:fill="F3F3F9"/>
          </w:tcPr>
          <w:p>
            <w:pPr>
              <w:spacing w:after="0"/>
              <w:rPr>
                <w:sz w:val="21"/>
                <w:szCs w:val="21"/>
                <w:color w:val="auto"/>
              </w:rPr>
            </w:pPr>
          </w:p>
        </w:tc>
        <w:tc>
          <w:tcPr>
            <w:tcW w:w="1640" w:type="dxa"/>
            <w:vAlign w:val="bottom"/>
            <w:tcBorders>
              <w:bottom w:val="single" w:sz="8" w:color="8E939F"/>
            </w:tcBorders>
            <w:shd w:val="clear" w:color="auto" w:fill="F3F3F9"/>
          </w:tcPr>
          <w:p>
            <w:pPr>
              <w:spacing w:after="0"/>
              <w:rPr>
                <w:sz w:val="21"/>
                <w:szCs w:val="21"/>
                <w:color w:val="auto"/>
              </w:rPr>
            </w:pPr>
          </w:p>
        </w:tc>
        <w:tc>
          <w:tcPr>
            <w:tcW w:w="1440" w:type="dxa"/>
            <w:vAlign w:val="bottom"/>
            <w:tcBorders>
              <w:bottom w:val="single" w:sz="8" w:color="8E939F"/>
            </w:tcBorders>
            <w:shd w:val="clear" w:color="auto" w:fill="F3F3F9"/>
          </w:tcPr>
          <w:p>
            <w:pPr>
              <w:spacing w:after="0"/>
              <w:rPr>
                <w:sz w:val="21"/>
                <w:szCs w:val="21"/>
                <w:color w:val="auto"/>
              </w:rPr>
            </w:pPr>
          </w:p>
        </w:tc>
        <w:tc>
          <w:tcPr>
            <w:tcW w:w="1540" w:type="dxa"/>
            <w:vAlign w:val="bottom"/>
            <w:tcBorders>
              <w:bottom w:val="single" w:sz="8" w:color="8E939F"/>
            </w:tcBorders>
            <w:shd w:val="clear" w:color="auto" w:fill="F3F3F9"/>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8E939F"/>
            </w:tcBorders>
          </w:tcPr>
          <w:p>
            <w:pPr>
              <w:ind w:left="140"/>
              <w:spacing w:after="0"/>
              <w:rPr>
                <w:sz w:val="20"/>
                <w:szCs w:val="20"/>
                <w:color w:val="auto"/>
              </w:rPr>
            </w:pPr>
            <w:r>
              <w:rPr>
                <w:rFonts w:ascii="Arial" w:cs="Arial" w:eastAsia="Arial" w:hAnsi="Arial"/>
                <w:sz w:val="16"/>
                <w:szCs w:val="16"/>
                <w:color w:val="auto"/>
              </w:rPr>
              <w:t>Owners of the parent</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(4,542)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186</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(6,782)</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140"/>
              <w:spacing w:after="0"/>
              <w:rPr>
                <w:sz w:val="20"/>
                <w:szCs w:val="20"/>
                <w:color w:val="auto"/>
              </w:rPr>
            </w:pPr>
            <w:r>
              <w:rPr>
                <w:rFonts w:ascii="Arial" w:cs="Arial" w:eastAsia="Arial" w:hAnsi="Arial"/>
                <w:sz w:val="16"/>
                <w:szCs w:val="16"/>
                <w:color w:val="auto"/>
              </w:rPr>
              <w:t>Non-controlling interests</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10</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7"/>
        </w:trPr>
        <w:tc>
          <w:tcPr>
            <w:tcW w:w="440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54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40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Earnings/(loss) per share:</w:t>
            </w:r>
          </w:p>
        </w:tc>
        <w:tc>
          <w:tcPr>
            <w:tcW w:w="780" w:type="dxa"/>
            <w:vAlign w:val="bottom"/>
            <w:tcBorders>
              <w:bottom w:val="single" w:sz="8" w:color="8E939F"/>
            </w:tcBorders>
            <w:shd w:val="clear" w:color="auto" w:fill="F3F3F9"/>
          </w:tcPr>
          <w:p>
            <w:pPr>
              <w:jc w:val="center"/>
              <w:spacing w:after="0"/>
              <w:rPr>
                <w:sz w:val="20"/>
                <w:szCs w:val="20"/>
                <w:color w:val="auto"/>
              </w:rPr>
            </w:pPr>
            <w:r>
              <w:rPr>
                <w:rFonts w:ascii="Arial" w:cs="Arial" w:eastAsia="Arial" w:hAnsi="Arial"/>
                <w:sz w:val="16"/>
                <w:szCs w:val="16"/>
                <w:color w:val="auto"/>
              </w:rPr>
              <w:t>20</w:t>
            </w:r>
          </w:p>
        </w:tc>
        <w:tc>
          <w:tcPr>
            <w:tcW w:w="1440" w:type="dxa"/>
            <w:vAlign w:val="bottom"/>
            <w:tcBorders>
              <w:bottom w:val="single" w:sz="8" w:color="8E939F"/>
            </w:tcBorders>
            <w:shd w:val="clear" w:color="auto" w:fill="F3F3F9"/>
          </w:tcPr>
          <w:p>
            <w:pPr>
              <w:spacing w:after="0"/>
              <w:rPr>
                <w:sz w:val="21"/>
                <w:szCs w:val="21"/>
                <w:color w:val="auto"/>
              </w:rPr>
            </w:pPr>
          </w:p>
        </w:tc>
        <w:tc>
          <w:tcPr>
            <w:tcW w:w="1640" w:type="dxa"/>
            <w:vAlign w:val="bottom"/>
            <w:tcBorders>
              <w:bottom w:val="single" w:sz="8" w:color="8E939F"/>
            </w:tcBorders>
            <w:shd w:val="clear" w:color="auto" w:fill="F3F3F9"/>
          </w:tcPr>
          <w:p>
            <w:pPr>
              <w:spacing w:after="0"/>
              <w:rPr>
                <w:sz w:val="21"/>
                <w:szCs w:val="21"/>
                <w:color w:val="auto"/>
              </w:rPr>
            </w:pPr>
          </w:p>
        </w:tc>
        <w:tc>
          <w:tcPr>
            <w:tcW w:w="1440" w:type="dxa"/>
            <w:vAlign w:val="bottom"/>
            <w:tcBorders>
              <w:bottom w:val="single" w:sz="8" w:color="8E939F"/>
            </w:tcBorders>
            <w:shd w:val="clear" w:color="auto" w:fill="F3F3F9"/>
          </w:tcPr>
          <w:p>
            <w:pPr>
              <w:spacing w:after="0"/>
              <w:rPr>
                <w:sz w:val="21"/>
                <w:szCs w:val="21"/>
                <w:color w:val="auto"/>
              </w:rPr>
            </w:pPr>
          </w:p>
        </w:tc>
        <w:tc>
          <w:tcPr>
            <w:tcW w:w="1540" w:type="dxa"/>
            <w:vAlign w:val="bottom"/>
            <w:tcBorders>
              <w:bottom w:val="single" w:sz="8" w:color="8E939F"/>
            </w:tcBorders>
            <w:shd w:val="clear" w:color="auto" w:fill="F3F3F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8E939F"/>
            </w:tcBorders>
          </w:tcPr>
          <w:p>
            <w:pPr>
              <w:ind w:left="140"/>
              <w:spacing w:after="0"/>
              <w:rPr>
                <w:sz w:val="20"/>
                <w:szCs w:val="20"/>
                <w:color w:val="auto"/>
              </w:rPr>
            </w:pPr>
            <w:r>
              <w:rPr>
                <w:rFonts w:ascii="Arial" w:cs="Arial" w:eastAsia="Arial" w:hAnsi="Arial"/>
                <w:sz w:val="16"/>
                <w:szCs w:val="16"/>
                <w:color w:val="auto"/>
              </w:rPr>
              <w:t>Basic (loss)/earnings per share (€)</w:t>
            </w:r>
          </w:p>
        </w:tc>
        <w:tc>
          <w:tcPr>
            <w:tcW w:w="780" w:type="dxa"/>
            <w:vAlign w:val="bottom"/>
            <w:tcBorders>
              <w:bottom w:val="single" w:sz="8" w:color="8E939F"/>
            </w:tcBorders>
          </w:tcPr>
          <w:p>
            <w:pPr>
              <w:spacing w:after="0"/>
              <w:rPr>
                <w:sz w:val="21"/>
                <w:szCs w:val="21"/>
                <w:color w:val="auto"/>
              </w:rPr>
            </w:pP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(0.18)</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b w:val="1"/>
                <w:bCs w:val="1"/>
                <w:color w:val="243782"/>
              </w:rPr>
              <w:t>(1.57)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0.02</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b w:val="1"/>
                <w:bCs w:val="1"/>
                <w:color w:val="243782"/>
              </w:rPr>
              <w:t>(2.35)</w:t>
            </w:r>
          </w:p>
        </w:tc>
        <w:tc>
          <w:tcPr>
            <w:tcW w:w="0" w:type="dxa"/>
            <w:vAlign w:val="bottom"/>
          </w:tcPr>
          <w:p>
            <w:pPr>
              <w:spacing w:after="0"/>
              <w:rPr>
                <w:sz w:val="1"/>
                <w:szCs w:val="1"/>
                <w:color w:val="auto"/>
              </w:rPr>
            </w:pPr>
          </w:p>
        </w:tc>
      </w:tr>
      <w:tr>
        <w:trPr>
          <w:trHeight w:val="333"/>
        </w:trPr>
        <w:tc>
          <w:tcPr>
            <w:tcW w:w="4400" w:type="dxa"/>
            <w:vAlign w:val="bottom"/>
          </w:tcPr>
          <w:p>
            <w:pPr>
              <w:ind w:left="140"/>
              <w:spacing w:after="0"/>
              <w:rPr>
                <w:sz w:val="20"/>
                <w:szCs w:val="20"/>
                <w:color w:val="auto"/>
              </w:rPr>
            </w:pPr>
            <w:r>
              <w:rPr>
                <w:rFonts w:ascii="Arial" w:cs="Arial" w:eastAsia="Arial" w:hAnsi="Arial"/>
                <w:sz w:val="16"/>
                <w:szCs w:val="16"/>
                <w:color w:val="auto"/>
              </w:rPr>
              <w:t>Diluted (loss)/earnings per share (€)</w:t>
            </w:r>
          </w:p>
        </w:tc>
        <w:tc>
          <w:tcPr>
            <w:tcW w:w="780" w:type="dxa"/>
            <w:vAlign w:val="bottom"/>
          </w:tcPr>
          <w:p>
            <w:pPr>
              <w:spacing w:after="0"/>
              <w:rPr>
                <w:sz w:val="24"/>
                <w:szCs w:val="24"/>
                <w:color w:val="auto"/>
              </w:rPr>
            </w:pPr>
          </w:p>
        </w:tc>
        <w:tc>
          <w:tcPr>
            <w:tcW w:w="1440" w:type="dxa"/>
            <w:vAlign w:val="bottom"/>
            <w:vMerge w:val="restart"/>
            <w:shd w:val="clear" w:color="auto" w:fill="F3F3F9"/>
          </w:tcPr>
          <w:p>
            <w:pPr>
              <w:jc w:val="right"/>
              <w:spacing w:after="0"/>
              <w:rPr>
                <w:sz w:val="20"/>
                <w:szCs w:val="20"/>
                <w:color w:val="auto"/>
              </w:rPr>
            </w:pPr>
            <w:r>
              <w:rPr>
                <w:rFonts w:ascii="Arial" w:cs="Arial" w:eastAsia="Arial" w:hAnsi="Arial"/>
                <w:sz w:val="16"/>
                <w:szCs w:val="16"/>
                <w:b w:val="1"/>
                <w:bCs w:val="1"/>
                <w:color w:val="243782"/>
              </w:rPr>
              <w:t>(0.18)</w:t>
            </w:r>
          </w:p>
        </w:tc>
        <w:tc>
          <w:tcPr>
            <w:tcW w:w="16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243782"/>
              </w:rPr>
              <w:t>(1.57)</w:t>
            </w:r>
          </w:p>
        </w:tc>
        <w:tc>
          <w:tcPr>
            <w:tcW w:w="1440" w:type="dxa"/>
            <w:vAlign w:val="bottom"/>
            <w:vMerge w:val="restart"/>
            <w:shd w:val="clear" w:color="auto" w:fill="F3F3F9"/>
          </w:tcPr>
          <w:p>
            <w:pPr>
              <w:jc w:val="right"/>
              <w:spacing w:after="0"/>
              <w:rPr>
                <w:sz w:val="20"/>
                <w:szCs w:val="20"/>
                <w:color w:val="auto"/>
              </w:rPr>
            </w:pPr>
            <w:r>
              <w:rPr>
                <w:rFonts w:ascii="Arial" w:cs="Arial" w:eastAsia="Arial" w:hAnsi="Arial"/>
                <w:sz w:val="16"/>
                <w:szCs w:val="16"/>
                <w:b w:val="1"/>
                <w:bCs w:val="1"/>
                <w:color w:val="243782"/>
              </w:rPr>
              <w:t>0.02</w:t>
            </w:r>
          </w:p>
        </w:tc>
        <w:tc>
          <w:tcPr>
            <w:tcW w:w="1540" w:type="dxa"/>
            <w:vAlign w:val="bottom"/>
            <w:vMerge w:val="restart"/>
          </w:tcPr>
          <w:p>
            <w:pPr>
              <w:jc w:val="right"/>
              <w:spacing w:after="0"/>
              <w:rPr>
                <w:sz w:val="20"/>
                <w:szCs w:val="20"/>
                <w:color w:val="auto"/>
              </w:rPr>
            </w:pPr>
            <w:r>
              <w:rPr>
                <w:rFonts w:ascii="Arial" w:cs="Arial" w:eastAsia="Arial" w:hAnsi="Arial"/>
                <w:sz w:val="16"/>
                <w:szCs w:val="16"/>
                <w:b w:val="1"/>
                <w:bCs w:val="1"/>
                <w:color w:val="243782"/>
              </w:rPr>
              <w:t>(2.35)</w:t>
            </w:r>
          </w:p>
        </w:tc>
        <w:tc>
          <w:tcPr>
            <w:tcW w:w="0" w:type="dxa"/>
            <w:vAlign w:val="bottom"/>
          </w:tcPr>
          <w:p>
            <w:pPr>
              <w:spacing w:after="0"/>
              <w:rPr>
                <w:sz w:val="1"/>
                <w:szCs w:val="1"/>
                <w:color w:val="auto"/>
              </w:rPr>
            </w:pPr>
          </w:p>
        </w:tc>
      </w:tr>
      <w:tr>
        <w:trPr>
          <w:trHeight w:val="106"/>
        </w:trPr>
        <w:tc>
          <w:tcPr>
            <w:tcW w:w="4400" w:type="dxa"/>
            <w:vAlign w:val="bottom"/>
            <w:tcBorders>
              <w:bottom w:val="single" w:sz="8" w:color="8E939F"/>
            </w:tcBorders>
          </w:tcPr>
          <w:p>
            <w:pPr>
              <w:spacing w:after="0"/>
              <w:rPr>
                <w:sz w:val="9"/>
                <w:szCs w:val="9"/>
                <w:color w:val="auto"/>
              </w:rPr>
            </w:pPr>
          </w:p>
        </w:tc>
        <w:tc>
          <w:tcPr>
            <w:tcW w:w="780" w:type="dxa"/>
            <w:vAlign w:val="bottom"/>
            <w:tcBorders>
              <w:bottom w:val="single" w:sz="8" w:color="8E939F"/>
            </w:tcBorders>
          </w:tcPr>
          <w:p>
            <w:pPr>
              <w:spacing w:after="0"/>
              <w:rPr>
                <w:sz w:val="9"/>
                <w:szCs w:val="9"/>
                <w:color w:val="auto"/>
              </w:rPr>
            </w:pPr>
          </w:p>
        </w:tc>
        <w:tc>
          <w:tcPr>
            <w:tcW w:w="1440" w:type="dxa"/>
            <w:vAlign w:val="bottom"/>
            <w:tcBorders>
              <w:bottom w:val="single" w:sz="8" w:color="8E939F"/>
            </w:tcBorders>
            <w:vMerge w:val="continue"/>
            <w:shd w:val="clear" w:color="auto" w:fill="F3F3F9"/>
          </w:tcPr>
          <w:p>
            <w:pPr>
              <w:spacing w:after="0"/>
              <w:rPr>
                <w:sz w:val="9"/>
                <w:szCs w:val="9"/>
                <w:color w:val="auto"/>
              </w:rPr>
            </w:pPr>
          </w:p>
        </w:tc>
        <w:tc>
          <w:tcPr>
            <w:tcW w:w="1640" w:type="dxa"/>
            <w:vAlign w:val="bottom"/>
            <w:tcBorders>
              <w:bottom w:val="single" w:sz="8" w:color="8E939F"/>
            </w:tcBorders>
            <w:vMerge w:val="continue"/>
          </w:tcPr>
          <w:p>
            <w:pPr>
              <w:spacing w:after="0"/>
              <w:rPr>
                <w:sz w:val="9"/>
                <w:szCs w:val="9"/>
                <w:color w:val="auto"/>
              </w:rPr>
            </w:pPr>
          </w:p>
        </w:tc>
        <w:tc>
          <w:tcPr>
            <w:tcW w:w="1440" w:type="dxa"/>
            <w:vAlign w:val="bottom"/>
            <w:tcBorders>
              <w:bottom w:val="single" w:sz="8" w:color="8E939F"/>
            </w:tcBorders>
            <w:vMerge w:val="continue"/>
            <w:shd w:val="clear" w:color="auto" w:fill="F3F3F9"/>
          </w:tcPr>
          <w:p>
            <w:pPr>
              <w:spacing w:after="0"/>
              <w:rPr>
                <w:sz w:val="9"/>
                <w:szCs w:val="9"/>
                <w:color w:val="auto"/>
              </w:rPr>
            </w:pPr>
          </w:p>
        </w:tc>
        <w:tc>
          <w:tcPr>
            <w:tcW w:w="1540" w:type="dxa"/>
            <w:vAlign w:val="bottom"/>
            <w:tcBorders>
              <w:bottom w:val="single" w:sz="8" w:color="8E939F"/>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Interim Condensed Consolidated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STELLANTIS N.V. AND SUBSIDIARIES</w:t>
      </w:r>
    </w:p>
    <w:p>
      <w:pPr>
        <w:spacing w:after="0" w:line="46" w:lineRule="exact"/>
        <w:rPr>
          <w:sz w:val="20"/>
          <w:szCs w:val="20"/>
          <w:color w:val="auto"/>
        </w:rPr>
      </w:pPr>
    </w:p>
    <w:p>
      <w:pPr>
        <w:ind w:right="4620"/>
        <w:spacing w:after="0" w:line="367" w:lineRule="auto"/>
        <w:rPr>
          <w:sz w:val="20"/>
          <w:szCs w:val="20"/>
          <w:color w:val="auto"/>
        </w:rPr>
      </w:pPr>
      <w:r>
        <w:rPr>
          <w:rFonts w:ascii="Arial" w:cs="Arial" w:eastAsia="Arial" w:hAnsi="Arial"/>
          <w:sz w:val="16"/>
          <w:szCs w:val="16"/>
          <w:b w:val="1"/>
          <w:bCs w:val="1"/>
          <w:color w:val="143A84"/>
        </w:rPr>
        <w:t>INTERIM CONDENSED CONSOLIDATED STATEMENT OF COMPREHENSIVE INCOME (Unaudited)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60" w:type="dxa"/>
            <w:vAlign w:val="bottom"/>
            <w:tcBorders>
              <w:bottom w:val="single" w:sz="8" w:color="8E939F"/>
            </w:tcBorders>
            <w:gridSpan w:val="2"/>
          </w:tcPr>
          <w:p>
            <w:pPr>
              <w:jc w:val="right"/>
              <w:ind w:right="119"/>
              <w:spacing w:after="0"/>
              <w:rPr>
                <w:sz w:val="20"/>
                <w:szCs w:val="20"/>
                <w:color w:val="auto"/>
              </w:rPr>
            </w:pPr>
            <w:r>
              <w:rPr>
                <w:rFonts w:ascii="Arial" w:cs="Arial" w:eastAsia="Arial" w:hAnsi="Arial"/>
                <w:sz w:val="16"/>
                <w:szCs w:val="16"/>
                <w:b w:val="1"/>
                <w:bCs w:val="1"/>
                <w:color w:val="243782"/>
              </w:rPr>
              <w:t>Three months ended September 30,</w:t>
            </w:r>
          </w:p>
        </w:tc>
        <w:tc>
          <w:tcPr>
            <w:tcW w:w="3040" w:type="dxa"/>
            <w:vAlign w:val="bottom"/>
            <w:tcBorders>
              <w:bottom w:val="single" w:sz="8" w:color="8E939F"/>
            </w:tcBorders>
            <w:gridSpan w:val="2"/>
          </w:tcPr>
          <w:p>
            <w:pPr>
              <w:jc w:val="right"/>
              <w:ind w:right="119"/>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08"/>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780" w:type="dxa"/>
            <w:vAlign w:val="bottom"/>
          </w:tcPr>
          <w:p>
            <w:pPr>
              <w:spacing w:after="0"/>
              <w:rPr>
                <w:sz w:val="18"/>
                <w:szCs w:val="18"/>
                <w:color w:val="auto"/>
              </w:rPr>
            </w:pPr>
          </w:p>
        </w:tc>
        <w:tc>
          <w:tcPr>
            <w:tcW w:w="1420" w:type="dxa"/>
            <w:vAlign w:val="bottom"/>
            <w:vMerge w:val="restart"/>
            <w:shd w:val="clear" w:color="auto" w:fill="F3F3F9"/>
          </w:tcPr>
          <w:p>
            <w:pPr>
              <w:jc w:val="right"/>
              <w:ind w:right="439"/>
              <w:spacing w:after="0"/>
              <w:rPr>
                <w:sz w:val="20"/>
                <w:szCs w:val="20"/>
                <w:color w:val="auto"/>
              </w:rPr>
            </w:pPr>
            <w:r>
              <w:rPr>
                <w:rFonts w:ascii="Arial" w:cs="Arial" w:eastAsia="Arial" w:hAnsi="Arial"/>
                <w:sz w:val="16"/>
                <w:szCs w:val="16"/>
                <w:b w:val="1"/>
                <w:bCs w:val="1"/>
                <w:color w:val="243782"/>
              </w:rPr>
              <w:t>2026</w:t>
            </w:r>
          </w:p>
        </w:tc>
        <w:tc>
          <w:tcPr>
            <w:tcW w:w="164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243782"/>
              </w:rPr>
              <w:t>2025</w:t>
            </w:r>
          </w:p>
        </w:tc>
        <w:tc>
          <w:tcPr>
            <w:tcW w:w="1440" w:type="dxa"/>
            <w:vAlign w:val="bottom"/>
            <w:vMerge w:val="restart"/>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6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7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243782"/>
              </w:rPr>
              <w:t>Note</w:t>
            </w:r>
          </w:p>
        </w:tc>
        <w:tc>
          <w:tcPr>
            <w:tcW w:w="1420" w:type="dxa"/>
            <w:vAlign w:val="bottom"/>
            <w:vMerge w:val="continue"/>
            <w:shd w:val="clear" w:color="auto" w:fill="F3F3F9"/>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shd w:val="clear" w:color="auto" w:fill="F3F3F9"/>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360" w:type="dxa"/>
            <w:vAlign w:val="bottom"/>
            <w:tcBorders>
              <w:bottom w:val="single" w:sz="8" w:color="8E939F"/>
            </w:tcBorders>
          </w:tcPr>
          <w:p>
            <w:pPr>
              <w:spacing w:after="0"/>
              <w:rPr>
                <w:sz w:val="8"/>
                <w:szCs w:val="8"/>
                <w:color w:val="auto"/>
              </w:rPr>
            </w:pPr>
          </w:p>
        </w:tc>
        <w:tc>
          <w:tcPr>
            <w:tcW w:w="780" w:type="dxa"/>
            <w:vAlign w:val="bottom"/>
            <w:tcBorders>
              <w:bottom w:val="single" w:sz="8" w:color="8E939F"/>
            </w:tcBorders>
            <w:vMerge w:val="continue"/>
          </w:tcPr>
          <w:p>
            <w:pPr>
              <w:spacing w:after="0"/>
              <w:rPr>
                <w:sz w:val="8"/>
                <w:szCs w:val="8"/>
                <w:color w:val="auto"/>
              </w:rPr>
            </w:pPr>
          </w:p>
        </w:tc>
        <w:tc>
          <w:tcPr>
            <w:tcW w:w="1420" w:type="dxa"/>
            <w:vAlign w:val="bottom"/>
            <w:tcBorders>
              <w:bottom w:val="single" w:sz="8" w:color="8E939F"/>
            </w:tcBorders>
            <w:shd w:val="clear" w:color="auto" w:fill="F3F3F9"/>
          </w:tcPr>
          <w:p>
            <w:pPr>
              <w:spacing w:after="0"/>
              <w:rPr>
                <w:sz w:val="8"/>
                <w:szCs w:val="8"/>
                <w:color w:val="auto"/>
              </w:rPr>
            </w:pPr>
          </w:p>
        </w:tc>
        <w:tc>
          <w:tcPr>
            <w:tcW w:w="1640" w:type="dxa"/>
            <w:vAlign w:val="bottom"/>
            <w:tcBorders>
              <w:bottom w:val="single" w:sz="8" w:color="8E939F"/>
            </w:tcBorders>
          </w:tcPr>
          <w:p>
            <w:pPr>
              <w:spacing w:after="0"/>
              <w:rPr>
                <w:sz w:val="8"/>
                <w:szCs w:val="8"/>
                <w:color w:val="auto"/>
              </w:rPr>
            </w:pPr>
          </w:p>
        </w:tc>
        <w:tc>
          <w:tcPr>
            <w:tcW w:w="1440" w:type="dxa"/>
            <w:vAlign w:val="bottom"/>
            <w:tcBorders>
              <w:bottom w:val="single" w:sz="8" w:color="8E939F"/>
            </w:tcBorders>
            <w:shd w:val="clear" w:color="auto" w:fill="F3F3F9"/>
          </w:tcPr>
          <w:p>
            <w:pPr>
              <w:spacing w:after="0"/>
              <w:rPr>
                <w:sz w:val="8"/>
                <w:szCs w:val="8"/>
                <w:color w:val="auto"/>
              </w:rPr>
            </w:pPr>
          </w:p>
        </w:tc>
        <w:tc>
          <w:tcPr>
            <w:tcW w:w="160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Consolidated profit/(loss) for the period</w:t>
            </w:r>
          </w:p>
        </w:tc>
        <w:tc>
          <w:tcPr>
            <w:tcW w:w="780" w:type="dxa"/>
            <w:vAlign w:val="bottom"/>
            <w:tcBorders>
              <w:bottom w:val="single" w:sz="8" w:color="8E939F"/>
            </w:tcBorders>
            <w:shd w:val="clear" w:color="auto" w:fill="F3F3F9"/>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(453)</w:t>
            </w:r>
          </w:p>
        </w:tc>
        <w:tc>
          <w:tcPr>
            <w:tcW w:w="1640" w:type="dxa"/>
            <w:vAlign w:val="bottom"/>
            <w:tcBorders>
              <w:bottom w:val="single" w:sz="8" w:color="8E939F"/>
            </w:tcBorders>
            <w:shd w:val="clear" w:color="auto" w:fill="F3F3F9"/>
          </w:tcPr>
          <w:p>
            <w:pPr>
              <w:jc w:val="right"/>
              <w:ind w:right="39"/>
              <w:spacing w:after="0"/>
              <w:rPr>
                <w:sz w:val="20"/>
                <w:szCs w:val="20"/>
                <w:color w:val="auto"/>
              </w:rPr>
            </w:pPr>
            <w:r>
              <w:rPr>
                <w:rFonts w:ascii="Arial" w:cs="Arial" w:eastAsia="Arial" w:hAnsi="Arial"/>
                <w:sz w:val="16"/>
                <w:szCs w:val="16"/>
                <w:b w:val="1"/>
                <w:bCs w:val="1"/>
                <w:color w:val="243782"/>
              </w:rPr>
              <w:t>(4,532)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217</w:t>
            </w:r>
          </w:p>
        </w:tc>
        <w:tc>
          <w:tcPr>
            <w:tcW w:w="16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(6,788)</w:t>
            </w:r>
          </w:p>
        </w:tc>
        <w:tc>
          <w:tcPr>
            <w:tcW w:w="0" w:type="dxa"/>
            <w:vAlign w:val="bottom"/>
          </w:tcPr>
          <w:p>
            <w:pPr>
              <w:spacing w:after="0"/>
              <w:rPr>
                <w:sz w:val="1"/>
                <w:szCs w:val="1"/>
                <w:color w:val="auto"/>
              </w:rPr>
            </w:pPr>
          </w:p>
        </w:tc>
      </w:tr>
      <w:tr>
        <w:trPr>
          <w:trHeight w:val="254"/>
        </w:trPr>
        <w:tc>
          <w:tcPr>
            <w:tcW w:w="436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1420" w:type="dxa"/>
            <w:vAlign w:val="bottom"/>
            <w:tcBorders>
              <w:bottom w:val="single" w:sz="8" w:color="8E939F"/>
            </w:tcBorders>
            <w:shd w:val="clear" w:color="auto" w:fill="F3F3F9"/>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shd w:val="clear" w:color="auto" w:fill="F3F3F9"/>
          </w:tcPr>
          <w:p>
            <w:pPr>
              <w:spacing w:after="0"/>
              <w:rPr>
                <w:sz w:val="22"/>
                <w:szCs w:val="22"/>
                <w:color w:val="auto"/>
              </w:rPr>
            </w:pPr>
          </w:p>
        </w:tc>
        <w:tc>
          <w:tcPr>
            <w:tcW w:w="160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Fair value remeasurement to cash flow hedges</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54</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157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176</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which, reclassified to the income statement</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(93)</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(10)</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(194)</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which, recognized in equity during the period</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147</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167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370</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 and losses from remeasurement of financial assets</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which, recognized in equity during the period</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Exchange differences on translating foreign operations</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159</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56</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1,814</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Income tax (expense)/benefit</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(19)</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Share of Other comprehensive income/(loss) of equity</w:t>
            </w:r>
          </w:p>
        </w:tc>
        <w:tc>
          <w:tcPr>
            <w:tcW w:w="780" w:type="dxa"/>
            <w:vAlign w:val="bottom"/>
          </w:tcPr>
          <w:p>
            <w:pPr>
              <w:spacing w:after="0"/>
              <w:rPr>
                <w:sz w:val="18"/>
                <w:szCs w:val="18"/>
                <w:color w:val="auto"/>
              </w:rPr>
            </w:pPr>
          </w:p>
        </w:tc>
        <w:tc>
          <w:tcPr>
            <w:tcW w:w="142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method investees</w:t>
            </w:r>
          </w:p>
        </w:tc>
        <w:tc>
          <w:tcPr>
            <w:tcW w:w="780" w:type="dxa"/>
            <w:vAlign w:val="bottom"/>
            <w:tcBorders>
              <w:bottom w:val="single" w:sz="8" w:color="8E939F"/>
            </w:tcBorders>
          </w:tcPr>
          <w:p>
            <w:pPr>
              <w:spacing w:after="0"/>
              <w:rPr>
                <w:sz w:val="20"/>
                <w:szCs w:val="20"/>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86</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(18)</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90</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53"/>
        </w:trPr>
        <w:tc>
          <w:tcPr>
            <w:tcW w:w="43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Amounts to be potentially reclassified to profit or loss</w:t>
            </w:r>
          </w:p>
        </w:tc>
        <w:tc>
          <w:tcPr>
            <w:tcW w:w="780" w:type="dxa"/>
            <w:vAlign w:val="bottom"/>
            <w:tcBorders>
              <w:bottom w:val="single" w:sz="8" w:color="8E939F"/>
            </w:tcBorders>
            <w:shd w:val="clear" w:color="auto" w:fill="F3F3F9"/>
          </w:tcPr>
          <w:p>
            <w:pPr>
              <w:jc w:val="center"/>
              <w:spacing w:after="0"/>
              <w:rPr>
                <w:sz w:val="20"/>
                <w:szCs w:val="20"/>
                <w:color w:val="auto"/>
              </w:rPr>
            </w:pPr>
            <w:r>
              <w:rPr>
                <w:rFonts w:ascii="Arial" w:cs="Arial" w:eastAsia="Arial" w:hAnsi="Arial"/>
                <w:sz w:val="16"/>
                <w:szCs w:val="16"/>
                <w:color w:val="auto"/>
              </w:rPr>
              <w:t>16</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294</w:t>
            </w:r>
          </w:p>
        </w:tc>
        <w:tc>
          <w:tcPr>
            <w:tcW w:w="1640" w:type="dxa"/>
            <w:vAlign w:val="bottom"/>
            <w:tcBorders>
              <w:bottom w:val="single" w:sz="8" w:color="8E939F"/>
            </w:tcBorders>
            <w:shd w:val="clear" w:color="auto" w:fill="F3F3F9"/>
          </w:tcPr>
          <w:p>
            <w:pPr>
              <w:jc w:val="right"/>
              <w:ind w:right="79"/>
              <w:spacing w:after="0"/>
              <w:rPr>
                <w:sz w:val="20"/>
                <w:szCs w:val="20"/>
                <w:color w:val="auto"/>
              </w:rPr>
            </w:pPr>
            <w:r>
              <w:rPr>
                <w:rFonts w:ascii="Arial" w:cs="Arial" w:eastAsia="Arial" w:hAnsi="Arial"/>
                <w:sz w:val="16"/>
                <w:szCs w:val="16"/>
                <w:b w:val="1"/>
                <w:bCs w:val="1"/>
                <w:color w:val="243782"/>
              </w:rPr>
              <w:t>172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2,046</w:t>
            </w:r>
          </w:p>
        </w:tc>
        <w:tc>
          <w:tcPr>
            <w:tcW w:w="16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(4,234)</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Actuarial gains and losses on defined benefit pension</w:t>
            </w:r>
          </w:p>
        </w:tc>
        <w:tc>
          <w:tcPr>
            <w:tcW w:w="780" w:type="dxa"/>
            <w:vAlign w:val="bottom"/>
          </w:tcPr>
          <w:p>
            <w:pPr>
              <w:spacing w:after="0"/>
              <w:rPr>
                <w:sz w:val="18"/>
                <w:szCs w:val="18"/>
                <w:color w:val="auto"/>
              </w:rPr>
            </w:pPr>
          </w:p>
        </w:tc>
        <w:tc>
          <w:tcPr>
            <w:tcW w:w="142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obligations</w:t>
            </w:r>
          </w:p>
        </w:tc>
        <w:tc>
          <w:tcPr>
            <w:tcW w:w="780" w:type="dxa"/>
            <w:vAlign w:val="bottom"/>
            <w:tcBorders>
              <w:bottom w:val="single" w:sz="8" w:color="8E939F"/>
            </w:tcBorders>
          </w:tcPr>
          <w:p>
            <w:pPr>
              <w:spacing w:after="0"/>
              <w:rPr>
                <w:sz w:val="20"/>
                <w:szCs w:val="20"/>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238</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127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577</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Income tax (expense)/benefit</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(72)</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(31)</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(153)</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Share of Other comprehensive income of equity method</w:t>
            </w:r>
          </w:p>
        </w:tc>
        <w:tc>
          <w:tcPr>
            <w:tcW w:w="780" w:type="dxa"/>
            <w:vAlign w:val="bottom"/>
          </w:tcPr>
          <w:p>
            <w:pPr>
              <w:spacing w:after="0"/>
              <w:rPr>
                <w:sz w:val="18"/>
                <w:szCs w:val="18"/>
                <w:color w:val="auto"/>
              </w:rPr>
            </w:pPr>
          </w:p>
        </w:tc>
        <w:tc>
          <w:tcPr>
            <w:tcW w:w="142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shd w:val="clear" w:color="auto" w:fill="F3F3F9"/>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investees</w:t>
            </w:r>
          </w:p>
        </w:tc>
        <w:tc>
          <w:tcPr>
            <w:tcW w:w="780" w:type="dxa"/>
            <w:vAlign w:val="bottom"/>
            <w:tcBorders>
              <w:bottom w:val="single" w:sz="8" w:color="8E939F"/>
            </w:tcBorders>
          </w:tcPr>
          <w:p>
            <w:pPr>
              <w:spacing w:after="0"/>
              <w:rPr>
                <w:sz w:val="20"/>
                <w:szCs w:val="20"/>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3"/>
        </w:trPr>
        <w:tc>
          <w:tcPr>
            <w:tcW w:w="43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Amounts not to be reclassified to profit or loss</w:t>
            </w:r>
          </w:p>
        </w:tc>
        <w:tc>
          <w:tcPr>
            <w:tcW w:w="780" w:type="dxa"/>
            <w:vAlign w:val="bottom"/>
            <w:tcBorders>
              <w:bottom w:val="single" w:sz="8" w:color="8E939F"/>
            </w:tcBorders>
            <w:shd w:val="clear" w:color="auto" w:fill="F3F3F9"/>
          </w:tcPr>
          <w:p>
            <w:pPr>
              <w:jc w:val="center"/>
              <w:spacing w:after="0"/>
              <w:rPr>
                <w:sz w:val="20"/>
                <w:szCs w:val="20"/>
                <w:color w:val="auto"/>
              </w:rPr>
            </w:pPr>
            <w:r>
              <w:rPr>
                <w:rFonts w:ascii="Arial" w:cs="Arial" w:eastAsia="Arial" w:hAnsi="Arial"/>
                <w:sz w:val="16"/>
                <w:szCs w:val="16"/>
                <w:color w:val="auto"/>
              </w:rPr>
              <w:t>16</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168</w:t>
            </w:r>
          </w:p>
        </w:tc>
        <w:tc>
          <w:tcPr>
            <w:tcW w:w="1640" w:type="dxa"/>
            <w:vAlign w:val="bottom"/>
            <w:tcBorders>
              <w:bottom w:val="single" w:sz="8" w:color="8E939F"/>
            </w:tcBorders>
            <w:shd w:val="clear" w:color="auto" w:fill="F3F3F9"/>
          </w:tcPr>
          <w:p>
            <w:pPr>
              <w:jc w:val="right"/>
              <w:ind w:right="79"/>
              <w:spacing w:after="0"/>
              <w:rPr>
                <w:sz w:val="20"/>
                <w:szCs w:val="20"/>
                <w:color w:val="auto"/>
              </w:rPr>
            </w:pPr>
            <w:r>
              <w:rPr>
                <w:rFonts w:ascii="Arial" w:cs="Arial" w:eastAsia="Arial" w:hAnsi="Arial"/>
                <w:sz w:val="16"/>
                <w:szCs w:val="16"/>
                <w:b w:val="1"/>
                <w:bCs w:val="1"/>
                <w:color w:val="243782"/>
              </w:rPr>
              <w:t>94</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426</w:t>
            </w:r>
          </w:p>
        </w:tc>
        <w:tc>
          <w:tcPr>
            <w:tcW w:w="16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16</w:t>
            </w:r>
          </w:p>
        </w:tc>
        <w:tc>
          <w:tcPr>
            <w:tcW w:w="0" w:type="dxa"/>
            <w:vAlign w:val="bottom"/>
          </w:tcPr>
          <w:p>
            <w:pPr>
              <w:spacing w:after="0"/>
              <w:rPr>
                <w:sz w:val="1"/>
                <w:szCs w:val="1"/>
                <w:color w:val="auto"/>
              </w:rPr>
            </w:pPr>
          </w:p>
        </w:tc>
      </w:tr>
      <w:tr>
        <w:trPr>
          <w:trHeight w:val="254"/>
        </w:trPr>
        <w:tc>
          <w:tcPr>
            <w:tcW w:w="436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1420" w:type="dxa"/>
            <w:vAlign w:val="bottom"/>
            <w:tcBorders>
              <w:bottom w:val="single" w:sz="8" w:color="8E939F"/>
            </w:tcBorders>
            <w:shd w:val="clear" w:color="auto" w:fill="F3F3F9"/>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shd w:val="clear" w:color="auto" w:fill="F3F3F9"/>
          </w:tcPr>
          <w:p>
            <w:pPr>
              <w:spacing w:after="0"/>
              <w:rPr>
                <w:sz w:val="22"/>
                <w:szCs w:val="22"/>
                <w:color w:val="auto"/>
              </w:rPr>
            </w:pPr>
          </w:p>
        </w:tc>
        <w:tc>
          <w:tcPr>
            <w:tcW w:w="160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TOTAL CONSOLIDATED COMPREHENSIVE</w:t>
            </w:r>
          </w:p>
        </w:tc>
        <w:tc>
          <w:tcPr>
            <w:tcW w:w="780" w:type="dxa"/>
            <w:vAlign w:val="bottom"/>
            <w:shd w:val="clear" w:color="auto" w:fill="E6E7F4"/>
          </w:tcPr>
          <w:p>
            <w:pPr>
              <w:spacing w:after="0"/>
              <w:rPr>
                <w:sz w:val="18"/>
                <w:szCs w:val="18"/>
                <w:color w:val="auto"/>
              </w:rPr>
            </w:pPr>
          </w:p>
        </w:tc>
        <w:tc>
          <w:tcPr>
            <w:tcW w:w="142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9</w:t>
            </w:r>
          </w:p>
        </w:tc>
        <w:tc>
          <w:tcPr>
            <w:tcW w:w="1640" w:type="dxa"/>
            <w:vAlign w:val="bottom"/>
            <w:vMerge w:val="restart"/>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(4,266)</w:t>
            </w:r>
          </w:p>
        </w:tc>
        <w:tc>
          <w:tcPr>
            <w:tcW w:w="144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2,689</w:t>
            </w:r>
          </w:p>
        </w:tc>
        <w:tc>
          <w:tcPr>
            <w:tcW w:w="1600" w:type="dxa"/>
            <w:vAlign w:val="bottom"/>
            <w:vMerge w:val="restart"/>
            <w:shd w:val="clear" w:color="auto" w:fill="E6E7F4"/>
          </w:tcPr>
          <w:p>
            <w:pPr>
              <w:jc w:val="right"/>
              <w:spacing w:after="0"/>
              <w:rPr>
                <w:sz w:val="20"/>
                <w:szCs w:val="20"/>
                <w:color w:val="auto"/>
              </w:rPr>
            </w:pPr>
            <w:r>
              <w:rPr>
                <w:rFonts w:ascii="Arial" w:cs="Arial" w:eastAsia="Arial" w:hAnsi="Arial"/>
                <w:sz w:val="16"/>
                <w:szCs w:val="16"/>
                <w:b w:val="1"/>
                <w:bCs w:val="1"/>
                <w:color w:val="243782"/>
              </w:rPr>
              <w:t>(11,006)</w:t>
            </w:r>
          </w:p>
        </w:tc>
        <w:tc>
          <w:tcPr>
            <w:tcW w:w="0" w:type="dxa"/>
            <w:vAlign w:val="bottom"/>
          </w:tcPr>
          <w:p>
            <w:pPr>
              <w:spacing w:after="0"/>
              <w:rPr>
                <w:sz w:val="1"/>
                <w:szCs w:val="1"/>
                <w:color w:val="auto"/>
              </w:rPr>
            </w:pPr>
          </w:p>
        </w:tc>
      </w:tr>
      <w:tr>
        <w:trPr>
          <w:trHeight w:val="128"/>
        </w:trPr>
        <w:tc>
          <w:tcPr>
            <w:tcW w:w="4360" w:type="dxa"/>
            <w:vAlign w:val="bottom"/>
            <w:vMerge w:val="restart"/>
            <w:shd w:val="clear" w:color="auto" w:fill="E6E7F4"/>
          </w:tcPr>
          <w:p>
            <w:pPr>
              <w:ind w:left="20"/>
              <w:spacing w:after="0"/>
              <w:rPr>
                <w:sz w:val="20"/>
                <w:szCs w:val="20"/>
                <w:color w:val="auto"/>
              </w:rPr>
            </w:pPr>
            <w:r>
              <w:rPr>
                <w:rFonts w:ascii="Arial" w:cs="Arial" w:eastAsia="Arial" w:hAnsi="Arial"/>
                <w:sz w:val="16"/>
                <w:szCs w:val="16"/>
                <w:b w:val="1"/>
                <w:bCs w:val="1"/>
                <w:color w:val="243782"/>
              </w:rPr>
              <w:t>INCOME/(LOSS) FOR THE PERIOD</w:t>
            </w:r>
          </w:p>
        </w:tc>
        <w:tc>
          <w:tcPr>
            <w:tcW w:w="780" w:type="dxa"/>
            <w:vAlign w:val="bottom"/>
            <w:shd w:val="clear" w:color="auto" w:fill="E6E7F4"/>
          </w:tcPr>
          <w:p>
            <w:pPr>
              <w:spacing w:after="0"/>
              <w:rPr>
                <w:sz w:val="11"/>
                <w:szCs w:val="11"/>
                <w:color w:val="auto"/>
              </w:rPr>
            </w:pPr>
          </w:p>
        </w:tc>
        <w:tc>
          <w:tcPr>
            <w:tcW w:w="1420" w:type="dxa"/>
            <w:vAlign w:val="bottom"/>
            <w:vMerge w:val="continue"/>
            <w:shd w:val="clear" w:color="auto" w:fill="E6E7F4"/>
          </w:tcPr>
          <w:p>
            <w:pPr>
              <w:spacing w:after="0"/>
              <w:rPr>
                <w:sz w:val="11"/>
                <w:szCs w:val="11"/>
                <w:color w:val="auto"/>
              </w:rPr>
            </w:pPr>
          </w:p>
        </w:tc>
        <w:tc>
          <w:tcPr>
            <w:tcW w:w="1640" w:type="dxa"/>
            <w:vAlign w:val="bottom"/>
            <w:vMerge w:val="continue"/>
            <w:shd w:val="clear" w:color="auto" w:fill="E6E7F4"/>
          </w:tcPr>
          <w:p>
            <w:pPr>
              <w:spacing w:after="0"/>
              <w:rPr>
                <w:sz w:val="11"/>
                <w:szCs w:val="11"/>
                <w:color w:val="auto"/>
              </w:rPr>
            </w:pPr>
          </w:p>
        </w:tc>
        <w:tc>
          <w:tcPr>
            <w:tcW w:w="1440" w:type="dxa"/>
            <w:vAlign w:val="bottom"/>
            <w:vMerge w:val="continue"/>
            <w:shd w:val="clear" w:color="auto" w:fill="E6E7F4"/>
          </w:tcPr>
          <w:p>
            <w:pPr>
              <w:spacing w:after="0"/>
              <w:rPr>
                <w:sz w:val="11"/>
                <w:szCs w:val="11"/>
                <w:color w:val="auto"/>
              </w:rPr>
            </w:pPr>
          </w:p>
        </w:tc>
        <w:tc>
          <w:tcPr>
            <w:tcW w:w="1600" w:type="dxa"/>
            <w:vAlign w:val="bottom"/>
            <w:vMerge w:val="continue"/>
            <w:shd w:val="clear" w:color="auto" w:fill="E6E7F4"/>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360" w:type="dxa"/>
            <w:vAlign w:val="bottom"/>
            <w:tcBorders>
              <w:bottom w:val="single" w:sz="8" w:color="E6E7F4"/>
            </w:tcBorders>
            <w:vMerge w:val="continue"/>
            <w:shd w:val="clear" w:color="auto" w:fill="E6E7F4"/>
          </w:tcPr>
          <w:p>
            <w:pPr>
              <w:spacing w:after="0"/>
              <w:rPr>
                <w:sz w:val="10"/>
                <w:szCs w:val="10"/>
                <w:color w:val="auto"/>
              </w:rPr>
            </w:pPr>
          </w:p>
        </w:tc>
        <w:tc>
          <w:tcPr>
            <w:tcW w:w="780" w:type="dxa"/>
            <w:vAlign w:val="bottom"/>
            <w:tcBorders>
              <w:bottom w:val="single" w:sz="8" w:color="E6E7F4"/>
            </w:tcBorders>
            <w:shd w:val="clear" w:color="auto" w:fill="E6E7F4"/>
          </w:tcPr>
          <w:p>
            <w:pPr>
              <w:spacing w:after="0"/>
              <w:rPr>
                <w:sz w:val="10"/>
                <w:szCs w:val="10"/>
                <w:color w:val="auto"/>
              </w:rPr>
            </w:pPr>
          </w:p>
        </w:tc>
        <w:tc>
          <w:tcPr>
            <w:tcW w:w="1420" w:type="dxa"/>
            <w:vAlign w:val="bottom"/>
            <w:tcBorders>
              <w:bottom w:val="single" w:sz="8" w:color="E6E7F4"/>
            </w:tcBorders>
            <w:shd w:val="clear" w:color="auto" w:fill="E6E7F4"/>
          </w:tcPr>
          <w:p>
            <w:pPr>
              <w:spacing w:after="0"/>
              <w:rPr>
                <w:sz w:val="10"/>
                <w:szCs w:val="10"/>
                <w:color w:val="auto"/>
              </w:rPr>
            </w:pPr>
          </w:p>
        </w:tc>
        <w:tc>
          <w:tcPr>
            <w:tcW w:w="1640" w:type="dxa"/>
            <w:vAlign w:val="bottom"/>
            <w:tcBorders>
              <w:bottom w:val="single" w:sz="8" w:color="E6E7F4"/>
            </w:tcBorders>
            <w:shd w:val="clear" w:color="auto" w:fill="E6E7F4"/>
          </w:tcPr>
          <w:p>
            <w:pPr>
              <w:spacing w:after="0"/>
              <w:rPr>
                <w:sz w:val="10"/>
                <w:szCs w:val="10"/>
                <w:color w:val="auto"/>
              </w:rPr>
            </w:pPr>
          </w:p>
        </w:tc>
        <w:tc>
          <w:tcPr>
            <w:tcW w:w="1440" w:type="dxa"/>
            <w:vAlign w:val="bottom"/>
            <w:tcBorders>
              <w:bottom w:val="single" w:sz="8" w:color="E6E7F4"/>
            </w:tcBorders>
            <w:shd w:val="clear" w:color="auto" w:fill="E6E7F4"/>
          </w:tcPr>
          <w:p>
            <w:pPr>
              <w:spacing w:after="0"/>
              <w:rPr>
                <w:sz w:val="10"/>
                <w:szCs w:val="10"/>
                <w:color w:val="auto"/>
              </w:rPr>
            </w:pPr>
          </w:p>
        </w:tc>
        <w:tc>
          <w:tcPr>
            <w:tcW w:w="1600" w:type="dxa"/>
            <w:vAlign w:val="bottom"/>
            <w:tcBorders>
              <w:bottom w:val="single" w:sz="8" w:color="E6E7F4"/>
            </w:tcBorders>
            <w:shd w:val="clear" w:color="auto" w:fill="E6E7F4"/>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8E939F"/>
              <w:bottom w:val="single" w:sz="8" w:color="8E939F"/>
            </w:tcBorders>
          </w:tcPr>
          <w:p>
            <w:pPr>
              <w:ind w:left="120"/>
              <w:spacing w:after="0"/>
              <w:rPr>
                <w:sz w:val="20"/>
                <w:szCs w:val="20"/>
                <w:color w:val="auto"/>
              </w:rPr>
            </w:pPr>
            <w:r>
              <w:rPr>
                <w:rFonts w:ascii="Arial" w:cs="Arial" w:eastAsia="Arial" w:hAnsi="Arial"/>
                <w:sz w:val="16"/>
                <w:szCs w:val="16"/>
                <w:color w:val="auto"/>
              </w:rPr>
              <w:t>of which, attributable to equity holders of the parent</w:t>
            </w:r>
          </w:p>
        </w:tc>
        <w:tc>
          <w:tcPr>
            <w:tcW w:w="780" w:type="dxa"/>
            <w:vAlign w:val="bottom"/>
            <w:tcBorders>
              <w:top w:val="single" w:sz="8" w:color="8E939F"/>
              <w:bottom w:val="single" w:sz="8" w:color="8E939F"/>
            </w:tcBorders>
          </w:tcPr>
          <w:p>
            <w:pPr>
              <w:spacing w:after="0"/>
              <w:rPr>
                <w:sz w:val="21"/>
                <w:szCs w:val="21"/>
                <w:color w:val="auto"/>
              </w:rPr>
            </w:pPr>
          </w:p>
        </w:tc>
        <w:tc>
          <w:tcPr>
            <w:tcW w:w="142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w:t>
            </w:r>
          </w:p>
        </w:tc>
        <w:tc>
          <w:tcPr>
            <w:tcW w:w="1640" w:type="dxa"/>
            <w:vAlign w:val="bottom"/>
            <w:tcBorders>
              <w:top w:val="single" w:sz="8" w:color="8E939F"/>
              <w:bottom w:val="single" w:sz="8" w:color="8E939F"/>
            </w:tcBorders>
          </w:tcPr>
          <w:p>
            <w:pPr>
              <w:jc w:val="right"/>
              <w:ind w:right="39"/>
              <w:spacing w:after="0"/>
              <w:rPr>
                <w:sz w:val="20"/>
                <w:szCs w:val="20"/>
                <w:color w:val="auto"/>
              </w:rPr>
            </w:pPr>
            <w:r>
              <w:rPr>
                <w:rFonts w:ascii="Arial" w:cs="Arial" w:eastAsia="Arial" w:hAnsi="Arial"/>
                <w:sz w:val="16"/>
                <w:szCs w:val="16"/>
                <w:color w:val="auto"/>
              </w:rPr>
              <w:t>(4,275)</w:t>
            </w:r>
          </w:p>
        </w:tc>
        <w:tc>
          <w:tcPr>
            <w:tcW w:w="144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2,652</w:t>
            </w:r>
          </w:p>
        </w:tc>
        <w:tc>
          <w:tcPr>
            <w:tcW w:w="160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6"/>
                <w:szCs w:val="16"/>
                <w:color w:val="auto"/>
              </w:rPr>
              <w:t>(10,988)</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of which, attributable to non-controlling interests</w:t>
            </w:r>
          </w:p>
        </w:tc>
        <w:tc>
          <w:tcPr>
            <w:tcW w:w="780" w:type="dxa"/>
            <w:vAlign w:val="bottom"/>
            <w:tcBorders>
              <w:bottom w:val="single" w:sz="8" w:color="8E939F"/>
            </w:tcBorders>
          </w:tcPr>
          <w:p>
            <w:pPr>
              <w:spacing w:after="0"/>
              <w:rPr>
                <w:sz w:val="21"/>
                <w:szCs w:val="21"/>
                <w:color w:val="auto"/>
              </w:rPr>
            </w:pP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9</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37</w:t>
            </w:r>
          </w:p>
        </w:tc>
        <w:tc>
          <w:tcPr>
            <w:tcW w:w="16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Interim Condensed Consolidated Financial Statements.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STELLANTIS N.V. AND SUBSIDIARIES</w:t>
      </w:r>
    </w:p>
    <w:p>
      <w:pPr>
        <w:spacing w:after="0" w:line="46" w:lineRule="exact"/>
        <w:rPr>
          <w:sz w:val="20"/>
          <w:szCs w:val="20"/>
          <w:color w:val="auto"/>
        </w:rPr>
      </w:pPr>
    </w:p>
    <w:p>
      <w:pPr>
        <w:ind w:right="5040"/>
        <w:spacing w:after="0" w:line="326" w:lineRule="auto"/>
        <w:rPr>
          <w:sz w:val="20"/>
          <w:szCs w:val="20"/>
          <w:color w:val="auto"/>
        </w:rPr>
      </w:pPr>
      <w:r>
        <w:rPr>
          <w:rFonts w:ascii="Arial" w:cs="Arial" w:eastAsia="Arial" w:hAnsi="Arial"/>
          <w:sz w:val="16"/>
          <w:szCs w:val="16"/>
          <w:b w:val="1"/>
          <w:bCs w:val="1"/>
          <w:color w:val="143A84"/>
        </w:rPr>
        <w:t>INTERIM CONDENSED CONSOLIDATED STATEMENT OF FINANCIAL POSITION (Unaudited)</w:t>
      </w:r>
    </w:p>
    <w:tbl>
      <w:tblPr>
        <w:tblLayout w:type="fixed"/>
        <w:tblInd w:w="0" w:type="dxa"/>
        <w:tblCellMar>
          <w:top w:w="0" w:type="dxa"/>
          <w:left w:w="0" w:type="dxa"/>
          <w:bottom w:w="0" w:type="dxa"/>
          <w:right w:w="0" w:type="dxa"/>
        </w:tblCellMar>
      </w:tblPr>
      <w:tr>
        <w:trPr>
          <w:trHeight w:val="242"/>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780" w:type="dxa"/>
            <w:vAlign w:val="bottom"/>
          </w:tcPr>
          <w:p>
            <w:pPr>
              <w:spacing w:after="0"/>
              <w:rPr>
                <w:sz w:val="21"/>
                <w:szCs w:val="21"/>
                <w:color w:val="auto"/>
              </w:rPr>
            </w:pPr>
          </w:p>
        </w:tc>
        <w:tc>
          <w:tcPr>
            <w:tcW w:w="1540" w:type="dxa"/>
            <w:vAlign w:val="bottom"/>
            <w:shd w:val="clear" w:color="auto" w:fill="F3F3F9"/>
          </w:tcPr>
          <w:p>
            <w:pPr>
              <w:jc w:val="right"/>
              <w:ind w:right="19"/>
              <w:spacing w:after="0"/>
              <w:rPr>
                <w:sz w:val="20"/>
                <w:szCs w:val="20"/>
                <w:color w:val="auto"/>
              </w:rPr>
            </w:pPr>
            <w:r>
              <w:rPr>
                <w:rFonts w:ascii="Arial" w:cs="Arial" w:eastAsia="Arial" w:hAnsi="Arial"/>
                <w:sz w:val="16"/>
                <w:szCs w:val="16"/>
                <w:b w:val="1"/>
                <w:bCs w:val="1"/>
                <w:color w:val="243782"/>
              </w:rPr>
              <w:t>At September 30,</w:t>
            </w:r>
          </w:p>
        </w:tc>
        <w:tc>
          <w:tcPr>
            <w:tcW w:w="1680" w:type="dxa"/>
            <w:vAlign w:val="bottom"/>
          </w:tcPr>
          <w:p>
            <w:pPr>
              <w:jc w:val="right"/>
              <w:ind w:right="59"/>
              <w:spacing w:after="0"/>
              <w:rPr>
                <w:sz w:val="20"/>
                <w:szCs w:val="20"/>
                <w:color w:val="auto"/>
              </w:rPr>
            </w:pPr>
            <w:r>
              <w:rPr>
                <w:rFonts w:ascii="Arial" w:cs="Arial" w:eastAsia="Arial" w:hAnsi="Arial"/>
                <w:sz w:val="16"/>
                <w:szCs w:val="16"/>
                <w:b w:val="1"/>
                <w:bCs w:val="1"/>
                <w:color w:val="243782"/>
              </w:rPr>
              <w:t>At December 31,</w:t>
            </w:r>
          </w:p>
        </w:tc>
      </w:tr>
      <w:tr>
        <w:trPr>
          <w:trHeight w:val="226"/>
        </w:trPr>
        <w:tc>
          <w:tcPr>
            <w:tcW w:w="7240" w:type="dxa"/>
            <w:vAlign w:val="bottom"/>
            <w:tcBorders>
              <w:bottom w:val="single" w:sz="8" w:color="8E939F"/>
            </w:tcBorders>
          </w:tcPr>
          <w:p>
            <w:pPr>
              <w:spacing w:after="0"/>
              <w:rPr>
                <w:sz w:val="19"/>
                <w:szCs w:val="19"/>
                <w:color w:val="auto"/>
              </w:rPr>
            </w:pPr>
          </w:p>
        </w:tc>
        <w:tc>
          <w:tcPr>
            <w:tcW w:w="780" w:type="dxa"/>
            <w:vAlign w:val="bottom"/>
            <w:tcBorders>
              <w:bottom w:val="single" w:sz="8" w:color="8E939F"/>
            </w:tcBorders>
          </w:tcPr>
          <w:p>
            <w:pPr>
              <w:ind w:left="160"/>
              <w:spacing w:after="0"/>
              <w:rPr>
                <w:sz w:val="20"/>
                <w:szCs w:val="20"/>
                <w:color w:val="auto"/>
              </w:rPr>
            </w:pPr>
            <w:r>
              <w:rPr>
                <w:rFonts w:ascii="Arial" w:cs="Arial" w:eastAsia="Arial" w:hAnsi="Arial"/>
                <w:sz w:val="16"/>
                <w:szCs w:val="16"/>
                <w:b w:val="1"/>
                <w:bCs w:val="1"/>
                <w:color w:val="243782"/>
              </w:rPr>
              <w:t>Note</w:t>
            </w:r>
          </w:p>
        </w:tc>
        <w:tc>
          <w:tcPr>
            <w:tcW w:w="1540" w:type="dxa"/>
            <w:vAlign w:val="bottom"/>
            <w:tcBorders>
              <w:bottom w:val="single" w:sz="8" w:color="8E939F"/>
            </w:tcBorders>
            <w:shd w:val="clear" w:color="auto" w:fill="F3F3F9"/>
          </w:tcPr>
          <w:p>
            <w:pPr>
              <w:jc w:val="right"/>
              <w:ind w:right="519"/>
              <w:spacing w:after="0"/>
              <w:rPr>
                <w:sz w:val="20"/>
                <w:szCs w:val="20"/>
                <w:color w:val="auto"/>
              </w:rPr>
            </w:pPr>
            <w:r>
              <w:rPr>
                <w:rFonts w:ascii="Arial" w:cs="Arial" w:eastAsia="Arial" w:hAnsi="Arial"/>
                <w:sz w:val="16"/>
                <w:szCs w:val="16"/>
                <w:b w:val="1"/>
                <w:bCs w:val="1"/>
                <w:color w:val="243782"/>
              </w:rPr>
              <w:t>2026</w:t>
            </w:r>
          </w:p>
        </w:tc>
        <w:tc>
          <w:tcPr>
            <w:tcW w:w="1680" w:type="dxa"/>
            <w:vAlign w:val="bottom"/>
            <w:tcBorders>
              <w:bottom w:val="single" w:sz="8" w:color="8E939F"/>
            </w:tcBorders>
          </w:tcPr>
          <w:p>
            <w:pPr>
              <w:jc w:val="right"/>
              <w:ind w:right="519"/>
              <w:spacing w:after="0"/>
              <w:rPr>
                <w:sz w:val="20"/>
                <w:szCs w:val="20"/>
                <w:color w:val="auto"/>
              </w:rPr>
            </w:pPr>
            <w:r>
              <w:rPr>
                <w:rFonts w:ascii="Arial" w:cs="Arial" w:eastAsia="Arial" w:hAnsi="Arial"/>
                <w:sz w:val="16"/>
                <w:szCs w:val="16"/>
                <w:b w:val="1"/>
                <w:bCs w:val="1"/>
                <w:color w:val="243782"/>
              </w:rPr>
              <w:t>2025</w:t>
            </w:r>
          </w:p>
        </w:tc>
      </w:tr>
      <w:tr>
        <w:trPr>
          <w:trHeight w:val="250"/>
        </w:trPr>
        <w:tc>
          <w:tcPr>
            <w:tcW w:w="724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Assets</w:t>
            </w:r>
          </w:p>
        </w:tc>
        <w:tc>
          <w:tcPr>
            <w:tcW w:w="780" w:type="dxa"/>
            <w:vAlign w:val="bottom"/>
            <w:tcBorders>
              <w:bottom w:val="single" w:sz="8" w:color="8E939F"/>
            </w:tcBorders>
            <w:shd w:val="clear" w:color="auto" w:fill="F3F3F9"/>
          </w:tcPr>
          <w:p>
            <w:pPr>
              <w:spacing w:after="0"/>
              <w:rPr>
                <w:sz w:val="21"/>
                <w:szCs w:val="21"/>
                <w:color w:val="auto"/>
              </w:rPr>
            </w:pPr>
          </w:p>
        </w:tc>
        <w:tc>
          <w:tcPr>
            <w:tcW w:w="1540" w:type="dxa"/>
            <w:vAlign w:val="bottom"/>
            <w:tcBorders>
              <w:bottom w:val="single" w:sz="8" w:color="8E939F"/>
            </w:tcBorders>
            <w:shd w:val="clear" w:color="auto" w:fill="F3F3F9"/>
          </w:tcPr>
          <w:p>
            <w:pPr>
              <w:spacing w:after="0"/>
              <w:rPr>
                <w:sz w:val="21"/>
                <w:szCs w:val="21"/>
                <w:color w:val="auto"/>
              </w:rPr>
            </w:pPr>
          </w:p>
        </w:tc>
        <w:tc>
          <w:tcPr>
            <w:tcW w:w="1680" w:type="dxa"/>
            <w:vAlign w:val="bottom"/>
            <w:tcBorders>
              <w:bottom w:val="single" w:sz="8" w:color="8E939F"/>
            </w:tcBorders>
            <w:shd w:val="clear" w:color="auto" w:fill="F3F3F9"/>
          </w:tcPr>
          <w:p>
            <w:pPr>
              <w:spacing w:after="0"/>
              <w:rPr>
                <w:sz w:val="21"/>
                <w:szCs w:val="21"/>
                <w:color w:val="auto"/>
              </w:rPr>
            </w:pPr>
          </w:p>
        </w:tc>
      </w:tr>
      <w:tr>
        <w:trPr>
          <w:trHeight w:val="247"/>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Goodwill and intangible assets with indefinite useful lives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6</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30,015</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29,176</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intangible assets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16,042</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15,709</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Property, plant and equipment</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47,110</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42,958</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Equity method investments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7</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7,507</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7,276</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Non-current financial assets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9</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4,451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1,794</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non-current assets and prepaid expenses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8</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15,425</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11,125</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Deferred tax assets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6,596</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6,383</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Non-current tax receivables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319</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194</w:t>
            </w:r>
          </w:p>
        </w:tc>
      </w:tr>
      <w:tr>
        <w:trPr>
          <w:trHeight w:val="253"/>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Non-current assets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127,465</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114,615</w:t>
            </w:r>
          </w:p>
        </w:tc>
      </w:tr>
      <w:tr>
        <w:trPr>
          <w:trHeight w:val="247"/>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Inventories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25,289</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22,153</w:t>
            </w:r>
          </w:p>
        </w:tc>
      </w:tr>
      <w:tr>
        <w:trPr>
          <w:trHeight w:val="256"/>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Assets sold with a buy-back commitment</w:t>
            </w:r>
          </w:p>
        </w:tc>
        <w:tc>
          <w:tcPr>
            <w:tcW w:w="780" w:type="dxa"/>
            <w:vAlign w:val="bottom"/>
            <w:tcBorders>
              <w:bottom w:val="single" w:sz="8" w:color="8E939F"/>
            </w:tcBorders>
          </w:tcPr>
          <w:p>
            <w:pPr>
              <w:spacing w:after="0"/>
              <w:rPr>
                <w:sz w:val="22"/>
                <w:szCs w:val="22"/>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4,697</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3,616</w:t>
            </w:r>
          </w:p>
        </w:tc>
      </w:tr>
      <w:tr>
        <w:trPr>
          <w:trHeight w:val="244"/>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Trade receivables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6,063</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5,662</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tax receivables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1,296</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1,199</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current assets and prepaid expenses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8</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18,479</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15,770</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financial assets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9</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1,749</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1,987</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Cash and cash equivalents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29,046</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30,146</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Assets held for sale</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323</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w:t>
            </w:r>
          </w:p>
        </w:tc>
      </w:tr>
      <w:tr>
        <w:trPr>
          <w:trHeight w:val="253"/>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Current assets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86,942</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80,538</w:t>
            </w:r>
          </w:p>
        </w:tc>
      </w:tr>
      <w:tr>
        <w:trPr>
          <w:trHeight w:val="250"/>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Assets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214,407</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195,153</w:t>
            </w:r>
          </w:p>
        </w:tc>
      </w:tr>
      <w:tr>
        <w:trPr>
          <w:trHeight w:val="250"/>
        </w:trPr>
        <w:tc>
          <w:tcPr>
            <w:tcW w:w="724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Equity and liabilities</w:t>
            </w:r>
          </w:p>
        </w:tc>
        <w:tc>
          <w:tcPr>
            <w:tcW w:w="780" w:type="dxa"/>
            <w:vAlign w:val="bottom"/>
            <w:tcBorders>
              <w:bottom w:val="single" w:sz="8" w:color="8E939F"/>
            </w:tcBorders>
            <w:shd w:val="clear" w:color="auto" w:fill="F3F3F9"/>
          </w:tcPr>
          <w:p>
            <w:pPr>
              <w:spacing w:after="0"/>
              <w:rPr>
                <w:sz w:val="21"/>
                <w:szCs w:val="21"/>
                <w:color w:val="auto"/>
              </w:rPr>
            </w:pPr>
          </w:p>
        </w:tc>
        <w:tc>
          <w:tcPr>
            <w:tcW w:w="1540" w:type="dxa"/>
            <w:vAlign w:val="bottom"/>
            <w:tcBorders>
              <w:bottom w:val="single" w:sz="8" w:color="8E939F"/>
            </w:tcBorders>
            <w:shd w:val="clear" w:color="auto" w:fill="F3F3F9"/>
          </w:tcPr>
          <w:p>
            <w:pPr>
              <w:spacing w:after="0"/>
              <w:rPr>
                <w:sz w:val="21"/>
                <w:szCs w:val="21"/>
                <w:color w:val="auto"/>
              </w:rPr>
            </w:pPr>
          </w:p>
        </w:tc>
        <w:tc>
          <w:tcPr>
            <w:tcW w:w="1680" w:type="dxa"/>
            <w:vAlign w:val="bottom"/>
            <w:tcBorders>
              <w:bottom w:val="single" w:sz="8" w:color="8E939F"/>
            </w:tcBorders>
            <w:shd w:val="clear" w:color="auto" w:fill="F3F3F9"/>
          </w:tcPr>
          <w:p>
            <w:pPr>
              <w:spacing w:after="0"/>
              <w:rPr>
                <w:sz w:val="21"/>
                <w:szCs w:val="21"/>
                <w:color w:val="auto"/>
              </w:rPr>
            </w:pPr>
          </w:p>
        </w:tc>
      </w:tr>
      <w:tr>
        <w:trPr>
          <w:trHeight w:val="250"/>
        </w:trPr>
        <w:tc>
          <w:tcPr>
            <w:tcW w:w="724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Equity</w:t>
            </w:r>
          </w:p>
        </w:tc>
        <w:tc>
          <w:tcPr>
            <w:tcW w:w="780" w:type="dxa"/>
            <w:vAlign w:val="bottom"/>
            <w:tcBorders>
              <w:bottom w:val="single" w:sz="8" w:color="8E939F"/>
            </w:tcBorders>
            <w:shd w:val="clear" w:color="auto" w:fill="F3F3F9"/>
          </w:tcPr>
          <w:p>
            <w:pPr>
              <w:jc w:val="center"/>
              <w:ind w:right="39"/>
              <w:spacing w:after="0"/>
              <w:rPr>
                <w:sz w:val="20"/>
                <w:szCs w:val="20"/>
                <w:color w:val="auto"/>
              </w:rPr>
            </w:pPr>
            <w:r>
              <w:rPr>
                <w:rFonts w:ascii="Arial" w:cs="Arial" w:eastAsia="Arial" w:hAnsi="Arial"/>
                <w:sz w:val="16"/>
                <w:szCs w:val="16"/>
                <w:color w:val="auto"/>
              </w:rPr>
              <w:t>19</w:t>
            </w:r>
          </w:p>
        </w:tc>
        <w:tc>
          <w:tcPr>
            <w:tcW w:w="1540" w:type="dxa"/>
            <w:vAlign w:val="bottom"/>
            <w:tcBorders>
              <w:bottom w:val="single" w:sz="8" w:color="8E939F"/>
            </w:tcBorders>
            <w:shd w:val="clear" w:color="auto" w:fill="F3F3F9"/>
          </w:tcPr>
          <w:p>
            <w:pPr>
              <w:spacing w:after="0"/>
              <w:rPr>
                <w:sz w:val="21"/>
                <w:szCs w:val="21"/>
                <w:color w:val="auto"/>
              </w:rPr>
            </w:pPr>
          </w:p>
        </w:tc>
        <w:tc>
          <w:tcPr>
            <w:tcW w:w="1680" w:type="dxa"/>
            <w:vAlign w:val="bottom"/>
            <w:tcBorders>
              <w:bottom w:val="single" w:sz="8" w:color="8E939F"/>
            </w:tcBorders>
            <w:shd w:val="clear" w:color="auto" w:fill="F3F3F9"/>
          </w:tcPr>
          <w:p>
            <w:pPr>
              <w:spacing w:after="0"/>
              <w:rPr>
                <w:sz w:val="21"/>
                <w:szCs w:val="21"/>
                <w:color w:val="auto"/>
              </w:rPr>
            </w:pPr>
          </w:p>
        </w:tc>
      </w:tr>
      <w:tr>
        <w:trPr>
          <w:trHeight w:val="247"/>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Equity attributable to owners of the parent</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61,291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53,551</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Non-controlling interests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472</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450</w:t>
            </w:r>
          </w:p>
        </w:tc>
      </w:tr>
      <w:tr>
        <w:trPr>
          <w:trHeight w:val="253"/>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Equity</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61,763</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54,001</w:t>
            </w:r>
          </w:p>
        </w:tc>
      </w:tr>
      <w:tr>
        <w:trPr>
          <w:trHeight w:val="250"/>
        </w:trPr>
        <w:tc>
          <w:tcPr>
            <w:tcW w:w="724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Liabilities</w:t>
            </w:r>
          </w:p>
        </w:tc>
        <w:tc>
          <w:tcPr>
            <w:tcW w:w="780" w:type="dxa"/>
            <w:vAlign w:val="bottom"/>
            <w:tcBorders>
              <w:bottom w:val="single" w:sz="8" w:color="8E939F"/>
            </w:tcBorders>
            <w:shd w:val="clear" w:color="auto" w:fill="F3F3F9"/>
          </w:tcPr>
          <w:p>
            <w:pPr>
              <w:spacing w:after="0"/>
              <w:rPr>
                <w:sz w:val="21"/>
                <w:szCs w:val="21"/>
                <w:color w:val="auto"/>
              </w:rPr>
            </w:pPr>
          </w:p>
        </w:tc>
        <w:tc>
          <w:tcPr>
            <w:tcW w:w="1540" w:type="dxa"/>
            <w:vAlign w:val="bottom"/>
            <w:tcBorders>
              <w:bottom w:val="single" w:sz="8" w:color="8E939F"/>
            </w:tcBorders>
            <w:shd w:val="clear" w:color="auto" w:fill="F3F3F9"/>
          </w:tcPr>
          <w:p>
            <w:pPr>
              <w:spacing w:after="0"/>
              <w:rPr>
                <w:sz w:val="21"/>
                <w:szCs w:val="21"/>
                <w:color w:val="auto"/>
              </w:rPr>
            </w:pPr>
          </w:p>
        </w:tc>
        <w:tc>
          <w:tcPr>
            <w:tcW w:w="1680" w:type="dxa"/>
            <w:vAlign w:val="bottom"/>
            <w:tcBorders>
              <w:bottom w:val="single" w:sz="8" w:color="8E939F"/>
            </w:tcBorders>
            <w:shd w:val="clear" w:color="auto" w:fill="F3F3F9"/>
          </w:tcPr>
          <w:p>
            <w:pPr>
              <w:spacing w:after="0"/>
              <w:rPr>
                <w:sz w:val="21"/>
                <w:szCs w:val="21"/>
                <w:color w:val="auto"/>
              </w:rPr>
            </w:pPr>
          </w:p>
        </w:tc>
      </w:tr>
      <w:tr>
        <w:trPr>
          <w:trHeight w:val="247"/>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Long-term debt</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14</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39,778</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31,826</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non-current financial liabilities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15</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5,987</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5,475</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Non-current provisions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13</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15,498</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18,596</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Employee benefits liabilities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4,441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4,795</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Non-current tax liabilities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226</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420</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Deferred tax liabilities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1,260</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1,294</w:t>
            </w:r>
          </w:p>
        </w:tc>
      </w:tr>
      <w:tr>
        <w:trPr>
          <w:trHeight w:val="253"/>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Non-current liabilities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67,221</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62,413</w:t>
            </w:r>
          </w:p>
        </w:tc>
      </w:tr>
      <w:tr>
        <w:trPr>
          <w:trHeight w:val="247"/>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Short-term debt and current portion of long-term debt</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14</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16,221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14,121</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provisions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13</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15,291</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14,317</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Employee benefits liabilities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562</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517</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Trade payables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30,973</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29,999</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tax liabilities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894</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491</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liabilities</w:t>
            </w:r>
          </w:p>
        </w:tc>
        <w:tc>
          <w:tcPr>
            <w:tcW w:w="780" w:type="dxa"/>
            <w:vAlign w:val="bottom"/>
            <w:tcBorders>
              <w:bottom w:val="single" w:sz="8" w:color="8E939F"/>
            </w:tcBorders>
          </w:tcPr>
          <w:p>
            <w:pPr>
              <w:jc w:val="center"/>
              <w:ind w:right="39"/>
              <w:spacing w:after="0"/>
              <w:rPr>
                <w:sz w:val="20"/>
                <w:szCs w:val="20"/>
                <w:color w:val="auto"/>
              </w:rPr>
            </w:pPr>
            <w:r>
              <w:rPr>
                <w:rFonts w:ascii="Arial" w:cs="Arial" w:eastAsia="Arial" w:hAnsi="Arial"/>
                <w:sz w:val="16"/>
                <w:szCs w:val="16"/>
                <w:color w:val="auto"/>
              </w:rPr>
              <w:t>15</w:t>
            </w: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21,275</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19,265</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current financial liabilities</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w:t>
            </w:r>
          </w:p>
        </w:tc>
      </w:tr>
      <w:tr>
        <w:trPr>
          <w:trHeight w:val="250"/>
        </w:trPr>
        <w:tc>
          <w:tcPr>
            <w:tcW w:w="72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Liabilities held for sale</w:t>
            </w:r>
          </w:p>
        </w:tc>
        <w:tc>
          <w:tcPr>
            <w:tcW w:w="780" w:type="dxa"/>
            <w:vAlign w:val="bottom"/>
            <w:tcBorders>
              <w:bottom w:val="single" w:sz="8" w:color="8E939F"/>
            </w:tcBorders>
          </w:tcPr>
          <w:p>
            <w:pPr>
              <w:spacing w:after="0"/>
              <w:rPr>
                <w:sz w:val="21"/>
                <w:szCs w:val="21"/>
                <w:color w:val="auto"/>
              </w:rPr>
            </w:pPr>
          </w:p>
        </w:tc>
        <w:tc>
          <w:tcPr>
            <w:tcW w:w="15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178</w:t>
            </w:r>
          </w:p>
        </w:tc>
        <w:tc>
          <w:tcPr>
            <w:tcW w:w="16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Current liabilities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85,423</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78,739</w:t>
            </w:r>
          </w:p>
        </w:tc>
      </w:tr>
      <w:tr>
        <w:trPr>
          <w:trHeight w:val="250"/>
        </w:trPr>
        <w:tc>
          <w:tcPr>
            <w:tcW w:w="72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Equity and liabilities</w:t>
            </w:r>
          </w:p>
        </w:tc>
        <w:tc>
          <w:tcPr>
            <w:tcW w:w="780" w:type="dxa"/>
            <w:vAlign w:val="bottom"/>
            <w:tcBorders>
              <w:bottom w:val="single" w:sz="8" w:color="8E939F"/>
            </w:tcBorders>
            <w:shd w:val="clear" w:color="auto" w:fill="E6E7F4"/>
          </w:tcPr>
          <w:p>
            <w:pPr>
              <w:spacing w:after="0"/>
              <w:rPr>
                <w:sz w:val="21"/>
                <w:szCs w:val="21"/>
                <w:color w:val="auto"/>
              </w:rPr>
            </w:pPr>
          </w:p>
        </w:tc>
        <w:tc>
          <w:tcPr>
            <w:tcW w:w="15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214,407</w:t>
            </w:r>
          </w:p>
        </w:tc>
        <w:tc>
          <w:tcPr>
            <w:tcW w:w="16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195,153</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Interim Condensed Consolidated Financial Statements.</w:t>
      </w:r>
    </w:p>
    <w:p>
      <w:pPr>
        <w:sectPr>
          <w:pgSz w:w="11900" w:h="16838" w:orient="portrait"/>
          <w:cols w:equalWidth="0" w:num="1">
            <w:col w:w="11240"/>
          </w:cols>
          <w:pgMar w:left="320" w:top="1440" w:right="339"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0" w:gutter="0" w:footer="0" w:header="0"/>
          <w:type w:val="continuous"/>
        </w:sectPr>
      </w:pPr>
    </w:p>
    <w:bookmarkStart w:id="59" w:name="page60"/>
    <w:bookmarkEnd w:id="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STELLANTIS N.V.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INTERIM CONDENSED CONSOLIDATED STATEMENT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(Unaudited)</w:t>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243782"/>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100" w:type="dxa"/>
            <w:vAlign w:val="bottom"/>
          </w:tcPr>
          <w:p>
            <w:pPr>
              <w:spacing w:after="0"/>
              <w:rPr>
                <w:sz w:val="19"/>
                <w:szCs w:val="19"/>
                <w:color w:val="auto"/>
              </w:rPr>
            </w:pPr>
          </w:p>
        </w:tc>
        <w:tc>
          <w:tcPr>
            <w:tcW w:w="1560" w:type="dxa"/>
            <w:vAlign w:val="bottom"/>
            <w:tcBorders>
              <w:top w:val="single" w:sz="8" w:color="8E939F"/>
            </w:tcBorders>
            <w:shd w:val="clear" w:color="auto" w:fill="F3F3F9"/>
          </w:tcPr>
          <w:p>
            <w:pPr>
              <w:spacing w:after="0"/>
              <w:rPr>
                <w:sz w:val="19"/>
                <w:szCs w:val="19"/>
                <w:color w:val="auto"/>
              </w:rPr>
            </w:pPr>
          </w:p>
        </w:tc>
        <w:tc>
          <w:tcPr>
            <w:tcW w:w="1660" w:type="dxa"/>
            <w:vAlign w:val="bottom"/>
            <w:tcBorders>
              <w:top w:val="single" w:sz="8" w:color="8E939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20" w:type="dxa"/>
            <w:vAlign w:val="bottom"/>
            <w:tcBorders>
              <w:bottom w:val="single" w:sz="8" w:color="8E939F"/>
            </w:tcBorders>
          </w:tcPr>
          <w:p>
            <w:pPr>
              <w:spacing w:after="0"/>
              <w:rPr>
                <w:sz w:val="20"/>
                <w:szCs w:val="20"/>
                <w:color w:val="auto"/>
              </w:rPr>
            </w:pPr>
          </w:p>
        </w:tc>
        <w:tc>
          <w:tcPr>
            <w:tcW w:w="1100" w:type="dxa"/>
            <w:vAlign w:val="bottom"/>
            <w:tcBorders>
              <w:bottom w:val="single" w:sz="8" w:color="8E939F"/>
            </w:tcBorders>
          </w:tcPr>
          <w:p>
            <w:pPr>
              <w:jc w:val="center"/>
              <w:ind w:left="179"/>
              <w:spacing w:after="0"/>
              <w:rPr>
                <w:sz w:val="20"/>
                <w:szCs w:val="20"/>
                <w:color w:val="auto"/>
              </w:rPr>
            </w:pPr>
            <w:r>
              <w:rPr>
                <w:rFonts w:ascii="Arial" w:cs="Arial" w:eastAsia="Arial" w:hAnsi="Arial"/>
                <w:sz w:val="16"/>
                <w:szCs w:val="16"/>
                <w:b w:val="1"/>
                <w:bCs w:val="1"/>
                <w:color w:val="243782"/>
              </w:rPr>
              <w:t>Note</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2026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Profit/(loss) before taxes</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506</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(8,565)</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Adjustments for non-cash items and other:</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spacing w:after="0"/>
              <w:rPr>
                <w:sz w:val="21"/>
                <w:szCs w:val="21"/>
                <w:color w:val="auto"/>
              </w:rPr>
            </w:pPr>
          </w:p>
        </w:tc>
        <w:tc>
          <w:tcPr>
            <w:tcW w:w="166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6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4,736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5,301</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60"/>
              <w:spacing w:after="0"/>
              <w:rPr>
                <w:sz w:val="20"/>
                <w:szCs w:val="20"/>
                <w:color w:val="auto"/>
              </w:rPr>
            </w:pPr>
            <w:r>
              <w:rPr>
                <w:rFonts w:ascii="Arial" w:cs="Arial" w:eastAsia="Arial" w:hAnsi="Arial"/>
                <w:sz w:val="16"/>
                <w:szCs w:val="16"/>
                <w:color w:val="auto"/>
              </w:rPr>
              <w:t>other non-cash items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1,071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20"/>
              <w:spacing w:after="0"/>
              <w:rPr>
                <w:sz w:val="20"/>
                <w:szCs w:val="20"/>
                <w:color w:val="auto"/>
              </w:rPr>
            </w:pPr>
            <w:r>
              <w:rPr>
                <w:rFonts w:ascii="Arial" w:cs="Arial" w:eastAsia="Arial" w:hAnsi="Arial"/>
                <w:sz w:val="16"/>
                <w:szCs w:val="16"/>
                <w:color w:val="auto"/>
              </w:rPr>
              <w:t>(gains)/losses on disposals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60"/>
              <w:spacing w:after="0"/>
              <w:rPr>
                <w:sz w:val="20"/>
                <w:szCs w:val="20"/>
                <w:color w:val="auto"/>
              </w:rPr>
            </w:pPr>
            <w:r>
              <w:rPr>
                <w:rFonts w:ascii="Arial" w:cs="Arial" w:eastAsia="Arial" w:hAnsi="Arial"/>
                <w:sz w:val="16"/>
                <w:szCs w:val="16"/>
                <w:color w:val="auto"/>
              </w:rPr>
              <w:t>share of the (profit)/loss of equity method investees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 in provisions and employee benefits liabilities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(2,414)</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 in carrying amount of leased vehicles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(2,591)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(4,225)</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change in receivables related to financial services activities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(4,281)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Dividends received</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192</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Income tax received/(paid), net</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Changes in working capital</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(3,892)</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53"/>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cash from/(used in) operating activities</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(6,817)</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(6,838)</w:t>
            </w:r>
          </w:p>
        </w:tc>
        <w:tc>
          <w:tcPr>
            <w:tcW w:w="0" w:type="dxa"/>
            <w:vAlign w:val="bottom"/>
          </w:tcPr>
          <w:p>
            <w:pPr>
              <w:spacing w:after="0"/>
              <w:rPr>
                <w:sz w:val="1"/>
                <w:szCs w:val="1"/>
                <w:color w:val="auto"/>
              </w:rPr>
            </w:pPr>
          </w:p>
        </w:tc>
      </w:tr>
      <w:tr>
        <w:trPr>
          <w:trHeight w:val="226"/>
        </w:trPr>
        <w:tc>
          <w:tcPr>
            <w:tcW w:w="6920" w:type="dxa"/>
            <w:vAlign w:val="bottom"/>
          </w:tcPr>
          <w:p>
            <w:pPr>
              <w:ind w:left="20"/>
              <w:spacing w:after="0"/>
              <w:rPr>
                <w:sz w:val="20"/>
                <w:szCs w:val="20"/>
                <w:color w:val="auto"/>
              </w:rPr>
            </w:pPr>
            <w:r>
              <w:rPr>
                <w:rFonts w:ascii="Arial" w:cs="Arial" w:eastAsia="Arial" w:hAnsi="Arial"/>
                <w:sz w:val="16"/>
                <w:szCs w:val="16"/>
                <w:color w:val="auto"/>
              </w:rPr>
              <w:t>Proceeds from disposals of shares in consolidated companies and of investments in non-</w:t>
            </w:r>
          </w:p>
        </w:tc>
        <w:tc>
          <w:tcPr>
            <w:tcW w:w="1100" w:type="dxa"/>
            <w:vAlign w:val="bottom"/>
          </w:tcPr>
          <w:p>
            <w:pPr>
              <w:spacing w:after="0"/>
              <w:rPr>
                <w:sz w:val="19"/>
                <w:szCs w:val="19"/>
                <w:color w:val="auto"/>
              </w:rPr>
            </w:pPr>
          </w:p>
        </w:tc>
        <w:tc>
          <w:tcPr>
            <w:tcW w:w="15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36</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07"/>
        </w:trPr>
        <w:tc>
          <w:tcPr>
            <w:tcW w:w="6920" w:type="dxa"/>
            <w:vAlign w:val="bottom"/>
            <w:vMerge w:val="restart"/>
          </w:tcPr>
          <w:p>
            <w:pPr>
              <w:ind w:left="20"/>
              <w:spacing w:after="0"/>
              <w:rPr>
                <w:sz w:val="20"/>
                <w:szCs w:val="20"/>
                <w:color w:val="auto"/>
              </w:rPr>
            </w:pPr>
            <w:r>
              <w:rPr>
                <w:rFonts w:ascii="Arial" w:cs="Arial" w:eastAsia="Arial" w:hAnsi="Arial"/>
                <w:sz w:val="16"/>
                <w:szCs w:val="16"/>
                <w:color w:val="auto"/>
              </w:rPr>
              <w:t>consolidated companies</w:t>
            </w:r>
          </w:p>
        </w:tc>
        <w:tc>
          <w:tcPr>
            <w:tcW w:w="1100" w:type="dxa"/>
            <w:vAlign w:val="bottom"/>
          </w:tcPr>
          <w:p>
            <w:pPr>
              <w:spacing w:after="0"/>
              <w:rPr>
                <w:sz w:val="9"/>
                <w:szCs w:val="9"/>
                <w:color w:val="auto"/>
              </w:rPr>
            </w:pPr>
          </w:p>
        </w:tc>
        <w:tc>
          <w:tcPr>
            <w:tcW w:w="1560" w:type="dxa"/>
            <w:vAlign w:val="bottom"/>
            <w:vMerge w:val="continue"/>
            <w:shd w:val="clear" w:color="auto" w:fill="F3F3F9"/>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920" w:type="dxa"/>
            <w:vAlign w:val="bottom"/>
            <w:tcBorders>
              <w:bottom w:val="single" w:sz="8" w:color="8E939F"/>
            </w:tcBorders>
            <w:vMerge w:val="continue"/>
          </w:tcPr>
          <w:p>
            <w:pPr>
              <w:spacing w:after="0"/>
              <w:rPr>
                <w:sz w:val="10"/>
                <w:szCs w:val="10"/>
                <w:color w:val="auto"/>
              </w:rPr>
            </w:pPr>
          </w:p>
        </w:tc>
        <w:tc>
          <w:tcPr>
            <w:tcW w:w="1100" w:type="dxa"/>
            <w:vAlign w:val="bottom"/>
            <w:tcBorders>
              <w:bottom w:val="single" w:sz="8" w:color="8E939F"/>
            </w:tcBorders>
          </w:tcPr>
          <w:p>
            <w:pPr>
              <w:spacing w:after="0"/>
              <w:rPr>
                <w:sz w:val="10"/>
                <w:szCs w:val="10"/>
                <w:color w:val="auto"/>
              </w:rPr>
            </w:pPr>
          </w:p>
        </w:tc>
        <w:tc>
          <w:tcPr>
            <w:tcW w:w="1560" w:type="dxa"/>
            <w:vAlign w:val="bottom"/>
            <w:tcBorders>
              <w:bottom w:val="single" w:sz="8" w:color="8E939F"/>
            </w:tcBorders>
            <w:shd w:val="clear" w:color="auto" w:fill="F3F3F9"/>
          </w:tcPr>
          <w:p>
            <w:pPr>
              <w:spacing w:after="0"/>
              <w:rPr>
                <w:sz w:val="10"/>
                <w:szCs w:val="10"/>
                <w:color w:val="auto"/>
              </w:rPr>
            </w:pPr>
          </w:p>
        </w:tc>
        <w:tc>
          <w:tcPr>
            <w:tcW w:w="1660" w:type="dxa"/>
            <w:vAlign w:val="bottom"/>
            <w:tcBorders>
              <w:bottom w:val="single" w:sz="8" w:color="8E939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Acquisitions of consolidated subsidiaries and equity method investments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(354)</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Proceeds from disposals of property, plant and equipment and intangible assets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Investments in property, plant and equipment and intangible assets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(4,551)</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 in amounts payable on property, plant and equipment and intangible assets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(295)</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Changes in loans to joint ventures and associates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(213)</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 in securities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(2,006)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changes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3"/>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cash from/(used in) investing activities</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(7,346)</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(3,651)</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Dividends paid:</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spacing w:after="0"/>
              <w:rPr>
                <w:sz w:val="21"/>
                <w:szCs w:val="21"/>
                <w:color w:val="auto"/>
              </w:rPr>
            </w:pPr>
          </w:p>
        </w:tc>
        <w:tc>
          <w:tcPr>
            <w:tcW w:w="166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60"/>
              <w:spacing w:after="0"/>
              <w:rPr>
                <w:sz w:val="20"/>
                <w:szCs w:val="20"/>
                <w:color w:val="auto"/>
              </w:rPr>
            </w:pPr>
            <w:r>
              <w:rPr>
                <w:rFonts w:ascii="Arial" w:cs="Arial" w:eastAsia="Arial" w:hAnsi="Arial"/>
                <w:sz w:val="16"/>
                <w:szCs w:val="16"/>
                <w:color w:val="auto"/>
              </w:rPr>
              <w:t>to Stellantis shareholders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160"/>
              <w:spacing w:after="0"/>
              <w:rPr>
                <w:sz w:val="20"/>
                <w:szCs w:val="20"/>
                <w:color w:val="auto"/>
              </w:rPr>
            </w:pPr>
            <w:r>
              <w:rPr>
                <w:rFonts w:ascii="Arial" w:cs="Arial" w:eastAsia="Arial" w:hAnsi="Arial"/>
                <w:sz w:val="16"/>
                <w:szCs w:val="16"/>
                <w:color w:val="auto"/>
              </w:rPr>
              <w:t>to minority shareholders of subsidiaries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Proceeds from issuance of shares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Changes in short-term debt and other financial assets and liabilities</w:t>
            </w:r>
          </w:p>
        </w:tc>
        <w:tc>
          <w:tcPr>
            <w:tcW w:w="1100" w:type="dxa"/>
            <w:vAlign w:val="bottom"/>
            <w:tcBorders>
              <w:bottom w:val="single" w:sz="8" w:color="8E939F"/>
            </w:tcBorders>
          </w:tcPr>
          <w:p>
            <w:pPr>
              <w:jc w:val="center"/>
              <w:ind w:left="199"/>
              <w:spacing w:after="0"/>
              <w:rPr>
                <w:sz w:val="20"/>
                <w:szCs w:val="20"/>
                <w:color w:val="auto"/>
              </w:rPr>
            </w:pPr>
            <w:r>
              <w:rPr>
                <w:rFonts w:ascii="Arial" w:cs="Arial" w:eastAsia="Arial" w:hAnsi="Arial"/>
                <w:sz w:val="16"/>
                <w:szCs w:val="16"/>
                <w:color w:val="auto"/>
              </w:rPr>
              <w:t>14</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Gross outflows in repayments of long-term debt</w:t>
            </w:r>
          </w:p>
        </w:tc>
        <w:tc>
          <w:tcPr>
            <w:tcW w:w="1100" w:type="dxa"/>
            <w:vAlign w:val="bottom"/>
            <w:tcBorders>
              <w:bottom w:val="single" w:sz="8" w:color="8E939F"/>
            </w:tcBorders>
          </w:tcPr>
          <w:p>
            <w:pPr>
              <w:jc w:val="center"/>
              <w:ind w:left="199"/>
              <w:spacing w:after="0"/>
              <w:rPr>
                <w:sz w:val="20"/>
                <w:szCs w:val="20"/>
                <w:color w:val="auto"/>
              </w:rPr>
            </w:pPr>
            <w:r>
              <w:rPr>
                <w:rFonts w:ascii="Arial" w:cs="Arial" w:eastAsia="Arial" w:hAnsi="Arial"/>
                <w:sz w:val="16"/>
                <w:szCs w:val="16"/>
                <w:color w:val="auto"/>
              </w:rPr>
              <w:t>14</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(6,456)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(3,788)</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Proceeds from issuances of long-term debt</w:t>
            </w:r>
          </w:p>
        </w:tc>
        <w:tc>
          <w:tcPr>
            <w:tcW w:w="1100" w:type="dxa"/>
            <w:vAlign w:val="bottom"/>
            <w:tcBorders>
              <w:bottom w:val="single" w:sz="8" w:color="8E939F"/>
            </w:tcBorders>
          </w:tcPr>
          <w:p>
            <w:pPr>
              <w:jc w:val="center"/>
              <w:ind w:left="199"/>
              <w:spacing w:after="0"/>
              <w:rPr>
                <w:sz w:val="20"/>
                <w:szCs w:val="20"/>
                <w:color w:val="auto"/>
              </w:rPr>
            </w:pPr>
            <w:r>
              <w:rPr>
                <w:rFonts w:ascii="Arial" w:cs="Arial" w:eastAsia="Arial" w:hAnsi="Arial"/>
                <w:sz w:val="16"/>
                <w:szCs w:val="16"/>
                <w:color w:val="auto"/>
              </w:rPr>
              <w:t>14</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14,099</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11,043</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Issuance of Hybrid perpetual notes</w:t>
            </w:r>
          </w:p>
        </w:tc>
        <w:tc>
          <w:tcPr>
            <w:tcW w:w="1100" w:type="dxa"/>
            <w:vAlign w:val="bottom"/>
            <w:tcBorders>
              <w:bottom w:val="single" w:sz="8" w:color="8E939F"/>
            </w:tcBorders>
          </w:tcPr>
          <w:p>
            <w:pPr>
              <w:jc w:val="center"/>
              <w:ind w:left="199"/>
              <w:spacing w:after="0"/>
              <w:rPr>
                <w:sz w:val="20"/>
                <w:szCs w:val="20"/>
                <w:color w:val="auto"/>
              </w:rPr>
            </w:pPr>
            <w:r>
              <w:rPr>
                <w:rFonts w:ascii="Arial" w:cs="Arial" w:eastAsia="Arial" w:hAnsi="Arial"/>
                <w:sz w:val="16"/>
                <w:szCs w:val="16"/>
                <w:color w:val="auto"/>
              </w:rPr>
              <w:t>19</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4,927</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Coupons paid on Hybrid perpetual notes</w:t>
            </w:r>
          </w:p>
        </w:tc>
        <w:tc>
          <w:tcPr>
            <w:tcW w:w="1100" w:type="dxa"/>
            <w:vAlign w:val="bottom"/>
            <w:tcBorders>
              <w:bottom w:val="single" w:sz="8" w:color="8E939F"/>
            </w:tcBorders>
          </w:tcPr>
          <w:p>
            <w:pPr>
              <w:jc w:val="center"/>
              <w:ind w:left="199"/>
              <w:spacing w:after="0"/>
              <w:rPr>
                <w:sz w:val="20"/>
                <w:szCs w:val="20"/>
                <w:color w:val="auto"/>
              </w:rPr>
            </w:pPr>
            <w:r>
              <w:rPr>
                <w:rFonts w:ascii="Arial" w:cs="Arial" w:eastAsia="Arial" w:hAnsi="Arial"/>
                <w:sz w:val="16"/>
                <w:szCs w:val="16"/>
                <w:color w:val="auto"/>
              </w:rPr>
              <w:t>19</w:t>
            </w: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(77)</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changes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cash from/(used in) financing activities</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12,725</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4,663</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Effect of changes in exchange rates</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(Increase)/decrease in cash and cash equivalents included in assets held for sale</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(132)</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53"/>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Increase/(decrease) in cash and cash equivalents</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(1,100)</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(6,786)</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cash and cash equivalents at beginning of period</w:t>
            </w:r>
          </w:p>
        </w:tc>
        <w:tc>
          <w:tcPr>
            <w:tcW w:w="1100" w:type="dxa"/>
            <w:vAlign w:val="bottom"/>
            <w:tcBorders>
              <w:bottom w:val="single" w:sz="8" w:color="8E939F"/>
            </w:tcBorders>
          </w:tcPr>
          <w:p>
            <w:pPr>
              <w:spacing w:after="0"/>
              <w:rPr>
                <w:sz w:val="21"/>
                <w:szCs w:val="21"/>
                <w:color w:val="auto"/>
              </w:rPr>
            </w:pPr>
          </w:p>
        </w:tc>
        <w:tc>
          <w:tcPr>
            <w:tcW w:w="15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30,146</w:t>
            </w:r>
          </w:p>
        </w:tc>
        <w:tc>
          <w:tcPr>
            <w:tcW w:w="16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34,100</w:t>
            </w:r>
          </w:p>
        </w:tc>
        <w:tc>
          <w:tcPr>
            <w:tcW w:w="0" w:type="dxa"/>
            <w:vAlign w:val="bottom"/>
          </w:tcPr>
          <w:p>
            <w:pPr>
              <w:spacing w:after="0"/>
              <w:rPr>
                <w:sz w:val="1"/>
                <w:szCs w:val="1"/>
                <w:color w:val="auto"/>
              </w:rPr>
            </w:pPr>
          </w:p>
        </w:tc>
      </w:tr>
      <w:tr>
        <w:trPr>
          <w:trHeight w:val="253"/>
        </w:trPr>
        <w:tc>
          <w:tcPr>
            <w:tcW w:w="6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cash and cash equivalents at end of the period</w:t>
            </w:r>
          </w:p>
        </w:tc>
        <w:tc>
          <w:tcPr>
            <w:tcW w:w="1100" w:type="dxa"/>
            <w:vAlign w:val="bottom"/>
            <w:tcBorders>
              <w:bottom w:val="single" w:sz="8" w:color="8E939F"/>
            </w:tcBorders>
            <w:shd w:val="clear" w:color="auto" w:fill="E6E7F4"/>
          </w:tcPr>
          <w:p>
            <w:pPr>
              <w:spacing w:after="0"/>
              <w:rPr>
                <w:sz w:val="21"/>
                <w:szCs w:val="21"/>
                <w:color w:val="auto"/>
              </w:rPr>
            </w:pP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29,046</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27,314</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Interim Condensed Consolidated Financial Statements.</w:t>
      </w:r>
    </w:p>
    <w:p>
      <w:pPr>
        <w:sectPr>
          <w:pgSz w:w="11900" w:h="16838" w:orient="portrait"/>
          <w:cols w:equalWidth="0" w:num="1">
            <w:col w:w="11240"/>
          </w:cols>
          <w:pgMar w:left="320" w:top="1440"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STELLANTIS N.V. AND SUBSIDIARIES</w:t>
      </w:r>
    </w:p>
    <w:p>
      <w:pPr>
        <w:spacing w:after="0" w:line="46" w:lineRule="exact"/>
        <w:rPr>
          <w:sz w:val="20"/>
          <w:szCs w:val="20"/>
          <w:color w:val="auto"/>
        </w:rPr>
      </w:pPr>
    </w:p>
    <w:p>
      <w:pPr>
        <w:ind w:right="5060"/>
        <w:spacing w:after="0" w:line="337" w:lineRule="auto"/>
        <w:rPr>
          <w:sz w:val="20"/>
          <w:szCs w:val="20"/>
          <w:color w:val="auto"/>
        </w:rPr>
      </w:pPr>
      <w:r>
        <w:rPr>
          <w:rFonts w:ascii="Arial" w:cs="Arial" w:eastAsia="Arial" w:hAnsi="Arial"/>
          <w:sz w:val="16"/>
          <w:szCs w:val="16"/>
          <w:b w:val="1"/>
          <w:bCs w:val="1"/>
          <w:color w:val="143A84"/>
        </w:rPr>
        <w:t>INTERIM CONDENSED CONSOLIDATED STATEMENT OF CHANGES IN EQUITY (Unaudited)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143A84"/>
        </w:rPr>
        <w:t>Attributable to the Owners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6060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right"/>
              <w:ind w:right="117"/>
              <w:spacing w:after="0"/>
              <w:rPr>
                <w:sz w:val="20"/>
                <w:szCs w:val="20"/>
                <w:color w:val="auto"/>
              </w:rPr>
            </w:pPr>
            <w:r>
              <w:rPr>
                <w:rFonts w:ascii="Arial" w:cs="Arial" w:eastAsia="Arial" w:hAnsi="Arial"/>
                <w:sz w:val="10"/>
                <w:szCs w:val="10"/>
                <w:b w:val="1"/>
                <w:bCs w:val="1"/>
                <w:color w:val="143A84"/>
              </w:rPr>
              <w:t>Actuarial gains</w:t>
            </w:r>
          </w:p>
        </w:tc>
        <w:tc>
          <w:tcPr>
            <w:tcW w:w="82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143A84"/>
              </w:rPr>
              <w:t>Effect of</w:t>
            </w:r>
          </w:p>
        </w:tc>
        <w:tc>
          <w:tcPr>
            <w:tcW w:w="1080" w:type="dxa"/>
            <w:vAlign w:val="bottom"/>
            <w:vMerge w:val="restart"/>
          </w:tcPr>
          <w:p>
            <w:pPr>
              <w:ind w:left="340"/>
              <w:spacing w:after="0"/>
              <w:rPr>
                <w:sz w:val="20"/>
                <w:szCs w:val="20"/>
                <w:color w:val="auto"/>
              </w:rPr>
            </w:pPr>
            <w:r>
              <w:rPr>
                <w:rFonts w:ascii="Arial" w:cs="Arial" w:eastAsia="Arial" w:hAnsi="Arial"/>
                <w:sz w:val="10"/>
                <w:szCs w:val="10"/>
                <w:b w:val="1"/>
                <w:bCs w:val="1"/>
                <w:color w:val="143A84"/>
              </w:rPr>
              <w:t>Cumulative</w:t>
            </w:r>
          </w:p>
        </w:tc>
        <w:tc>
          <w:tcPr>
            <w:tcW w:w="92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143A84"/>
              </w:rPr>
              <w:t>Equity -</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 million)</w:t>
            </w: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vMerge w:val="restart"/>
          </w:tcPr>
          <w:p>
            <w:pPr>
              <w:jc w:val="right"/>
              <w:ind w:right="74"/>
              <w:spacing w:after="0"/>
              <w:rPr>
                <w:sz w:val="20"/>
                <w:szCs w:val="20"/>
                <w:color w:val="auto"/>
              </w:rPr>
            </w:pPr>
            <w:r>
              <w:rPr>
                <w:rFonts w:ascii="Arial" w:cs="Arial" w:eastAsia="Arial" w:hAnsi="Arial"/>
                <w:sz w:val="10"/>
                <w:szCs w:val="10"/>
                <w:b w:val="1"/>
                <w:bCs w:val="1"/>
                <w:color w:val="143A84"/>
              </w:rPr>
              <w:t>Retained</w:t>
            </w:r>
          </w:p>
        </w:tc>
        <w:tc>
          <w:tcPr>
            <w:tcW w:w="760" w:type="dxa"/>
            <w:vAlign w:val="bottom"/>
          </w:tcPr>
          <w:p>
            <w:pPr>
              <w:spacing w:after="0"/>
              <w:rPr>
                <w:sz w:val="9"/>
                <w:szCs w:val="9"/>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0"/>
                <w:szCs w:val="10"/>
                <w:b w:val="1"/>
                <w:bCs w:val="1"/>
                <w:color w:val="143A84"/>
              </w:rPr>
              <w:t>Remeasurement</w:t>
            </w:r>
          </w:p>
        </w:tc>
        <w:tc>
          <w:tcPr>
            <w:tcW w:w="980" w:type="dxa"/>
            <w:vAlign w:val="bottom"/>
          </w:tcPr>
          <w:p>
            <w:pPr>
              <w:jc w:val="right"/>
              <w:ind w:right="117"/>
              <w:spacing w:after="0" w:line="108" w:lineRule="exact"/>
              <w:rPr>
                <w:sz w:val="20"/>
                <w:szCs w:val="20"/>
                <w:color w:val="auto"/>
              </w:rPr>
            </w:pPr>
            <w:r>
              <w:rPr>
                <w:rFonts w:ascii="Arial" w:cs="Arial" w:eastAsia="Arial" w:hAnsi="Arial"/>
                <w:sz w:val="10"/>
                <w:szCs w:val="10"/>
                <w:b w:val="1"/>
                <w:bCs w:val="1"/>
                <w:color w:val="143A84"/>
              </w:rPr>
              <w:t>and losses on</w:t>
            </w: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0"/>
                <w:szCs w:val="10"/>
                <w:b w:val="1"/>
                <w:bCs w:val="1"/>
                <w:color w:val="143A84"/>
              </w:rPr>
              <w:t>Non-</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640" w:type="dxa"/>
            <w:vAlign w:val="bottom"/>
            <w:vMerge w:val="restart"/>
          </w:tcPr>
          <w:p>
            <w:pPr>
              <w:jc w:val="right"/>
              <w:ind w:right="93"/>
              <w:spacing w:after="0"/>
              <w:rPr>
                <w:sz w:val="20"/>
                <w:szCs w:val="20"/>
                <w:color w:val="auto"/>
              </w:rPr>
            </w:pPr>
            <w:r>
              <w:rPr>
                <w:rFonts w:ascii="Arial" w:cs="Arial" w:eastAsia="Arial" w:hAnsi="Arial"/>
                <w:sz w:val="10"/>
                <w:szCs w:val="10"/>
                <w:b w:val="1"/>
                <w:bCs w:val="1"/>
                <w:color w:val="143A84"/>
              </w:rPr>
              <w:t>Share</w:t>
            </w:r>
          </w:p>
        </w:tc>
        <w:tc>
          <w:tcPr>
            <w:tcW w:w="680" w:type="dxa"/>
            <w:vAlign w:val="bottom"/>
            <w:vMerge w:val="restart"/>
          </w:tcPr>
          <w:p>
            <w:pPr>
              <w:jc w:val="right"/>
              <w:ind w:right="33"/>
              <w:spacing w:after="0"/>
              <w:rPr>
                <w:sz w:val="20"/>
                <w:szCs w:val="20"/>
                <w:color w:val="auto"/>
              </w:rPr>
            </w:pPr>
            <w:r>
              <w:rPr>
                <w:rFonts w:ascii="Arial" w:cs="Arial" w:eastAsia="Arial" w:hAnsi="Arial"/>
                <w:sz w:val="10"/>
                <w:szCs w:val="10"/>
                <w:b w:val="1"/>
                <w:bCs w:val="1"/>
                <w:color w:val="143A84"/>
              </w:rPr>
              <w:t>Treasury</w:t>
            </w:r>
          </w:p>
        </w:tc>
        <w:tc>
          <w:tcPr>
            <w:tcW w:w="920" w:type="dxa"/>
            <w:vAlign w:val="bottom"/>
            <w:vMerge w:val="continue"/>
          </w:tcPr>
          <w:p>
            <w:pPr>
              <w:spacing w:after="0"/>
              <w:rPr>
                <w:sz w:val="8"/>
                <w:szCs w:val="8"/>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0"/>
                <w:szCs w:val="10"/>
                <w:b w:val="1"/>
                <w:bCs w:val="1"/>
                <w:color w:val="143A84"/>
              </w:rPr>
              <w:t>Cash flow</w:t>
            </w:r>
          </w:p>
        </w:tc>
        <w:tc>
          <w:tcPr>
            <w:tcW w:w="1120" w:type="dxa"/>
            <w:vAlign w:val="bottom"/>
            <w:vMerge w:val="continue"/>
          </w:tcPr>
          <w:p>
            <w:pPr>
              <w:spacing w:after="0"/>
              <w:rPr>
                <w:sz w:val="8"/>
                <w:szCs w:val="8"/>
                <w:color w:val="auto"/>
              </w:rPr>
            </w:pPr>
          </w:p>
        </w:tc>
        <w:tc>
          <w:tcPr>
            <w:tcW w:w="980" w:type="dxa"/>
            <w:vAlign w:val="bottom"/>
          </w:tcPr>
          <w:p>
            <w:pPr>
              <w:jc w:val="right"/>
              <w:ind w:right="117"/>
              <w:spacing w:after="0" w:line="95" w:lineRule="exact"/>
              <w:rPr>
                <w:sz w:val="20"/>
                <w:szCs w:val="20"/>
                <w:color w:val="auto"/>
              </w:rPr>
            </w:pPr>
            <w:r>
              <w:rPr>
                <w:rFonts w:ascii="Arial" w:cs="Arial" w:eastAsia="Arial" w:hAnsi="Arial"/>
                <w:sz w:val="10"/>
                <w:szCs w:val="10"/>
                <w:b w:val="1"/>
                <w:bCs w:val="1"/>
                <w:color w:val="143A84"/>
              </w:rPr>
              <w:t>pension</w:t>
            </w:r>
          </w:p>
        </w:tc>
        <w:tc>
          <w:tcPr>
            <w:tcW w:w="820" w:type="dxa"/>
            <w:vAlign w:val="bottom"/>
          </w:tcPr>
          <w:p>
            <w:pPr>
              <w:ind w:left="180"/>
              <w:spacing w:after="0" w:line="95" w:lineRule="exact"/>
              <w:rPr>
                <w:sz w:val="20"/>
                <w:szCs w:val="20"/>
                <w:color w:val="auto"/>
              </w:rPr>
            </w:pPr>
            <w:r>
              <w:rPr>
                <w:rFonts w:ascii="Arial" w:cs="Arial" w:eastAsia="Arial" w:hAnsi="Arial"/>
                <w:sz w:val="10"/>
                <w:szCs w:val="10"/>
                <w:b w:val="1"/>
                <w:bCs w:val="1"/>
                <w:color w:val="143A84"/>
              </w:rPr>
              <w:t>change in</w:t>
            </w:r>
          </w:p>
        </w:tc>
        <w:tc>
          <w:tcPr>
            <w:tcW w:w="1080" w:type="dxa"/>
            <w:vAlign w:val="bottom"/>
          </w:tcPr>
          <w:p>
            <w:pPr>
              <w:jc w:val="right"/>
              <w:ind w:right="96"/>
              <w:spacing w:after="0" w:line="95" w:lineRule="exact"/>
              <w:rPr>
                <w:sz w:val="20"/>
                <w:szCs w:val="20"/>
                <w:color w:val="auto"/>
              </w:rPr>
            </w:pPr>
            <w:r>
              <w:rPr>
                <w:rFonts w:ascii="Arial" w:cs="Arial" w:eastAsia="Arial" w:hAnsi="Arial"/>
                <w:sz w:val="10"/>
                <w:szCs w:val="10"/>
                <w:b w:val="1"/>
                <w:bCs w:val="1"/>
                <w:color w:val="143A84"/>
              </w:rPr>
              <w:t>share of OCI of</w:t>
            </w:r>
          </w:p>
        </w:tc>
        <w:tc>
          <w:tcPr>
            <w:tcW w:w="920" w:type="dxa"/>
            <w:vAlign w:val="bottom"/>
          </w:tcPr>
          <w:p>
            <w:pPr>
              <w:jc w:val="right"/>
              <w:ind w:right="96"/>
              <w:spacing w:after="0" w:line="95" w:lineRule="exact"/>
              <w:rPr>
                <w:sz w:val="20"/>
                <w:szCs w:val="20"/>
                <w:color w:val="auto"/>
              </w:rPr>
            </w:pPr>
            <w:r>
              <w:rPr>
                <w:rFonts w:ascii="Arial" w:cs="Arial" w:eastAsia="Arial" w:hAnsi="Arial"/>
                <w:sz w:val="10"/>
                <w:szCs w:val="10"/>
                <w:b w:val="1"/>
                <w:bCs w:val="1"/>
                <w:color w:val="143A84"/>
              </w:rPr>
              <w:t>Attributable</w:t>
            </w:r>
          </w:p>
        </w:tc>
        <w:tc>
          <w:tcPr>
            <w:tcW w:w="8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tcPr>
          <w:p>
            <w:pPr>
              <w:jc w:val="right"/>
              <w:ind w:right="74"/>
              <w:spacing w:after="0" w:line="108" w:lineRule="exact"/>
              <w:rPr>
                <w:sz w:val="20"/>
                <w:szCs w:val="20"/>
                <w:color w:val="auto"/>
              </w:rPr>
            </w:pPr>
            <w:r>
              <w:rPr>
                <w:rFonts w:ascii="Arial" w:cs="Arial" w:eastAsia="Arial" w:hAnsi="Arial"/>
                <w:sz w:val="10"/>
                <w:szCs w:val="10"/>
                <w:b w:val="1"/>
                <w:bCs w:val="1"/>
                <w:color w:val="143A84"/>
              </w:rPr>
              <w:t>earnings and</w:t>
            </w:r>
          </w:p>
        </w:tc>
        <w:tc>
          <w:tcPr>
            <w:tcW w:w="760" w:type="dxa"/>
            <w:vAlign w:val="bottom"/>
            <w:vMerge w:val="continue"/>
          </w:tcPr>
          <w:p>
            <w:pPr>
              <w:spacing w:after="0"/>
              <w:rPr>
                <w:sz w:val="9"/>
                <w:szCs w:val="9"/>
                <w:color w:val="auto"/>
              </w:rPr>
            </w:pPr>
          </w:p>
        </w:tc>
        <w:tc>
          <w:tcPr>
            <w:tcW w:w="1120" w:type="dxa"/>
            <w:vAlign w:val="bottom"/>
          </w:tcPr>
          <w:p>
            <w:pPr>
              <w:jc w:val="right"/>
              <w:ind w:right="34"/>
              <w:spacing w:after="0" w:line="108" w:lineRule="exact"/>
              <w:rPr>
                <w:sz w:val="20"/>
                <w:szCs w:val="20"/>
                <w:color w:val="auto"/>
              </w:rPr>
            </w:pPr>
            <w:r>
              <w:rPr>
                <w:rFonts w:ascii="Arial" w:cs="Arial" w:eastAsia="Arial" w:hAnsi="Arial"/>
                <w:sz w:val="10"/>
                <w:szCs w:val="10"/>
                <w:b w:val="1"/>
                <w:bCs w:val="1"/>
                <w:color w:val="143A84"/>
              </w:rPr>
              <w:t>of the fair value of</w:t>
            </w:r>
          </w:p>
        </w:tc>
        <w:tc>
          <w:tcPr>
            <w:tcW w:w="980" w:type="dxa"/>
            <w:vAlign w:val="bottom"/>
          </w:tcPr>
          <w:p>
            <w:pPr>
              <w:jc w:val="right"/>
              <w:ind w:right="117"/>
              <w:spacing w:after="0" w:line="108" w:lineRule="exact"/>
              <w:rPr>
                <w:sz w:val="20"/>
                <w:szCs w:val="20"/>
                <w:color w:val="auto"/>
              </w:rPr>
            </w:pPr>
            <w:r>
              <w:rPr>
                <w:rFonts w:ascii="Arial" w:cs="Arial" w:eastAsia="Arial" w:hAnsi="Arial"/>
                <w:sz w:val="10"/>
                <w:szCs w:val="10"/>
                <w:b w:val="1"/>
                <w:bCs w:val="1"/>
                <w:color w:val="143A84"/>
              </w:rPr>
              <w:t>obligations</w:t>
            </w:r>
          </w:p>
        </w:tc>
        <w:tc>
          <w:tcPr>
            <w:tcW w:w="820" w:type="dxa"/>
            <w:vAlign w:val="bottom"/>
          </w:tcPr>
          <w:p>
            <w:pPr>
              <w:ind w:left="180"/>
              <w:spacing w:after="0" w:line="108" w:lineRule="exact"/>
              <w:rPr>
                <w:sz w:val="20"/>
                <w:szCs w:val="20"/>
                <w:color w:val="auto"/>
              </w:rPr>
            </w:pPr>
            <w:r>
              <w:rPr>
                <w:rFonts w:ascii="Arial" w:cs="Arial" w:eastAsia="Arial" w:hAnsi="Arial"/>
                <w:sz w:val="10"/>
                <w:szCs w:val="10"/>
                <w:b w:val="1"/>
                <w:bCs w:val="1"/>
                <w:color w:val="143A84"/>
              </w:rPr>
              <w:t>exchange</w:t>
            </w:r>
          </w:p>
        </w:tc>
        <w:tc>
          <w:tcPr>
            <w:tcW w:w="1080" w:type="dxa"/>
            <w:vAlign w:val="bottom"/>
          </w:tcPr>
          <w:p>
            <w:pPr>
              <w:jc w:val="right"/>
              <w:ind w:right="96"/>
              <w:spacing w:after="0" w:line="108" w:lineRule="exact"/>
              <w:rPr>
                <w:sz w:val="20"/>
                <w:szCs w:val="20"/>
                <w:color w:val="auto"/>
              </w:rPr>
            </w:pPr>
            <w:r>
              <w:rPr>
                <w:rFonts w:ascii="Arial" w:cs="Arial" w:eastAsia="Arial" w:hAnsi="Arial"/>
                <w:sz w:val="10"/>
                <w:szCs w:val="10"/>
                <w:b w:val="1"/>
                <w:bCs w:val="1"/>
                <w:color w:val="143A84"/>
              </w:rPr>
              <w:t>equity method</w:t>
            </w:r>
          </w:p>
        </w:tc>
        <w:tc>
          <w:tcPr>
            <w:tcW w:w="920" w:type="dxa"/>
            <w:vAlign w:val="bottom"/>
          </w:tcPr>
          <w:p>
            <w:pPr>
              <w:jc w:val="right"/>
              <w:ind w:right="96"/>
              <w:spacing w:after="0" w:line="108" w:lineRule="exact"/>
              <w:rPr>
                <w:sz w:val="20"/>
                <w:szCs w:val="20"/>
                <w:color w:val="auto"/>
              </w:rPr>
            </w:pPr>
            <w:r>
              <w:rPr>
                <w:rFonts w:ascii="Arial" w:cs="Arial" w:eastAsia="Arial" w:hAnsi="Arial"/>
                <w:sz w:val="10"/>
                <w:szCs w:val="10"/>
                <w:b w:val="1"/>
                <w:bCs w:val="1"/>
                <w:color w:val="143A84"/>
              </w:rPr>
              <w:t>to Owners of</w:t>
            </w:r>
          </w:p>
        </w:tc>
        <w:tc>
          <w:tcPr>
            <w:tcW w:w="820" w:type="dxa"/>
            <w:vAlign w:val="bottom"/>
          </w:tcPr>
          <w:p>
            <w:pPr>
              <w:jc w:val="right"/>
              <w:ind w:right="74"/>
              <w:spacing w:after="0" w:line="108" w:lineRule="exact"/>
              <w:rPr>
                <w:sz w:val="20"/>
                <w:szCs w:val="20"/>
                <w:color w:val="auto"/>
              </w:rPr>
            </w:pPr>
            <w:r>
              <w:rPr>
                <w:rFonts w:ascii="Arial" w:cs="Arial" w:eastAsia="Arial" w:hAnsi="Arial"/>
                <w:sz w:val="10"/>
                <w:szCs w:val="10"/>
                <w:b w:val="1"/>
                <w:bCs w:val="1"/>
                <w:color w:val="143A84"/>
              </w:rPr>
              <w:t>controlling</w:t>
            </w: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143A84"/>
              </w:rPr>
              <w:t>Total equity</w:t>
            </w:r>
          </w:p>
        </w:tc>
        <w:tc>
          <w:tcPr>
            <w:tcW w:w="0" w:type="dxa"/>
            <w:vAlign w:val="bottom"/>
          </w:tcPr>
          <w:p>
            <w:pPr>
              <w:spacing w:after="0"/>
              <w:rPr>
                <w:sz w:val="1"/>
                <w:szCs w:val="1"/>
                <w:color w:val="auto"/>
              </w:rPr>
            </w:pPr>
          </w:p>
        </w:tc>
      </w:tr>
      <w:tr>
        <w:trPr>
          <w:trHeight w:val="135"/>
        </w:trPr>
        <w:tc>
          <w:tcPr>
            <w:tcW w:w="1800" w:type="dxa"/>
            <w:vAlign w:val="bottom"/>
            <w:tcBorders>
              <w:bottom w:val="single" w:sz="8" w:color="8E939F"/>
            </w:tcBorders>
          </w:tcPr>
          <w:p>
            <w:pPr>
              <w:spacing w:after="0"/>
              <w:rPr>
                <w:sz w:val="11"/>
                <w:szCs w:val="11"/>
                <w:color w:val="auto"/>
              </w:rPr>
            </w:pPr>
          </w:p>
        </w:tc>
        <w:tc>
          <w:tcPr>
            <w:tcW w:w="640" w:type="dxa"/>
            <w:vAlign w:val="bottom"/>
            <w:tcBorders>
              <w:bottom w:val="single" w:sz="8" w:color="8E939F"/>
            </w:tcBorders>
          </w:tcPr>
          <w:p>
            <w:pPr>
              <w:jc w:val="right"/>
              <w:ind w:right="93"/>
              <w:spacing w:after="0"/>
              <w:rPr>
                <w:sz w:val="20"/>
                <w:szCs w:val="20"/>
                <w:color w:val="auto"/>
              </w:rPr>
            </w:pPr>
            <w:r>
              <w:rPr>
                <w:rFonts w:ascii="Arial" w:cs="Arial" w:eastAsia="Arial" w:hAnsi="Arial"/>
                <w:sz w:val="10"/>
                <w:szCs w:val="10"/>
                <w:b w:val="1"/>
                <w:bCs w:val="1"/>
                <w:color w:val="143A84"/>
              </w:rPr>
              <w:t>capital</w:t>
            </w:r>
          </w:p>
        </w:tc>
        <w:tc>
          <w:tcPr>
            <w:tcW w:w="680" w:type="dxa"/>
            <w:vAlign w:val="bottom"/>
            <w:tcBorders>
              <w:bottom w:val="single" w:sz="8" w:color="8E939F"/>
            </w:tcBorders>
          </w:tcPr>
          <w:p>
            <w:pPr>
              <w:jc w:val="right"/>
              <w:ind w:right="33"/>
              <w:spacing w:after="0"/>
              <w:rPr>
                <w:sz w:val="20"/>
                <w:szCs w:val="20"/>
                <w:color w:val="auto"/>
              </w:rPr>
            </w:pPr>
            <w:r>
              <w:rPr>
                <w:rFonts w:ascii="Arial" w:cs="Arial" w:eastAsia="Arial" w:hAnsi="Arial"/>
                <w:sz w:val="10"/>
                <w:szCs w:val="10"/>
                <w:b w:val="1"/>
                <w:bCs w:val="1"/>
                <w:color w:val="143A84"/>
              </w:rPr>
              <w:t>shares</w:t>
            </w:r>
          </w:p>
        </w:tc>
        <w:tc>
          <w:tcPr>
            <w:tcW w:w="920" w:type="dxa"/>
            <w:vAlign w:val="bottom"/>
            <w:tcBorders>
              <w:bottom w:val="single" w:sz="8" w:color="8E939F"/>
            </w:tcBorders>
          </w:tcPr>
          <w:p>
            <w:pPr>
              <w:jc w:val="right"/>
              <w:ind w:right="74"/>
              <w:spacing w:after="0"/>
              <w:rPr>
                <w:sz w:val="20"/>
                <w:szCs w:val="20"/>
                <w:color w:val="auto"/>
              </w:rPr>
            </w:pPr>
            <w:r>
              <w:rPr>
                <w:rFonts w:ascii="Arial" w:cs="Arial" w:eastAsia="Arial" w:hAnsi="Arial"/>
                <w:sz w:val="10"/>
                <w:szCs w:val="10"/>
                <w:b w:val="1"/>
                <w:bCs w:val="1"/>
                <w:color w:val="143A84"/>
              </w:rPr>
              <w:t>other reserves</w:t>
            </w:r>
          </w:p>
        </w:tc>
        <w:tc>
          <w:tcPr>
            <w:tcW w:w="760" w:type="dxa"/>
            <w:vAlign w:val="bottom"/>
            <w:tcBorders>
              <w:bottom w:val="single" w:sz="8" w:color="8E939F"/>
            </w:tcBorders>
          </w:tcPr>
          <w:p>
            <w:pPr>
              <w:jc w:val="right"/>
              <w:ind w:right="93"/>
              <w:spacing w:after="0"/>
              <w:rPr>
                <w:sz w:val="20"/>
                <w:szCs w:val="20"/>
                <w:color w:val="auto"/>
              </w:rPr>
            </w:pPr>
            <w:r>
              <w:rPr>
                <w:rFonts w:ascii="Arial" w:cs="Arial" w:eastAsia="Arial" w:hAnsi="Arial"/>
                <w:sz w:val="10"/>
                <w:szCs w:val="10"/>
                <w:b w:val="1"/>
                <w:bCs w:val="1"/>
                <w:color w:val="143A84"/>
              </w:rPr>
              <w:t>hedges</w:t>
            </w:r>
          </w:p>
        </w:tc>
        <w:tc>
          <w:tcPr>
            <w:tcW w:w="1120" w:type="dxa"/>
            <w:vAlign w:val="bottom"/>
            <w:tcBorders>
              <w:bottom w:val="single" w:sz="8" w:color="8E939F"/>
            </w:tcBorders>
          </w:tcPr>
          <w:p>
            <w:pPr>
              <w:jc w:val="right"/>
              <w:ind w:right="34"/>
              <w:spacing w:after="0"/>
              <w:rPr>
                <w:sz w:val="20"/>
                <w:szCs w:val="20"/>
                <w:color w:val="auto"/>
              </w:rPr>
            </w:pPr>
            <w:r>
              <w:rPr>
                <w:rFonts w:ascii="Arial" w:cs="Arial" w:eastAsia="Arial" w:hAnsi="Arial"/>
                <w:sz w:val="10"/>
                <w:szCs w:val="10"/>
                <w:b w:val="1"/>
                <w:bCs w:val="1"/>
                <w:color w:val="143A84"/>
              </w:rPr>
              <w:t>financial assets</w:t>
            </w:r>
          </w:p>
        </w:tc>
        <w:tc>
          <w:tcPr>
            <w:tcW w:w="980" w:type="dxa"/>
            <w:vAlign w:val="bottom"/>
            <w:tcBorders>
              <w:bottom w:val="single" w:sz="8" w:color="8E939F"/>
            </w:tcBorders>
          </w:tcPr>
          <w:p>
            <w:pPr>
              <w:jc w:val="right"/>
              <w:ind w:right="117"/>
              <w:spacing w:after="0"/>
              <w:rPr>
                <w:sz w:val="20"/>
                <w:szCs w:val="20"/>
                <w:color w:val="auto"/>
              </w:rPr>
            </w:pPr>
            <w:r>
              <w:rPr>
                <w:rFonts w:ascii="Arial" w:cs="Arial" w:eastAsia="Arial" w:hAnsi="Arial"/>
                <w:sz w:val="10"/>
                <w:szCs w:val="10"/>
                <w:b w:val="1"/>
                <w:bCs w:val="1"/>
                <w:color w:val="143A84"/>
              </w:rPr>
              <w:t>plans</w:t>
            </w:r>
          </w:p>
        </w:tc>
        <w:tc>
          <w:tcPr>
            <w:tcW w:w="820" w:type="dxa"/>
            <w:vAlign w:val="bottom"/>
            <w:tcBorders>
              <w:bottom w:val="single" w:sz="8" w:color="8E939F"/>
            </w:tcBorders>
          </w:tcPr>
          <w:p>
            <w:pPr>
              <w:jc w:val="right"/>
              <w:ind w:right="116"/>
              <w:spacing w:after="0"/>
              <w:rPr>
                <w:sz w:val="20"/>
                <w:szCs w:val="20"/>
                <w:color w:val="auto"/>
              </w:rPr>
            </w:pPr>
            <w:r>
              <w:rPr>
                <w:rFonts w:ascii="Arial" w:cs="Arial" w:eastAsia="Arial" w:hAnsi="Arial"/>
                <w:sz w:val="10"/>
                <w:szCs w:val="10"/>
                <w:b w:val="1"/>
                <w:bCs w:val="1"/>
                <w:color w:val="143A84"/>
              </w:rPr>
              <w:t>rates</w:t>
            </w:r>
          </w:p>
        </w:tc>
        <w:tc>
          <w:tcPr>
            <w:tcW w:w="1080" w:type="dxa"/>
            <w:vAlign w:val="bottom"/>
            <w:tcBorders>
              <w:bottom w:val="single" w:sz="8" w:color="8E939F"/>
            </w:tcBorders>
          </w:tcPr>
          <w:p>
            <w:pPr>
              <w:jc w:val="right"/>
              <w:ind w:right="96"/>
              <w:spacing w:after="0"/>
              <w:rPr>
                <w:sz w:val="20"/>
                <w:szCs w:val="20"/>
                <w:color w:val="auto"/>
              </w:rPr>
            </w:pPr>
            <w:r>
              <w:rPr>
                <w:rFonts w:ascii="Arial" w:cs="Arial" w:eastAsia="Arial" w:hAnsi="Arial"/>
                <w:sz w:val="10"/>
                <w:szCs w:val="10"/>
                <w:b w:val="1"/>
                <w:bCs w:val="1"/>
                <w:color w:val="143A84"/>
              </w:rPr>
              <w:t>investees</w:t>
            </w:r>
          </w:p>
        </w:tc>
        <w:tc>
          <w:tcPr>
            <w:tcW w:w="920" w:type="dxa"/>
            <w:vAlign w:val="bottom"/>
            <w:tcBorders>
              <w:bottom w:val="single" w:sz="8" w:color="8E939F"/>
            </w:tcBorders>
          </w:tcPr>
          <w:p>
            <w:pPr>
              <w:jc w:val="right"/>
              <w:ind w:right="96"/>
              <w:spacing w:after="0"/>
              <w:rPr>
                <w:sz w:val="20"/>
                <w:szCs w:val="20"/>
                <w:color w:val="auto"/>
              </w:rPr>
            </w:pPr>
            <w:r>
              <w:rPr>
                <w:rFonts w:ascii="Arial" w:cs="Arial" w:eastAsia="Arial" w:hAnsi="Arial"/>
                <w:sz w:val="10"/>
                <w:szCs w:val="10"/>
                <w:b w:val="1"/>
                <w:bCs w:val="1"/>
                <w:color w:val="143A84"/>
              </w:rPr>
              <w:t>the parent</w:t>
            </w:r>
          </w:p>
        </w:tc>
        <w:tc>
          <w:tcPr>
            <w:tcW w:w="820" w:type="dxa"/>
            <w:vAlign w:val="bottom"/>
            <w:tcBorders>
              <w:bottom w:val="single" w:sz="8" w:color="8E939F"/>
            </w:tcBorders>
          </w:tcPr>
          <w:p>
            <w:pPr>
              <w:jc w:val="right"/>
              <w:ind w:right="74"/>
              <w:spacing w:after="0"/>
              <w:rPr>
                <w:sz w:val="20"/>
                <w:szCs w:val="20"/>
                <w:color w:val="auto"/>
              </w:rPr>
            </w:pPr>
            <w:r>
              <w:rPr>
                <w:rFonts w:ascii="Arial" w:cs="Arial" w:eastAsia="Arial" w:hAnsi="Arial"/>
                <w:sz w:val="10"/>
                <w:szCs w:val="10"/>
                <w:b w:val="1"/>
                <w:bCs w:val="1"/>
                <w:color w:val="143A84"/>
              </w:rPr>
              <w:t>interests</w:t>
            </w:r>
          </w:p>
        </w:tc>
        <w:tc>
          <w:tcPr>
            <w:tcW w:w="700" w:type="dxa"/>
            <w:vAlign w:val="bottom"/>
            <w:tcBorders>
              <w:bottom w:val="single" w:sz="8" w:color="8E939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4"/>
                <w:szCs w:val="14"/>
                <w:b w:val="1"/>
                <w:bCs w:val="1"/>
                <w:color w:val="143A84"/>
              </w:rPr>
              <w:t>At December 31, 2024</w:t>
            </w:r>
          </w:p>
        </w:tc>
        <w:tc>
          <w:tcPr>
            <w:tcW w:w="640" w:type="dxa"/>
            <w:vAlign w:val="bottom"/>
            <w:tcBorders>
              <w:bottom w:val="single" w:sz="8" w:color="8E939F"/>
            </w:tcBorders>
            <w:shd w:val="clear" w:color="auto" w:fill="F3F3F9"/>
          </w:tcPr>
          <w:p>
            <w:pPr>
              <w:jc w:val="right"/>
              <w:ind w:right="153"/>
              <w:spacing w:after="0"/>
              <w:rPr>
                <w:sz w:val="20"/>
                <w:szCs w:val="20"/>
                <w:color w:val="auto"/>
              </w:rPr>
            </w:pPr>
            <w:r>
              <w:rPr>
                <w:rFonts w:ascii="Arial" w:cs="Arial" w:eastAsia="Arial" w:hAnsi="Arial"/>
                <w:sz w:val="14"/>
                <w:szCs w:val="14"/>
                <w:b w:val="1"/>
                <w:bCs w:val="1"/>
                <w:color w:val="143A84"/>
              </w:rPr>
              <w:t>37</w:t>
            </w:r>
          </w:p>
        </w:tc>
        <w:tc>
          <w:tcPr>
            <w:tcW w:w="680" w:type="dxa"/>
            <w:vAlign w:val="bottom"/>
            <w:tcBorders>
              <w:bottom w:val="single" w:sz="8" w:color="8E939F"/>
            </w:tcBorders>
            <w:shd w:val="clear" w:color="auto" w:fill="F3F3F9"/>
          </w:tcPr>
          <w:p>
            <w:pPr>
              <w:ind w:left="240"/>
              <w:spacing w:after="0"/>
              <w:rPr>
                <w:sz w:val="20"/>
                <w:szCs w:val="20"/>
                <w:color w:val="auto"/>
              </w:rPr>
            </w:pPr>
            <w:r>
              <w:rPr>
                <w:rFonts w:ascii="Arial" w:cs="Arial" w:eastAsia="Arial" w:hAnsi="Arial"/>
                <w:sz w:val="14"/>
                <w:szCs w:val="14"/>
                <w:b w:val="1"/>
                <w:bCs w:val="1"/>
                <w:color w:val="143A84"/>
              </w:rPr>
              <w:t>(285)</w:t>
            </w:r>
          </w:p>
        </w:tc>
        <w:tc>
          <w:tcPr>
            <w:tcW w:w="920" w:type="dxa"/>
            <w:vAlign w:val="bottom"/>
            <w:tcBorders>
              <w:bottom w:val="single" w:sz="8" w:color="8E939F"/>
            </w:tcBorders>
            <w:shd w:val="clear" w:color="auto" w:fill="F3F3F9"/>
          </w:tcPr>
          <w:p>
            <w:pPr>
              <w:jc w:val="right"/>
              <w:ind w:right="114"/>
              <w:spacing w:after="0"/>
              <w:rPr>
                <w:sz w:val="20"/>
                <w:szCs w:val="20"/>
                <w:color w:val="auto"/>
              </w:rPr>
            </w:pPr>
            <w:r>
              <w:rPr>
                <w:rFonts w:ascii="Arial" w:cs="Arial" w:eastAsia="Arial" w:hAnsi="Arial"/>
                <w:sz w:val="14"/>
                <w:szCs w:val="14"/>
                <w:b w:val="1"/>
                <w:bCs w:val="1"/>
                <w:color w:val="143A84"/>
              </w:rPr>
              <w:t>77,316</w:t>
            </w:r>
          </w:p>
        </w:tc>
        <w:tc>
          <w:tcPr>
            <w:tcW w:w="760" w:type="dxa"/>
            <w:vAlign w:val="bottom"/>
            <w:tcBorders>
              <w:bottom w:val="single" w:sz="8" w:color="8E939F"/>
            </w:tcBorders>
            <w:shd w:val="clear" w:color="auto" w:fill="F3F3F9"/>
          </w:tcPr>
          <w:p>
            <w:pPr>
              <w:jc w:val="right"/>
              <w:ind w:right="93"/>
              <w:spacing w:after="0"/>
              <w:rPr>
                <w:sz w:val="20"/>
                <w:szCs w:val="20"/>
                <w:color w:val="auto"/>
              </w:rPr>
            </w:pPr>
            <w:r>
              <w:rPr>
                <w:rFonts w:ascii="Arial" w:cs="Arial" w:eastAsia="Arial" w:hAnsi="Arial"/>
                <w:sz w:val="14"/>
                <w:szCs w:val="14"/>
                <w:b w:val="1"/>
                <w:bCs w:val="1"/>
                <w:color w:val="143A84"/>
              </w:rPr>
              <w:t>(359)</w:t>
            </w:r>
          </w:p>
        </w:tc>
        <w:tc>
          <w:tcPr>
            <w:tcW w:w="1120" w:type="dxa"/>
            <w:vAlign w:val="bottom"/>
            <w:tcBorders>
              <w:bottom w:val="single" w:sz="8" w:color="8E939F"/>
            </w:tcBorders>
            <w:shd w:val="clear" w:color="auto" w:fill="F3F3F9"/>
          </w:tcPr>
          <w:p>
            <w:pPr>
              <w:jc w:val="right"/>
              <w:ind w:right="74"/>
              <w:spacing w:after="0"/>
              <w:rPr>
                <w:sz w:val="20"/>
                <w:szCs w:val="20"/>
                <w:color w:val="auto"/>
              </w:rPr>
            </w:pPr>
            <w:r>
              <w:rPr>
                <w:rFonts w:ascii="Arial" w:cs="Arial" w:eastAsia="Arial" w:hAnsi="Arial"/>
                <w:sz w:val="14"/>
                <w:szCs w:val="14"/>
                <w:b w:val="1"/>
                <w:bCs w:val="1"/>
                <w:color w:val="143A84"/>
              </w:rPr>
              <w:t>74</w:t>
            </w:r>
          </w:p>
        </w:tc>
        <w:tc>
          <w:tcPr>
            <w:tcW w:w="980" w:type="dxa"/>
            <w:vAlign w:val="bottom"/>
            <w:tcBorders>
              <w:bottom w:val="single" w:sz="8" w:color="8E939F"/>
            </w:tcBorders>
            <w:shd w:val="clear" w:color="auto" w:fill="F3F3F9"/>
          </w:tcPr>
          <w:p>
            <w:pPr>
              <w:jc w:val="right"/>
              <w:ind w:right="157"/>
              <w:spacing w:after="0"/>
              <w:rPr>
                <w:sz w:val="20"/>
                <w:szCs w:val="20"/>
                <w:color w:val="auto"/>
              </w:rPr>
            </w:pPr>
            <w:r>
              <w:rPr>
                <w:rFonts w:ascii="Arial" w:cs="Arial" w:eastAsia="Arial" w:hAnsi="Arial"/>
                <w:sz w:val="14"/>
                <w:szCs w:val="14"/>
                <w:b w:val="1"/>
                <w:bCs w:val="1"/>
                <w:color w:val="143A84"/>
              </w:rPr>
              <w:t>3,129</w:t>
            </w:r>
          </w:p>
        </w:tc>
        <w:tc>
          <w:tcPr>
            <w:tcW w:w="820" w:type="dxa"/>
            <w:vAlign w:val="bottom"/>
            <w:tcBorders>
              <w:bottom w:val="single" w:sz="8" w:color="8E939F"/>
            </w:tcBorders>
            <w:shd w:val="clear" w:color="auto" w:fill="F3F3F9"/>
          </w:tcPr>
          <w:p>
            <w:pPr>
              <w:jc w:val="right"/>
              <w:ind w:right="176"/>
              <w:spacing w:after="0"/>
              <w:rPr>
                <w:sz w:val="20"/>
                <w:szCs w:val="20"/>
                <w:color w:val="auto"/>
              </w:rPr>
            </w:pPr>
            <w:r>
              <w:rPr>
                <w:rFonts w:ascii="Arial" w:cs="Arial" w:eastAsia="Arial" w:hAnsi="Arial"/>
                <w:sz w:val="14"/>
                <w:szCs w:val="14"/>
                <w:b w:val="1"/>
                <w:bCs w:val="1"/>
                <w:color w:val="143A84"/>
              </w:rPr>
              <w:t>2,048</w:t>
            </w:r>
          </w:p>
        </w:tc>
        <w:tc>
          <w:tcPr>
            <w:tcW w:w="1080" w:type="dxa"/>
            <w:vAlign w:val="bottom"/>
            <w:tcBorders>
              <w:bottom w:val="single" w:sz="8" w:color="8E939F"/>
            </w:tcBorders>
            <w:shd w:val="clear" w:color="auto" w:fill="F3F3F9"/>
          </w:tcPr>
          <w:p>
            <w:pPr>
              <w:ind w:left="560"/>
              <w:spacing w:after="0"/>
              <w:rPr>
                <w:sz w:val="20"/>
                <w:szCs w:val="20"/>
                <w:color w:val="auto"/>
              </w:rPr>
            </w:pPr>
            <w:r>
              <w:rPr>
                <w:rFonts w:ascii="Arial" w:cs="Arial" w:eastAsia="Arial" w:hAnsi="Arial"/>
                <w:sz w:val="14"/>
                <w:szCs w:val="14"/>
                <w:b w:val="1"/>
                <w:bCs w:val="1"/>
                <w:color w:val="143A84"/>
              </w:rPr>
              <w:t>(268)</w:t>
            </w:r>
          </w:p>
        </w:tc>
        <w:tc>
          <w:tcPr>
            <w:tcW w:w="920" w:type="dxa"/>
            <w:vAlign w:val="bottom"/>
            <w:tcBorders>
              <w:bottom w:val="single" w:sz="8" w:color="8E939F"/>
            </w:tcBorders>
            <w:shd w:val="clear" w:color="auto" w:fill="F3F3F9"/>
          </w:tcPr>
          <w:p>
            <w:pPr>
              <w:jc w:val="right"/>
              <w:ind w:right="136"/>
              <w:spacing w:after="0"/>
              <w:rPr>
                <w:sz w:val="20"/>
                <w:szCs w:val="20"/>
                <w:color w:val="auto"/>
              </w:rPr>
            </w:pPr>
            <w:r>
              <w:rPr>
                <w:rFonts w:ascii="Arial" w:cs="Arial" w:eastAsia="Arial" w:hAnsi="Arial"/>
                <w:sz w:val="14"/>
                <w:szCs w:val="14"/>
                <w:b w:val="1"/>
                <w:bCs w:val="1"/>
                <w:color w:val="143A84"/>
              </w:rPr>
              <w:t>81,692</w:t>
            </w:r>
          </w:p>
        </w:tc>
        <w:tc>
          <w:tcPr>
            <w:tcW w:w="820" w:type="dxa"/>
            <w:vAlign w:val="bottom"/>
            <w:tcBorders>
              <w:bottom w:val="single" w:sz="8" w:color="8E939F"/>
            </w:tcBorders>
            <w:shd w:val="clear" w:color="auto" w:fill="F3F3F9"/>
          </w:tcPr>
          <w:p>
            <w:pPr>
              <w:jc w:val="right"/>
              <w:ind w:right="134"/>
              <w:spacing w:after="0"/>
              <w:rPr>
                <w:sz w:val="20"/>
                <w:szCs w:val="20"/>
                <w:color w:val="auto"/>
              </w:rPr>
            </w:pPr>
            <w:r>
              <w:rPr>
                <w:rFonts w:ascii="Arial" w:cs="Arial" w:eastAsia="Arial" w:hAnsi="Arial"/>
                <w:sz w:val="14"/>
                <w:szCs w:val="14"/>
                <w:b w:val="1"/>
                <w:bCs w:val="1"/>
                <w:color w:val="143A84"/>
              </w:rPr>
              <w:t>423</w:t>
            </w:r>
          </w:p>
        </w:tc>
        <w:tc>
          <w:tcPr>
            <w:tcW w:w="7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82,115</w:t>
            </w:r>
          </w:p>
        </w:tc>
        <w:tc>
          <w:tcPr>
            <w:tcW w:w="0" w:type="dxa"/>
            <w:vAlign w:val="bottom"/>
          </w:tcPr>
          <w:p>
            <w:pPr>
              <w:spacing w:after="0"/>
              <w:rPr>
                <w:sz w:val="1"/>
                <w:szCs w:val="1"/>
                <w:color w:val="auto"/>
              </w:rPr>
            </w:pPr>
          </w:p>
        </w:tc>
      </w:tr>
      <w:tr>
        <w:trPr>
          <w:trHeight w:val="207"/>
        </w:trPr>
        <w:tc>
          <w:tcPr>
            <w:tcW w:w="1800" w:type="dxa"/>
            <w:vAlign w:val="bottom"/>
          </w:tcPr>
          <w:p>
            <w:pPr>
              <w:ind w:left="20"/>
              <w:spacing w:after="0"/>
              <w:rPr>
                <w:sz w:val="20"/>
                <w:szCs w:val="20"/>
                <w:color w:val="auto"/>
              </w:rPr>
            </w:pPr>
            <w:r>
              <w:rPr>
                <w:rFonts w:ascii="Arial" w:cs="Arial" w:eastAsia="Arial" w:hAnsi="Arial"/>
                <w:sz w:val="14"/>
                <w:szCs w:val="14"/>
                <w:color w:val="auto"/>
              </w:rPr>
              <w:t>Other Comprehensive</w:t>
            </w: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color w:val="auto"/>
              </w:rPr>
              <w:t>307</w:t>
            </w: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color w:val="auto"/>
              </w:rPr>
              <w:t>65</w:t>
            </w:r>
          </w:p>
        </w:tc>
        <w:tc>
          <w:tcPr>
            <w:tcW w:w="980" w:type="dxa"/>
            <w:vAlign w:val="bottom"/>
            <w:vMerge w:val="restart"/>
          </w:tcPr>
          <w:p>
            <w:pPr>
              <w:jc w:val="right"/>
              <w:ind w:right="157"/>
              <w:spacing w:after="0"/>
              <w:rPr>
                <w:sz w:val="20"/>
                <w:szCs w:val="20"/>
                <w:color w:val="auto"/>
              </w:rPr>
            </w:pPr>
            <w:r>
              <w:rPr>
                <w:rFonts w:ascii="Arial" w:cs="Arial" w:eastAsia="Arial" w:hAnsi="Arial"/>
                <w:sz w:val="14"/>
                <w:szCs w:val="14"/>
                <w:color w:val="auto"/>
              </w:rPr>
              <w:t>9</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(4,272)</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(315)</w:t>
            </w:r>
          </w:p>
        </w:tc>
        <w:tc>
          <w:tcPr>
            <w:tcW w:w="920" w:type="dxa"/>
            <w:vAlign w:val="bottom"/>
            <w:vMerge w:val="restart"/>
          </w:tcPr>
          <w:p>
            <w:pPr>
              <w:jc w:val="right"/>
              <w:ind w:right="96"/>
              <w:spacing w:after="0"/>
              <w:rPr>
                <w:sz w:val="20"/>
                <w:szCs w:val="20"/>
                <w:color w:val="auto"/>
              </w:rPr>
            </w:pPr>
            <w:r>
              <w:rPr>
                <w:rFonts w:ascii="Arial" w:cs="Arial" w:eastAsia="Arial" w:hAnsi="Arial"/>
                <w:sz w:val="14"/>
                <w:szCs w:val="14"/>
                <w:color w:val="auto"/>
              </w:rPr>
              <w:t>(4,206)</w:t>
            </w:r>
          </w:p>
        </w:tc>
        <w:tc>
          <w:tcPr>
            <w:tcW w:w="820" w:type="dxa"/>
            <w:vAlign w:val="bottom"/>
            <w:vMerge w:val="restart"/>
          </w:tcPr>
          <w:p>
            <w:pPr>
              <w:jc w:val="right"/>
              <w:ind w:right="94"/>
              <w:spacing w:after="0"/>
              <w:rPr>
                <w:sz w:val="20"/>
                <w:szCs w:val="20"/>
                <w:color w:val="auto"/>
              </w:rPr>
            </w:pPr>
            <w:r>
              <w:rPr>
                <w:rFonts w:ascii="Arial" w:cs="Arial" w:eastAsia="Arial" w:hAnsi="Arial"/>
                <w:sz w:val="14"/>
                <w:szCs w:val="14"/>
                <w:color w:val="auto"/>
              </w:rPr>
              <w:t>(12)</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96"/>
        </w:trPr>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income</w:t>
            </w: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800" w:type="dxa"/>
            <w:vAlign w:val="bottom"/>
            <w:tcBorders>
              <w:bottom w:val="single" w:sz="8" w:color="8E939F"/>
            </w:tcBorders>
          </w:tcPr>
          <w:p>
            <w:pPr>
              <w:spacing w:after="0" w:line="20" w:lineRule="exact"/>
              <w:rPr>
                <w:sz w:val="1"/>
                <w:szCs w:val="1"/>
                <w:color w:val="auto"/>
              </w:rPr>
            </w:pPr>
          </w:p>
        </w:tc>
        <w:tc>
          <w:tcPr>
            <w:tcW w:w="640" w:type="dxa"/>
            <w:vAlign w:val="bottom"/>
            <w:tcBorders>
              <w:bottom w:val="single" w:sz="8" w:color="8E939F"/>
            </w:tcBorders>
          </w:tcPr>
          <w:p>
            <w:pPr>
              <w:spacing w:after="0" w:line="20" w:lineRule="exact"/>
              <w:rPr>
                <w:sz w:val="1"/>
                <w:szCs w:val="1"/>
                <w:color w:val="auto"/>
              </w:rPr>
            </w:pPr>
          </w:p>
        </w:tc>
        <w:tc>
          <w:tcPr>
            <w:tcW w:w="6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76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98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20"/>
              <w:spacing w:after="0"/>
              <w:rPr>
                <w:sz w:val="20"/>
                <w:szCs w:val="20"/>
                <w:color w:val="auto"/>
              </w:rPr>
            </w:pPr>
            <w:r>
              <w:rPr>
                <w:rFonts w:ascii="Arial" w:cs="Arial" w:eastAsia="Arial" w:hAnsi="Arial"/>
                <w:sz w:val="14"/>
                <w:szCs w:val="14"/>
                <w:color w:val="auto"/>
              </w:rPr>
              <w:t>Net profit</w:t>
            </w: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
              <w:spacing w:after="0"/>
              <w:rPr>
                <w:sz w:val="20"/>
                <w:szCs w:val="20"/>
                <w:color w:val="auto"/>
              </w:rPr>
            </w:pPr>
            <w:r>
              <w:rPr>
                <w:rFonts w:ascii="Arial" w:cs="Arial" w:eastAsia="Arial" w:hAnsi="Arial"/>
                <w:sz w:val="14"/>
                <w:szCs w:val="14"/>
                <w:color w:val="auto"/>
              </w:rPr>
              <w:t>(6,782)</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76"/>
              <w:spacing w:after="0"/>
              <w:rPr>
                <w:sz w:val="20"/>
                <w:szCs w:val="20"/>
                <w:color w:val="auto"/>
              </w:rPr>
            </w:pPr>
            <w:r>
              <w:rPr>
                <w:rFonts w:ascii="Arial" w:cs="Arial" w:eastAsia="Arial" w:hAnsi="Arial"/>
                <w:sz w:val="14"/>
                <w:szCs w:val="14"/>
                <w:color w:val="auto"/>
              </w:rPr>
              <w:t>—</w:t>
            </w:r>
          </w:p>
        </w:tc>
        <w:tc>
          <w:tcPr>
            <w:tcW w:w="1080" w:type="dxa"/>
            <w:vAlign w:val="bottom"/>
          </w:tcPr>
          <w:p>
            <w:pPr>
              <w:ind w:left="7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6"/>
              <w:spacing w:after="0"/>
              <w:rPr>
                <w:sz w:val="20"/>
                <w:szCs w:val="20"/>
                <w:color w:val="auto"/>
              </w:rPr>
            </w:pPr>
            <w:r>
              <w:rPr>
                <w:rFonts w:ascii="Arial" w:cs="Arial" w:eastAsia="Arial" w:hAnsi="Arial"/>
                <w:sz w:val="14"/>
                <w:szCs w:val="14"/>
                <w:color w:val="auto"/>
              </w:rPr>
              <w:t>(6,782)</w:t>
            </w:r>
          </w:p>
        </w:tc>
        <w:tc>
          <w:tcPr>
            <w:tcW w:w="820" w:type="dxa"/>
            <w:vAlign w:val="bottom"/>
          </w:tcPr>
          <w:p>
            <w:pPr>
              <w:jc w:val="right"/>
              <w:ind w:right="94"/>
              <w:spacing w:after="0"/>
              <w:rPr>
                <w:sz w:val="20"/>
                <w:szCs w:val="20"/>
                <w:color w:val="auto"/>
              </w:rPr>
            </w:pPr>
            <w:r>
              <w:rPr>
                <w:rFonts w:ascii="Arial" w:cs="Arial" w:eastAsia="Arial" w:hAnsi="Arial"/>
                <w:sz w:val="14"/>
                <w:szCs w:val="14"/>
                <w:color w:val="auto"/>
              </w:rPr>
              <w:t>(6)</w:t>
            </w:r>
          </w:p>
        </w:tc>
        <w:tc>
          <w:tcPr>
            <w:tcW w:w="700" w:type="dxa"/>
            <w:vAlign w:val="bottom"/>
          </w:tcPr>
          <w:p>
            <w:pPr>
              <w:jc w:val="right"/>
              <w:spacing w:after="0"/>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22"/>
        </w:trPr>
        <w:tc>
          <w:tcPr>
            <w:tcW w:w="1800" w:type="dxa"/>
            <w:vAlign w:val="bottom"/>
            <w:tcBorders>
              <w:bottom w:val="single" w:sz="8" w:color="8E939F"/>
            </w:tcBorders>
          </w:tcPr>
          <w:p>
            <w:pPr>
              <w:spacing w:after="0" w:line="20" w:lineRule="exact"/>
              <w:rPr>
                <w:sz w:val="1"/>
                <w:szCs w:val="1"/>
                <w:color w:val="auto"/>
              </w:rPr>
            </w:pPr>
          </w:p>
        </w:tc>
        <w:tc>
          <w:tcPr>
            <w:tcW w:w="640" w:type="dxa"/>
            <w:vAlign w:val="bottom"/>
            <w:tcBorders>
              <w:bottom w:val="single" w:sz="8" w:color="8E939F"/>
            </w:tcBorders>
          </w:tcPr>
          <w:p>
            <w:pPr>
              <w:spacing w:after="0" w:line="20" w:lineRule="exact"/>
              <w:rPr>
                <w:sz w:val="1"/>
                <w:szCs w:val="1"/>
                <w:color w:val="auto"/>
              </w:rPr>
            </w:pPr>
          </w:p>
        </w:tc>
        <w:tc>
          <w:tcPr>
            <w:tcW w:w="6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76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98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00" w:type="dxa"/>
            <w:vAlign w:val="bottom"/>
            <w:shd w:val="clear" w:color="auto" w:fill="F3F3F9"/>
          </w:tcPr>
          <w:p>
            <w:pPr>
              <w:ind w:left="20"/>
              <w:spacing w:after="0"/>
              <w:rPr>
                <w:sz w:val="20"/>
                <w:szCs w:val="20"/>
                <w:color w:val="auto"/>
              </w:rPr>
            </w:pPr>
            <w:r>
              <w:rPr>
                <w:rFonts w:ascii="Arial" w:cs="Arial" w:eastAsia="Arial" w:hAnsi="Arial"/>
                <w:sz w:val="14"/>
                <w:szCs w:val="14"/>
                <w:b w:val="1"/>
                <w:bCs w:val="1"/>
                <w:color w:val="143A84"/>
              </w:rPr>
              <w:t>Total Other</w:t>
            </w:r>
          </w:p>
        </w:tc>
        <w:tc>
          <w:tcPr>
            <w:tcW w:w="640" w:type="dxa"/>
            <w:vAlign w:val="bottom"/>
            <w:vMerge w:val="restart"/>
            <w:shd w:val="clear" w:color="auto" w:fill="F3F3F9"/>
          </w:tcPr>
          <w:p>
            <w:pPr>
              <w:jc w:val="right"/>
              <w:ind w:right="153"/>
              <w:spacing w:after="0"/>
              <w:rPr>
                <w:sz w:val="20"/>
                <w:szCs w:val="20"/>
                <w:color w:val="auto"/>
              </w:rPr>
            </w:pPr>
            <w:r>
              <w:rPr>
                <w:rFonts w:ascii="Arial" w:cs="Arial" w:eastAsia="Arial" w:hAnsi="Arial"/>
                <w:sz w:val="14"/>
                <w:szCs w:val="14"/>
                <w:b w:val="1"/>
                <w:bCs w:val="1"/>
                <w:color w:val="143A84"/>
              </w:rPr>
              <w:t>—</w:t>
            </w:r>
          </w:p>
        </w:tc>
        <w:tc>
          <w:tcPr>
            <w:tcW w:w="680" w:type="dxa"/>
            <w:vAlign w:val="bottom"/>
            <w:vMerge w:val="restart"/>
            <w:shd w:val="clear" w:color="auto" w:fill="F3F3F9"/>
          </w:tcPr>
          <w:p>
            <w:pPr>
              <w:ind w:left="400"/>
              <w:spacing w:after="0"/>
              <w:rPr>
                <w:sz w:val="20"/>
                <w:szCs w:val="20"/>
                <w:color w:val="auto"/>
              </w:rPr>
            </w:pPr>
            <w:r>
              <w:rPr>
                <w:rFonts w:ascii="Arial" w:cs="Arial" w:eastAsia="Arial" w:hAnsi="Arial"/>
                <w:sz w:val="14"/>
                <w:szCs w:val="14"/>
                <w:b w:val="1"/>
                <w:bCs w:val="1"/>
                <w:color w:val="143A84"/>
              </w:rPr>
              <w:t>—</w:t>
            </w:r>
          </w:p>
        </w:tc>
        <w:tc>
          <w:tcPr>
            <w:tcW w:w="920" w:type="dxa"/>
            <w:vAlign w:val="bottom"/>
            <w:vMerge w:val="restart"/>
            <w:shd w:val="clear" w:color="auto" w:fill="F3F3F9"/>
          </w:tcPr>
          <w:p>
            <w:pPr>
              <w:jc w:val="right"/>
              <w:ind w:right="74"/>
              <w:spacing w:after="0"/>
              <w:rPr>
                <w:sz w:val="20"/>
                <w:szCs w:val="20"/>
                <w:color w:val="auto"/>
              </w:rPr>
            </w:pPr>
            <w:r>
              <w:rPr>
                <w:rFonts w:ascii="Arial" w:cs="Arial" w:eastAsia="Arial" w:hAnsi="Arial"/>
                <w:sz w:val="14"/>
                <w:szCs w:val="14"/>
                <w:b w:val="1"/>
                <w:bCs w:val="1"/>
                <w:color w:val="143A84"/>
              </w:rPr>
              <w:t>(6,782)</w:t>
            </w:r>
          </w:p>
        </w:tc>
        <w:tc>
          <w:tcPr>
            <w:tcW w:w="760" w:type="dxa"/>
            <w:vAlign w:val="bottom"/>
            <w:vMerge w:val="restart"/>
            <w:shd w:val="clear" w:color="auto" w:fill="F3F3F9"/>
          </w:tcPr>
          <w:p>
            <w:pPr>
              <w:jc w:val="right"/>
              <w:ind w:right="133"/>
              <w:spacing w:after="0"/>
              <w:rPr>
                <w:sz w:val="20"/>
                <w:szCs w:val="20"/>
                <w:color w:val="auto"/>
              </w:rPr>
            </w:pPr>
            <w:r>
              <w:rPr>
                <w:rFonts w:ascii="Arial" w:cs="Arial" w:eastAsia="Arial" w:hAnsi="Arial"/>
                <w:sz w:val="14"/>
                <w:szCs w:val="14"/>
                <w:b w:val="1"/>
                <w:bCs w:val="1"/>
                <w:color w:val="143A84"/>
              </w:rPr>
              <w:t>307</w:t>
            </w:r>
          </w:p>
        </w:tc>
        <w:tc>
          <w:tcPr>
            <w:tcW w:w="1120" w:type="dxa"/>
            <w:vAlign w:val="bottom"/>
            <w:vMerge w:val="restart"/>
            <w:shd w:val="clear" w:color="auto" w:fill="F3F3F9"/>
          </w:tcPr>
          <w:p>
            <w:pPr>
              <w:jc w:val="right"/>
              <w:ind w:right="74"/>
              <w:spacing w:after="0"/>
              <w:rPr>
                <w:sz w:val="20"/>
                <w:szCs w:val="20"/>
                <w:color w:val="auto"/>
              </w:rPr>
            </w:pPr>
            <w:r>
              <w:rPr>
                <w:rFonts w:ascii="Arial" w:cs="Arial" w:eastAsia="Arial" w:hAnsi="Arial"/>
                <w:sz w:val="14"/>
                <w:szCs w:val="14"/>
                <w:b w:val="1"/>
                <w:bCs w:val="1"/>
                <w:color w:val="143A84"/>
              </w:rPr>
              <w:t>65</w:t>
            </w:r>
          </w:p>
        </w:tc>
        <w:tc>
          <w:tcPr>
            <w:tcW w:w="980" w:type="dxa"/>
            <w:vAlign w:val="bottom"/>
            <w:vMerge w:val="restart"/>
            <w:shd w:val="clear" w:color="auto" w:fill="F3F3F9"/>
          </w:tcPr>
          <w:p>
            <w:pPr>
              <w:jc w:val="right"/>
              <w:ind w:right="157"/>
              <w:spacing w:after="0"/>
              <w:rPr>
                <w:sz w:val="20"/>
                <w:szCs w:val="20"/>
                <w:color w:val="auto"/>
              </w:rPr>
            </w:pPr>
            <w:r>
              <w:rPr>
                <w:rFonts w:ascii="Arial" w:cs="Arial" w:eastAsia="Arial" w:hAnsi="Arial"/>
                <w:sz w:val="14"/>
                <w:szCs w:val="14"/>
                <w:b w:val="1"/>
                <w:bCs w:val="1"/>
                <w:color w:val="143A84"/>
              </w:rPr>
              <w:t>9</w:t>
            </w:r>
          </w:p>
        </w:tc>
        <w:tc>
          <w:tcPr>
            <w:tcW w:w="820" w:type="dxa"/>
            <w:vAlign w:val="bottom"/>
            <w:vMerge w:val="restart"/>
            <w:shd w:val="clear" w:color="auto" w:fill="F3F3F9"/>
          </w:tcPr>
          <w:p>
            <w:pPr>
              <w:ind w:left="180"/>
              <w:spacing w:after="0"/>
              <w:rPr>
                <w:sz w:val="20"/>
                <w:szCs w:val="20"/>
                <w:color w:val="auto"/>
              </w:rPr>
            </w:pPr>
            <w:r>
              <w:rPr>
                <w:rFonts w:ascii="Arial" w:cs="Arial" w:eastAsia="Arial" w:hAnsi="Arial"/>
                <w:sz w:val="14"/>
                <w:szCs w:val="14"/>
                <w:b w:val="1"/>
                <w:bCs w:val="1"/>
                <w:color w:val="143A84"/>
              </w:rPr>
              <w:t>(4,272)</w:t>
            </w:r>
          </w:p>
        </w:tc>
        <w:tc>
          <w:tcPr>
            <w:tcW w:w="1080" w:type="dxa"/>
            <w:vAlign w:val="bottom"/>
            <w:vMerge w:val="restart"/>
            <w:shd w:val="clear" w:color="auto" w:fill="F3F3F9"/>
          </w:tcPr>
          <w:p>
            <w:pPr>
              <w:ind w:left="560"/>
              <w:spacing w:after="0"/>
              <w:rPr>
                <w:sz w:val="20"/>
                <w:szCs w:val="20"/>
                <w:color w:val="auto"/>
              </w:rPr>
            </w:pPr>
            <w:r>
              <w:rPr>
                <w:rFonts w:ascii="Arial" w:cs="Arial" w:eastAsia="Arial" w:hAnsi="Arial"/>
                <w:sz w:val="14"/>
                <w:szCs w:val="14"/>
                <w:b w:val="1"/>
                <w:bCs w:val="1"/>
                <w:color w:val="143A84"/>
              </w:rPr>
              <w:t>(315)</w:t>
            </w:r>
          </w:p>
        </w:tc>
        <w:tc>
          <w:tcPr>
            <w:tcW w:w="920" w:type="dxa"/>
            <w:vAlign w:val="bottom"/>
            <w:vMerge w:val="restart"/>
            <w:shd w:val="clear" w:color="auto" w:fill="F3F3F9"/>
          </w:tcPr>
          <w:p>
            <w:pPr>
              <w:jc w:val="right"/>
              <w:ind w:right="96"/>
              <w:spacing w:after="0"/>
              <w:rPr>
                <w:sz w:val="20"/>
                <w:szCs w:val="20"/>
                <w:color w:val="auto"/>
              </w:rPr>
            </w:pPr>
            <w:r>
              <w:rPr>
                <w:rFonts w:ascii="Arial" w:cs="Arial" w:eastAsia="Arial" w:hAnsi="Arial"/>
                <w:sz w:val="14"/>
                <w:szCs w:val="14"/>
                <w:b w:val="1"/>
                <w:bCs w:val="1"/>
                <w:color w:val="143A84"/>
              </w:rPr>
              <w:t>(10,988)</w:t>
            </w:r>
          </w:p>
        </w:tc>
        <w:tc>
          <w:tcPr>
            <w:tcW w:w="820" w:type="dxa"/>
            <w:vAlign w:val="bottom"/>
            <w:vMerge w:val="restart"/>
            <w:shd w:val="clear" w:color="auto" w:fill="F3F3F9"/>
          </w:tcPr>
          <w:p>
            <w:pPr>
              <w:jc w:val="right"/>
              <w:ind w:right="94"/>
              <w:spacing w:after="0"/>
              <w:rPr>
                <w:sz w:val="20"/>
                <w:szCs w:val="20"/>
                <w:color w:val="auto"/>
              </w:rPr>
            </w:pPr>
            <w:r>
              <w:rPr>
                <w:rFonts w:ascii="Arial" w:cs="Arial" w:eastAsia="Arial" w:hAnsi="Arial"/>
                <w:sz w:val="14"/>
                <w:szCs w:val="14"/>
                <w:b w:val="1"/>
                <w:bCs w:val="1"/>
                <w:color w:val="143A84"/>
              </w:rPr>
              <w:t>(18)</w:t>
            </w:r>
          </w:p>
        </w:tc>
        <w:tc>
          <w:tcPr>
            <w:tcW w:w="700" w:type="dxa"/>
            <w:vAlign w:val="bottom"/>
            <w:vMerge w:val="restart"/>
            <w:shd w:val="clear" w:color="auto" w:fill="F3F3F9"/>
          </w:tcPr>
          <w:p>
            <w:pPr>
              <w:jc w:val="right"/>
              <w:spacing w:after="0"/>
              <w:rPr>
                <w:sz w:val="20"/>
                <w:szCs w:val="20"/>
                <w:color w:val="auto"/>
              </w:rPr>
            </w:pPr>
            <w:r>
              <w:rPr>
                <w:rFonts w:ascii="Arial" w:cs="Arial" w:eastAsia="Arial" w:hAnsi="Arial"/>
                <w:sz w:val="14"/>
                <w:szCs w:val="14"/>
                <w:b w:val="1"/>
                <w:bCs w:val="1"/>
                <w:color w:val="143A84"/>
              </w:rPr>
              <w:t>(11,006)</w:t>
            </w:r>
          </w:p>
        </w:tc>
        <w:tc>
          <w:tcPr>
            <w:tcW w:w="0" w:type="dxa"/>
            <w:vAlign w:val="bottom"/>
          </w:tcPr>
          <w:p>
            <w:pPr>
              <w:spacing w:after="0"/>
              <w:rPr>
                <w:sz w:val="1"/>
                <w:szCs w:val="1"/>
                <w:color w:val="auto"/>
              </w:rPr>
            </w:pPr>
          </w:p>
        </w:tc>
      </w:tr>
      <w:tr>
        <w:trPr>
          <w:trHeight w:val="102"/>
        </w:trPr>
        <w:tc>
          <w:tcPr>
            <w:tcW w:w="1800" w:type="dxa"/>
            <w:vAlign w:val="bottom"/>
            <w:vMerge w:val="restart"/>
            <w:shd w:val="clear" w:color="auto" w:fill="F3F3F9"/>
          </w:tcPr>
          <w:p>
            <w:pPr>
              <w:ind w:left="20"/>
              <w:spacing w:after="0"/>
              <w:rPr>
                <w:sz w:val="20"/>
                <w:szCs w:val="20"/>
                <w:color w:val="auto"/>
              </w:rPr>
            </w:pPr>
            <w:r>
              <w:rPr>
                <w:rFonts w:ascii="Arial" w:cs="Arial" w:eastAsia="Arial" w:hAnsi="Arial"/>
                <w:sz w:val="14"/>
                <w:szCs w:val="14"/>
                <w:b w:val="1"/>
                <w:bCs w:val="1"/>
                <w:color w:val="143A84"/>
              </w:rPr>
              <w:t>comprehensive income</w:t>
            </w:r>
          </w:p>
        </w:tc>
        <w:tc>
          <w:tcPr>
            <w:tcW w:w="640" w:type="dxa"/>
            <w:vAlign w:val="bottom"/>
            <w:vMerge w:val="continue"/>
            <w:shd w:val="clear" w:color="auto" w:fill="F3F3F9"/>
          </w:tcPr>
          <w:p>
            <w:pPr>
              <w:spacing w:after="0"/>
              <w:rPr>
                <w:sz w:val="8"/>
                <w:szCs w:val="8"/>
                <w:color w:val="auto"/>
              </w:rPr>
            </w:pPr>
          </w:p>
        </w:tc>
        <w:tc>
          <w:tcPr>
            <w:tcW w:w="680" w:type="dxa"/>
            <w:vAlign w:val="bottom"/>
            <w:vMerge w:val="continue"/>
            <w:shd w:val="clear" w:color="auto" w:fill="F3F3F9"/>
          </w:tcPr>
          <w:p>
            <w:pPr>
              <w:spacing w:after="0"/>
              <w:rPr>
                <w:sz w:val="8"/>
                <w:szCs w:val="8"/>
                <w:color w:val="auto"/>
              </w:rPr>
            </w:pPr>
          </w:p>
        </w:tc>
        <w:tc>
          <w:tcPr>
            <w:tcW w:w="920" w:type="dxa"/>
            <w:vAlign w:val="bottom"/>
            <w:vMerge w:val="continue"/>
            <w:shd w:val="clear" w:color="auto" w:fill="F3F3F9"/>
          </w:tcPr>
          <w:p>
            <w:pPr>
              <w:spacing w:after="0"/>
              <w:rPr>
                <w:sz w:val="8"/>
                <w:szCs w:val="8"/>
                <w:color w:val="auto"/>
              </w:rPr>
            </w:pPr>
          </w:p>
        </w:tc>
        <w:tc>
          <w:tcPr>
            <w:tcW w:w="760" w:type="dxa"/>
            <w:vAlign w:val="bottom"/>
            <w:vMerge w:val="continue"/>
            <w:shd w:val="clear" w:color="auto" w:fill="F3F3F9"/>
          </w:tcPr>
          <w:p>
            <w:pPr>
              <w:spacing w:after="0"/>
              <w:rPr>
                <w:sz w:val="8"/>
                <w:szCs w:val="8"/>
                <w:color w:val="auto"/>
              </w:rPr>
            </w:pPr>
          </w:p>
        </w:tc>
        <w:tc>
          <w:tcPr>
            <w:tcW w:w="1120" w:type="dxa"/>
            <w:vAlign w:val="bottom"/>
            <w:vMerge w:val="continue"/>
            <w:shd w:val="clear" w:color="auto" w:fill="F3F3F9"/>
          </w:tcPr>
          <w:p>
            <w:pPr>
              <w:spacing w:after="0"/>
              <w:rPr>
                <w:sz w:val="8"/>
                <w:szCs w:val="8"/>
                <w:color w:val="auto"/>
              </w:rPr>
            </w:pPr>
          </w:p>
        </w:tc>
        <w:tc>
          <w:tcPr>
            <w:tcW w:w="980" w:type="dxa"/>
            <w:vAlign w:val="bottom"/>
            <w:vMerge w:val="continue"/>
            <w:shd w:val="clear" w:color="auto" w:fill="F3F3F9"/>
          </w:tcPr>
          <w:p>
            <w:pPr>
              <w:spacing w:after="0"/>
              <w:rPr>
                <w:sz w:val="8"/>
                <w:szCs w:val="8"/>
                <w:color w:val="auto"/>
              </w:rPr>
            </w:pPr>
          </w:p>
        </w:tc>
        <w:tc>
          <w:tcPr>
            <w:tcW w:w="820" w:type="dxa"/>
            <w:vAlign w:val="bottom"/>
            <w:vMerge w:val="continue"/>
            <w:shd w:val="clear" w:color="auto" w:fill="F3F3F9"/>
          </w:tcPr>
          <w:p>
            <w:pPr>
              <w:spacing w:after="0"/>
              <w:rPr>
                <w:sz w:val="8"/>
                <w:szCs w:val="8"/>
                <w:color w:val="auto"/>
              </w:rPr>
            </w:pPr>
          </w:p>
        </w:tc>
        <w:tc>
          <w:tcPr>
            <w:tcW w:w="1080" w:type="dxa"/>
            <w:vAlign w:val="bottom"/>
            <w:vMerge w:val="continue"/>
            <w:shd w:val="clear" w:color="auto" w:fill="F3F3F9"/>
          </w:tcPr>
          <w:p>
            <w:pPr>
              <w:spacing w:after="0"/>
              <w:rPr>
                <w:sz w:val="8"/>
                <w:szCs w:val="8"/>
                <w:color w:val="auto"/>
              </w:rPr>
            </w:pPr>
          </w:p>
        </w:tc>
        <w:tc>
          <w:tcPr>
            <w:tcW w:w="920" w:type="dxa"/>
            <w:vAlign w:val="bottom"/>
            <w:vMerge w:val="continue"/>
            <w:shd w:val="clear" w:color="auto" w:fill="F3F3F9"/>
          </w:tcPr>
          <w:p>
            <w:pPr>
              <w:spacing w:after="0"/>
              <w:rPr>
                <w:sz w:val="8"/>
                <w:szCs w:val="8"/>
                <w:color w:val="auto"/>
              </w:rPr>
            </w:pPr>
          </w:p>
        </w:tc>
        <w:tc>
          <w:tcPr>
            <w:tcW w:w="820" w:type="dxa"/>
            <w:vAlign w:val="bottom"/>
            <w:vMerge w:val="continue"/>
            <w:shd w:val="clear" w:color="auto" w:fill="F3F3F9"/>
          </w:tcPr>
          <w:p>
            <w:pPr>
              <w:spacing w:after="0"/>
              <w:rPr>
                <w:sz w:val="8"/>
                <w:szCs w:val="8"/>
                <w:color w:val="auto"/>
              </w:rPr>
            </w:pPr>
          </w:p>
        </w:tc>
        <w:tc>
          <w:tcPr>
            <w:tcW w:w="700" w:type="dxa"/>
            <w:vAlign w:val="bottom"/>
            <w:vMerge w:val="continue"/>
            <w:shd w:val="clear" w:color="auto" w:fill="F3F3F9"/>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00" w:type="dxa"/>
            <w:vAlign w:val="bottom"/>
            <w:tcBorders>
              <w:bottom w:val="single" w:sz="8" w:color="8E939F"/>
            </w:tcBorders>
            <w:vMerge w:val="continue"/>
            <w:shd w:val="clear" w:color="auto" w:fill="F3F3F9"/>
          </w:tcPr>
          <w:p>
            <w:pPr>
              <w:spacing w:after="0"/>
              <w:rPr>
                <w:sz w:val="9"/>
                <w:szCs w:val="9"/>
                <w:color w:val="auto"/>
              </w:rPr>
            </w:pPr>
          </w:p>
        </w:tc>
        <w:tc>
          <w:tcPr>
            <w:tcW w:w="640" w:type="dxa"/>
            <w:vAlign w:val="bottom"/>
            <w:tcBorders>
              <w:bottom w:val="single" w:sz="8" w:color="8E939F"/>
            </w:tcBorders>
            <w:shd w:val="clear" w:color="auto" w:fill="F3F3F9"/>
          </w:tcPr>
          <w:p>
            <w:pPr>
              <w:spacing w:after="0"/>
              <w:rPr>
                <w:sz w:val="9"/>
                <w:szCs w:val="9"/>
                <w:color w:val="auto"/>
              </w:rPr>
            </w:pPr>
          </w:p>
        </w:tc>
        <w:tc>
          <w:tcPr>
            <w:tcW w:w="680" w:type="dxa"/>
            <w:vAlign w:val="bottom"/>
            <w:tcBorders>
              <w:bottom w:val="single" w:sz="8" w:color="8E939F"/>
            </w:tcBorders>
            <w:shd w:val="clear" w:color="auto" w:fill="F3F3F9"/>
          </w:tcPr>
          <w:p>
            <w:pPr>
              <w:spacing w:after="0"/>
              <w:rPr>
                <w:sz w:val="9"/>
                <w:szCs w:val="9"/>
                <w:color w:val="auto"/>
              </w:rPr>
            </w:pPr>
          </w:p>
        </w:tc>
        <w:tc>
          <w:tcPr>
            <w:tcW w:w="920" w:type="dxa"/>
            <w:vAlign w:val="bottom"/>
            <w:tcBorders>
              <w:bottom w:val="single" w:sz="8" w:color="8E939F"/>
            </w:tcBorders>
            <w:shd w:val="clear" w:color="auto" w:fill="F3F3F9"/>
          </w:tcPr>
          <w:p>
            <w:pPr>
              <w:spacing w:after="0"/>
              <w:rPr>
                <w:sz w:val="9"/>
                <w:szCs w:val="9"/>
                <w:color w:val="auto"/>
              </w:rPr>
            </w:pPr>
          </w:p>
        </w:tc>
        <w:tc>
          <w:tcPr>
            <w:tcW w:w="760" w:type="dxa"/>
            <w:vAlign w:val="bottom"/>
            <w:tcBorders>
              <w:bottom w:val="single" w:sz="8" w:color="8E939F"/>
            </w:tcBorders>
            <w:shd w:val="clear" w:color="auto" w:fill="F3F3F9"/>
          </w:tcPr>
          <w:p>
            <w:pPr>
              <w:spacing w:after="0"/>
              <w:rPr>
                <w:sz w:val="9"/>
                <w:szCs w:val="9"/>
                <w:color w:val="auto"/>
              </w:rPr>
            </w:pPr>
          </w:p>
        </w:tc>
        <w:tc>
          <w:tcPr>
            <w:tcW w:w="1120" w:type="dxa"/>
            <w:vAlign w:val="bottom"/>
            <w:tcBorders>
              <w:bottom w:val="single" w:sz="8" w:color="8E939F"/>
            </w:tcBorders>
            <w:shd w:val="clear" w:color="auto" w:fill="F3F3F9"/>
          </w:tcPr>
          <w:p>
            <w:pPr>
              <w:spacing w:after="0"/>
              <w:rPr>
                <w:sz w:val="9"/>
                <w:szCs w:val="9"/>
                <w:color w:val="auto"/>
              </w:rPr>
            </w:pPr>
          </w:p>
        </w:tc>
        <w:tc>
          <w:tcPr>
            <w:tcW w:w="980" w:type="dxa"/>
            <w:vAlign w:val="bottom"/>
            <w:tcBorders>
              <w:bottom w:val="single" w:sz="8" w:color="8E939F"/>
            </w:tcBorders>
            <w:shd w:val="clear" w:color="auto" w:fill="F3F3F9"/>
          </w:tcPr>
          <w:p>
            <w:pPr>
              <w:spacing w:after="0"/>
              <w:rPr>
                <w:sz w:val="9"/>
                <w:szCs w:val="9"/>
                <w:color w:val="auto"/>
              </w:rPr>
            </w:pPr>
          </w:p>
        </w:tc>
        <w:tc>
          <w:tcPr>
            <w:tcW w:w="820" w:type="dxa"/>
            <w:vAlign w:val="bottom"/>
            <w:tcBorders>
              <w:bottom w:val="single" w:sz="8" w:color="8E939F"/>
            </w:tcBorders>
            <w:shd w:val="clear" w:color="auto" w:fill="F3F3F9"/>
          </w:tcPr>
          <w:p>
            <w:pPr>
              <w:spacing w:after="0"/>
              <w:rPr>
                <w:sz w:val="9"/>
                <w:szCs w:val="9"/>
                <w:color w:val="auto"/>
              </w:rPr>
            </w:pPr>
          </w:p>
        </w:tc>
        <w:tc>
          <w:tcPr>
            <w:tcW w:w="1080" w:type="dxa"/>
            <w:vAlign w:val="bottom"/>
            <w:tcBorders>
              <w:bottom w:val="single" w:sz="8" w:color="8E939F"/>
            </w:tcBorders>
            <w:shd w:val="clear" w:color="auto" w:fill="F3F3F9"/>
          </w:tcPr>
          <w:p>
            <w:pPr>
              <w:spacing w:after="0"/>
              <w:rPr>
                <w:sz w:val="9"/>
                <w:szCs w:val="9"/>
                <w:color w:val="auto"/>
              </w:rPr>
            </w:pPr>
          </w:p>
        </w:tc>
        <w:tc>
          <w:tcPr>
            <w:tcW w:w="920" w:type="dxa"/>
            <w:vAlign w:val="bottom"/>
            <w:tcBorders>
              <w:bottom w:val="single" w:sz="8" w:color="8E939F"/>
            </w:tcBorders>
            <w:shd w:val="clear" w:color="auto" w:fill="F3F3F9"/>
          </w:tcPr>
          <w:p>
            <w:pPr>
              <w:spacing w:after="0"/>
              <w:rPr>
                <w:sz w:val="9"/>
                <w:szCs w:val="9"/>
                <w:color w:val="auto"/>
              </w:rPr>
            </w:pPr>
          </w:p>
        </w:tc>
        <w:tc>
          <w:tcPr>
            <w:tcW w:w="820" w:type="dxa"/>
            <w:vAlign w:val="bottom"/>
            <w:tcBorders>
              <w:bottom w:val="single" w:sz="8" w:color="8E939F"/>
            </w:tcBorders>
            <w:shd w:val="clear" w:color="auto" w:fill="F3F3F9"/>
          </w:tcPr>
          <w:p>
            <w:pPr>
              <w:spacing w:after="0"/>
              <w:rPr>
                <w:sz w:val="9"/>
                <w:szCs w:val="9"/>
                <w:color w:val="auto"/>
              </w:rPr>
            </w:pPr>
          </w:p>
        </w:tc>
        <w:tc>
          <w:tcPr>
            <w:tcW w:w="700" w:type="dxa"/>
            <w:vAlign w:val="bottom"/>
            <w:tcBorders>
              <w:bottom w:val="single" w:sz="8" w:color="8E939F"/>
            </w:tcBorders>
            <w:shd w:val="clear" w:color="auto" w:fill="F3F3F9"/>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80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4"/>
              <w:spacing w:after="0"/>
              <w:rPr>
                <w:sz w:val="20"/>
                <w:szCs w:val="20"/>
                <w:color w:val="auto"/>
              </w:rPr>
            </w:pPr>
            <w:r>
              <w:rPr>
                <w:rFonts w:ascii="Arial" w:cs="Arial" w:eastAsia="Arial" w:hAnsi="Arial"/>
                <w:sz w:val="14"/>
                <w:szCs w:val="14"/>
                <w:color w:val="auto"/>
              </w:rPr>
              <w:t>(1,959)</w:t>
            </w:r>
          </w:p>
        </w:tc>
        <w:tc>
          <w:tcPr>
            <w:tcW w:w="7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76"/>
              <w:spacing w:after="0"/>
              <w:rPr>
                <w:sz w:val="20"/>
                <w:szCs w:val="20"/>
                <w:color w:val="auto"/>
              </w:rPr>
            </w:pPr>
            <w:r>
              <w:rPr>
                <w:rFonts w:ascii="Arial" w:cs="Arial" w:eastAsia="Arial" w:hAnsi="Arial"/>
                <w:sz w:val="14"/>
                <w:szCs w:val="14"/>
                <w:color w:val="auto"/>
              </w:rPr>
              <w:t>—</w:t>
            </w:r>
          </w:p>
        </w:tc>
        <w:tc>
          <w:tcPr>
            <w:tcW w:w="1080" w:type="dxa"/>
            <w:vAlign w:val="bottom"/>
          </w:tcPr>
          <w:p>
            <w:pPr>
              <w:ind w:left="7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6"/>
              <w:spacing w:after="0"/>
              <w:rPr>
                <w:sz w:val="20"/>
                <w:szCs w:val="20"/>
                <w:color w:val="auto"/>
              </w:rPr>
            </w:pPr>
            <w:r>
              <w:rPr>
                <w:rFonts w:ascii="Arial" w:cs="Arial" w:eastAsia="Arial" w:hAnsi="Arial"/>
                <w:sz w:val="14"/>
                <w:szCs w:val="14"/>
                <w:color w:val="auto"/>
              </w:rPr>
              <w:t>(1,959)</w:t>
            </w:r>
          </w:p>
        </w:tc>
        <w:tc>
          <w:tcPr>
            <w:tcW w:w="820" w:type="dxa"/>
            <w:vAlign w:val="bottom"/>
          </w:tcPr>
          <w:p>
            <w:pPr>
              <w:jc w:val="right"/>
              <w:ind w:right="94"/>
              <w:spacing w:after="0"/>
              <w:rPr>
                <w:sz w:val="20"/>
                <w:szCs w:val="20"/>
                <w:color w:val="auto"/>
              </w:rPr>
            </w:pPr>
            <w:r>
              <w:rPr>
                <w:rFonts w:ascii="Arial" w:cs="Arial" w:eastAsia="Arial" w:hAnsi="Arial"/>
                <w:sz w:val="14"/>
                <w:szCs w:val="14"/>
                <w:color w:val="auto"/>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22"/>
        </w:trPr>
        <w:tc>
          <w:tcPr>
            <w:tcW w:w="1800" w:type="dxa"/>
            <w:vAlign w:val="bottom"/>
            <w:tcBorders>
              <w:bottom w:val="single" w:sz="8" w:color="8E939F"/>
            </w:tcBorders>
          </w:tcPr>
          <w:p>
            <w:pPr>
              <w:spacing w:after="0" w:line="20" w:lineRule="exact"/>
              <w:rPr>
                <w:sz w:val="1"/>
                <w:szCs w:val="1"/>
                <w:color w:val="auto"/>
              </w:rPr>
            </w:pPr>
          </w:p>
        </w:tc>
        <w:tc>
          <w:tcPr>
            <w:tcW w:w="640" w:type="dxa"/>
            <w:vAlign w:val="bottom"/>
            <w:tcBorders>
              <w:bottom w:val="single" w:sz="8" w:color="8E939F"/>
            </w:tcBorders>
          </w:tcPr>
          <w:p>
            <w:pPr>
              <w:spacing w:after="0" w:line="20" w:lineRule="exact"/>
              <w:rPr>
                <w:sz w:val="1"/>
                <w:szCs w:val="1"/>
                <w:color w:val="auto"/>
              </w:rPr>
            </w:pPr>
          </w:p>
        </w:tc>
        <w:tc>
          <w:tcPr>
            <w:tcW w:w="6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76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98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00" w:type="dxa"/>
            <w:vAlign w:val="bottom"/>
          </w:tcPr>
          <w:p>
            <w:pPr>
              <w:ind w:left="20"/>
              <w:spacing w:after="0"/>
              <w:rPr>
                <w:sz w:val="20"/>
                <w:szCs w:val="20"/>
                <w:color w:val="auto"/>
              </w:rPr>
            </w:pPr>
            <w:r>
              <w:rPr>
                <w:rFonts w:ascii="Arial" w:cs="Arial" w:eastAsia="Arial" w:hAnsi="Arial"/>
                <w:sz w:val="14"/>
                <w:szCs w:val="14"/>
                <w:color w:val="auto"/>
              </w:rPr>
              <w:t>Share-based</w:t>
            </w: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4"/>
              <w:spacing w:after="0"/>
              <w:rPr>
                <w:sz w:val="20"/>
                <w:szCs w:val="20"/>
                <w:color w:val="auto"/>
              </w:rPr>
            </w:pPr>
            <w:r>
              <w:rPr>
                <w:rFonts w:ascii="Arial" w:cs="Arial" w:eastAsia="Arial" w:hAnsi="Arial"/>
                <w:sz w:val="14"/>
                <w:szCs w:val="14"/>
                <w:color w:val="auto"/>
              </w:rPr>
              <w:t>49</w:t>
            </w:r>
          </w:p>
        </w:tc>
        <w:tc>
          <w:tcPr>
            <w:tcW w:w="7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7"/>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6"/>
              <w:spacing w:after="0"/>
              <w:rPr>
                <w:sz w:val="20"/>
                <w:szCs w:val="20"/>
                <w:color w:val="auto"/>
              </w:rPr>
            </w:pPr>
            <w:r>
              <w:rPr>
                <w:rFonts w:ascii="Arial" w:cs="Arial" w:eastAsia="Arial" w:hAnsi="Arial"/>
                <w:sz w:val="14"/>
                <w:szCs w:val="14"/>
                <w:color w:val="auto"/>
              </w:rPr>
              <w:t>49</w:t>
            </w:r>
          </w:p>
        </w:tc>
        <w:tc>
          <w:tcPr>
            <w:tcW w:w="8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96"/>
        </w:trPr>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compensation</w:t>
            </w: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800" w:type="dxa"/>
            <w:vAlign w:val="bottom"/>
            <w:tcBorders>
              <w:bottom w:val="single" w:sz="8" w:color="8E939F"/>
            </w:tcBorders>
          </w:tcPr>
          <w:p>
            <w:pPr>
              <w:spacing w:after="0" w:line="20" w:lineRule="exact"/>
              <w:rPr>
                <w:sz w:val="1"/>
                <w:szCs w:val="1"/>
                <w:color w:val="auto"/>
              </w:rPr>
            </w:pPr>
          </w:p>
        </w:tc>
        <w:tc>
          <w:tcPr>
            <w:tcW w:w="640" w:type="dxa"/>
            <w:vAlign w:val="bottom"/>
            <w:tcBorders>
              <w:bottom w:val="single" w:sz="8" w:color="8E939F"/>
            </w:tcBorders>
          </w:tcPr>
          <w:p>
            <w:pPr>
              <w:spacing w:after="0" w:line="20" w:lineRule="exact"/>
              <w:rPr>
                <w:sz w:val="1"/>
                <w:szCs w:val="1"/>
                <w:color w:val="auto"/>
              </w:rPr>
            </w:pPr>
          </w:p>
        </w:tc>
        <w:tc>
          <w:tcPr>
            <w:tcW w:w="6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76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98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920" w:type="dxa"/>
            <w:vAlign w:val="bottom"/>
            <w:tcBorders>
              <w:bottom w:val="single" w:sz="8" w:color="8E939F"/>
            </w:tcBorders>
          </w:tcPr>
          <w:p>
            <w:pPr>
              <w:spacing w:after="0" w:line="20" w:lineRule="exact"/>
              <w:rPr>
                <w:sz w:val="1"/>
                <w:szCs w:val="1"/>
                <w:color w:val="auto"/>
              </w:rPr>
            </w:pPr>
          </w:p>
        </w:tc>
        <w:tc>
          <w:tcPr>
            <w:tcW w:w="82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800" w:type="dxa"/>
            <w:vAlign w:val="bottom"/>
            <w:tcBorders>
              <w:bottom w:val="single" w:sz="8" w:color="8E939F"/>
            </w:tcBorders>
          </w:tcPr>
          <w:p>
            <w:pPr>
              <w:ind w:left="20"/>
              <w:spacing w:after="0"/>
              <w:rPr>
                <w:sz w:val="20"/>
                <w:szCs w:val="20"/>
                <w:color w:val="auto"/>
              </w:rPr>
            </w:pPr>
            <w:r>
              <w:rPr>
                <w:rFonts w:ascii="Arial" w:cs="Arial" w:eastAsia="Arial" w:hAnsi="Arial"/>
                <w:sz w:val="14"/>
                <w:szCs w:val="14"/>
                <w:color w:val="auto"/>
              </w:rPr>
              <w:t>Other changes</w:t>
            </w:r>
            <w:r>
              <w:rPr>
                <w:rFonts w:ascii="Arial" w:cs="Arial" w:eastAsia="Arial" w:hAnsi="Arial"/>
                <w:sz w:val="18"/>
                <w:szCs w:val="18"/>
                <w:color w:val="auto"/>
                <w:vertAlign w:val="superscript"/>
              </w:rPr>
              <w:t>(1)</w:t>
            </w:r>
          </w:p>
        </w:tc>
        <w:tc>
          <w:tcPr>
            <w:tcW w:w="640" w:type="dxa"/>
            <w:vAlign w:val="bottom"/>
            <w:tcBorders>
              <w:bottom w:val="single" w:sz="8" w:color="8E939F"/>
            </w:tcBorders>
          </w:tcPr>
          <w:p>
            <w:pPr>
              <w:jc w:val="right"/>
              <w:ind w:right="15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E939F"/>
            </w:tcBorders>
          </w:tcPr>
          <w:p>
            <w:pPr>
              <w:ind w:left="4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E939F"/>
            </w:tcBorders>
          </w:tcPr>
          <w:p>
            <w:pPr>
              <w:jc w:val="right"/>
              <w:ind w:right="114"/>
              <w:spacing w:after="0"/>
              <w:rPr>
                <w:sz w:val="20"/>
                <w:szCs w:val="20"/>
                <w:color w:val="auto"/>
              </w:rPr>
            </w:pPr>
            <w:r>
              <w:rPr>
                <w:rFonts w:ascii="Arial" w:cs="Arial" w:eastAsia="Arial" w:hAnsi="Arial"/>
                <w:sz w:val="14"/>
                <w:szCs w:val="14"/>
                <w:color w:val="auto"/>
              </w:rPr>
              <w:t>117</w:t>
            </w:r>
          </w:p>
        </w:tc>
        <w:tc>
          <w:tcPr>
            <w:tcW w:w="760" w:type="dxa"/>
            <w:vAlign w:val="bottom"/>
            <w:tcBorders>
              <w:bottom w:val="single" w:sz="8" w:color="8E939F"/>
            </w:tcBorders>
          </w:tcPr>
          <w:p>
            <w:pPr>
              <w:jc w:val="right"/>
              <w:ind w:right="93"/>
              <w:spacing w:after="0"/>
              <w:rPr>
                <w:sz w:val="20"/>
                <w:szCs w:val="20"/>
                <w:color w:val="auto"/>
              </w:rPr>
            </w:pPr>
            <w:r>
              <w:rPr>
                <w:rFonts w:ascii="Arial" w:cs="Arial" w:eastAsia="Arial" w:hAnsi="Arial"/>
                <w:sz w:val="14"/>
                <w:szCs w:val="14"/>
                <w:color w:val="auto"/>
              </w:rPr>
              <w:t>(10)</w:t>
            </w:r>
          </w:p>
        </w:tc>
        <w:tc>
          <w:tcPr>
            <w:tcW w:w="1120" w:type="dxa"/>
            <w:vAlign w:val="bottom"/>
            <w:tcBorders>
              <w:bottom w:val="single" w:sz="8" w:color="8E939F"/>
            </w:tcBorders>
          </w:tcPr>
          <w:p>
            <w:pPr>
              <w:jc w:val="right"/>
              <w:ind w:right="74"/>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E939F"/>
            </w:tcBorders>
          </w:tcPr>
          <w:p>
            <w:pPr>
              <w:jc w:val="right"/>
              <w:ind w:right="157"/>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8E939F"/>
            </w:tcBorders>
          </w:tcPr>
          <w:p>
            <w:pPr>
              <w:jc w:val="right"/>
              <w:ind w:right="176"/>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E939F"/>
            </w:tcBorders>
          </w:tcPr>
          <w:p>
            <w:pPr>
              <w:ind w:left="7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E939F"/>
            </w:tcBorders>
          </w:tcPr>
          <w:p>
            <w:pPr>
              <w:jc w:val="right"/>
              <w:ind w:right="136"/>
              <w:spacing w:after="0"/>
              <w:rPr>
                <w:sz w:val="20"/>
                <w:szCs w:val="20"/>
                <w:color w:val="auto"/>
              </w:rPr>
            </w:pPr>
            <w:r>
              <w:rPr>
                <w:rFonts w:ascii="Arial" w:cs="Arial" w:eastAsia="Arial" w:hAnsi="Arial"/>
                <w:sz w:val="14"/>
                <w:szCs w:val="14"/>
                <w:color w:val="auto"/>
              </w:rPr>
              <w:t>107</w:t>
            </w:r>
          </w:p>
        </w:tc>
        <w:tc>
          <w:tcPr>
            <w:tcW w:w="820" w:type="dxa"/>
            <w:vAlign w:val="bottom"/>
            <w:tcBorders>
              <w:bottom w:val="single" w:sz="8" w:color="8E939F"/>
            </w:tcBorders>
          </w:tcPr>
          <w:p>
            <w:pPr>
              <w:jc w:val="right"/>
              <w:ind w:right="134"/>
              <w:spacing w:after="0"/>
              <w:rPr>
                <w:sz w:val="20"/>
                <w:szCs w:val="20"/>
                <w:color w:val="auto"/>
              </w:rPr>
            </w:pPr>
            <w:r>
              <w:rPr>
                <w:rFonts w:ascii="Arial" w:cs="Arial" w:eastAsia="Arial" w:hAnsi="Arial"/>
                <w:sz w:val="14"/>
                <w:szCs w:val="14"/>
                <w:color w:val="auto"/>
              </w:rPr>
              <w:t>14</w:t>
            </w:r>
          </w:p>
        </w:tc>
        <w:tc>
          <w:tcPr>
            <w:tcW w:w="700" w:type="dxa"/>
            <w:vAlign w:val="bottom"/>
            <w:tcBorders>
              <w:bottom w:val="single" w:sz="8" w:color="8E939F"/>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143A84"/>
              </w:rPr>
              <w:t>At September 30, 2025</w:t>
            </w:r>
          </w:p>
        </w:tc>
        <w:tc>
          <w:tcPr>
            <w:tcW w:w="640" w:type="dxa"/>
            <w:vAlign w:val="bottom"/>
            <w:tcBorders>
              <w:bottom w:val="single" w:sz="8" w:color="8E939F"/>
            </w:tcBorders>
            <w:shd w:val="clear" w:color="auto" w:fill="E6E7F4"/>
          </w:tcPr>
          <w:p>
            <w:pPr>
              <w:jc w:val="right"/>
              <w:ind w:right="153"/>
              <w:spacing w:after="0"/>
              <w:rPr>
                <w:sz w:val="20"/>
                <w:szCs w:val="20"/>
                <w:color w:val="auto"/>
              </w:rPr>
            </w:pPr>
            <w:r>
              <w:rPr>
                <w:rFonts w:ascii="Arial" w:cs="Arial" w:eastAsia="Arial" w:hAnsi="Arial"/>
                <w:sz w:val="14"/>
                <w:szCs w:val="14"/>
                <w:b w:val="1"/>
                <w:bCs w:val="1"/>
                <w:color w:val="143A84"/>
              </w:rPr>
              <w:t>37</w:t>
            </w:r>
          </w:p>
        </w:tc>
        <w:tc>
          <w:tcPr>
            <w:tcW w:w="680" w:type="dxa"/>
            <w:vAlign w:val="bottom"/>
            <w:tcBorders>
              <w:bottom w:val="single" w:sz="8" w:color="8E939F"/>
            </w:tcBorders>
            <w:shd w:val="clear" w:color="auto" w:fill="E6E7F4"/>
          </w:tcPr>
          <w:p>
            <w:pPr>
              <w:ind w:left="240"/>
              <w:spacing w:after="0"/>
              <w:rPr>
                <w:sz w:val="20"/>
                <w:szCs w:val="20"/>
                <w:color w:val="auto"/>
              </w:rPr>
            </w:pPr>
            <w:r>
              <w:rPr>
                <w:rFonts w:ascii="Arial" w:cs="Arial" w:eastAsia="Arial" w:hAnsi="Arial"/>
                <w:sz w:val="14"/>
                <w:szCs w:val="14"/>
                <w:b w:val="1"/>
                <w:bCs w:val="1"/>
                <w:color w:val="143A84"/>
              </w:rPr>
              <w:t>(285)</w:t>
            </w:r>
          </w:p>
        </w:tc>
        <w:tc>
          <w:tcPr>
            <w:tcW w:w="920" w:type="dxa"/>
            <w:vAlign w:val="bottom"/>
            <w:tcBorders>
              <w:bottom w:val="single" w:sz="8" w:color="8E939F"/>
            </w:tcBorders>
            <w:shd w:val="clear" w:color="auto" w:fill="E6E7F4"/>
          </w:tcPr>
          <w:p>
            <w:pPr>
              <w:jc w:val="right"/>
              <w:ind w:right="114"/>
              <w:spacing w:after="0"/>
              <w:rPr>
                <w:sz w:val="20"/>
                <w:szCs w:val="20"/>
                <w:color w:val="auto"/>
              </w:rPr>
            </w:pPr>
            <w:r>
              <w:rPr>
                <w:rFonts w:ascii="Arial" w:cs="Arial" w:eastAsia="Arial" w:hAnsi="Arial"/>
                <w:sz w:val="14"/>
                <w:szCs w:val="14"/>
                <w:b w:val="1"/>
                <w:bCs w:val="1"/>
                <w:color w:val="143A84"/>
              </w:rPr>
              <w:t>68,741</w:t>
            </w:r>
          </w:p>
        </w:tc>
        <w:tc>
          <w:tcPr>
            <w:tcW w:w="760" w:type="dxa"/>
            <w:vAlign w:val="bottom"/>
            <w:tcBorders>
              <w:bottom w:val="single" w:sz="8" w:color="8E939F"/>
            </w:tcBorders>
            <w:shd w:val="clear" w:color="auto" w:fill="E6E7F4"/>
          </w:tcPr>
          <w:p>
            <w:pPr>
              <w:jc w:val="right"/>
              <w:ind w:right="93"/>
              <w:spacing w:after="0"/>
              <w:rPr>
                <w:sz w:val="20"/>
                <w:szCs w:val="20"/>
                <w:color w:val="auto"/>
              </w:rPr>
            </w:pPr>
            <w:r>
              <w:rPr>
                <w:rFonts w:ascii="Arial" w:cs="Arial" w:eastAsia="Arial" w:hAnsi="Arial"/>
                <w:sz w:val="14"/>
                <w:szCs w:val="14"/>
                <w:b w:val="1"/>
                <w:bCs w:val="1"/>
                <w:color w:val="143A84"/>
              </w:rPr>
              <w:t>(62)</w:t>
            </w:r>
          </w:p>
        </w:tc>
        <w:tc>
          <w:tcPr>
            <w:tcW w:w="1120" w:type="dxa"/>
            <w:vAlign w:val="bottom"/>
            <w:tcBorders>
              <w:bottom w:val="single" w:sz="8" w:color="8E939F"/>
            </w:tcBorders>
            <w:shd w:val="clear" w:color="auto" w:fill="E6E7F4"/>
          </w:tcPr>
          <w:p>
            <w:pPr>
              <w:jc w:val="right"/>
              <w:ind w:right="74"/>
              <w:spacing w:after="0"/>
              <w:rPr>
                <w:sz w:val="20"/>
                <w:szCs w:val="20"/>
                <w:color w:val="auto"/>
              </w:rPr>
            </w:pPr>
            <w:r>
              <w:rPr>
                <w:rFonts w:ascii="Arial" w:cs="Arial" w:eastAsia="Arial" w:hAnsi="Arial"/>
                <w:sz w:val="14"/>
                <w:szCs w:val="14"/>
                <w:b w:val="1"/>
                <w:bCs w:val="1"/>
                <w:color w:val="143A84"/>
              </w:rPr>
              <w:t>139</w:t>
            </w:r>
          </w:p>
        </w:tc>
        <w:tc>
          <w:tcPr>
            <w:tcW w:w="980" w:type="dxa"/>
            <w:vAlign w:val="bottom"/>
            <w:tcBorders>
              <w:bottom w:val="single" w:sz="8" w:color="8E939F"/>
            </w:tcBorders>
            <w:shd w:val="clear" w:color="auto" w:fill="E6E7F4"/>
          </w:tcPr>
          <w:p>
            <w:pPr>
              <w:jc w:val="right"/>
              <w:ind w:right="157"/>
              <w:spacing w:after="0"/>
              <w:rPr>
                <w:sz w:val="20"/>
                <w:szCs w:val="20"/>
                <w:color w:val="auto"/>
              </w:rPr>
            </w:pPr>
            <w:r>
              <w:rPr>
                <w:rFonts w:ascii="Arial" w:cs="Arial" w:eastAsia="Arial" w:hAnsi="Arial"/>
                <w:sz w:val="14"/>
                <w:szCs w:val="14"/>
                <w:b w:val="1"/>
                <w:bCs w:val="1"/>
                <w:color w:val="143A84"/>
              </w:rPr>
              <w:t>3,138</w:t>
            </w:r>
          </w:p>
        </w:tc>
        <w:tc>
          <w:tcPr>
            <w:tcW w:w="820" w:type="dxa"/>
            <w:vAlign w:val="bottom"/>
            <w:tcBorders>
              <w:bottom w:val="single" w:sz="8" w:color="8E939F"/>
            </w:tcBorders>
            <w:shd w:val="clear" w:color="auto" w:fill="E6E7F4"/>
          </w:tcPr>
          <w:p>
            <w:pPr>
              <w:ind w:left="180"/>
              <w:spacing w:after="0"/>
              <w:rPr>
                <w:sz w:val="20"/>
                <w:szCs w:val="20"/>
                <w:color w:val="auto"/>
              </w:rPr>
            </w:pPr>
            <w:r>
              <w:rPr>
                <w:rFonts w:ascii="Arial" w:cs="Arial" w:eastAsia="Arial" w:hAnsi="Arial"/>
                <w:sz w:val="14"/>
                <w:szCs w:val="14"/>
                <w:b w:val="1"/>
                <w:bCs w:val="1"/>
                <w:color w:val="143A84"/>
              </w:rPr>
              <w:t>(2,224)</w:t>
            </w:r>
          </w:p>
        </w:tc>
        <w:tc>
          <w:tcPr>
            <w:tcW w:w="1080" w:type="dxa"/>
            <w:vAlign w:val="bottom"/>
            <w:tcBorders>
              <w:bottom w:val="single" w:sz="8" w:color="8E939F"/>
            </w:tcBorders>
            <w:shd w:val="clear" w:color="auto" w:fill="E6E7F4"/>
          </w:tcPr>
          <w:p>
            <w:pPr>
              <w:ind w:left="560"/>
              <w:spacing w:after="0"/>
              <w:rPr>
                <w:sz w:val="20"/>
                <w:szCs w:val="20"/>
                <w:color w:val="auto"/>
              </w:rPr>
            </w:pPr>
            <w:r>
              <w:rPr>
                <w:rFonts w:ascii="Arial" w:cs="Arial" w:eastAsia="Arial" w:hAnsi="Arial"/>
                <w:sz w:val="14"/>
                <w:szCs w:val="14"/>
                <w:b w:val="1"/>
                <w:bCs w:val="1"/>
                <w:color w:val="143A84"/>
              </w:rPr>
              <w:t>(583)</w:t>
            </w:r>
          </w:p>
        </w:tc>
        <w:tc>
          <w:tcPr>
            <w:tcW w:w="920" w:type="dxa"/>
            <w:vAlign w:val="bottom"/>
            <w:tcBorders>
              <w:bottom w:val="single" w:sz="8" w:color="8E939F"/>
            </w:tcBorders>
            <w:shd w:val="clear" w:color="auto" w:fill="E6E7F4"/>
          </w:tcPr>
          <w:p>
            <w:pPr>
              <w:jc w:val="right"/>
              <w:ind w:right="136"/>
              <w:spacing w:after="0"/>
              <w:rPr>
                <w:sz w:val="20"/>
                <w:szCs w:val="20"/>
                <w:color w:val="auto"/>
              </w:rPr>
            </w:pPr>
            <w:r>
              <w:rPr>
                <w:rFonts w:ascii="Arial" w:cs="Arial" w:eastAsia="Arial" w:hAnsi="Arial"/>
                <w:sz w:val="14"/>
                <w:szCs w:val="14"/>
                <w:b w:val="1"/>
                <w:bCs w:val="1"/>
                <w:color w:val="143A84"/>
              </w:rPr>
              <w:t>68,901</w:t>
            </w:r>
          </w:p>
        </w:tc>
        <w:tc>
          <w:tcPr>
            <w:tcW w:w="820" w:type="dxa"/>
            <w:vAlign w:val="bottom"/>
            <w:tcBorders>
              <w:bottom w:val="single" w:sz="8" w:color="8E939F"/>
            </w:tcBorders>
            <w:shd w:val="clear" w:color="auto" w:fill="E6E7F4"/>
          </w:tcPr>
          <w:p>
            <w:pPr>
              <w:jc w:val="right"/>
              <w:ind w:right="134"/>
              <w:spacing w:after="0"/>
              <w:rPr>
                <w:sz w:val="20"/>
                <w:szCs w:val="20"/>
                <w:color w:val="auto"/>
              </w:rPr>
            </w:pPr>
            <w:r>
              <w:rPr>
                <w:rFonts w:ascii="Arial" w:cs="Arial" w:eastAsia="Arial" w:hAnsi="Arial"/>
                <w:sz w:val="14"/>
                <w:szCs w:val="14"/>
                <w:b w:val="1"/>
                <w:bCs w:val="1"/>
                <w:color w:val="143A84"/>
              </w:rPr>
              <w:t>416</w:t>
            </w:r>
          </w:p>
        </w:tc>
        <w:tc>
          <w:tcPr>
            <w:tcW w:w="7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143A84"/>
              </w:rPr>
              <w:t>69,317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firstLine="8"/>
        <w:spacing w:after="0" w:line="305" w:lineRule="auto"/>
        <w:tabs>
          <w:tab w:leader="none" w:pos="22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effect of hyperinflation for entities whose functional currency is the Turkish Lira, beginning from January 1, 2022, and the Argentine Peso, from July 1, 2018 of €164 million at September 30, 2025. Also includes €(10) million deferred net hedging gains/(losses) transferred to inventory, net of tax</w:t>
      </w:r>
    </w:p>
    <w:p>
      <w:pPr>
        <w:spacing w:after="0" w:line="325"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143A84"/>
        </w:rPr>
        <w:t>Attributable to the Owners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19050</wp:posOffset>
            </wp:positionV>
            <wp:extent cx="6292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143A84"/>
              </w:rPr>
              <w:t>Retained</w:t>
            </w: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jc w:val="right"/>
              <w:ind w:right="102"/>
              <w:spacing w:after="0"/>
              <w:rPr>
                <w:sz w:val="20"/>
                <w:szCs w:val="20"/>
                <w:color w:val="auto"/>
              </w:rPr>
            </w:pPr>
            <w:r>
              <w:rPr>
                <w:rFonts w:ascii="Arial" w:cs="Arial" w:eastAsia="Arial" w:hAnsi="Arial"/>
                <w:sz w:val="10"/>
                <w:szCs w:val="10"/>
                <w:b w:val="1"/>
                <w:bCs w:val="1"/>
                <w:color w:val="143A84"/>
              </w:rPr>
              <w:t>Actuarial gains</w:t>
            </w:r>
          </w:p>
        </w:tc>
        <w:tc>
          <w:tcPr>
            <w:tcW w:w="76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143A84"/>
              </w:rPr>
              <w:t>Effect of</w:t>
            </w:r>
          </w:p>
        </w:tc>
        <w:tc>
          <w:tcPr>
            <w:tcW w:w="920" w:type="dxa"/>
            <w:vAlign w:val="bottom"/>
            <w:vMerge w:val="restart"/>
          </w:tcPr>
          <w:p>
            <w:pPr>
              <w:jc w:val="right"/>
              <w:ind w:right="61"/>
              <w:spacing w:after="0"/>
              <w:rPr>
                <w:sz w:val="20"/>
                <w:szCs w:val="20"/>
                <w:color w:val="auto"/>
              </w:rPr>
            </w:pPr>
            <w:r>
              <w:rPr>
                <w:rFonts w:ascii="Arial" w:cs="Arial" w:eastAsia="Arial" w:hAnsi="Arial"/>
                <w:sz w:val="10"/>
                <w:szCs w:val="10"/>
                <w:b w:val="1"/>
                <w:bCs w:val="1"/>
                <w:color w:val="143A84"/>
              </w:rPr>
              <w:t>Cumulative</w:t>
            </w:r>
          </w:p>
        </w:tc>
        <w:tc>
          <w:tcPr>
            <w:tcW w:w="1040" w:type="dxa"/>
            <w:vAlign w:val="bottom"/>
            <w:vMerge w:val="restart"/>
          </w:tcPr>
          <w:p>
            <w:pPr>
              <w:jc w:val="right"/>
              <w:ind w:right="121"/>
              <w:spacing w:after="0"/>
              <w:rPr>
                <w:sz w:val="20"/>
                <w:szCs w:val="20"/>
                <w:color w:val="auto"/>
              </w:rPr>
            </w:pPr>
            <w:r>
              <w:rPr>
                <w:rFonts w:ascii="Arial" w:cs="Arial" w:eastAsia="Arial" w:hAnsi="Arial"/>
                <w:sz w:val="10"/>
                <w:szCs w:val="10"/>
                <w:b w:val="1"/>
                <w:bCs w:val="1"/>
                <w:color w:val="143A84"/>
              </w:rPr>
              <w:t>Equity -</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million)</w:t>
            </w: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0"/>
                <w:szCs w:val="10"/>
                <w:b w:val="1"/>
                <w:bCs w:val="1"/>
                <w:color w:val="143A84"/>
              </w:rPr>
              <w:t>Hybrid</w:t>
            </w:r>
          </w:p>
        </w:tc>
        <w:tc>
          <w:tcPr>
            <w:tcW w:w="8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vMerge w:val="restart"/>
          </w:tcPr>
          <w:p>
            <w:pPr>
              <w:jc w:val="right"/>
              <w:ind w:right="40"/>
              <w:spacing w:after="0"/>
              <w:rPr>
                <w:sz w:val="20"/>
                <w:szCs w:val="20"/>
                <w:color w:val="auto"/>
              </w:rPr>
            </w:pPr>
            <w:r>
              <w:rPr>
                <w:rFonts w:ascii="Arial" w:cs="Arial" w:eastAsia="Arial" w:hAnsi="Arial"/>
                <w:sz w:val="10"/>
                <w:szCs w:val="10"/>
                <w:b w:val="1"/>
                <w:bCs w:val="1"/>
                <w:color w:val="143A84"/>
              </w:rPr>
              <w:t>Remeasurement</w:t>
            </w:r>
          </w:p>
        </w:tc>
        <w:tc>
          <w:tcPr>
            <w:tcW w:w="960" w:type="dxa"/>
            <w:vAlign w:val="bottom"/>
          </w:tcPr>
          <w:p>
            <w:pPr>
              <w:jc w:val="right"/>
              <w:ind w:right="102"/>
              <w:spacing w:after="0" w:line="100" w:lineRule="exact"/>
              <w:rPr>
                <w:sz w:val="20"/>
                <w:szCs w:val="20"/>
                <w:color w:val="auto"/>
              </w:rPr>
            </w:pPr>
            <w:r>
              <w:rPr>
                <w:rFonts w:ascii="Arial" w:cs="Arial" w:eastAsia="Arial" w:hAnsi="Arial"/>
                <w:sz w:val="10"/>
                <w:szCs w:val="10"/>
                <w:b w:val="1"/>
                <w:bCs w:val="1"/>
                <w:color w:val="143A84"/>
              </w:rPr>
              <w:t>and losses on</w:t>
            </w: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0"/>
                <w:szCs w:val="10"/>
                <w:b w:val="1"/>
                <w:bCs w:val="1"/>
                <w:color w:val="143A84"/>
              </w:rPr>
              <w:t>Non-</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143A84"/>
              </w:rPr>
              <w:t>Share</w:t>
            </w:r>
          </w:p>
        </w:tc>
        <w:tc>
          <w:tcPr>
            <w:tcW w:w="740" w:type="dxa"/>
            <w:vAlign w:val="bottom"/>
            <w:vMerge w:val="restart"/>
          </w:tcPr>
          <w:p>
            <w:pPr>
              <w:ind w:left="160"/>
              <w:spacing w:after="0"/>
              <w:rPr>
                <w:sz w:val="20"/>
                <w:szCs w:val="20"/>
                <w:color w:val="auto"/>
              </w:rPr>
            </w:pPr>
            <w:r>
              <w:rPr>
                <w:rFonts w:ascii="Arial" w:cs="Arial" w:eastAsia="Arial" w:hAnsi="Arial"/>
                <w:sz w:val="10"/>
                <w:szCs w:val="10"/>
                <w:b w:val="1"/>
                <w:bCs w:val="1"/>
                <w:color w:val="143A84"/>
              </w:rPr>
              <w:t>Treasury</w:t>
            </w:r>
          </w:p>
        </w:tc>
        <w:tc>
          <w:tcPr>
            <w:tcW w:w="720" w:type="dxa"/>
            <w:vAlign w:val="bottom"/>
            <w:vMerge w:val="continue"/>
          </w:tcPr>
          <w:p>
            <w:pPr>
              <w:spacing w:after="0"/>
              <w:rPr>
                <w:sz w:val="9"/>
                <w:szCs w:val="9"/>
                <w:color w:val="auto"/>
              </w:rPr>
            </w:pPr>
          </w:p>
        </w:tc>
        <w:tc>
          <w:tcPr>
            <w:tcW w:w="820" w:type="dxa"/>
            <w:vAlign w:val="bottom"/>
          </w:tcPr>
          <w:p>
            <w:pPr>
              <w:jc w:val="right"/>
              <w:ind w:right="61"/>
              <w:spacing w:after="0" w:line="108" w:lineRule="exact"/>
              <w:rPr>
                <w:sz w:val="20"/>
                <w:szCs w:val="20"/>
                <w:color w:val="auto"/>
              </w:rPr>
            </w:pPr>
            <w:r>
              <w:rPr>
                <w:rFonts w:ascii="Arial" w:cs="Arial" w:eastAsia="Arial" w:hAnsi="Arial"/>
                <w:sz w:val="10"/>
                <w:szCs w:val="10"/>
                <w:b w:val="1"/>
                <w:bCs w:val="1"/>
                <w:color w:val="143A84"/>
              </w:rPr>
              <w:t>earnings and</w:t>
            </w:r>
          </w:p>
        </w:tc>
        <w:tc>
          <w:tcPr>
            <w:tcW w:w="740" w:type="dxa"/>
            <w:vAlign w:val="bottom"/>
            <w:vMerge w:val="restart"/>
          </w:tcPr>
          <w:p>
            <w:pPr>
              <w:jc w:val="right"/>
              <w:ind w:right="99"/>
              <w:spacing w:after="0"/>
              <w:rPr>
                <w:sz w:val="20"/>
                <w:szCs w:val="20"/>
                <w:color w:val="auto"/>
              </w:rPr>
            </w:pPr>
            <w:r>
              <w:rPr>
                <w:rFonts w:ascii="Arial" w:cs="Arial" w:eastAsia="Arial" w:hAnsi="Arial"/>
                <w:sz w:val="10"/>
                <w:szCs w:val="10"/>
                <w:b w:val="1"/>
                <w:bCs w:val="1"/>
                <w:color w:val="143A84"/>
              </w:rPr>
              <w:t>Cash flow</w:t>
            </w:r>
          </w:p>
        </w:tc>
        <w:tc>
          <w:tcPr>
            <w:tcW w:w="1100" w:type="dxa"/>
            <w:vAlign w:val="bottom"/>
            <w:vMerge w:val="continue"/>
          </w:tcPr>
          <w:p>
            <w:pPr>
              <w:spacing w:after="0"/>
              <w:rPr>
                <w:sz w:val="9"/>
                <w:szCs w:val="9"/>
                <w:color w:val="auto"/>
              </w:rPr>
            </w:pPr>
          </w:p>
        </w:tc>
        <w:tc>
          <w:tcPr>
            <w:tcW w:w="960" w:type="dxa"/>
            <w:vAlign w:val="bottom"/>
          </w:tcPr>
          <w:p>
            <w:pPr>
              <w:jc w:val="right"/>
              <w:ind w:right="102"/>
              <w:spacing w:after="0" w:line="108" w:lineRule="exact"/>
              <w:rPr>
                <w:sz w:val="20"/>
                <w:szCs w:val="20"/>
                <w:color w:val="auto"/>
              </w:rPr>
            </w:pPr>
            <w:r>
              <w:rPr>
                <w:rFonts w:ascii="Arial" w:cs="Arial" w:eastAsia="Arial" w:hAnsi="Arial"/>
                <w:sz w:val="10"/>
                <w:szCs w:val="10"/>
                <w:b w:val="1"/>
                <w:bCs w:val="1"/>
                <w:color w:val="143A84"/>
              </w:rPr>
              <w:t>pension</w:t>
            </w:r>
          </w:p>
        </w:tc>
        <w:tc>
          <w:tcPr>
            <w:tcW w:w="760" w:type="dxa"/>
            <w:vAlign w:val="bottom"/>
          </w:tcPr>
          <w:p>
            <w:pPr>
              <w:jc w:val="right"/>
              <w:ind w:right="61"/>
              <w:spacing w:after="0" w:line="108" w:lineRule="exact"/>
              <w:rPr>
                <w:sz w:val="20"/>
                <w:szCs w:val="20"/>
                <w:color w:val="auto"/>
              </w:rPr>
            </w:pPr>
            <w:r>
              <w:rPr>
                <w:rFonts w:ascii="Arial" w:cs="Arial" w:eastAsia="Arial" w:hAnsi="Arial"/>
                <w:sz w:val="10"/>
                <w:szCs w:val="10"/>
                <w:b w:val="1"/>
                <w:bCs w:val="1"/>
                <w:color w:val="143A84"/>
              </w:rPr>
              <w:t>change in</w:t>
            </w:r>
          </w:p>
        </w:tc>
        <w:tc>
          <w:tcPr>
            <w:tcW w:w="920" w:type="dxa"/>
            <w:vAlign w:val="bottom"/>
          </w:tcPr>
          <w:p>
            <w:pPr>
              <w:jc w:val="right"/>
              <w:ind w:right="21"/>
              <w:spacing w:after="0" w:line="108" w:lineRule="exact"/>
              <w:rPr>
                <w:sz w:val="20"/>
                <w:szCs w:val="20"/>
                <w:color w:val="auto"/>
              </w:rPr>
            </w:pPr>
            <w:r>
              <w:rPr>
                <w:rFonts w:ascii="Arial" w:cs="Arial" w:eastAsia="Arial" w:hAnsi="Arial"/>
                <w:sz w:val="10"/>
                <w:szCs w:val="10"/>
                <w:b w:val="1"/>
                <w:bCs w:val="1"/>
                <w:color w:val="143A84"/>
              </w:rPr>
              <w:t>share of OCI of</w:t>
            </w:r>
          </w:p>
        </w:tc>
        <w:tc>
          <w:tcPr>
            <w:tcW w:w="1040" w:type="dxa"/>
            <w:vAlign w:val="bottom"/>
          </w:tcPr>
          <w:p>
            <w:pPr>
              <w:jc w:val="right"/>
              <w:ind w:right="121"/>
              <w:spacing w:after="0" w:line="108" w:lineRule="exact"/>
              <w:rPr>
                <w:sz w:val="20"/>
                <w:szCs w:val="20"/>
                <w:color w:val="auto"/>
              </w:rPr>
            </w:pPr>
            <w:r>
              <w:rPr>
                <w:rFonts w:ascii="Arial" w:cs="Arial" w:eastAsia="Arial" w:hAnsi="Arial"/>
                <w:sz w:val="10"/>
                <w:szCs w:val="10"/>
                <w:b w:val="1"/>
                <w:bCs w:val="1"/>
                <w:color w:val="143A84"/>
              </w:rPr>
              <w:t>Attributable</w:t>
            </w: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tcPr>
          <w:p>
            <w:pPr>
              <w:jc w:val="right"/>
              <w:ind w:right="40"/>
              <w:spacing w:after="0" w:line="95" w:lineRule="exact"/>
              <w:rPr>
                <w:sz w:val="20"/>
                <w:szCs w:val="20"/>
                <w:color w:val="auto"/>
              </w:rPr>
            </w:pPr>
            <w:r>
              <w:rPr>
                <w:rFonts w:ascii="Arial" w:cs="Arial" w:eastAsia="Arial" w:hAnsi="Arial"/>
                <w:sz w:val="10"/>
                <w:szCs w:val="10"/>
                <w:b w:val="1"/>
                <w:bCs w:val="1"/>
                <w:color w:val="143A84"/>
              </w:rPr>
              <w:t>perpetual</w:t>
            </w:r>
          </w:p>
        </w:tc>
        <w:tc>
          <w:tcPr>
            <w:tcW w:w="820" w:type="dxa"/>
            <w:vAlign w:val="bottom"/>
          </w:tcPr>
          <w:p>
            <w:pPr>
              <w:jc w:val="right"/>
              <w:ind w:right="61"/>
              <w:spacing w:after="0" w:line="95" w:lineRule="exact"/>
              <w:rPr>
                <w:sz w:val="20"/>
                <w:szCs w:val="20"/>
                <w:color w:val="auto"/>
              </w:rPr>
            </w:pPr>
            <w:r>
              <w:rPr>
                <w:rFonts w:ascii="Arial" w:cs="Arial" w:eastAsia="Arial" w:hAnsi="Arial"/>
                <w:sz w:val="10"/>
                <w:szCs w:val="10"/>
                <w:b w:val="1"/>
                <w:bCs w:val="1"/>
                <w:color w:val="143A84"/>
              </w:rPr>
              <w:t>other</w:t>
            </w:r>
          </w:p>
        </w:tc>
        <w:tc>
          <w:tcPr>
            <w:tcW w:w="740" w:type="dxa"/>
            <w:vAlign w:val="bottom"/>
            <w:vMerge w:val="continue"/>
          </w:tcPr>
          <w:p>
            <w:pPr>
              <w:spacing w:after="0"/>
              <w:rPr>
                <w:sz w:val="8"/>
                <w:szCs w:val="8"/>
                <w:color w:val="auto"/>
              </w:rPr>
            </w:pPr>
          </w:p>
        </w:tc>
        <w:tc>
          <w:tcPr>
            <w:tcW w:w="1100" w:type="dxa"/>
            <w:vAlign w:val="bottom"/>
          </w:tcPr>
          <w:p>
            <w:pPr>
              <w:jc w:val="right"/>
              <w:ind w:right="20"/>
              <w:spacing w:after="0" w:line="95" w:lineRule="exact"/>
              <w:rPr>
                <w:sz w:val="20"/>
                <w:szCs w:val="20"/>
                <w:color w:val="auto"/>
              </w:rPr>
            </w:pPr>
            <w:r>
              <w:rPr>
                <w:rFonts w:ascii="Arial" w:cs="Arial" w:eastAsia="Arial" w:hAnsi="Arial"/>
                <w:sz w:val="10"/>
                <w:szCs w:val="10"/>
                <w:b w:val="1"/>
                <w:bCs w:val="1"/>
                <w:color w:val="143A84"/>
              </w:rPr>
              <w:t>of the fair value of</w:t>
            </w:r>
          </w:p>
        </w:tc>
        <w:tc>
          <w:tcPr>
            <w:tcW w:w="960" w:type="dxa"/>
            <w:vAlign w:val="bottom"/>
          </w:tcPr>
          <w:p>
            <w:pPr>
              <w:jc w:val="right"/>
              <w:ind w:right="102"/>
              <w:spacing w:after="0" w:line="95" w:lineRule="exact"/>
              <w:rPr>
                <w:sz w:val="20"/>
                <w:szCs w:val="20"/>
                <w:color w:val="auto"/>
              </w:rPr>
            </w:pPr>
            <w:r>
              <w:rPr>
                <w:rFonts w:ascii="Arial" w:cs="Arial" w:eastAsia="Arial" w:hAnsi="Arial"/>
                <w:sz w:val="10"/>
                <w:szCs w:val="10"/>
                <w:b w:val="1"/>
                <w:bCs w:val="1"/>
                <w:color w:val="143A84"/>
              </w:rPr>
              <w:t>obligations</w:t>
            </w:r>
          </w:p>
        </w:tc>
        <w:tc>
          <w:tcPr>
            <w:tcW w:w="760" w:type="dxa"/>
            <w:vAlign w:val="bottom"/>
          </w:tcPr>
          <w:p>
            <w:pPr>
              <w:jc w:val="right"/>
              <w:ind w:right="61"/>
              <w:spacing w:after="0" w:line="95" w:lineRule="exact"/>
              <w:rPr>
                <w:sz w:val="20"/>
                <w:szCs w:val="20"/>
                <w:color w:val="auto"/>
              </w:rPr>
            </w:pPr>
            <w:r>
              <w:rPr>
                <w:rFonts w:ascii="Arial" w:cs="Arial" w:eastAsia="Arial" w:hAnsi="Arial"/>
                <w:sz w:val="10"/>
                <w:szCs w:val="10"/>
                <w:b w:val="1"/>
                <w:bCs w:val="1"/>
                <w:color w:val="143A84"/>
              </w:rPr>
              <w:t>exchange</w:t>
            </w:r>
          </w:p>
        </w:tc>
        <w:tc>
          <w:tcPr>
            <w:tcW w:w="920" w:type="dxa"/>
            <w:vAlign w:val="bottom"/>
          </w:tcPr>
          <w:p>
            <w:pPr>
              <w:jc w:val="right"/>
              <w:ind w:right="21"/>
              <w:spacing w:after="0" w:line="95" w:lineRule="exact"/>
              <w:rPr>
                <w:sz w:val="20"/>
                <w:szCs w:val="20"/>
                <w:color w:val="auto"/>
              </w:rPr>
            </w:pPr>
            <w:r>
              <w:rPr>
                <w:rFonts w:ascii="Arial" w:cs="Arial" w:eastAsia="Arial" w:hAnsi="Arial"/>
                <w:sz w:val="10"/>
                <w:szCs w:val="10"/>
                <w:b w:val="1"/>
                <w:bCs w:val="1"/>
                <w:color w:val="143A84"/>
              </w:rPr>
              <w:t>equity method</w:t>
            </w:r>
          </w:p>
        </w:tc>
        <w:tc>
          <w:tcPr>
            <w:tcW w:w="1040" w:type="dxa"/>
            <w:vAlign w:val="bottom"/>
          </w:tcPr>
          <w:p>
            <w:pPr>
              <w:jc w:val="right"/>
              <w:ind w:right="121"/>
              <w:spacing w:after="0" w:line="95" w:lineRule="exact"/>
              <w:rPr>
                <w:sz w:val="20"/>
                <w:szCs w:val="20"/>
                <w:color w:val="auto"/>
              </w:rPr>
            </w:pPr>
            <w:r>
              <w:rPr>
                <w:rFonts w:ascii="Arial" w:cs="Arial" w:eastAsia="Arial" w:hAnsi="Arial"/>
                <w:sz w:val="10"/>
                <w:szCs w:val="10"/>
                <w:b w:val="1"/>
                <w:bCs w:val="1"/>
                <w:color w:val="143A84"/>
              </w:rPr>
              <w:t>to Owners of the</w:t>
            </w:r>
          </w:p>
        </w:tc>
        <w:tc>
          <w:tcPr>
            <w:tcW w:w="780" w:type="dxa"/>
            <w:vAlign w:val="bottom"/>
          </w:tcPr>
          <w:p>
            <w:pPr>
              <w:jc w:val="right"/>
              <w:ind w:right="60"/>
              <w:spacing w:after="0" w:line="95" w:lineRule="exact"/>
              <w:rPr>
                <w:sz w:val="20"/>
                <w:szCs w:val="20"/>
                <w:color w:val="auto"/>
              </w:rPr>
            </w:pPr>
            <w:r>
              <w:rPr>
                <w:rFonts w:ascii="Arial" w:cs="Arial" w:eastAsia="Arial" w:hAnsi="Arial"/>
                <w:sz w:val="10"/>
                <w:szCs w:val="10"/>
                <w:b w:val="1"/>
                <w:bCs w:val="1"/>
                <w:color w:val="143A84"/>
              </w:rPr>
              <w:t>controlling</w:t>
            </w: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143A84"/>
              </w:rPr>
              <w:t>Total equity</w:t>
            </w:r>
          </w:p>
        </w:tc>
        <w:tc>
          <w:tcPr>
            <w:tcW w:w="0" w:type="dxa"/>
            <w:vAlign w:val="bottom"/>
          </w:tcPr>
          <w:p>
            <w:pPr>
              <w:spacing w:after="0"/>
              <w:rPr>
                <w:sz w:val="1"/>
                <w:szCs w:val="1"/>
                <w:color w:val="auto"/>
              </w:rPr>
            </w:pPr>
          </w:p>
        </w:tc>
      </w:tr>
      <w:tr>
        <w:trPr>
          <w:trHeight w:val="135"/>
        </w:trPr>
        <w:tc>
          <w:tcPr>
            <w:tcW w:w="1400" w:type="dxa"/>
            <w:vAlign w:val="bottom"/>
            <w:tcBorders>
              <w:bottom w:val="single" w:sz="8" w:color="8E939F"/>
            </w:tcBorders>
          </w:tcPr>
          <w:p>
            <w:pPr>
              <w:spacing w:after="0"/>
              <w:rPr>
                <w:sz w:val="11"/>
                <w:szCs w:val="11"/>
                <w:color w:val="auto"/>
              </w:rPr>
            </w:pPr>
          </w:p>
        </w:tc>
        <w:tc>
          <w:tcPr>
            <w:tcW w:w="600" w:type="dxa"/>
            <w:vAlign w:val="bottom"/>
            <w:tcBorders>
              <w:bottom w:val="single" w:sz="8" w:color="8E939F"/>
            </w:tcBorders>
          </w:tcPr>
          <w:p>
            <w:pPr>
              <w:jc w:val="right"/>
              <w:ind w:right="119"/>
              <w:spacing w:after="0"/>
              <w:rPr>
                <w:sz w:val="20"/>
                <w:szCs w:val="20"/>
                <w:color w:val="auto"/>
              </w:rPr>
            </w:pPr>
            <w:r>
              <w:rPr>
                <w:rFonts w:ascii="Arial" w:cs="Arial" w:eastAsia="Arial" w:hAnsi="Arial"/>
                <w:sz w:val="10"/>
                <w:szCs w:val="10"/>
                <w:b w:val="1"/>
                <w:bCs w:val="1"/>
                <w:color w:val="143A84"/>
              </w:rPr>
              <w:t>capital</w:t>
            </w:r>
          </w:p>
        </w:tc>
        <w:tc>
          <w:tcPr>
            <w:tcW w:w="740" w:type="dxa"/>
            <w:vAlign w:val="bottom"/>
            <w:tcBorders>
              <w:bottom w:val="single" w:sz="8" w:color="8E939F"/>
            </w:tcBorders>
          </w:tcPr>
          <w:p>
            <w:pPr>
              <w:ind w:left="240"/>
              <w:spacing w:after="0"/>
              <w:rPr>
                <w:sz w:val="20"/>
                <w:szCs w:val="20"/>
                <w:color w:val="auto"/>
              </w:rPr>
            </w:pPr>
            <w:r>
              <w:rPr>
                <w:rFonts w:ascii="Arial" w:cs="Arial" w:eastAsia="Arial" w:hAnsi="Arial"/>
                <w:sz w:val="10"/>
                <w:szCs w:val="10"/>
                <w:b w:val="1"/>
                <w:bCs w:val="1"/>
                <w:color w:val="143A84"/>
              </w:rPr>
              <w:t>shares</w:t>
            </w:r>
          </w:p>
        </w:tc>
        <w:tc>
          <w:tcPr>
            <w:tcW w:w="720" w:type="dxa"/>
            <w:vAlign w:val="bottom"/>
            <w:tcBorders>
              <w:bottom w:val="single" w:sz="8" w:color="8E939F"/>
            </w:tcBorders>
          </w:tcPr>
          <w:p>
            <w:pPr>
              <w:jc w:val="right"/>
              <w:ind w:right="40"/>
              <w:spacing w:after="0"/>
              <w:rPr>
                <w:sz w:val="20"/>
                <w:szCs w:val="20"/>
                <w:color w:val="auto"/>
              </w:rPr>
            </w:pPr>
            <w:r>
              <w:rPr>
                <w:rFonts w:ascii="Arial" w:cs="Arial" w:eastAsia="Arial" w:hAnsi="Arial"/>
                <w:sz w:val="10"/>
                <w:szCs w:val="10"/>
                <w:b w:val="1"/>
                <w:bCs w:val="1"/>
                <w:color w:val="143A84"/>
              </w:rPr>
              <w:t>notes</w:t>
            </w:r>
          </w:p>
        </w:tc>
        <w:tc>
          <w:tcPr>
            <w:tcW w:w="820" w:type="dxa"/>
            <w:vAlign w:val="bottom"/>
            <w:tcBorders>
              <w:bottom w:val="single" w:sz="8" w:color="8E939F"/>
            </w:tcBorders>
          </w:tcPr>
          <w:p>
            <w:pPr>
              <w:jc w:val="right"/>
              <w:ind w:right="61"/>
              <w:spacing w:after="0"/>
              <w:rPr>
                <w:sz w:val="20"/>
                <w:szCs w:val="20"/>
                <w:color w:val="auto"/>
              </w:rPr>
            </w:pPr>
            <w:r>
              <w:rPr>
                <w:rFonts w:ascii="Arial" w:cs="Arial" w:eastAsia="Arial" w:hAnsi="Arial"/>
                <w:sz w:val="10"/>
                <w:szCs w:val="10"/>
                <w:b w:val="1"/>
                <w:bCs w:val="1"/>
                <w:color w:val="143A84"/>
              </w:rPr>
              <w:t>reserves</w:t>
            </w:r>
          </w:p>
        </w:tc>
        <w:tc>
          <w:tcPr>
            <w:tcW w:w="740" w:type="dxa"/>
            <w:vAlign w:val="bottom"/>
            <w:tcBorders>
              <w:bottom w:val="single" w:sz="8" w:color="8E939F"/>
            </w:tcBorders>
          </w:tcPr>
          <w:p>
            <w:pPr>
              <w:jc w:val="right"/>
              <w:ind w:right="99"/>
              <w:spacing w:after="0"/>
              <w:rPr>
                <w:sz w:val="20"/>
                <w:szCs w:val="20"/>
                <w:color w:val="auto"/>
              </w:rPr>
            </w:pPr>
            <w:r>
              <w:rPr>
                <w:rFonts w:ascii="Arial" w:cs="Arial" w:eastAsia="Arial" w:hAnsi="Arial"/>
                <w:sz w:val="10"/>
                <w:szCs w:val="10"/>
                <w:b w:val="1"/>
                <w:bCs w:val="1"/>
                <w:color w:val="143A84"/>
              </w:rPr>
              <w:t>hedges</w:t>
            </w:r>
          </w:p>
        </w:tc>
        <w:tc>
          <w:tcPr>
            <w:tcW w:w="1100" w:type="dxa"/>
            <w:vAlign w:val="bottom"/>
            <w:tcBorders>
              <w:bottom w:val="single" w:sz="8" w:color="8E939F"/>
            </w:tcBorders>
          </w:tcPr>
          <w:p>
            <w:pPr>
              <w:jc w:val="right"/>
              <w:ind w:right="20"/>
              <w:spacing w:after="0"/>
              <w:rPr>
                <w:sz w:val="20"/>
                <w:szCs w:val="20"/>
                <w:color w:val="auto"/>
              </w:rPr>
            </w:pPr>
            <w:r>
              <w:rPr>
                <w:rFonts w:ascii="Arial" w:cs="Arial" w:eastAsia="Arial" w:hAnsi="Arial"/>
                <w:sz w:val="10"/>
                <w:szCs w:val="10"/>
                <w:b w:val="1"/>
                <w:bCs w:val="1"/>
                <w:color w:val="143A84"/>
              </w:rPr>
              <w:t>financial assets</w:t>
            </w:r>
          </w:p>
        </w:tc>
        <w:tc>
          <w:tcPr>
            <w:tcW w:w="960" w:type="dxa"/>
            <w:vAlign w:val="bottom"/>
            <w:tcBorders>
              <w:bottom w:val="single" w:sz="8" w:color="8E939F"/>
            </w:tcBorders>
          </w:tcPr>
          <w:p>
            <w:pPr>
              <w:jc w:val="right"/>
              <w:ind w:right="102"/>
              <w:spacing w:after="0"/>
              <w:rPr>
                <w:sz w:val="20"/>
                <w:szCs w:val="20"/>
                <w:color w:val="auto"/>
              </w:rPr>
            </w:pPr>
            <w:r>
              <w:rPr>
                <w:rFonts w:ascii="Arial" w:cs="Arial" w:eastAsia="Arial" w:hAnsi="Arial"/>
                <w:sz w:val="10"/>
                <w:szCs w:val="10"/>
                <w:b w:val="1"/>
                <w:bCs w:val="1"/>
                <w:color w:val="143A84"/>
              </w:rPr>
              <w:t>plans</w:t>
            </w:r>
          </w:p>
        </w:tc>
        <w:tc>
          <w:tcPr>
            <w:tcW w:w="760" w:type="dxa"/>
            <w:vAlign w:val="bottom"/>
            <w:tcBorders>
              <w:bottom w:val="single" w:sz="8" w:color="8E939F"/>
            </w:tcBorders>
          </w:tcPr>
          <w:p>
            <w:pPr>
              <w:jc w:val="right"/>
              <w:ind w:right="61"/>
              <w:spacing w:after="0"/>
              <w:rPr>
                <w:sz w:val="20"/>
                <w:szCs w:val="20"/>
                <w:color w:val="auto"/>
              </w:rPr>
            </w:pPr>
            <w:r>
              <w:rPr>
                <w:rFonts w:ascii="Arial" w:cs="Arial" w:eastAsia="Arial" w:hAnsi="Arial"/>
                <w:sz w:val="10"/>
                <w:szCs w:val="10"/>
                <w:b w:val="1"/>
                <w:bCs w:val="1"/>
                <w:color w:val="143A84"/>
              </w:rPr>
              <w:t>rates</w:t>
            </w:r>
          </w:p>
        </w:tc>
        <w:tc>
          <w:tcPr>
            <w:tcW w:w="920" w:type="dxa"/>
            <w:vAlign w:val="bottom"/>
            <w:tcBorders>
              <w:bottom w:val="single" w:sz="8" w:color="8E939F"/>
            </w:tcBorders>
          </w:tcPr>
          <w:p>
            <w:pPr>
              <w:jc w:val="right"/>
              <w:ind w:right="21"/>
              <w:spacing w:after="0"/>
              <w:rPr>
                <w:sz w:val="20"/>
                <w:szCs w:val="20"/>
                <w:color w:val="auto"/>
              </w:rPr>
            </w:pPr>
            <w:r>
              <w:rPr>
                <w:rFonts w:ascii="Arial" w:cs="Arial" w:eastAsia="Arial" w:hAnsi="Arial"/>
                <w:sz w:val="10"/>
                <w:szCs w:val="10"/>
                <w:b w:val="1"/>
                <w:bCs w:val="1"/>
                <w:color w:val="143A84"/>
              </w:rPr>
              <w:t>investees</w:t>
            </w:r>
          </w:p>
        </w:tc>
        <w:tc>
          <w:tcPr>
            <w:tcW w:w="1040" w:type="dxa"/>
            <w:vAlign w:val="bottom"/>
            <w:tcBorders>
              <w:bottom w:val="single" w:sz="8" w:color="8E939F"/>
            </w:tcBorders>
          </w:tcPr>
          <w:p>
            <w:pPr>
              <w:jc w:val="right"/>
              <w:ind w:right="121"/>
              <w:spacing w:after="0"/>
              <w:rPr>
                <w:sz w:val="20"/>
                <w:szCs w:val="20"/>
                <w:color w:val="auto"/>
              </w:rPr>
            </w:pPr>
            <w:r>
              <w:rPr>
                <w:rFonts w:ascii="Arial" w:cs="Arial" w:eastAsia="Arial" w:hAnsi="Arial"/>
                <w:sz w:val="10"/>
                <w:szCs w:val="10"/>
                <w:b w:val="1"/>
                <w:bCs w:val="1"/>
                <w:color w:val="143A84"/>
              </w:rPr>
              <w:t>parent</w:t>
            </w:r>
          </w:p>
        </w:tc>
        <w:tc>
          <w:tcPr>
            <w:tcW w:w="780" w:type="dxa"/>
            <w:vAlign w:val="bottom"/>
            <w:tcBorders>
              <w:bottom w:val="single" w:sz="8" w:color="8E939F"/>
            </w:tcBorders>
          </w:tcPr>
          <w:p>
            <w:pPr>
              <w:jc w:val="right"/>
              <w:ind w:right="60"/>
              <w:spacing w:after="0"/>
              <w:rPr>
                <w:sz w:val="20"/>
                <w:szCs w:val="20"/>
                <w:color w:val="auto"/>
              </w:rPr>
            </w:pPr>
            <w:r>
              <w:rPr>
                <w:rFonts w:ascii="Arial" w:cs="Arial" w:eastAsia="Arial" w:hAnsi="Arial"/>
                <w:sz w:val="10"/>
                <w:szCs w:val="10"/>
                <w:b w:val="1"/>
                <w:bCs w:val="1"/>
                <w:color w:val="143A84"/>
              </w:rPr>
              <w:t>interests</w:t>
            </w:r>
          </w:p>
        </w:tc>
        <w:tc>
          <w:tcPr>
            <w:tcW w:w="660" w:type="dxa"/>
            <w:vAlign w:val="bottom"/>
            <w:tcBorders>
              <w:bottom w:val="single" w:sz="8" w:color="8E939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400" w:type="dxa"/>
            <w:vAlign w:val="bottom"/>
            <w:shd w:val="clear" w:color="auto" w:fill="F3F3F9"/>
          </w:tcPr>
          <w:p>
            <w:pPr>
              <w:ind w:left="20"/>
              <w:spacing w:after="0"/>
              <w:rPr>
                <w:sz w:val="20"/>
                <w:szCs w:val="20"/>
                <w:color w:val="auto"/>
              </w:rPr>
            </w:pPr>
            <w:r>
              <w:rPr>
                <w:rFonts w:ascii="Arial" w:cs="Arial" w:eastAsia="Arial" w:hAnsi="Arial"/>
                <w:sz w:val="13"/>
                <w:szCs w:val="13"/>
                <w:b w:val="1"/>
                <w:bCs w:val="1"/>
                <w:color w:val="143A84"/>
              </w:rPr>
              <w:t>At December 31,</w:t>
            </w:r>
          </w:p>
        </w:tc>
        <w:tc>
          <w:tcPr>
            <w:tcW w:w="600" w:type="dxa"/>
            <w:vAlign w:val="bottom"/>
            <w:vMerge w:val="restart"/>
            <w:shd w:val="clear" w:color="auto" w:fill="F3F3F9"/>
          </w:tcPr>
          <w:p>
            <w:pPr>
              <w:jc w:val="right"/>
              <w:ind w:right="159"/>
              <w:spacing w:after="0"/>
              <w:rPr>
                <w:sz w:val="20"/>
                <w:szCs w:val="20"/>
                <w:color w:val="auto"/>
              </w:rPr>
            </w:pPr>
            <w:r>
              <w:rPr>
                <w:rFonts w:ascii="Arial" w:cs="Arial" w:eastAsia="Arial" w:hAnsi="Arial"/>
                <w:sz w:val="13"/>
                <w:szCs w:val="13"/>
                <w:b w:val="1"/>
                <w:bCs w:val="1"/>
                <w:color w:val="143A84"/>
              </w:rPr>
              <w:t>37</w:t>
            </w:r>
          </w:p>
        </w:tc>
        <w:tc>
          <w:tcPr>
            <w:tcW w:w="740" w:type="dxa"/>
            <w:vAlign w:val="bottom"/>
            <w:vMerge w:val="restart"/>
            <w:shd w:val="clear" w:color="auto" w:fill="F3F3F9"/>
          </w:tcPr>
          <w:p>
            <w:pPr>
              <w:ind w:left="260"/>
              <w:spacing w:after="0"/>
              <w:rPr>
                <w:sz w:val="20"/>
                <w:szCs w:val="20"/>
                <w:color w:val="auto"/>
              </w:rPr>
            </w:pPr>
            <w:r>
              <w:rPr>
                <w:rFonts w:ascii="Arial" w:cs="Arial" w:eastAsia="Arial" w:hAnsi="Arial"/>
                <w:sz w:val="13"/>
                <w:szCs w:val="13"/>
                <w:b w:val="1"/>
                <w:bCs w:val="1"/>
                <w:color w:val="143A84"/>
              </w:rPr>
              <w:t>(285)</w:t>
            </w:r>
          </w:p>
        </w:tc>
        <w:tc>
          <w:tcPr>
            <w:tcW w:w="720" w:type="dxa"/>
            <w:vAlign w:val="bottom"/>
            <w:vMerge w:val="restart"/>
            <w:shd w:val="clear" w:color="auto" w:fill="F3F3F9"/>
          </w:tcPr>
          <w:p>
            <w:pPr>
              <w:jc w:val="right"/>
              <w:ind w:right="80"/>
              <w:spacing w:after="0"/>
              <w:rPr>
                <w:sz w:val="20"/>
                <w:szCs w:val="20"/>
                <w:color w:val="auto"/>
              </w:rPr>
            </w:pPr>
            <w:r>
              <w:rPr>
                <w:rFonts w:ascii="Arial" w:cs="Arial" w:eastAsia="Arial" w:hAnsi="Arial"/>
                <w:sz w:val="13"/>
                <w:szCs w:val="13"/>
                <w:b w:val="1"/>
                <w:bCs w:val="1"/>
                <w:color w:val="143A84"/>
              </w:rPr>
              <w:t>—</w:t>
            </w:r>
          </w:p>
        </w:tc>
        <w:tc>
          <w:tcPr>
            <w:tcW w:w="820" w:type="dxa"/>
            <w:vAlign w:val="bottom"/>
            <w:vMerge w:val="restart"/>
            <w:shd w:val="clear" w:color="auto" w:fill="F3F3F9"/>
          </w:tcPr>
          <w:p>
            <w:pPr>
              <w:jc w:val="right"/>
              <w:ind w:right="101"/>
              <w:spacing w:after="0"/>
              <w:rPr>
                <w:sz w:val="20"/>
                <w:szCs w:val="20"/>
                <w:color w:val="auto"/>
              </w:rPr>
            </w:pPr>
            <w:r>
              <w:rPr>
                <w:rFonts w:ascii="Arial" w:cs="Arial" w:eastAsia="Arial" w:hAnsi="Arial"/>
                <w:sz w:val="13"/>
                <w:szCs w:val="13"/>
                <w:b w:val="1"/>
                <w:bCs w:val="1"/>
                <w:color w:val="143A84"/>
              </w:rPr>
              <w:t>53,267</w:t>
            </w:r>
          </w:p>
        </w:tc>
        <w:tc>
          <w:tcPr>
            <w:tcW w:w="740" w:type="dxa"/>
            <w:vAlign w:val="bottom"/>
            <w:vMerge w:val="restart"/>
            <w:shd w:val="clear" w:color="auto" w:fill="F3F3F9"/>
          </w:tcPr>
          <w:p>
            <w:pPr>
              <w:jc w:val="right"/>
              <w:ind w:right="159"/>
              <w:spacing w:after="0"/>
              <w:rPr>
                <w:sz w:val="20"/>
                <w:szCs w:val="20"/>
                <w:color w:val="auto"/>
              </w:rPr>
            </w:pPr>
            <w:r>
              <w:rPr>
                <w:rFonts w:ascii="Arial" w:cs="Arial" w:eastAsia="Arial" w:hAnsi="Arial"/>
                <w:sz w:val="13"/>
                <w:szCs w:val="13"/>
                <w:b w:val="1"/>
                <w:bCs w:val="1"/>
                <w:color w:val="143A84"/>
              </w:rPr>
              <w:t>106</w:t>
            </w:r>
          </w:p>
        </w:tc>
        <w:tc>
          <w:tcPr>
            <w:tcW w:w="1100" w:type="dxa"/>
            <w:vAlign w:val="bottom"/>
            <w:vMerge w:val="restart"/>
            <w:shd w:val="clear" w:color="auto" w:fill="F3F3F9"/>
          </w:tcPr>
          <w:p>
            <w:pPr>
              <w:jc w:val="right"/>
              <w:ind w:right="60"/>
              <w:spacing w:after="0"/>
              <w:rPr>
                <w:sz w:val="20"/>
                <w:szCs w:val="20"/>
                <w:color w:val="auto"/>
              </w:rPr>
            </w:pPr>
            <w:r>
              <w:rPr>
                <w:rFonts w:ascii="Arial" w:cs="Arial" w:eastAsia="Arial" w:hAnsi="Arial"/>
                <w:sz w:val="13"/>
                <w:szCs w:val="13"/>
                <w:b w:val="1"/>
                <w:bCs w:val="1"/>
                <w:color w:val="143A84"/>
              </w:rPr>
              <w:t>64</w:t>
            </w:r>
          </w:p>
        </w:tc>
        <w:tc>
          <w:tcPr>
            <w:tcW w:w="960" w:type="dxa"/>
            <w:vAlign w:val="bottom"/>
            <w:vMerge w:val="restart"/>
            <w:shd w:val="clear" w:color="auto" w:fill="F3F3F9"/>
          </w:tcPr>
          <w:p>
            <w:pPr>
              <w:jc w:val="right"/>
              <w:ind w:right="142"/>
              <w:spacing w:after="0"/>
              <w:rPr>
                <w:sz w:val="20"/>
                <w:szCs w:val="20"/>
                <w:color w:val="auto"/>
              </w:rPr>
            </w:pPr>
            <w:r>
              <w:rPr>
                <w:rFonts w:ascii="Arial" w:cs="Arial" w:eastAsia="Arial" w:hAnsi="Arial"/>
                <w:sz w:val="13"/>
                <w:szCs w:val="13"/>
                <w:b w:val="1"/>
                <w:bCs w:val="1"/>
                <w:color w:val="143A84"/>
              </w:rPr>
              <w:t>3,442</w:t>
            </w:r>
          </w:p>
        </w:tc>
        <w:tc>
          <w:tcPr>
            <w:tcW w:w="760" w:type="dxa"/>
            <w:vAlign w:val="bottom"/>
            <w:vMerge w:val="restart"/>
            <w:shd w:val="clear" w:color="auto" w:fill="F3F3F9"/>
          </w:tcPr>
          <w:p>
            <w:pPr>
              <w:jc w:val="right"/>
              <w:ind w:right="61"/>
              <w:spacing w:after="0"/>
              <w:rPr>
                <w:sz w:val="20"/>
                <w:szCs w:val="20"/>
                <w:color w:val="auto"/>
              </w:rPr>
            </w:pPr>
            <w:r>
              <w:rPr>
                <w:rFonts w:ascii="Arial" w:cs="Arial" w:eastAsia="Arial" w:hAnsi="Arial"/>
                <w:sz w:val="13"/>
                <w:szCs w:val="13"/>
                <w:b w:val="1"/>
                <w:bCs w:val="1"/>
                <w:color w:val="143A84"/>
              </w:rPr>
              <w:t>(2,489)</w:t>
            </w:r>
          </w:p>
        </w:tc>
        <w:tc>
          <w:tcPr>
            <w:tcW w:w="920" w:type="dxa"/>
            <w:vAlign w:val="bottom"/>
            <w:vMerge w:val="restart"/>
            <w:shd w:val="clear" w:color="auto" w:fill="F3F3F9"/>
          </w:tcPr>
          <w:p>
            <w:pPr>
              <w:jc w:val="right"/>
              <w:ind w:right="41"/>
              <w:spacing w:after="0"/>
              <w:rPr>
                <w:sz w:val="20"/>
                <w:szCs w:val="20"/>
                <w:color w:val="auto"/>
              </w:rPr>
            </w:pPr>
            <w:r>
              <w:rPr>
                <w:rFonts w:ascii="Arial" w:cs="Arial" w:eastAsia="Arial" w:hAnsi="Arial"/>
                <w:sz w:val="13"/>
                <w:szCs w:val="13"/>
                <w:b w:val="1"/>
                <w:bCs w:val="1"/>
                <w:color w:val="143A84"/>
              </w:rPr>
              <w:t>(591)</w:t>
            </w:r>
          </w:p>
        </w:tc>
        <w:tc>
          <w:tcPr>
            <w:tcW w:w="1040" w:type="dxa"/>
            <w:vAlign w:val="bottom"/>
            <w:vMerge w:val="restart"/>
            <w:shd w:val="clear" w:color="auto" w:fill="F3F3F9"/>
          </w:tcPr>
          <w:p>
            <w:pPr>
              <w:jc w:val="right"/>
              <w:ind w:right="161"/>
              <w:spacing w:after="0"/>
              <w:rPr>
                <w:sz w:val="20"/>
                <w:szCs w:val="20"/>
                <w:color w:val="auto"/>
              </w:rPr>
            </w:pPr>
            <w:r>
              <w:rPr>
                <w:rFonts w:ascii="Arial" w:cs="Arial" w:eastAsia="Arial" w:hAnsi="Arial"/>
                <w:sz w:val="13"/>
                <w:szCs w:val="13"/>
                <w:b w:val="1"/>
                <w:bCs w:val="1"/>
                <w:color w:val="143A84"/>
              </w:rPr>
              <w:t>53,551</w:t>
            </w:r>
          </w:p>
        </w:tc>
        <w:tc>
          <w:tcPr>
            <w:tcW w:w="780" w:type="dxa"/>
            <w:vAlign w:val="bottom"/>
            <w:vMerge w:val="restart"/>
            <w:shd w:val="clear" w:color="auto" w:fill="F3F3F9"/>
          </w:tcPr>
          <w:p>
            <w:pPr>
              <w:jc w:val="right"/>
              <w:ind w:right="100"/>
              <w:spacing w:after="0"/>
              <w:rPr>
                <w:sz w:val="20"/>
                <w:szCs w:val="20"/>
                <w:color w:val="auto"/>
              </w:rPr>
            </w:pPr>
            <w:r>
              <w:rPr>
                <w:rFonts w:ascii="Arial" w:cs="Arial" w:eastAsia="Arial" w:hAnsi="Arial"/>
                <w:sz w:val="13"/>
                <w:szCs w:val="13"/>
                <w:b w:val="1"/>
                <w:bCs w:val="1"/>
                <w:color w:val="143A84"/>
              </w:rPr>
              <w:t>450</w:t>
            </w:r>
          </w:p>
        </w:tc>
        <w:tc>
          <w:tcPr>
            <w:tcW w:w="660" w:type="dxa"/>
            <w:vAlign w:val="bottom"/>
            <w:vMerge w:val="restart"/>
            <w:shd w:val="clear" w:color="auto" w:fill="F3F3F9"/>
          </w:tcPr>
          <w:p>
            <w:pPr>
              <w:jc w:val="right"/>
              <w:spacing w:after="0"/>
              <w:rPr>
                <w:sz w:val="20"/>
                <w:szCs w:val="20"/>
                <w:color w:val="auto"/>
              </w:rPr>
            </w:pPr>
            <w:r>
              <w:rPr>
                <w:rFonts w:ascii="Arial" w:cs="Arial" w:eastAsia="Arial" w:hAnsi="Arial"/>
                <w:sz w:val="13"/>
                <w:szCs w:val="13"/>
                <w:b w:val="1"/>
                <w:bCs w:val="1"/>
                <w:color w:val="143A84"/>
              </w:rPr>
              <w:t>54,001</w:t>
            </w:r>
          </w:p>
        </w:tc>
        <w:tc>
          <w:tcPr>
            <w:tcW w:w="0" w:type="dxa"/>
            <w:vAlign w:val="bottom"/>
          </w:tcPr>
          <w:p>
            <w:pPr>
              <w:spacing w:after="0"/>
              <w:rPr>
                <w:sz w:val="1"/>
                <w:szCs w:val="1"/>
                <w:color w:val="auto"/>
              </w:rPr>
            </w:pPr>
          </w:p>
        </w:tc>
      </w:tr>
      <w:tr>
        <w:trPr>
          <w:trHeight w:val="77"/>
        </w:trPr>
        <w:tc>
          <w:tcPr>
            <w:tcW w:w="1400" w:type="dxa"/>
            <w:vAlign w:val="bottom"/>
            <w:vMerge w:val="restart"/>
            <w:shd w:val="clear" w:color="auto" w:fill="F3F3F9"/>
          </w:tcPr>
          <w:p>
            <w:pPr>
              <w:ind w:left="20"/>
              <w:spacing w:after="0"/>
              <w:rPr>
                <w:sz w:val="20"/>
                <w:szCs w:val="20"/>
                <w:color w:val="auto"/>
              </w:rPr>
            </w:pPr>
            <w:r>
              <w:rPr>
                <w:rFonts w:ascii="Arial" w:cs="Arial" w:eastAsia="Arial" w:hAnsi="Arial"/>
                <w:sz w:val="13"/>
                <w:szCs w:val="13"/>
                <w:b w:val="1"/>
                <w:bCs w:val="1"/>
                <w:color w:val="143A84"/>
              </w:rPr>
              <w:t>2025</w:t>
            </w:r>
          </w:p>
        </w:tc>
        <w:tc>
          <w:tcPr>
            <w:tcW w:w="600" w:type="dxa"/>
            <w:vAlign w:val="bottom"/>
            <w:vMerge w:val="continue"/>
            <w:shd w:val="clear" w:color="auto" w:fill="F3F3F9"/>
          </w:tcPr>
          <w:p>
            <w:pPr>
              <w:spacing w:after="0"/>
              <w:rPr>
                <w:sz w:val="6"/>
                <w:szCs w:val="6"/>
                <w:color w:val="auto"/>
              </w:rPr>
            </w:pPr>
          </w:p>
        </w:tc>
        <w:tc>
          <w:tcPr>
            <w:tcW w:w="740" w:type="dxa"/>
            <w:vAlign w:val="bottom"/>
            <w:vMerge w:val="continue"/>
            <w:shd w:val="clear" w:color="auto" w:fill="F3F3F9"/>
          </w:tcPr>
          <w:p>
            <w:pPr>
              <w:spacing w:after="0"/>
              <w:rPr>
                <w:sz w:val="6"/>
                <w:szCs w:val="6"/>
                <w:color w:val="auto"/>
              </w:rPr>
            </w:pPr>
          </w:p>
        </w:tc>
        <w:tc>
          <w:tcPr>
            <w:tcW w:w="720" w:type="dxa"/>
            <w:vAlign w:val="bottom"/>
            <w:vMerge w:val="continue"/>
            <w:shd w:val="clear" w:color="auto" w:fill="F3F3F9"/>
          </w:tcPr>
          <w:p>
            <w:pPr>
              <w:spacing w:after="0"/>
              <w:rPr>
                <w:sz w:val="6"/>
                <w:szCs w:val="6"/>
                <w:color w:val="auto"/>
              </w:rPr>
            </w:pPr>
          </w:p>
        </w:tc>
        <w:tc>
          <w:tcPr>
            <w:tcW w:w="820" w:type="dxa"/>
            <w:vAlign w:val="bottom"/>
            <w:vMerge w:val="continue"/>
            <w:shd w:val="clear" w:color="auto" w:fill="F3F3F9"/>
          </w:tcPr>
          <w:p>
            <w:pPr>
              <w:spacing w:after="0"/>
              <w:rPr>
                <w:sz w:val="6"/>
                <w:szCs w:val="6"/>
                <w:color w:val="auto"/>
              </w:rPr>
            </w:pPr>
          </w:p>
        </w:tc>
        <w:tc>
          <w:tcPr>
            <w:tcW w:w="740" w:type="dxa"/>
            <w:vAlign w:val="bottom"/>
            <w:vMerge w:val="continue"/>
            <w:shd w:val="clear" w:color="auto" w:fill="F3F3F9"/>
          </w:tcPr>
          <w:p>
            <w:pPr>
              <w:spacing w:after="0"/>
              <w:rPr>
                <w:sz w:val="6"/>
                <w:szCs w:val="6"/>
                <w:color w:val="auto"/>
              </w:rPr>
            </w:pPr>
          </w:p>
        </w:tc>
        <w:tc>
          <w:tcPr>
            <w:tcW w:w="1100" w:type="dxa"/>
            <w:vAlign w:val="bottom"/>
            <w:vMerge w:val="continue"/>
            <w:shd w:val="clear" w:color="auto" w:fill="F3F3F9"/>
          </w:tcPr>
          <w:p>
            <w:pPr>
              <w:spacing w:after="0"/>
              <w:rPr>
                <w:sz w:val="6"/>
                <w:szCs w:val="6"/>
                <w:color w:val="auto"/>
              </w:rPr>
            </w:pPr>
          </w:p>
        </w:tc>
        <w:tc>
          <w:tcPr>
            <w:tcW w:w="960" w:type="dxa"/>
            <w:vAlign w:val="bottom"/>
            <w:vMerge w:val="continue"/>
            <w:shd w:val="clear" w:color="auto" w:fill="F3F3F9"/>
          </w:tcPr>
          <w:p>
            <w:pPr>
              <w:spacing w:after="0"/>
              <w:rPr>
                <w:sz w:val="6"/>
                <w:szCs w:val="6"/>
                <w:color w:val="auto"/>
              </w:rPr>
            </w:pPr>
          </w:p>
        </w:tc>
        <w:tc>
          <w:tcPr>
            <w:tcW w:w="760" w:type="dxa"/>
            <w:vAlign w:val="bottom"/>
            <w:vMerge w:val="continue"/>
            <w:shd w:val="clear" w:color="auto" w:fill="F3F3F9"/>
          </w:tcPr>
          <w:p>
            <w:pPr>
              <w:spacing w:after="0"/>
              <w:rPr>
                <w:sz w:val="6"/>
                <w:szCs w:val="6"/>
                <w:color w:val="auto"/>
              </w:rPr>
            </w:pPr>
          </w:p>
        </w:tc>
        <w:tc>
          <w:tcPr>
            <w:tcW w:w="920" w:type="dxa"/>
            <w:vAlign w:val="bottom"/>
            <w:vMerge w:val="continue"/>
            <w:shd w:val="clear" w:color="auto" w:fill="F3F3F9"/>
          </w:tcPr>
          <w:p>
            <w:pPr>
              <w:spacing w:after="0"/>
              <w:rPr>
                <w:sz w:val="6"/>
                <w:szCs w:val="6"/>
                <w:color w:val="auto"/>
              </w:rPr>
            </w:pPr>
          </w:p>
        </w:tc>
        <w:tc>
          <w:tcPr>
            <w:tcW w:w="1040" w:type="dxa"/>
            <w:vAlign w:val="bottom"/>
            <w:vMerge w:val="continue"/>
            <w:shd w:val="clear" w:color="auto" w:fill="F3F3F9"/>
          </w:tcPr>
          <w:p>
            <w:pPr>
              <w:spacing w:after="0"/>
              <w:rPr>
                <w:sz w:val="6"/>
                <w:szCs w:val="6"/>
                <w:color w:val="auto"/>
              </w:rPr>
            </w:pPr>
          </w:p>
        </w:tc>
        <w:tc>
          <w:tcPr>
            <w:tcW w:w="780" w:type="dxa"/>
            <w:vAlign w:val="bottom"/>
            <w:vMerge w:val="continue"/>
            <w:shd w:val="clear" w:color="auto" w:fill="F3F3F9"/>
          </w:tcPr>
          <w:p>
            <w:pPr>
              <w:spacing w:after="0"/>
              <w:rPr>
                <w:sz w:val="6"/>
                <w:szCs w:val="6"/>
                <w:color w:val="auto"/>
              </w:rPr>
            </w:pPr>
          </w:p>
        </w:tc>
        <w:tc>
          <w:tcPr>
            <w:tcW w:w="660" w:type="dxa"/>
            <w:vAlign w:val="bottom"/>
            <w:vMerge w:val="continue"/>
            <w:shd w:val="clear" w:color="auto" w:fill="F3F3F9"/>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400" w:type="dxa"/>
            <w:vAlign w:val="bottom"/>
            <w:tcBorders>
              <w:bottom w:val="single" w:sz="8" w:color="8E939F"/>
            </w:tcBorders>
            <w:vMerge w:val="continue"/>
            <w:shd w:val="clear" w:color="auto" w:fill="F3F3F9"/>
          </w:tcPr>
          <w:p>
            <w:pPr>
              <w:spacing w:after="0"/>
              <w:rPr>
                <w:sz w:val="8"/>
                <w:szCs w:val="8"/>
                <w:color w:val="auto"/>
              </w:rPr>
            </w:pPr>
          </w:p>
        </w:tc>
        <w:tc>
          <w:tcPr>
            <w:tcW w:w="600" w:type="dxa"/>
            <w:vAlign w:val="bottom"/>
            <w:tcBorders>
              <w:bottom w:val="single" w:sz="8" w:color="8E939F"/>
            </w:tcBorders>
            <w:shd w:val="clear" w:color="auto" w:fill="F3F3F9"/>
          </w:tcPr>
          <w:p>
            <w:pPr>
              <w:spacing w:after="0"/>
              <w:rPr>
                <w:sz w:val="8"/>
                <w:szCs w:val="8"/>
                <w:color w:val="auto"/>
              </w:rPr>
            </w:pPr>
          </w:p>
        </w:tc>
        <w:tc>
          <w:tcPr>
            <w:tcW w:w="740" w:type="dxa"/>
            <w:vAlign w:val="bottom"/>
            <w:tcBorders>
              <w:bottom w:val="single" w:sz="8" w:color="8E939F"/>
            </w:tcBorders>
            <w:shd w:val="clear" w:color="auto" w:fill="F3F3F9"/>
          </w:tcPr>
          <w:p>
            <w:pPr>
              <w:spacing w:after="0"/>
              <w:rPr>
                <w:sz w:val="8"/>
                <w:szCs w:val="8"/>
                <w:color w:val="auto"/>
              </w:rPr>
            </w:pPr>
          </w:p>
        </w:tc>
        <w:tc>
          <w:tcPr>
            <w:tcW w:w="720" w:type="dxa"/>
            <w:vAlign w:val="bottom"/>
            <w:tcBorders>
              <w:bottom w:val="single" w:sz="8" w:color="8E939F"/>
            </w:tcBorders>
            <w:shd w:val="clear" w:color="auto" w:fill="F3F3F9"/>
          </w:tcPr>
          <w:p>
            <w:pPr>
              <w:spacing w:after="0"/>
              <w:rPr>
                <w:sz w:val="8"/>
                <w:szCs w:val="8"/>
                <w:color w:val="auto"/>
              </w:rPr>
            </w:pPr>
          </w:p>
        </w:tc>
        <w:tc>
          <w:tcPr>
            <w:tcW w:w="820" w:type="dxa"/>
            <w:vAlign w:val="bottom"/>
            <w:tcBorders>
              <w:bottom w:val="single" w:sz="8" w:color="8E939F"/>
            </w:tcBorders>
            <w:shd w:val="clear" w:color="auto" w:fill="F3F3F9"/>
          </w:tcPr>
          <w:p>
            <w:pPr>
              <w:spacing w:after="0"/>
              <w:rPr>
                <w:sz w:val="8"/>
                <w:szCs w:val="8"/>
                <w:color w:val="auto"/>
              </w:rPr>
            </w:pPr>
          </w:p>
        </w:tc>
        <w:tc>
          <w:tcPr>
            <w:tcW w:w="740" w:type="dxa"/>
            <w:vAlign w:val="bottom"/>
            <w:tcBorders>
              <w:bottom w:val="single" w:sz="8" w:color="8E939F"/>
            </w:tcBorders>
            <w:shd w:val="clear" w:color="auto" w:fill="F3F3F9"/>
          </w:tcPr>
          <w:p>
            <w:pPr>
              <w:spacing w:after="0"/>
              <w:rPr>
                <w:sz w:val="8"/>
                <w:szCs w:val="8"/>
                <w:color w:val="auto"/>
              </w:rPr>
            </w:pPr>
          </w:p>
        </w:tc>
        <w:tc>
          <w:tcPr>
            <w:tcW w:w="1100" w:type="dxa"/>
            <w:vAlign w:val="bottom"/>
            <w:tcBorders>
              <w:bottom w:val="single" w:sz="8" w:color="8E939F"/>
            </w:tcBorders>
            <w:shd w:val="clear" w:color="auto" w:fill="F3F3F9"/>
          </w:tcPr>
          <w:p>
            <w:pPr>
              <w:spacing w:after="0"/>
              <w:rPr>
                <w:sz w:val="8"/>
                <w:szCs w:val="8"/>
                <w:color w:val="auto"/>
              </w:rPr>
            </w:pPr>
          </w:p>
        </w:tc>
        <w:tc>
          <w:tcPr>
            <w:tcW w:w="960" w:type="dxa"/>
            <w:vAlign w:val="bottom"/>
            <w:tcBorders>
              <w:bottom w:val="single" w:sz="8" w:color="8E939F"/>
            </w:tcBorders>
            <w:shd w:val="clear" w:color="auto" w:fill="F3F3F9"/>
          </w:tcPr>
          <w:p>
            <w:pPr>
              <w:spacing w:after="0"/>
              <w:rPr>
                <w:sz w:val="8"/>
                <w:szCs w:val="8"/>
                <w:color w:val="auto"/>
              </w:rPr>
            </w:pPr>
          </w:p>
        </w:tc>
        <w:tc>
          <w:tcPr>
            <w:tcW w:w="760" w:type="dxa"/>
            <w:vAlign w:val="bottom"/>
            <w:tcBorders>
              <w:bottom w:val="single" w:sz="8" w:color="8E939F"/>
            </w:tcBorders>
            <w:shd w:val="clear" w:color="auto" w:fill="F3F3F9"/>
          </w:tcPr>
          <w:p>
            <w:pPr>
              <w:spacing w:after="0"/>
              <w:rPr>
                <w:sz w:val="8"/>
                <w:szCs w:val="8"/>
                <w:color w:val="auto"/>
              </w:rPr>
            </w:pPr>
          </w:p>
        </w:tc>
        <w:tc>
          <w:tcPr>
            <w:tcW w:w="920" w:type="dxa"/>
            <w:vAlign w:val="bottom"/>
            <w:tcBorders>
              <w:bottom w:val="single" w:sz="8" w:color="8E939F"/>
            </w:tcBorders>
            <w:shd w:val="clear" w:color="auto" w:fill="F3F3F9"/>
          </w:tcPr>
          <w:p>
            <w:pPr>
              <w:spacing w:after="0"/>
              <w:rPr>
                <w:sz w:val="8"/>
                <w:szCs w:val="8"/>
                <w:color w:val="auto"/>
              </w:rPr>
            </w:pPr>
          </w:p>
        </w:tc>
        <w:tc>
          <w:tcPr>
            <w:tcW w:w="1040" w:type="dxa"/>
            <w:vAlign w:val="bottom"/>
            <w:tcBorders>
              <w:bottom w:val="single" w:sz="8" w:color="8E939F"/>
            </w:tcBorders>
            <w:shd w:val="clear" w:color="auto" w:fill="F3F3F9"/>
          </w:tcPr>
          <w:p>
            <w:pPr>
              <w:spacing w:after="0"/>
              <w:rPr>
                <w:sz w:val="8"/>
                <w:szCs w:val="8"/>
                <w:color w:val="auto"/>
              </w:rPr>
            </w:pPr>
          </w:p>
        </w:tc>
        <w:tc>
          <w:tcPr>
            <w:tcW w:w="780" w:type="dxa"/>
            <w:vAlign w:val="bottom"/>
            <w:tcBorders>
              <w:bottom w:val="single" w:sz="8" w:color="8E939F"/>
            </w:tcBorders>
            <w:shd w:val="clear" w:color="auto" w:fill="F3F3F9"/>
          </w:tcPr>
          <w:p>
            <w:pPr>
              <w:spacing w:after="0"/>
              <w:rPr>
                <w:sz w:val="8"/>
                <w:szCs w:val="8"/>
                <w:color w:val="auto"/>
              </w:rPr>
            </w:pPr>
          </w:p>
        </w:tc>
        <w:tc>
          <w:tcPr>
            <w:tcW w:w="660" w:type="dxa"/>
            <w:vAlign w:val="bottom"/>
            <w:tcBorders>
              <w:bottom w:val="single" w:sz="8" w:color="8E939F"/>
            </w:tcBorders>
            <w:shd w:val="clear" w:color="auto" w:fill="F3F3F9"/>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60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01"/>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59"/>
              <w:spacing w:after="0"/>
              <w:rPr>
                <w:sz w:val="20"/>
                <w:szCs w:val="20"/>
                <w:color w:val="auto"/>
              </w:rPr>
            </w:pPr>
            <w:r>
              <w:rPr>
                <w:rFonts w:ascii="Arial" w:cs="Arial" w:eastAsia="Arial" w:hAnsi="Arial"/>
                <w:sz w:val="13"/>
                <w:szCs w:val="13"/>
                <w:color w:val="auto"/>
              </w:rPr>
              <w:t>147</w:t>
            </w:r>
          </w:p>
        </w:tc>
        <w:tc>
          <w:tcPr>
            <w:tcW w:w="1100" w:type="dxa"/>
            <w:vAlign w:val="bottom"/>
            <w:vMerge w:val="restart"/>
          </w:tcPr>
          <w:p>
            <w:pPr>
              <w:jc w:val="right"/>
              <w:ind w:right="40"/>
              <w:spacing w:after="0"/>
              <w:rPr>
                <w:sz w:val="20"/>
                <w:szCs w:val="20"/>
                <w:color w:val="auto"/>
              </w:rPr>
            </w:pPr>
            <w:r>
              <w:rPr>
                <w:rFonts w:ascii="Arial" w:cs="Arial" w:eastAsia="Arial" w:hAnsi="Arial"/>
                <w:sz w:val="13"/>
                <w:szCs w:val="13"/>
                <w:color w:val="auto"/>
              </w:rPr>
              <w:t>(5)</w:t>
            </w:r>
          </w:p>
        </w:tc>
        <w:tc>
          <w:tcPr>
            <w:tcW w:w="960" w:type="dxa"/>
            <w:vAlign w:val="bottom"/>
            <w:vMerge w:val="restart"/>
          </w:tcPr>
          <w:p>
            <w:pPr>
              <w:jc w:val="right"/>
              <w:ind w:right="142"/>
              <w:spacing w:after="0"/>
              <w:rPr>
                <w:sz w:val="20"/>
                <w:szCs w:val="20"/>
                <w:color w:val="auto"/>
              </w:rPr>
            </w:pPr>
            <w:r>
              <w:rPr>
                <w:rFonts w:ascii="Arial" w:cs="Arial" w:eastAsia="Arial" w:hAnsi="Arial"/>
                <w:sz w:val="13"/>
                <w:szCs w:val="13"/>
                <w:color w:val="auto"/>
              </w:rPr>
              <w:t>424</w:t>
            </w:r>
          </w:p>
        </w:tc>
        <w:tc>
          <w:tcPr>
            <w:tcW w:w="760" w:type="dxa"/>
            <w:vAlign w:val="bottom"/>
            <w:vMerge w:val="restart"/>
          </w:tcPr>
          <w:p>
            <w:pPr>
              <w:jc w:val="right"/>
              <w:ind w:right="101"/>
              <w:spacing w:after="0"/>
              <w:rPr>
                <w:sz w:val="20"/>
                <w:szCs w:val="20"/>
                <w:color w:val="auto"/>
              </w:rPr>
            </w:pPr>
            <w:r>
              <w:rPr>
                <w:rFonts w:ascii="Arial" w:cs="Arial" w:eastAsia="Arial" w:hAnsi="Arial"/>
                <w:sz w:val="13"/>
                <w:szCs w:val="13"/>
                <w:color w:val="auto"/>
              </w:rPr>
              <w:t>1,808</w:t>
            </w:r>
          </w:p>
        </w:tc>
        <w:tc>
          <w:tcPr>
            <w:tcW w:w="920" w:type="dxa"/>
            <w:vAlign w:val="bottom"/>
            <w:vMerge w:val="restart"/>
          </w:tcPr>
          <w:p>
            <w:pPr>
              <w:jc w:val="right"/>
              <w:ind w:right="81"/>
              <w:spacing w:after="0"/>
              <w:rPr>
                <w:sz w:val="20"/>
                <w:szCs w:val="20"/>
                <w:color w:val="auto"/>
              </w:rPr>
            </w:pPr>
            <w:r>
              <w:rPr>
                <w:rFonts w:ascii="Arial" w:cs="Arial" w:eastAsia="Arial" w:hAnsi="Arial"/>
                <w:sz w:val="13"/>
                <w:szCs w:val="13"/>
                <w:color w:val="auto"/>
              </w:rPr>
              <w:t>92</w:t>
            </w: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auto"/>
              </w:rPr>
              <w:t>2,466</w:t>
            </w:r>
          </w:p>
        </w:tc>
        <w:tc>
          <w:tcPr>
            <w:tcW w:w="780" w:type="dxa"/>
            <w:vAlign w:val="bottom"/>
            <w:vMerge w:val="restart"/>
          </w:tcPr>
          <w:p>
            <w:pPr>
              <w:jc w:val="right"/>
              <w:ind w:right="100"/>
              <w:spacing w:after="0"/>
              <w:rPr>
                <w:sz w:val="20"/>
                <w:szCs w:val="20"/>
                <w:color w:val="auto"/>
              </w:rPr>
            </w:pPr>
            <w:r>
              <w:rPr>
                <w:rFonts w:ascii="Arial" w:cs="Arial" w:eastAsia="Arial" w:hAnsi="Arial"/>
                <w:sz w:val="13"/>
                <w:szCs w:val="13"/>
                <w:color w:val="auto"/>
              </w:rPr>
              <w:t>6</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2,472</w:t>
            </w:r>
          </w:p>
        </w:tc>
        <w:tc>
          <w:tcPr>
            <w:tcW w:w="0" w:type="dxa"/>
            <w:vAlign w:val="bottom"/>
          </w:tcPr>
          <w:p>
            <w:pPr>
              <w:spacing w:after="0"/>
              <w:rPr>
                <w:sz w:val="1"/>
                <w:szCs w:val="1"/>
                <w:color w:val="auto"/>
              </w:rPr>
            </w:pPr>
          </w:p>
        </w:tc>
      </w:tr>
      <w:tr>
        <w:trPr>
          <w:trHeight w:val="71"/>
        </w:trPr>
        <w:tc>
          <w:tcPr>
            <w:tcW w:w="1400" w:type="dxa"/>
            <w:vAlign w:val="bottom"/>
            <w:vMerge w:val="restart"/>
          </w:tcPr>
          <w:p>
            <w:pPr>
              <w:ind w:left="20"/>
              <w:spacing w:after="0"/>
              <w:rPr>
                <w:sz w:val="20"/>
                <w:szCs w:val="20"/>
                <w:color w:val="auto"/>
              </w:rPr>
            </w:pPr>
            <w:r>
              <w:rPr>
                <w:rFonts w:ascii="Arial" w:cs="Arial" w:eastAsia="Arial" w:hAnsi="Arial"/>
                <w:sz w:val="13"/>
                <w:szCs w:val="13"/>
                <w:color w:val="auto"/>
              </w:rPr>
              <w:t>income</w:t>
            </w: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00" w:type="dxa"/>
            <w:vAlign w:val="bottom"/>
            <w:tcBorders>
              <w:bottom w:val="single" w:sz="8" w:color="8E939F"/>
            </w:tcBorders>
            <w:vMerge w:val="continue"/>
          </w:tcPr>
          <w:p>
            <w:pPr>
              <w:spacing w:after="0"/>
              <w:rPr>
                <w:sz w:val="8"/>
                <w:szCs w:val="8"/>
                <w:color w:val="auto"/>
              </w:rPr>
            </w:pPr>
          </w:p>
        </w:tc>
        <w:tc>
          <w:tcPr>
            <w:tcW w:w="600" w:type="dxa"/>
            <w:vAlign w:val="bottom"/>
            <w:tcBorders>
              <w:bottom w:val="single" w:sz="8" w:color="8E939F"/>
            </w:tcBorders>
          </w:tcPr>
          <w:p>
            <w:pPr>
              <w:spacing w:after="0"/>
              <w:rPr>
                <w:sz w:val="8"/>
                <w:szCs w:val="8"/>
                <w:color w:val="auto"/>
              </w:rPr>
            </w:pPr>
          </w:p>
        </w:tc>
        <w:tc>
          <w:tcPr>
            <w:tcW w:w="740" w:type="dxa"/>
            <w:vAlign w:val="bottom"/>
            <w:tcBorders>
              <w:bottom w:val="single" w:sz="8" w:color="8E939F"/>
            </w:tcBorders>
          </w:tcPr>
          <w:p>
            <w:pPr>
              <w:spacing w:after="0"/>
              <w:rPr>
                <w:sz w:val="8"/>
                <w:szCs w:val="8"/>
                <w:color w:val="auto"/>
              </w:rPr>
            </w:pPr>
          </w:p>
        </w:tc>
        <w:tc>
          <w:tcPr>
            <w:tcW w:w="720" w:type="dxa"/>
            <w:vAlign w:val="bottom"/>
            <w:tcBorders>
              <w:bottom w:val="single" w:sz="8" w:color="8E939F"/>
            </w:tcBorders>
          </w:tcPr>
          <w:p>
            <w:pPr>
              <w:spacing w:after="0"/>
              <w:rPr>
                <w:sz w:val="8"/>
                <w:szCs w:val="8"/>
                <w:color w:val="auto"/>
              </w:rPr>
            </w:pPr>
          </w:p>
        </w:tc>
        <w:tc>
          <w:tcPr>
            <w:tcW w:w="820" w:type="dxa"/>
            <w:vAlign w:val="bottom"/>
            <w:tcBorders>
              <w:bottom w:val="single" w:sz="8" w:color="8E939F"/>
            </w:tcBorders>
          </w:tcPr>
          <w:p>
            <w:pPr>
              <w:spacing w:after="0"/>
              <w:rPr>
                <w:sz w:val="8"/>
                <w:szCs w:val="8"/>
                <w:color w:val="auto"/>
              </w:rPr>
            </w:pPr>
          </w:p>
        </w:tc>
        <w:tc>
          <w:tcPr>
            <w:tcW w:w="740" w:type="dxa"/>
            <w:vAlign w:val="bottom"/>
            <w:tcBorders>
              <w:bottom w:val="single" w:sz="8" w:color="8E939F"/>
            </w:tcBorders>
          </w:tcPr>
          <w:p>
            <w:pPr>
              <w:spacing w:after="0"/>
              <w:rPr>
                <w:sz w:val="8"/>
                <w:szCs w:val="8"/>
                <w:color w:val="auto"/>
              </w:rPr>
            </w:pPr>
          </w:p>
        </w:tc>
        <w:tc>
          <w:tcPr>
            <w:tcW w:w="1100" w:type="dxa"/>
            <w:vAlign w:val="bottom"/>
            <w:tcBorders>
              <w:bottom w:val="single" w:sz="8" w:color="8E939F"/>
            </w:tcBorders>
          </w:tcPr>
          <w:p>
            <w:pPr>
              <w:spacing w:after="0"/>
              <w:rPr>
                <w:sz w:val="8"/>
                <w:szCs w:val="8"/>
                <w:color w:val="auto"/>
              </w:rPr>
            </w:pPr>
          </w:p>
        </w:tc>
        <w:tc>
          <w:tcPr>
            <w:tcW w:w="960" w:type="dxa"/>
            <w:vAlign w:val="bottom"/>
            <w:tcBorders>
              <w:bottom w:val="single" w:sz="8" w:color="8E939F"/>
            </w:tcBorders>
          </w:tcPr>
          <w:p>
            <w:pPr>
              <w:spacing w:after="0"/>
              <w:rPr>
                <w:sz w:val="8"/>
                <w:szCs w:val="8"/>
                <w:color w:val="auto"/>
              </w:rPr>
            </w:pPr>
          </w:p>
        </w:tc>
        <w:tc>
          <w:tcPr>
            <w:tcW w:w="760" w:type="dxa"/>
            <w:vAlign w:val="bottom"/>
            <w:tcBorders>
              <w:bottom w:val="single" w:sz="8" w:color="8E939F"/>
            </w:tcBorders>
          </w:tcPr>
          <w:p>
            <w:pPr>
              <w:spacing w:after="0"/>
              <w:rPr>
                <w:sz w:val="8"/>
                <w:szCs w:val="8"/>
                <w:color w:val="auto"/>
              </w:rPr>
            </w:pPr>
          </w:p>
        </w:tc>
        <w:tc>
          <w:tcPr>
            <w:tcW w:w="920" w:type="dxa"/>
            <w:vAlign w:val="bottom"/>
            <w:tcBorders>
              <w:bottom w:val="single" w:sz="8" w:color="8E939F"/>
            </w:tcBorders>
          </w:tcPr>
          <w:p>
            <w:pPr>
              <w:spacing w:after="0"/>
              <w:rPr>
                <w:sz w:val="8"/>
                <w:szCs w:val="8"/>
                <w:color w:val="auto"/>
              </w:rPr>
            </w:pPr>
          </w:p>
        </w:tc>
        <w:tc>
          <w:tcPr>
            <w:tcW w:w="1040" w:type="dxa"/>
            <w:vAlign w:val="bottom"/>
            <w:tcBorders>
              <w:bottom w:val="single" w:sz="8" w:color="8E939F"/>
            </w:tcBorders>
          </w:tcPr>
          <w:p>
            <w:pPr>
              <w:spacing w:after="0"/>
              <w:rPr>
                <w:sz w:val="8"/>
                <w:szCs w:val="8"/>
                <w:color w:val="auto"/>
              </w:rPr>
            </w:pPr>
          </w:p>
        </w:tc>
        <w:tc>
          <w:tcPr>
            <w:tcW w:w="780" w:type="dxa"/>
            <w:vAlign w:val="bottom"/>
            <w:tcBorders>
              <w:bottom w:val="single" w:sz="8" w:color="8E939F"/>
            </w:tcBorders>
          </w:tcPr>
          <w:p>
            <w:pPr>
              <w:spacing w:after="0"/>
              <w:rPr>
                <w:sz w:val="8"/>
                <w:szCs w:val="8"/>
                <w:color w:val="auto"/>
              </w:rPr>
            </w:pPr>
          </w:p>
        </w:tc>
        <w:tc>
          <w:tcPr>
            <w:tcW w:w="66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3"/>
                <w:szCs w:val="13"/>
                <w:color w:val="auto"/>
              </w:rPr>
              <w:t>Net profit/(loss)</w:t>
            </w: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tcPr>
          <w:p>
            <w:pPr>
              <w:ind w:left="4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01"/>
              <w:spacing w:after="0"/>
              <w:rPr>
                <w:sz w:val="20"/>
                <w:szCs w:val="20"/>
                <w:color w:val="auto"/>
              </w:rPr>
            </w:pPr>
            <w:r>
              <w:rPr>
                <w:rFonts w:ascii="Arial" w:cs="Arial" w:eastAsia="Arial" w:hAnsi="Arial"/>
                <w:sz w:val="13"/>
                <w:szCs w:val="13"/>
                <w:color w:val="auto"/>
              </w:rPr>
              <w:t>186</w:t>
            </w:r>
          </w:p>
        </w:tc>
        <w:tc>
          <w:tcPr>
            <w:tcW w:w="74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1"/>
              <w:spacing w:after="0"/>
              <w:rPr>
                <w:sz w:val="20"/>
                <w:szCs w:val="20"/>
                <w:color w:val="auto"/>
              </w:rPr>
            </w:pPr>
            <w:r>
              <w:rPr>
                <w:rFonts w:ascii="Arial" w:cs="Arial" w:eastAsia="Arial" w:hAnsi="Arial"/>
                <w:sz w:val="13"/>
                <w:szCs w:val="13"/>
                <w:color w:val="auto"/>
              </w:rPr>
              <w:t>186</w:t>
            </w:r>
          </w:p>
        </w:tc>
        <w:tc>
          <w:tcPr>
            <w:tcW w:w="780" w:type="dxa"/>
            <w:vAlign w:val="bottom"/>
          </w:tcPr>
          <w:p>
            <w:pPr>
              <w:jc w:val="right"/>
              <w:ind w:right="100"/>
              <w:spacing w:after="0"/>
              <w:rPr>
                <w:sz w:val="20"/>
                <w:szCs w:val="20"/>
                <w:color w:val="auto"/>
              </w:rPr>
            </w:pPr>
            <w:r>
              <w:rPr>
                <w:rFonts w:ascii="Arial" w:cs="Arial" w:eastAsia="Arial" w:hAnsi="Arial"/>
                <w:sz w:val="13"/>
                <w:szCs w:val="13"/>
                <w:color w:val="auto"/>
              </w:rPr>
              <w:t>31</w:t>
            </w:r>
          </w:p>
        </w:tc>
        <w:tc>
          <w:tcPr>
            <w:tcW w:w="660" w:type="dxa"/>
            <w:vAlign w:val="bottom"/>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8"/>
        </w:trPr>
        <w:tc>
          <w:tcPr>
            <w:tcW w:w="1400" w:type="dxa"/>
            <w:vAlign w:val="bottom"/>
            <w:tcBorders>
              <w:bottom w:val="single" w:sz="8" w:color="8E939F"/>
            </w:tcBorders>
          </w:tcPr>
          <w:p>
            <w:pPr>
              <w:spacing w:after="0"/>
              <w:rPr>
                <w:sz w:val="2"/>
                <w:szCs w:val="2"/>
                <w:color w:val="auto"/>
              </w:rPr>
            </w:pPr>
          </w:p>
        </w:tc>
        <w:tc>
          <w:tcPr>
            <w:tcW w:w="60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72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760" w:type="dxa"/>
            <w:vAlign w:val="bottom"/>
            <w:tcBorders>
              <w:bottom w:val="single" w:sz="8" w:color="8E939F"/>
            </w:tcBorders>
          </w:tcPr>
          <w:p>
            <w:pPr>
              <w:spacing w:after="0"/>
              <w:rPr>
                <w:sz w:val="2"/>
                <w:szCs w:val="2"/>
                <w:color w:val="auto"/>
              </w:rPr>
            </w:pPr>
          </w:p>
        </w:tc>
        <w:tc>
          <w:tcPr>
            <w:tcW w:w="92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780" w:type="dxa"/>
            <w:vAlign w:val="bottom"/>
            <w:tcBorders>
              <w:bottom w:val="single" w:sz="8" w:color="8E939F"/>
            </w:tcBorders>
          </w:tcPr>
          <w:p>
            <w:pPr>
              <w:spacing w:after="0"/>
              <w:rPr>
                <w:sz w:val="2"/>
                <w:szCs w:val="2"/>
                <w:color w:val="auto"/>
              </w:rPr>
            </w:pPr>
          </w:p>
        </w:tc>
        <w:tc>
          <w:tcPr>
            <w:tcW w:w="66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00" w:type="dxa"/>
            <w:vAlign w:val="bottom"/>
            <w:shd w:val="clear" w:color="auto" w:fill="F3F3F9"/>
          </w:tcPr>
          <w:p>
            <w:pPr>
              <w:ind w:left="20"/>
              <w:spacing w:after="0"/>
              <w:rPr>
                <w:sz w:val="20"/>
                <w:szCs w:val="20"/>
                <w:color w:val="auto"/>
              </w:rPr>
            </w:pPr>
            <w:r>
              <w:rPr>
                <w:rFonts w:ascii="Arial" w:cs="Arial" w:eastAsia="Arial" w:hAnsi="Arial"/>
                <w:sz w:val="13"/>
                <w:szCs w:val="13"/>
                <w:b w:val="1"/>
                <w:bCs w:val="1"/>
                <w:color w:val="143A84"/>
              </w:rPr>
              <w:t>Total Other</w:t>
            </w:r>
          </w:p>
        </w:tc>
        <w:tc>
          <w:tcPr>
            <w:tcW w:w="600" w:type="dxa"/>
            <w:vAlign w:val="bottom"/>
            <w:vMerge w:val="restart"/>
            <w:shd w:val="clear" w:color="auto" w:fill="F3F3F9"/>
          </w:tcPr>
          <w:p>
            <w:pPr>
              <w:jc w:val="right"/>
              <w:ind w:right="159"/>
              <w:spacing w:after="0"/>
              <w:rPr>
                <w:sz w:val="20"/>
                <w:szCs w:val="20"/>
                <w:color w:val="auto"/>
              </w:rPr>
            </w:pPr>
            <w:r>
              <w:rPr>
                <w:rFonts w:ascii="Arial" w:cs="Arial" w:eastAsia="Arial" w:hAnsi="Arial"/>
                <w:sz w:val="13"/>
                <w:szCs w:val="13"/>
                <w:b w:val="1"/>
                <w:bCs w:val="1"/>
                <w:color w:val="143A84"/>
              </w:rPr>
              <w:t>—</w:t>
            </w:r>
          </w:p>
        </w:tc>
        <w:tc>
          <w:tcPr>
            <w:tcW w:w="740" w:type="dxa"/>
            <w:vAlign w:val="bottom"/>
            <w:vMerge w:val="restart"/>
            <w:shd w:val="clear" w:color="auto" w:fill="F3F3F9"/>
          </w:tcPr>
          <w:p>
            <w:pPr>
              <w:ind w:left="400"/>
              <w:spacing w:after="0"/>
              <w:rPr>
                <w:sz w:val="20"/>
                <w:szCs w:val="20"/>
                <w:color w:val="auto"/>
              </w:rPr>
            </w:pPr>
            <w:r>
              <w:rPr>
                <w:rFonts w:ascii="Arial" w:cs="Arial" w:eastAsia="Arial" w:hAnsi="Arial"/>
                <w:sz w:val="13"/>
                <w:szCs w:val="13"/>
                <w:b w:val="1"/>
                <w:bCs w:val="1"/>
                <w:color w:val="143A84"/>
              </w:rPr>
              <w:t>—</w:t>
            </w:r>
          </w:p>
        </w:tc>
        <w:tc>
          <w:tcPr>
            <w:tcW w:w="720" w:type="dxa"/>
            <w:vAlign w:val="bottom"/>
            <w:vMerge w:val="restart"/>
            <w:shd w:val="clear" w:color="auto" w:fill="F3F3F9"/>
          </w:tcPr>
          <w:p>
            <w:pPr>
              <w:jc w:val="right"/>
              <w:ind w:right="80"/>
              <w:spacing w:after="0"/>
              <w:rPr>
                <w:sz w:val="20"/>
                <w:szCs w:val="20"/>
                <w:color w:val="auto"/>
              </w:rPr>
            </w:pPr>
            <w:r>
              <w:rPr>
                <w:rFonts w:ascii="Arial" w:cs="Arial" w:eastAsia="Arial" w:hAnsi="Arial"/>
                <w:sz w:val="13"/>
                <w:szCs w:val="13"/>
                <w:b w:val="1"/>
                <w:bCs w:val="1"/>
                <w:color w:val="143A84"/>
              </w:rPr>
              <w:t>—</w:t>
            </w:r>
          </w:p>
        </w:tc>
        <w:tc>
          <w:tcPr>
            <w:tcW w:w="820" w:type="dxa"/>
            <w:vAlign w:val="bottom"/>
            <w:vMerge w:val="restart"/>
            <w:shd w:val="clear" w:color="auto" w:fill="F3F3F9"/>
          </w:tcPr>
          <w:p>
            <w:pPr>
              <w:jc w:val="right"/>
              <w:ind w:right="101"/>
              <w:spacing w:after="0"/>
              <w:rPr>
                <w:sz w:val="20"/>
                <w:szCs w:val="20"/>
                <w:color w:val="auto"/>
              </w:rPr>
            </w:pPr>
            <w:r>
              <w:rPr>
                <w:rFonts w:ascii="Arial" w:cs="Arial" w:eastAsia="Arial" w:hAnsi="Arial"/>
                <w:sz w:val="13"/>
                <w:szCs w:val="13"/>
                <w:b w:val="1"/>
                <w:bCs w:val="1"/>
                <w:color w:val="143A84"/>
              </w:rPr>
              <w:t>186</w:t>
            </w:r>
          </w:p>
        </w:tc>
        <w:tc>
          <w:tcPr>
            <w:tcW w:w="740" w:type="dxa"/>
            <w:vAlign w:val="bottom"/>
            <w:vMerge w:val="restart"/>
            <w:shd w:val="clear" w:color="auto" w:fill="F3F3F9"/>
          </w:tcPr>
          <w:p>
            <w:pPr>
              <w:jc w:val="right"/>
              <w:ind w:right="159"/>
              <w:spacing w:after="0"/>
              <w:rPr>
                <w:sz w:val="20"/>
                <w:szCs w:val="20"/>
                <w:color w:val="auto"/>
              </w:rPr>
            </w:pPr>
            <w:r>
              <w:rPr>
                <w:rFonts w:ascii="Arial" w:cs="Arial" w:eastAsia="Arial" w:hAnsi="Arial"/>
                <w:sz w:val="13"/>
                <w:szCs w:val="13"/>
                <w:b w:val="1"/>
                <w:bCs w:val="1"/>
                <w:color w:val="143A84"/>
              </w:rPr>
              <w:t>147</w:t>
            </w:r>
          </w:p>
        </w:tc>
        <w:tc>
          <w:tcPr>
            <w:tcW w:w="1100" w:type="dxa"/>
            <w:vAlign w:val="bottom"/>
            <w:vMerge w:val="restart"/>
            <w:shd w:val="clear" w:color="auto" w:fill="F3F3F9"/>
          </w:tcPr>
          <w:p>
            <w:pPr>
              <w:jc w:val="right"/>
              <w:ind w:right="40"/>
              <w:spacing w:after="0"/>
              <w:rPr>
                <w:sz w:val="20"/>
                <w:szCs w:val="20"/>
                <w:color w:val="auto"/>
              </w:rPr>
            </w:pPr>
            <w:r>
              <w:rPr>
                <w:rFonts w:ascii="Arial" w:cs="Arial" w:eastAsia="Arial" w:hAnsi="Arial"/>
                <w:sz w:val="13"/>
                <w:szCs w:val="13"/>
                <w:b w:val="1"/>
                <w:bCs w:val="1"/>
                <w:color w:val="143A84"/>
              </w:rPr>
              <w:t>(5)</w:t>
            </w:r>
          </w:p>
        </w:tc>
        <w:tc>
          <w:tcPr>
            <w:tcW w:w="960" w:type="dxa"/>
            <w:vAlign w:val="bottom"/>
            <w:vMerge w:val="restart"/>
            <w:shd w:val="clear" w:color="auto" w:fill="F3F3F9"/>
          </w:tcPr>
          <w:p>
            <w:pPr>
              <w:jc w:val="right"/>
              <w:ind w:right="142"/>
              <w:spacing w:after="0"/>
              <w:rPr>
                <w:sz w:val="20"/>
                <w:szCs w:val="20"/>
                <w:color w:val="auto"/>
              </w:rPr>
            </w:pPr>
            <w:r>
              <w:rPr>
                <w:rFonts w:ascii="Arial" w:cs="Arial" w:eastAsia="Arial" w:hAnsi="Arial"/>
                <w:sz w:val="13"/>
                <w:szCs w:val="13"/>
                <w:b w:val="1"/>
                <w:bCs w:val="1"/>
                <w:color w:val="143A84"/>
              </w:rPr>
              <w:t>424</w:t>
            </w:r>
          </w:p>
        </w:tc>
        <w:tc>
          <w:tcPr>
            <w:tcW w:w="760" w:type="dxa"/>
            <w:vAlign w:val="bottom"/>
            <w:vMerge w:val="restart"/>
            <w:shd w:val="clear" w:color="auto" w:fill="F3F3F9"/>
          </w:tcPr>
          <w:p>
            <w:pPr>
              <w:jc w:val="right"/>
              <w:ind w:right="101"/>
              <w:spacing w:after="0"/>
              <w:rPr>
                <w:sz w:val="20"/>
                <w:szCs w:val="20"/>
                <w:color w:val="auto"/>
              </w:rPr>
            </w:pPr>
            <w:r>
              <w:rPr>
                <w:rFonts w:ascii="Arial" w:cs="Arial" w:eastAsia="Arial" w:hAnsi="Arial"/>
                <w:sz w:val="13"/>
                <w:szCs w:val="13"/>
                <w:b w:val="1"/>
                <w:bCs w:val="1"/>
                <w:color w:val="143A84"/>
              </w:rPr>
              <w:t>1,808</w:t>
            </w:r>
          </w:p>
        </w:tc>
        <w:tc>
          <w:tcPr>
            <w:tcW w:w="920" w:type="dxa"/>
            <w:vAlign w:val="bottom"/>
            <w:vMerge w:val="restart"/>
            <w:shd w:val="clear" w:color="auto" w:fill="F3F3F9"/>
          </w:tcPr>
          <w:p>
            <w:pPr>
              <w:jc w:val="right"/>
              <w:ind w:right="81"/>
              <w:spacing w:after="0"/>
              <w:rPr>
                <w:sz w:val="20"/>
                <w:szCs w:val="20"/>
                <w:color w:val="auto"/>
              </w:rPr>
            </w:pPr>
            <w:r>
              <w:rPr>
                <w:rFonts w:ascii="Arial" w:cs="Arial" w:eastAsia="Arial" w:hAnsi="Arial"/>
                <w:sz w:val="13"/>
                <w:szCs w:val="13"/>
                <w:b w:val="1"/>
                <w:bCs w:val="1"/>
                <w:color w:val="143A84"/>
              </w:rPr>
              <w:t>92</w:t>
            </w:r>
          </w:p>
        </w:tc>
        <w:tc>
          <w:tcPr>
            <w:tcW w:w="1040" w:type="dxa"/>
            <w:vAlign w:val="bottom"/>
            <w:vMerge w:val="restart"/>
            <w:shd w:val="clear" w:color="auto" w:fill="F3F3F9"/>
          </w:tcPr>
          <w:p>
            <w:pPr>
              <w:jc w:val="right"/>
              <w:ind w:right="161"/>
              <w:spacing w:after="0"/>
              <w:rPr>
                <w:sz w:val="20"/>
                <w:szCs w:val="20"/>
                <w:color w:val="auto"/>
              </w:rPr>
            </w:pPr>
            <w:r>
              <w:rPr>
                <w:rFonts w:ascii="Arial" w:cs="Arial" w:eastAsia="Arial" w:hAnsi="Arial"/>
                <w:sz w:val="13"/>
                <w:szCs w:val="13"/>
                <w:b w:val="1"/>
                <w:bCs w:val="1"/>
                <w:color w:val="143A84"/>
              </w:rPr>
              <w:t>2,652</w:t>
            </w:r>
          </w:p>
        </w:tc>
        <w:tc>
          <w:tcPr>
            <w:tcW w:w="780" w:type="dxa"/>
            <w:vAlign w:val="bottom"/>
            <w:vMerge w:val="restart"/>
            <w:shd w:val="clear" w:color="auto" w:fill="F3F3F9"/>
          </w:tcPr>
          <w:p>
            <w:pPr>
              <w:jc w:val="right"/>
              <w:ind w:right="100"/>
              <w:spacing w:after="0"/>
              <w:rPr>
                <w:sz w:val="20"/>
                <w:szCs w:val="20"/>
                <w:color w:val="auto"/>
              </w:rPr>
            </w:pPr>
            <w:r>
              <w:rPr>
                <w:rFonts w:ascii="Arial" w:cs="Arial" w:eastAsia="Arial" w:hAnsi="Arial"/>
                <w:sz w:val="13"/>
                <w:szCs w:val="13"/>
                <w:b w:val="1"/>
                <w:bCs w:val="1"/>
                <w:color w:val="143A84"/>
              </w:rPr>
              <w:t>37</w:t>
            </w:r>
          </w:p>
        </w:tc>
        <w:tc>
          <w:tcPr>
            <w:tcW w:w="660" w:type="dxa"/>
            <w:vAlign w:val="bottom"/>
            <w:vMerge w:val="restart"/>
            <w:shd w:val="clear" w:color="auto" w:fill="F3F3F9"/>
          </w:tcPr>
          <w:p>
            <w:pPr>
              <w:jc w:val="right"/>
              <w:spacing w:after="0"/>
              <w:rPr>
                <w:sz w:val="20"/>
                <w:szCs w:val="20"/>
                <w:color w:val="auto"/>
              </w:rPr>
            </w:pPr>
            <w:r>
              <w:rPr>
                <w:rFonts w:ascii="Arial" w:cs="Arial" w:eastAsia="Arial" w:hAnsi="Arial"/>
                <w:sz w:val="13"/>
                <w:szCs w:val="13"/>
                <w:b w:val="1"/>
                <w:bCs w:val="1"/>
                <w:color w:val="143A84"/>
              </w:rPr>
              <w:t>2,689</w:t>
            </w:r>
          </w:p>
        </w:tc>
        <w:tc>
          <w:tcPr>
            <w:tcW w:w="0" w:type="dxa"/>
            <w:vAlign w:val="bottom"/>
          </w:tcPr>
          <w:p>
            <w:pPr>
              <w:spacing w:after="0"/>
              <w:rPr>
                <w:sz w:val="1"/>
                <w:szCs w:val="1"/>
                <w:color w:val="auto"/>
              </w:rPr>
            </w:pPr>
          </w:p>
        </w:tc>
      </w:tr>
      <w:tr>
        <w:trPr>
          <w:trHeight w:val="149"/>
        </w:trPr>
        <w:tc>
          <w:tcPr>
            <w:tcW w:w="1400" w:type="dxa"/>
            <w:vAlign w:val="bottom"/>
            <w:shd w:val="clear" w:color="auto" w:fill="F3F3F9"/>
          </w:tcPr>
          <w:p>
            <w:pPr>
              <w:ind w:left="20"/>
              <w:spacing w:after="0"/>
              <w:rPr>
                <w:sz w:val="20"/>
                <w:szCs w:val="20"/>
                <w:color w:val="auto"/>
              </w:rPr>
            </w:pPr>
            <w:r>
              <w:rPr>
                <w:rFonts w:ascii="Arial" w:cs="Arial" w:eastAsia="Arial" w:hAnsi="Arial"/>
                <w:sz w:val="13"/>
                <w:szCs w:val="13"/>
                <w:b w:val="1"/>
                <w:bCs w:val="1"/>
                <w:color w:val="143A84"/>
              </w:rPr>
              <w:t>comprehensive</w:t>
            </w:r>
          </w:p>
        </w:tc>
        <w:tc>
          <w:tcPr>
            <w:tcW w:w="600" w:type="dxa"/>
            <w:vAlign w:val="bottom"/>
            <w:vMerge w:val="continue"/>
            <w:shd w:val="clear" w:color="auto" w:fill="F3F3F9"/>
          </w:tcPr>
          <w:p>
            <w:pPr>
              <w:spacing w:after="0"/>
              <w:rPr>
                <w:sz w:val="12"/>
                <w:szCs w:val="12"/>
                <w:color w:val="auto"/>
              </w:rPr>
            </w:pPr>
          </w:p>
        </w:tc>
        <w:tc>
          <w:tcPr>
            <w:tcW w:w="740" w:type="dxa"/>
            <w:vAlign w:val="bottom"/>
            <w:vMerge w:val="continue"/>
            <w:shd w:val="clear" w:color="auto" w:fill="F3F3F9"/>
          </w:tcPr>
          <w:p>
            <w:pPr>
              <w:spacing w:after="0"/>
              <w:rPr>
                <w:sz w:val="12"/>
                <w:szCs w:val="12"/>
                <w:color w:val="auto"/>
              </w:rPr>
            </w:pPr>
          </w:p>
        </w:tc>
        <w:tc>
          <w:tcPr>
            <w:tcW w:w="720" w:type="dxa"/>
            <w:vAlign w:val="bottom"/>
            <w:vMerge w:val="continue"/>
            <w:shd w:val="clear" w:color="auto" w:fill="F3F3F9"/>
          </w:tcPr>
          <w:p>
            <w:pPr>
              <w:spacing w:after="0"/>
              <w:rPr>
                <w:sz w:val="12"/>
                <w:szCs w:val="12"/>
                <w:color w:val="auto"/>
              </w:rPr>
            </w:pPr>
          </w:p>
        </w:tc>
        <w:tc>
          <w:tcPr>
            <w:tcW w:w="820" w:type="dxa"/>
            <w:vAlign w:val="bottom"/>
            <w:vMerge w:val="continue"/>
            <w:shd w:val="clear" w:color="auto" w:fill="F3F3F9"/>
          </w:tcPr>
          <w:p>
            <w:pPr>
              <w:spacing w:after="0"/>
              <w:rPr>
                <w:sz w:val="12"/>
                <w:szCs w:val="12"/>
                <w:color w:val="auto"/>
              </w:rPr>
            </w:pPr>
          </w:p>
        </w:tc>
        <w:tc>
          <w:tcPr>
            <w:tcW w:w="740" w:type="dxa"/>
            <w:vAlign w:val="bottom"/>
            <w:vMerge w:val="continue"/>
            <w:shd w:val="clear" w:color="auto" w:fill="F3F3F9"/>
          </w:tcPr>
          <w:p>
            <w:pPr>
              <w:spacing w:after="0"/>
              <w:rPr>
                <w:sz w:val="12"/>
                <w:szCs w:val="12"/>
                <w:color w:val="auto"/>
              </w:rPr>
            </w:pPr>
          </w:p>
        </w:tc>
        <w:tc>
          <w:tcPr>
            <w:tcW w:w="1100" w:type="dxa"/>
            <w:vAlign w:val="bottom"/>
            <w:vMerge w:val="continue"/>
            <w:shd w:val="clear" w:color="auto" w:fill="F3F3F9"/>
          </w:tcPr>
          <w:p>
            <w:pPr>
              <w:spacing w:after="0"/>
              <w:rPr>
                <w:sz w:val="12"/>
                <w:szCs w:val="12"/>
                <w:color w:val="auto"/>
              </w:rPr>
            </w:pPr>
          </w:p>
        </w:tc>
        <w:tc>
          <w:tcPr>
            <w:tcW w:w="960" w:type="dxa"/>
            <w:vAlign w:val="bottom"/>
            <w:vMerge w:val="continue"/>
            <w:shd w:val="clear" w:color="auto" w:fill="F3F3F9"/>
          </w:tcPr>
          <w:p>
            <w:pPr>
              <w:spacing w:after="0"/>
              <w:rPr>
                <w:sz w:val="12"/>
                <w:szCs w:val="12"/>
                <w:color w:val="auto"/>
              </w:rPr>
            </w:pPr>
          </w:p>
        </w:tc>
        <w:tc>
          <w:tcPr>
            <w:tcW w:w="760" w:type="dxa"/>
            <w:vAlign w:val="bottom"/>
            <w:vMerge w:val="continue"/>
            <w:shd w:val="clear" w:color="auto" w:fill="F3F3F9"/>
          </w:tcPr>
          <w:p>
            <w:pPr>
              <w:spacing w:after="0"/>
              <w:rPr>
                <w:sz w:val="12"/>
                <w:szCs w:val="12"/>
                <w:color w:val="auto"/>
              </w:rPr>
            </w:pPr>
          </w:p>
        </w:tc>
        <w:tc>
          <w:tcPr>
            <w:tcW w:w="920" w:type="dxa"/>
            <w:vAlign w:val="bottom"/>
            <w:vMerge w:val="continue"/>
            <w:shd w:val="clear" w:color="auto" w:fill="F3F3F9"/>
          </w:tcPr>
          <w:p>
            <w:pPr>
              <w:spacing w:after="0"/>
              <w:rPr>
                <w:sz w:val="12"/>
                <w:szCs w:val="12"/>
                <w:color w:val="auto"/>
              </w:rPr>
            </w:pPr>
          </w:p>
        </w:tc>
        <w:tc>
          <w:tcPr>
            <w:tcW w:w="1040" w:type="dxa"/>
            <w:vAlign w:val="bottom"/>
            <w:vMerge w:val="continue"/>
            <w:shd w:val="clear" w:color="auto" w:fill="F3F3F9"/>
          </w:tcPr>
          <w:p>
            <w:pPr>
              <w:spacing w:after="0"/>
              <w:rPr>
                <w:sz w:val="12"/>
                <w:szCs w:val="12"/>
                <w:color w:val="auto"/>
              </w:rPr>
            </w:pPr>
          </w:p>
        </w:tc>
        <w:tc>
          <w:tcPr>
            <w:tcW w:w="780" w:type="dxa"/>
            <w:vAlign w:val="bottom"/>
            <w:vMerge w:val="continue"/>
            <w:shd w:val="clear" w:color="auto" w:fill="F3F3F9"/>
          </w:tcPr>
          <w:p>
            <w:pPr>
              <w:spacing w:after="0"/>
              <w:rPr>
                <w:sz w:val="12"/>
                <w:szCs w:val="12"/>
                <w:color w:val="auto"/>
              </w:rPr>
            </w:pPr>
          </w:p>
        </w:tc>
        <w:tc>
          <w:tcPr>
            <w:tcW w:w="660" w:type="dxa"/>
            <w:vAlign w:val="bottom"/>
            <w:vMerge w:val="continue"/>
            <w:shd w:val="clear" w:color="auto" w:fill="F3F3F9"/>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143A84"/>
              </w:rPr>
              <w:t>income</w:t>
            </w:r>
          </w:p>
        </w:tc>
        <w:tc>
          <w:tcPr>
            <w:tcW w:w="600" w:type="dxa"/>
            <w:vAlign w:val="bottom"/>
            <w:tcBorders>
              <w:bottom w:val="single" w:sz="8" w:color="F3F3F9"/>
            </w:tcBorders>
            <w:shd w:val="clear" w:color="auto" w:fill="F3F3F9"/>
          </w:tcPr>
          <w:p>
            <w:pPr>
              <w:spacing w:after="0"/>
              <w:rPr>
                <w:sz w:val="16"/>
                <w:szCs w:val="16"/>
                <w:color w:val="auto"/>
              </w:rPr>
            </w:pPr>
          </w:p>
        </w:tc>
        <w:tc>
          <w:tcPr>
            <w:tcW w:w="740" w:type="dxa"/>
            <w:vAlign w:val="bottom"/>
            <w:tcBorders>
              <w:bottom w:val="single" w:sz="8" w:color="F3F3F9"/>
            </w:tcBorders>
            <w:shd w:val="clear" w:color="auto" w:fill="F3F3F9"/>
          </w:tcPr>
          <w:p>
            <w:pPr>
              <w:spacing w:after="0"/>
              <w:rPr>
                <w:sz w:val="16"/>
                <w:szCs w:val="16"/>
                <w:color w:val="auto"/>
              </w:rPr>
            </w:pPr>
          </w:p>
        </w:tc>
        <w:tc>
          <w:tcPr>
            <w:tcW w:w="720" w:type="dxa"/>
            <w:vAlign w:val="bottom"/>
            <w:tcBorders>
              <w:bottom w:val="single" w:sz="8" w:color="F3F3F9"/>
            </w:tcBorders>
            <w:shd w:val="clear" w:color="auto" w:fill="F3F3F9"/>
          </w:tcPr>
          <w:p>
            <w:pPr>
              <w:spacing w:after="0"/>
              <w:rPr>
                <w:sz w:val="16"/>
                <w:szCs w:val="16"/>
                <w:color w:val="auto"/>
              </w:rPr>
            </w:pPr>
          </w:p>
        </w:tc>
        <w:tc>
          <w:tcPr>
            <w:tcW w:w="820" w:type="dxa"/>
            <w:vAlign w:val="bottom"/>
            <w:tcBorders>
              <w:bottom w:val="single" w:sz="8" w:color="F3F3F9"/>
            </w:tcBorders>
            <w:shd w:val="clear" w:color="auto" w:fill="F3F3F9"/>
          </w:tcPr>
          <w:p>
            <w:pPr>
              <w:spacing w:after="0"/>
              <w:rPr>
                <w:sz w:val="16"/>
                <w:szCs w:val="16"/>
                <w:color w:val="auto"/>
              </w:rPr>
            </w:pPr>
          </w:p>
        </w:tc>
        <w:tc>
          <w:tcPr>
            <w:tcW w:w="740" w:type="dxa"/>
            <w:vAlign w:val="bottom"/>
            <w:tcBorders>
              <w:bottom w:val="single" w:sz="8" w:color="F3F3F9"/>
            </w:tcBorders>
            <w:shd w:val="clear" w:color="auto" w:fill="F3F3F9"/>
          </w:tcPr>
          <w:p>
            <w:pPr>
              <w:spacing w:after="0"/>
              <w:rPr>
                <w:sz w:val="16"/>
                <w:szCs w:val="16"/>
                <w:color w:val="auto"/>
              </w:rPr>
            </w:pPr>
          </w:p>
        </w:tc>
        <w:tc>
          <w:tcPr>
            <w:tcW w:w="1100" w:type="dxa"/>
            <w:vAlign w:val="bottom"/>
            <w:tcBorders>
              <w:bottom w:val="single" w:sz="8" w:color="F3F3F9"/>
            </w:tcBorders>
            <w:shd w:val="clear" w:color="auto" w:fill="F3F3F9"/>
          </w:tcPr>
          <w:p>
            <w:pPr>
              <w:spacing w:after="0"/>
              <w:rPr>
                <w:sz w:val="16"/>
                <w:szCs w:val="16"/>
                <w:color w:val="auto"/>
              </w:rPr>
            </w:pPr>
          </w:p>
        </w:tc>
        <w:tc>
          <w:tcPr>
            <w:tcW w:w="960" w:type="dxa"/>
            <w:vAlign w:val="bottom"/>
            <w:tcBorders>
              <w:bottom w:val="single" w:sz="8" w:color="F3F3F9"/>
            </w:tcBorders>
            <w:shd w:val="clear" w:color="auto" w:fill="F3F3F9"/>
          </w:tcPr>
          <w:p>
            <w:pPr>
              <w:spacing w:after="0"/>
              <w:rPr>
                <w:sz w:val="16"/>
                <w:szCs w:val="16"/>
                <w:color w:val="auto"/>
              </w:rPr>
            </w:pPr>
          </w:p>
        </w:tc>
        <w:tc>
          <w:tcPr>
            <w:tcW w:w="760" w:type="dxa"/>
            <w:vAlign w:val="bottom"/>
            <w:tcBorders>
              <w:bottom w:val="single" w:sz="8" w:color="F3F3F9"/>
            </w:tcBorders>
            <w:shd w:val="clear" w:color="auto" w:fill="F3F3F9"/>
          </w:tcPr>
          <w:p>
            <w:pPr>
              <w:spacing w:after="0"/>
              <w:rPr>
                <w:sz w:val="16"/>
                <w:szCs w:val="16"/>
                <w:color w:val="auto"/>
              </w:rPr>
            </w:pPr>
          </w:p>
        </w:tc>
        <w:tc>
          <w:tcPr>
            <w:tcW w:w="920" w:type="dxa"/>
            <w:vAlign w:val="bottom"/>
            <w:tcBorders>
              <w:bottom w:val="single" w:sz="8" w:color="F3F3F9"/>
            </w:tcBorders>
            <w:shd w:val="clear" w:color="auto" w:fill="F3F3F9"/>
          </w:tcPr>
          <w:p>
            <w:pPr>
              <w:spacing w:after="0"/>
              <w:rPr>
                <w:sz w:val="16"/>
                <w:szCs w:val="16"/>
                <w:color w:val="auto"/>
              </w:rPr>
            </w:pPr>
          </w:p>
        </w:tc>
        <w:tc>
          <w:tcPr>
            <w:tcW w:w="1040" w:type="dxa"/>
            <w:vAlign w:val="bottom"/>
            <w:tcBorders>
              <w:bottom w:val="single" w:sz="8" w:color="F3F3F9"/>
            </w:tcBorders>
            <w:shd w:val="clear" w:color="auto" w:fill="F3F3F9"/>
          </w:tcPr>
          <w:p>
            <w:pPr>
              <w:spacing w:after="0"/>
              <w:rPr>
                <w:sz w:val="16"/>
                <w:szCs w:val="16"/>
                <w:color w:val="auto"/>
              </w:rPr>
            </w:pPr>
          </w:p>
        </w:tc>
        <w:tc>
          <w:tcPr>
            <w:tcW w:w="780" w:type="dxa"/>
            <w:vAlign w:val="bottom"/>
            <w:tcBorders>
              <w:bottom w:val="single" w:sz="8" w:color="F3F3F9"/>
            </w:tcBorders>
            <w:shd w:val="clear" w:color="auto" w:fill="F3F3F9"/>
          </w:tcPr>
          <w:p>
            <w:pPr>
              <w:spacing w:after="0"/>
              <w:rPr>
                <w:sz w:val="16"/>
                <w:szCs w:val="16"/>
                <w:color w:val="auto"/>
              </w:rPr>
            </w:pPr>
          </w:p>
        </w:tc>
        <w:tc>
          <w:tcPr>
            <w:tcW w:w="660" w:type="dxa"/>
            <w:vAlign w:val="bottom"/>
            <w:tcBorders>
              <w:bottom w:val="single" w:sz="8" w:color="F3F3F9"/>
            </w:tcBorders>
            <w:shd w:val="clear" w:color="auto" w:fill="F3F3F9"/>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00" w:type="dxa"/>
            <w:vAlign w:val="bottom"/>
            <w:tcBorders>
              <w:top w:val="single" w:sz="8" w:color="8E939F"/>
            </w:tcBorders>
          </w:tcPr>
          <w:p>
            <w:pPr>
              <w:ind w:left="20"/>
              <w:spacing w:after="0"/>
              <w:rPr>
                <w:sz w:val="20"/>
                <w:szCs w:val="20"/>
                <w:color w:val="auto"/>
              </w:rPr>
            </w:pPr>
            <w:r>
              <w:rPr>
                <w:rFonts w:ascii="Arial" w:cs="Arial" w:eastAsia="Arial" w:hAnsi="Arial"/>
                <w:sz w:val="13"/>
                <w:szCs w:val="13"/>
                <w:color w:val="auto"/>
              </w:rPr>
              <w:t>Distributions</w:t>
            </w:r>
          </w:p>
        </w:tc>
        <w:tc>
          <w:tcPr>
            <w:tcW w:w="600" w:type="dxa"/>
            <w:vAlign w:val="bottom"/>
            <w:tcBorders>
              <w:top w:val="single" w:sz="8" w:color="8E939F"/>
            </w:tcBorders>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8E939F"/>
            </w:tcBorders>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8E939F"/>
            </w:tcBorders>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8E939F"/>
            </w:tcBorders>
          </w:tcPr>
          <w:p>
            <w:pPr>
              <w:jc w:val="right"/>
              <w:ind w:right="101"/>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8E939F"/>
            </w:tcBorders>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8E939F"/>
            </w:tcBorders>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8E939F"/>
            </w:tcBorders>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8E939F"/>
            </w:tcBorders>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8E939F"/>
            </w:tcBorders>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8E939F"/>
            </w:tcBorders>
          </w:tcPr>
          <w:p>
            <w:pPr>
              <w:jc w:val="right"/>
              <w:ind w:right="161"/>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8E939F"/>
            </w:tcBorders>
          </w:tcPr>
          <w:p>
            <w:pPr>
              <w:jc w:val="right"/>
              <w:ind w:right="60"/>
              <w:spacing w:after="0"/>
              <w:rPr>
                <w:sz w:val="20"/>
                <w:szCs w:val="20"/>
                <w:color w:val="auto"/>
              </w:rPr>
            </w:pPr>
            <w:r>
              <w:rPr>
                <w:rFonts w:ascii="Arial" w:cs="Arial" w:eastAsia="Arial" w:hAnsi="Arial"/>
                <w:sz w:val="13"/>
                <w:szCs w:val="13"/>
                <w:color w:val="auto"/>
              </w:rPr>
              <w:t>(2)</w:t>
            </w:r>
          </w:p>
        </w:tc>
        <w:tc>
          <w:tcPr>
            <w:tcW w:w="660" w:type="dxa"/>
            <w:vAlign w:val="bottom"/>
            <w:tcBorders>
              <w:top w:val="single" w:sz="8" w:color="8E939F"/>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8"/>
        </w:trPr>
        <w:tc>
          <w:tcPr>
            <w:tcW w:w="1400" w:type="dxa"/>
            <w:vAlign w:val="bottom"/>
            <w:tcBorders>
              <w:bottom w:val="single" w:sz="8" w:color="8E939F"/>
            </w:tcBorders>
          </w:tcPr>
          <w:p>
            <w:pPr>
              <w:spacing w:after="0"/>
              <w:rPr>
                <w:sz w:val="2"/>
                <w:szCs w:val="2"/>
                <w:color w:val="auto"/>
              </w:rPr>
            </w:pPr>
          </w:p>
        </w:tc>
        <w:tc>
          <w:tcPr>
            <w:tcW w:w="60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72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760" w:type="dxa"/>
            <w:vAlign w:val="bottom"/>
            <w:tcBorders>
              <w:bottom w:val="single" w:sz="8" w:color="8E939F"/>
            </w:tcBorders>
          </w:tcPr>
          <w:p>
            <w:pPr>
              <w:spacing w:after="0"/>
              <w:rPr>
                <w:sz w:val="2"/>
                <w:szCs w:val="2"/>
                <w:color w:val="auto"/>
              </w:rPr>
            </w:pPr>
          </w:p>
        </w:tc>
        <w:tc>
          <w:tcPr>
            <w:tcW w:w="92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780" w:type="dxa"/>
            <w:vAlign w:val="bottom"/>
            <w:tcBorders>
              <w:bottom w:val="single" w:sz="8" w:color="8E939F"/>
            </w:tcBorders>
          </w:tcPr>
          <w:p>
            <w:pPr>
              <w:spacing w:after="0"/>
              <w:rPr>
                <w:sz w:val="2"/>
                <w:szCs w:val="2"/>
                <w:color w:val="auto"/>
              </w:rPr>
            </w:pPr>
          </w:p>
        </w:tc>
        <w:tc>
          <w:tcPr>
            <w:tcW w:w="66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20"/>
              <w:spacing w:after="0"/>
              <w:rPr>
                <w:sz w:val="20"/>
                <w:szCs w:val="20"/>
                <w:color w:val="auto"/>
              </w:rPr>
            </w:pPr>
            <w:r>
              <w:rPr>
                <w:rFonts w:ascii="Arial" w:cs="Arial" w:eastAsia="Arial" w:hAnsi="Arial"/>
                <w:sz w:val="13"/>
                <w:szCs w:val="13"/>
                <w:color w:val="auto"/>
              </w:rPr>
              <w:t>Share-based</w:t>
            </w:r>
          </w:p>
        </w:tc>
        <w:tc>
          <w:tcPr>
            <w:tcW w:w="60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101"/>
              <w:spacing w:after="0"/>
              <w:rPr>
                <w:sz w:val="20"/>
                <w:szCs w:val="20"/>
                <w:color w:val="auto"/>
              </w:rPr>
            </w:pPr>
            <w:r>
              <w:rPr>
                <w:rFonts w:ascii="Arial" w:cs="Arial" w:eastAsia="Arial" w:hAnsi="Arial"/>
                <w:sz w:val="13"/>
                <w:szCs w:val="13"/>
                <w:color w:val="auto"/>
              </w:rPr>
              <w:t>93</w:t>
            </w:r>
          </w:p>
        </w:tc>
        <w:tc>
          <w:tcPr>
            <w:tcW w:w="74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auto"/>
              </w:rPr>
              <w:t>93</w:t>
            </w:r>
          </w:p>
        </w:tc>
        <w:tc>
          <w:tcPr>
            <w:tcW w:w="78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71"/>
        </w:trPr>
        <w:tc>
          <w:tcPr>
            <w:tcW w:w="1400" w:type="dxa"/>
            <w:vAlign w:val="bottom"/>
            <w:vMerge w:val="restart"/>
          </w:tcPr>
          <w:p>
            <w:pPr>
              <w:ind w:left="20"/>
              <w:spacing w:after="0"/>
              <w:rPr>
                <w:sz w:val="20"/>
                <w:szCs w:val="20"/>
                <w:color w:val="auto"/>
              </w:rPr>
            </w:pPr>
            <w:r>
              <w:rPr>
                <w:rFonts w:ascii="Arial" w:cs="Arial" w:eastAsia="Arial" w:hAnsi="Arial"/>
                <w:sz w:val="13"/>
                <w:szCs w:val="13"/>
                <w:color w:val="auto"/>
              </w:rPr>
              <w:t>compensation</w:t>
            </w: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00" w:type="dxa"/>
            <w:vAlign w:val="bottom"/>
            <w:tcBorders>
              <w:bottom w:val="single" w:sz="8" w:color="8E939F"/>
            </w:tcBorders>
            <w:vMerge w:val="continue"/>
          </w:tcPr>
          <w:p>
            <w:pPr>
              <w:spacing w:after="0"/>
              <w:rPr>
                <w:sz w:val="8"/>
                <w:szCs w:val="8"/>
                <w:color w:val="auto"/>
              </w:rPr>
            </w:pPr>
          </w:p>
        </w:tc>
        <w:tc>
          <w:tcPr>
            <w:tcW w:w="600" w:type="dxa"/>
            <w:vAlign w:val="bottom"/>
            <w:tcBorders>
              <w:bottom w:val="single" w:sz="8" w:color="8E939F"/>
            </w:tcBorders>
          </w:tcPr>
          <w:p>
            <w:pPr>
              <w:spacing w:after="0"/>
              <w:rPr>
                <w:sz w:val="8"/>
                <w:szCs w:val="8"/>
                <w:color w:val="auto"/>
              </w:rPr>
            </w:pPr>
          </w:p>
        </w:tc>
        <w:tc>
          <w:tcPr>
            <w:tcW w:w="740" w:type="dxa"/>
            <w:vAlign w:val="bottom"/>
            <w:tcBorders>
              <w:bottom w:val="single" w:sz="8" w:color="8E939F"/>
            </w:tcBorders>
          </w:tcPr>
          <w:p>
            <w:pPr>
              <w:spacing w:after="0"/>
              <w:rPr>
                <w:sz w:val="8"/>
                <w:szCs w:val="8"/>
                <w:color w:val="auto"/>
              </w:rPr>
            </w:pPr>
          </w:p>
        </w:tc>
        <w:tc>
          <w:tcPr>
            <w:tcW w:w="720" w:type="dxa"/>
            <w:vAlign w:val="bottom"/>
            <w:tcBorders>
              <w:bottom w:val="single" w:sz="8" w:color="8E939F"/>
            </w:tcBorders>
          </w:tcPr>
          <w:p>
            <w:pPr>
              <w:spacing w:after="0"/>
              <w:rPr>
                <w:sz w:val="8"/>
                <w:szCs w:val="8"/>
                <w:color w:val="auto"/>
              </w:rPr>
            </w:pPr>
          </w:p>
        </w:tc>
        <w:tc>
          <w:tcPr>
            <w:tcW w:w="820" w:type="dxa"/>
            <w:vAlign w:val="bottom"/>
            <w:tcBorders>
              <w:bottom w:val="single" w:sz="8" w:color="8E939F"/>
            </w:tcBorders>
          </w:tcPr>
          <w:p>
            <w:pPr>
              <w:spacing w:after="0"/>
              <w:rPr>
                <w:sz w:val="8"/>
                <w:szCs w:val="8"/>
                <w:color w:val="auto"/>
              </w:rPr>
            </w:pPr>
          </w:p>
        </w:tc>
        <w:tc>
          <w:tcPr>
            <w:tcW w:w="740" w:type="dxa"/>
            <w:vAlign w:val="bottom"/>
            <w:tcBorders>
              <w:bottom w:val="single" w:sz="8" w:color="8E939F"/>
            </w:tcBorders>
          </w:tcPr>
          <w:p>
            <w:pPr>
              <w:spacing w:after="0"/>
              <w:rPr>
                <w:sz w:val="8"/>
                <w:szCs w:val="8"/>
                <w:color w:val="auto"/>
              </w:rPr>
            </w:pPr>
          </w:p>
        </w:tc>
        <w:tc>
          <w:tcPr>
            <w:tcW w:w="1100" w:type="dxa"/>
            <w:vAlign w:val="bottom"/>
            <w:tcBorders>
              <w:bottom w:val="single" w:sz="8" w:color="8E939F"/>
            </w:tcBorders>
          </w:tcPr>
          <w:p>
            <w:pPr>
              <w:spacing w:after="0"/>
              <w:rPr>
                <w:sz w:val="8"/>
                <w:szCs w:val="8"/>
                <w:color w:val="auto"/>
              </w:rPr>
            </w:pPr>
          </w:p>
        </w:tc>
        <w:tc>
          <w:tcPr>
            <w:tcW w:w="960" w:type="dxa"/>
            <w:vAlign w:val="bottom"/>
            <w:tcBorders>
              <w:bottom w:val="single" w:sz="8" w:color="8E939F"/>
            </w:tcBorders>
          </w:tcPr>
          <w:p>
            <w:pPr>
              <w:spacing w:after="0"/>
              <w:rPr>
                <w:sz w:val="8"/>
                <w:szCs w:val="8"/>
                <w:color w:val="auto"/>
              </w:rPr>
            </w:pPr>
          </w:p>
        </w:tc>
        <w:tc>
          <w:tcPr>
            <w:tcW w:w="760" w:type="dxa"/>
            <w:vAlign w:val="bottom"/>
            <w:tcBorders>
              <w:bottom w:val="single" w:sz="8" w:color="8E939F"/>
            </w:tcBorders>
          </w:tcPr>
          <w:p>
            <w:pPr>
              <w:spacing w:after="0"/>
              <w:rPr>
                <w:sz w:val="8"/>
                <w:szCs w:val="8"/>
                <w:color w:val="auto"/>
              </w:rPr>
            </w:pPr>
          </w:p>
        </w:tc>
        <w:tc>
          <w:tcPr>
            <w:tcW w:w="920" w:type="dxa"/>
            <w:vAlign w:val="bottom"/>
            <w:tcBorders>
              <w:bottom w:val="single" w:sz="8" w:color="8E939F"/>
            </w:tcBorders>
          </w:tcPr>
          <w:p>
            <w:pPr>
              <w:spacing w:after="0"/>
              <w:rPr>
                <w:sz w:val="8"/>
                <w:szCs w:val="8"/>
                <w:color w:val="auto"/>
              </w:rPr>
            </w:pPr>
          </w:p>
        </w:tc>
        <w:tc>
          <w:tcPr>
            <w:tcW w:w="1040" w:type="dxa"/>
            <w:vAlign w:val="bottom"/>
            <w:tcBorders>
              <w:bottom w:val="single" w:sz="8" w:color="8E939F"/>
            </w:tcBorders>
          </w:tcPr>
          <w:p>
            <w:pPr>
              <w:spacing w:after="0"/>
              <w:rPr>
                <w:sz w:val="8"/>
                <w:szCs w:val="8"/>
                <w:color w:val="auto"/>
              </w:rPr>
            </w:pPr>
          </w:p>
        </w:tc>
        <w:tc>
          <w:tcPr>
            <w:tcW w:w="780" w:type="dxa"/>
            <w:vAlign w:val="bottom"/>
            <w:tcBorders>
              <w:bottom w:val="single" w:sz="8" w:color="8E939F"/>
            </w:tcBorders>
          </w:tcPr>
          <w:p>
            <w:pPr>
              <w:spacing w:after="0"/>
              <w:rPr>
                <w:sz w:val="8"/>
                <w:szCs w:val="8"/>
                <w:color w:val="auto"/>
              </w:rPr>
            </w:pPr>
          </w:p>
        </w:tc>
        <w:tc>
          <w:tcPr>
            <w:tcW w:w="66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400" w:type="dxa"/>
            <w:vAlign w:val="bottom"/>
          </w:tcPr>
          <w:p>
            <w:pPr>
              <w:ind w:left="20"/>
              <w:spacing w:after="0"/>
              <w:rPr>
                <w:sz w:val="20"/>
                <w:szCs w:val="20"/>
                <w:color w:val="auto"/>
              </w:rPr>
            </w:pPr>
            <w:r>
              <w:rPr>
                <w:rFonts w:ascii="Arial" w:cs="Arial" w:eastAsia="Arial" w:hAnsi="Arial"/>
                <w:sz w:val="13"/>
                <w:szCs w:val="13"/>
                <w:color w:val="auto"/>
              </w:rPr>
              <w:t>Hybrid perpetual notes</w:t>
            </w:r>
          </w:p>
        </w:tc>
        <w:tc>
          <w:tcPr>
            <w:tcW w:w="60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tcPr>
          <w:p>
            <w:pPr>
              <w:ind w:left="40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auto"/>
              </w:rPr>
              <w:t>5,000</w:t>
            </w:r>
          </w:p>
        </w:tc>
        <w:tc>
          <w:tcPr>
            <w:tcW w:w="820" w:type="dxa"/>
            <w:vAlign w:val="bottom"/>
          </w:tcPr>
          <w:p>
            <w:pPr>
              <w:jc w:val="right"/>
              <w:ind w:right="61"/>
              <w:spacing w:after="0"/>
              <w:rPr>
                <w:sz w:val="20"/>
                <w:szCs w:val="20"/>
                <w:color w:val="auto"/>
              </w:rPr>
            </w:pPr>
            <w:r>
              <w:rPr>
                <w:rFonts w:ascii="Arial" w:cs="Arial" w:eastAsia="Arial" w:hAnsi="Arial"/>
                <w:sz w:val="13"/>
                <w:szCs w:val="13"/>
                <w:color w:val="auto"/>
              </w:rPr>
              <w:t>(73)</w:t>
            </w:r>
          </w:p>
        </w:tc>
        <w:tc>
          <w:tcPr>
            <w:tcW w:w="74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1"/>
              <w:spacing w:after="0"/>
              <w:rPr>
                <w:sz w:val="20"/>
                <w:szCs w:val="20"/>
                <w:color w:val="auto"/>
              </w:rPr>
            </w:pPr>
            <w:r>
              <w:rPr>
                <w:rFonts w:ascii="Arial" w:cs="Arial" w:eastAsia="Arial" w:hAnsi="Arial"/>
                <w:sz w:val="13"/>
                <w:szCs w:val="13"/>
                <w:color w:val="auto"/>
              </w:rPr>
              <w:t>4,927</w:t>
            </w:r>
          </w:p>
        </w:tc>
        <w:tc>
          <w:tcPr>
            <w:tcW w:w="78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4,927</w:t>
            </w:r>
          </w:p>
        </w:tc>
        <w:tc>
          <w:tcPr>
            <w:tcW w:w="0" w:type="dxa"/>
            <w:vAlign w:val="bottom"/>
          </w:tcPr>
          <w:p>
            <w:pPr>
              <w:spacing w:after="0"/>
              <w:rPr>
                <w:sz w:val="1"/>
                <w:szCs w:val="1"/>
                <w:color w:val="auto"/>
              </w:rPr>
            </w:pPr>
          </w:p>
        </w:tc>
      </w:tr>
      <w:tr>
        <w:trPr>
          <w:trHeight w:val="28"/>
        </w:trPr>
        <w:tc>
          <w:tcPr>
            <w:tcW w:w="1400" w:type="dxa"/>
            <w:vAlign w:val="bottom"/>
            <w:tcBorders>
              <w:bottom w:val="single" w:sz="8" w:color="8E939F"/>
            </w:tcBorders>
          </w:tcPr>
          <w:p>
            <w:pPr>
              <w:spacing w:after="0"/>
              <w:rPr>
                <w:sz w:val="2"/>
                <w:szCs w:val="2"/>
                <w:color w:val="auto"/>
              </w:rPr>
            </w:pPr>
          </w:p>
        </w:tc>
        <w:tc>
          <w:tcPr>
            <w:tcW w:w="60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72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7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760" w:type="dxa"/>
            <w:vAlign w:val="bottom"/>
            <w:tcBorders>
              <w:bottom w:val="single" w:sz="8" w:color="8E939F"/>
            </w:tcBorders>
          </w:tcPr>
          <w:p>
            <w:pPr>
              <w:spacing w:after="0"/>
              <w:rPr>
                <w:sz w:val="2"/>
                <w:szCs w:val="2"/>
                <w:color w:val="auto"/>
              </w:rPr>
            </w:pPr>
          </w:p>
        </w:tc>
        <w:tc>
          <w:tcPr>
            <w:tcW w:w="92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780" w:type="dxa"/>
            <w:vAlign w:val="bottom"/>
            <w:tcBorders>
              <w:bottom w:val="single" w:sz="8" w:color="8E939F"/>
            </w:tcBorders>
          </w:tcPr>
          <w:p>
            <w:pPr>
              <w:spacing w:after="0"/>
              <w:rPr>
                <w:sz w:val="2"/>
                <w:szCs w:val="2"/>
                <w:color w:val="auto"/>
              </w:rPr>
            </w:pPr>
          </w:p>
        </w:tc>
        <w:tc>
          <w:tcPr>
            <w:tcW w:w="66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00" w:type="dxa"/>
            <w:vAlign w:val="bottom"/>
          </w:tcPr>
          <w:p>
            <w:pPr>
              <w:ind w:left="20"/>
              <w:spacing w:after="0"/>
              <w:rPr>
                <w:sz w:val="20"/>
                <w:szCs w:val="20"/>
                <w:color w:val="auto"/>
              </w:rPr>
            </w:pPr>
            <w:r>
              <w:rPr>
                <w:rFonts w:ascii="Arial" w:cs="Arial" w:eastAsia="Arial" w:hAnsi="Arial"/>
                <w:sz w:val="13"/>
                <w:szCs w:val="13"/>
                <w:color w:val="auto"/>
              </w:rPr>
              <w:t>Coupons on Hybrid</w:t>
            </w:r>
          </w:p>
        </w:tc>
        <w:tc>
          <w:tcPr>
            <w:tcW w:w="60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80"/>
              <w:spacing w:after="0"/>
              <w:rPr>
                <w:sz w:val="20"/>
                <w:szCs w:val="20"/>
                <w:color w:val="auto"/>
              </w:rPr>
            </w:pPr>
            <w:r>
              <w:rPr>
                <w:rFonts w:ascii="Arial" w:cs="Arial" w:eastAsia="Arial" w:hAnsi="Arial"/>
                <w:sz w:val="13"/>
                <w:szCs w:val="13"/>
                <w:color w:val="auto"/>
              </w:rPr>
              <w:t>110</w:t>
            </w:r>
          </w:p>
        </w:tc>
        <w:tc>
          <w:tcPr>
            <w:tcW w:w="820" w:type="dxa"/>
            <w:vAlign w:val="bottom"/>
            <w:vMerge w:val="restart"/>
          </w:tcPr>
          <w:p>
            <w:pPr>
              <w:jc w:val="right"/>
              <w:ind w:right="61"/>
              <w:spacing w:after="0"/>
              <w:rPr>
                <w:sz w:val="20"/>
                <w:szCs w:val="20"/>
                <w:color w:val="auto"/>
              </w:rPr>
            </w:pPr>
            <w:r>
              <w:rPr>
                <w:rFonts w:ascii="Arial" w:cs="Arial" w:eastAsia="Arial" w:hAnsi="Arial"/>
                <w:sz w:val="13"/>
                <w:szCs w:val="13"/>
                <w:color w:val="auto"/>
              </w:rPr>
              <w:t>(187)</w:t>
            </w:r>
          </w:p>
        </w:tc>
        <w:tc>
          <w:tcPr>
            <w:tcW w:w="74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21"/>
              <w:spacing w:after="0"/>
              <w:rPr>
                <w:sz w:val="20"/>
                <w:szCs w:val="20"/>
                <w:color w:val="auto"/>
              </w:rPr>
            </w:pPr>
            <w:r>
              <w:rPr>
                <w:rFonts w:ascii="Arial" w:cs="Arial" w:eastAsia="Arial" w:hAnsi="Arial"/>
                <w:sz w:val="13"/>
                <w:szCs w:val="13"/>
                <w:color w:val="auto"/>
              </w:rPr>
              <w:t>(77)</w:t>
            </w:r>
          </w:p>
        </w:tc>
        <w:tc>
          <w:tcPr>
            <w:tcW w:w="780" w:type="dxa"/>
            <w:vAlign w:val="bottom"/>
            <w:vMerge w:val="restart"/>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71"/>
        </w:trPr>
        <w:tc>
          <w:tcPr>
            <w:tcW w:w="1400" w:type="dxa"/>
            <w:vAlign w:val="bottom"/>
            <w:vMerge w:val="restart"/>
          </w:tcPr>
          <w:p>
            <w:pPr>
              <w:ind w:left="20"/>
              <w:spacing w:after="0"/>
              <w:rPr>
                <w:sz w:val="20"/>
                <w:szCs w:val="20"/>
                <w:color w:val="auto"/>
              </w:rPr>
            </w:pPr>
            <w:r>
              <w:rPr>
                <w:rFonts w:ascii="Arial" w:cs="Arial" w:eastAsia="Arial" w:hAnsi="Arial"/>
                <w:sz w:val="13"/>
                <w:szCs w:val="13"/>
                <w:color w:val="auto"/>
              </w:rPr>
              <w:t>perpetual notes</w:t>
            </w:r>
          </w:p>
        </w:tc>
        <w:tc>
          <w:tcPr>
            <w:tcW w:w="6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00" w:type="dxa"/>
            <w:vAlign w:val="bottom"/>
            <w:tcBorders>
              <w:bottom w:val="single" w:sz="8" w:color="8E939F"/>
            </w:tcBorders>
            <w:vMerge w:val="continue"/>
          </w:tcPr>
          <w:p>
            <w:pPr>
              <w:spacing w:after="0"/>
              <w:rPr>
                <w:sz w:val="8"/>
                <w:szCs w:val="8"/>
                <w:color w:val="auto"/>
              </w:rPr>
            </w:pPr>
          </w:p>
        </w:tc>
        <w:tc>
          <w:tcPr>
            <w:tcW w:w="600" w:type="dxa"/>
            <w:vAlign w:val="bottom"/>
            <w:tcBorders>
              <w:bottom w:val="single" w:sz="8" w:color="8E939F"/>
            </w:tcBorders>
            <w:vMerge w:val="continue"/>
          </w:tcPr>
          <w:p>
            <w:pPr>
              <w:spacing w:after="0"/>
              <w:rPr>
                <w:sz w:val="8"/>
                <w:szCs w:val="8"/>
                <w:color w:val="auto"/>
              </w:rPr>
            </w:pPr>
          </w:p>
        </w:tc>
        <w:tc>
          <w:tcPr>
            <w:tcW w:w="740" w:type="dxa"/>
            <w:vAlign w:val="bottom"/>
            <w:tcBorders>
              <w:bottom w:val="single" w:sz="8" w:color="8E939F"/>
            </w:tcBorders>
            <w:vMerge w:val="continue"/>
          </w:tcPr>
          <w:p>
            <w:pPr>
              <w:spacing w:after="0"/>
              <w:rPr>
                <w:sz w:val="8"/>
                <w:szCs w:val="8"/>
                <w:color w:val="auto"/>
              </w:rPr>
            </w:pPr>
          </w:p>
        </w:tc>
        <w:tc>
          <w:tcPr>
            <w:tcW w:w="720" w:type="dxa"/>
            <w:vAlign w:val="bottom"/>
            <w:tcBorders>
              <w:bottom w:val="single" w:sz="8" w:color="8E939F"/>
            </w:tcBorders>
            <w:vMerge w:val="continue"/>
          </w:tcPr>
          <w:p>
            <w:pPr>
              <w:spacing w:after="0"/>
              <w:rPr>
                <w:sz w:val="8"/>
                <w:szCs w:val="8"/>
                <w:color w:val="auto"/>
              </w:rPr>
            </w:pPr>
          </w:p>
        </w:tc>
        <w:tc>
          <w:tcPr>
            <w:tcW w:w="820" w:type="dxa"/>
            <w:vAlign w:val="bottom"/>
            <w:tcBorders>
              <w:bottom w:val="single" w:sz="8" w:color="8E939F"/>
            </w:tcBorders>
            <w:vMerge w:val="continue"/>
          </w:tcPr>
          <w:p>
            <w:pPr>
              <w:spacing w:after="0"/>
              <w:rPr>
                <w:sz w:val="8"/>
                <w:szCs w:val="8"/>
                <w:color w:val="auto"/>
              </w:rPr>
            </w:pPr>
          </w:p>
        </w:tc>
        <w:tc>
          <w:tcPr>
            <w:tcW w:w="740" w:type="dxa"/>
            <w:vAlign w:val="bottom"/>
            <w:tcBorders>
              <w:bottom w:val="single" w:sz="8" w:color="8E939F"/>
            </w:tcBorders>
            <w:vMerge w:val="continue"/>
          </w:tcPr>
          <w:p>
            <w:pPr>
              <w:spacing w:after="0"/>
              <w:rPr>
                <w:sz w:val="8"/>
                <w:szCs w:val="8"/>
                <w:color w:val="auto"/>
              </w:rPr>
            </w:pPr>
          </w:p>
        </w:tc>
        <w:tc>
          <w:tcPr>
            <w:tcW w:w="1100" w:type="dxa"/>
            <w:vAlign w:val="bottom"/>
            <w:tcBorders>
              <w:bottom w:val="single" w:sz="8" w:color="8E939F"/>
            </w:tcBorders>
            <w:vMerge w:val="continue"/>
          </w:tcPr>
          <w:p>
            <w:pPr>
              <w:spacing w:after="0"/>
              <w:rPr>
                <w:sz w:val="8"/>
                <w:szCs w:val="8"/>
                <w:color w:val="auto"/>
              </w:rPr>
            </w:pPr>
          </w:p>
        </w:tc>
        <w:tc>
          <w:tcPr>
            <w:tcW w:w="960" w:type="dxa"/>
            <w:vAlign w:val="bottom"/>
            <w:tcBorders>
              <w:bottom w:val="single" w:sz="8" w:color="8E939F"/>
            </w:tcBorders>
            <w:vMerge w:val="continue"/>
          </w:tcPr>
          <w:p>
            <w:pPr>
              <w:spacing w:after="0"/>
              <w:rPr>
                <w:sz w:val="8"/>
                <w:szCs w:val="8"/>
                <w:color w:val="auto"/>
              </w:rPr>
            </w:pPr>
          </w:p>
        </w:tc>
        <w:tc>
          <w:tcPr>
            <w:tcW w:w="760" w:type="dxa"/>
            <w:vAlign w:val="bottom"/>
            <w:tcBorders>
              <w:bottom w:val="single" w:sz="8" w:color="8E939F"/>
            </w:tcBorders>
            <w:vMerge w:val="continue"/>
          </w:tcPr>
          <w:p>
            <w:pPr>
              <w:spacing w:after="0"/>
              <w:rPr>
                <w:sz w:val="8"/>
                <w:szCs w:val="8"/>
                <w:color w:val="auto"/>
              </w:rPr>
            </w:pPr>
          </w:p>
        </w:tc>
        <w:tc>
          <w:tcPr>
            <w:tcW w:w="920" w:type="dxa"/>
            <w:vAlign w:val="bottom"/>
            <w:tcBorders>
              <w:bottom w:val="single" w:sz="8" w:color="8E939F"/>
            </w:tcBorders>
            <w:vMerge w:val="continue"/>
          </w:tcPr>
          <w:p>
            <w:pPr>
              <w:spacing w:after="0"/>
              <w:rPr>
                <w:sz w:val="8"/>
                <w:szCs w:val="8"/>
                <w:color w:val="auto"/>
              </w:rPr>
            </w:pPr>
          </w:p>
        </w:tc>
        <w:tc>
          <w:tcPr>
            <w:tcW w:w="1040" w:type="dxa"/>
            <w:vAlign w:val="bottom"/>
            <w:tcBorders>
              <w:bottom w:val="single" w:sz="8" w:color="8E939F"/>
            </w:tcBorders>
            <w:vMerge w:val="continue"/>
          </w:tcPr>
          <w:p>
            <w:pPr>
              <w:spacing w:after="0"/>
              <w:rPr>
                <w:sz w:val="8"/>
                <w:szCs w:val="8"/>
                <w:color w:val="auto"/>
              </w:rPr>
            </w:pPr>
          </w:p>
        </w:tc>
        <w:tc>
          <w:tcPr>
            <w:tcW w:w="780" w:type="dxa"/>
            <w:vAlign w:val="bottom"/>
            <w:tcBorders>
              <w:bottom w:val="single" w:sz="8" w:color="8E939F"/>
            </w:tcBorders>
            <w:vMerge w:val="continue"/>
          </w:tcPr>
          <w:p>
            <w:pPr>
              <w:spacing w:after="0"/>
              <w:rPr>
                <w:sz w:val="8"/>
                <w:szCs w:val="8"/>
                <w:color w:val="auto"/>
              </w:rPr>
            </w:pPr>
          </w:p>
        </w:tc>
        <w:tc>
          <w:tcPr>
            <w:tcW w:w="66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Other changes</w:t>
            </w:r>
            <w:r>
              <w:rPr>
                <w:rFonts w:ascii="Arial" w:cs="Arial" w:eastAsia="Arial" w:hAnsi="Arial"/>
                <w:sz w:val="16"/>
                <w:szCs w:val="16"/>
                <w:color w:val="auto"/>
                <w:vertAlign w:val="superscript"/>
              </w:rPr>
              <w:t>(1)</w:t>
            </w:r>
          </w:p>
        </w:tc>
        <w:tc>
          <w:tcPr>
            <w:tcW w:w="600" w:type="dxa"/>
            <w:vAlign w:val="bottom"/>
            <w:tcBorders>
              <w:bottom w:val="single" w:sz="8" w:color="8E939F"/>
            </w:tcBorders>
          </w:tcPr>
          <w:p>
            <w:pPr>
              <w:jc w:val="right"/>
              <w:ind w:right="159"/>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8E939F"/>
            </w:tcBorders>
          </w:tcPr>
          <w:p>
            <w:pPr>
              <w:ind w:left="4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8E939F"/>
            </w:tcBorders>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8E939F"/>
            </w:tcBorders>
          </w:tcPr>
          <w:p>
            <w:pPr>
              <w:jc w:val="right"/>
              <w:ind w:right="101"/>
              <w:spacing w:after="0"/>
              <w:rPr>
                <w:sz w:val="20"/>
                <w:szCs w:val="20"/>
                <w:color w:val="auto"/>
              </w:rPr>
            </w:pPr>
            <w:r>
              <w:rPr>
                <w:rFonts w:ascii="Arial" w:cs="Arial" w:eastAsia="Arial" w:hAnsi="Arial"/>
                <w:sz w:val="13"/>
                <w:szCs w:val="13"/>
                <w:color w:val="auto"/>
              </w:rPr>
              <w:t>150</w:t>
            </w:r>
          </w:p>
        </w:tc>
        <w:tc>
          <w:tcPr>
            <w:tcW w:w="740" w:type="dxa"/>
            <w:vAlign w:val="bottom"/>
            <w:tcBorders>
              <w:bottom w:val="single" w:sz="8" w:color="8E939F"/>
            </w:tcBorders>
          </w:tcPr>
          <w:p>
            <w:pPr>
              <w:jc w:val="right"/>
              <w:ind w:right="119"/>
              <w:spacing w:after="0"/>
              <w:rPr>
                <w:sz w:val="20"/>
                <w:szCs w:val="20"/>
                <w:color w:val="auto"/>
              </w:rPr>
            </w:pPr>
            <w:r>
              <w:rPr>
                <w:rFonts w:ascii="Arial" w:cs="Arial" w:eastAsia="Arial" w:hAnsi="Arial"/>
                <w:sz w:val="13"/>
                <w:szCs w:val="13"/>
                <w:color w:val="auto"/>
              </w:rPr>
              <w:t>(5)</w:t>
            </w:r>
          </w:p>
        </w:tc>
        <w:tc>
          <w:tcPr>
            <w:tcW w:w="1100" w:type="dxa"/>
            <w:vAlign w:val="bottom"/>
            <w:tcBorders>
              <w:bottom w:val="single" w:sz="8" w:color="8E939F"/>
            </w:tcBorders>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42"/>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8E939F"/>
            </w:tcBorders>
          </w:tcPr>
          <w:p>
            <w:pPr>
              <w:jc w:val="right"/>
              <w:ind w:right="101"/>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8E939F"/>
            </w:tcBorders>
          </w:tcPr>
          <w:p>
            <w:pPr>
              <w:jc w:val="right"/>
              <w:ind w:right="81"/>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8E939F"/>
            </w:tcBorders>
          </w:tcPr>
          <w:p>
            <w:pPr>
              <w:jc w:val="right"/>
              <w:ind w:right="161"/>
              <w:spacing w:after="0"/>
              <w:rPr>
                <w:sz w:val="20"/>
                <w:szCs w:val="20"/>
                <w:color w:val="auto"/>
              </w:rPr>
            </w:pPr>
            <w:r>
              <w:rPr>
                <w:rFonts w:ascii="Arial" w:cs="Arial" w:eastAsia="Arial" w:hAnsi="Arial"/>
                <w:sz w:val="13"/>
                <w:szCs w:val="13"/>
                <w:color w:val="auto"/>
              </w:rPr>
              <w:t>145</w:t>
            </w:r>
          </w:p>
        </w:tc>
        <w:tc>
          <w:tcPr>
            <w:tcW w:w="780" w:type="dxa"/>
            <w:vAlign w:val="bottom"/>
            <w:tcBorders>
              <w:bottom w:val="single" w:sz="8" w:color="8E939F"/>
            </w:tcBorders>
          </w:tcPr>
          <w:p>
            <w:pPr>
              <w:jc w:val="right"/>
              <w:ind w:right="60"/>
              <w:spacing w:after="0"/>
              <w:rPr>
                <w:sz w:val="20"/>
                <w:szCs w:val="20"/>
                <w:color w:val="auto"/>
              </w:rPr>
            </w:pPr>
            <w:r>
              <w:rPr>
                <w:rFonts w:ascii="Arial" w:cs="Arial" w:eastAsia="Arial" w:hAnsi="Arial"/>
                <w:sz w:val="13"/>
                <w:szCs w:val="13"/>
                <w:color w:val="auto"/>
              </w:rPr>
              <w:t>(13)</w:t>
            </w:r>
          </w:p>
        </w:tc>
        <w:tc>
          <w:tcPr>
            <w:tcW w:w="66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78"/>
        </w:trPr>
        <w:tc>
          <w:tcPr>
            <w:tcW w:w="1400" w:type="dxa"/>
            <w:vAlign w:val="bottom"/>
            <w:shd w:val="clear" w:color="auto" w:fill="E6E7F4"/>
          </w:tcPr>
          <w:p>
            <w:pPr>
              <w:ind w:left="20"/>
              <w:spacing w:after="0"/>
              <w:rPr>
                <w:sz w:val="20"/>
                <w:szCs w:val="20"/>
                <w:color w:val="auto"/>
              </w:rPr>
            </w:pPr>
            <w:r>
              <w:rPr>
                <w:rFonts w:ascii="Arial" w:cs="Arial" w:eastAsia="Arial" w:hAnsi="Arial"/>
                <w:sz w:val="13"/>
                <w:szCs w:val="13"/>
                <w:b w:val="1"/>
                <w:bCs w:val="1"/>
                <w:color w:val="143A84"/>
              </w:rPr>
              <w:t>At September 30,</w:t>
            </w:r>
          </w:p>
        </w:tc>
        <w:tc>
          <w:tcPr>
            <w:tcW w:w="600" w:type="dxa"/>
            <w:vAlign w:val="bottom"/>
            <w:vMerge w:val="restart"/>
            <w:shd w:val="clear" w:color="auto" w:fill="E6E7F4"/>
          </w:tcPr>
          <w:p>
            <w:pPr>
              <w:jc w:val="right"/>
              <w:ind w:right="159"/>
              <w:spacing w:after="0"/>
              <w:rPr>
                <w:sz w:val="20"/>
                <w:szCs w:val="20"/>
                <w:color w:val="auto"/>
              </w:rPr>
            </w:pPr>
            <w:r>
              <w:rPr>
                <w:rFonts w:ascii="Arial" w:cs="Arial" w:eastAsia="Arial" w:hAnsi="Arial"/>
                <w:sz w:val="13"/>
                <w:szCs w:val="13"/>
                <w:b w:val="1"/>
                <w:bCs w:val="1"/>
                <w:color w:val="143A84"/>
              </w:rPr>
              <w:t>37</w:t>
            </w:r>
          </w:p>
        </w:tc>
        <w:tc>
          <w:tcPr>
            <w:tcW w:w="740" w:type="dxa"/>
            <w:vAlign w:val="bottom"/>
            <w:vMerge w:val="restart"/>
            <w:shd w:val="clear" w:color="auto" w:fill="E6E7F4"/>
          </w:tcPr>
          <w:p>
            <w:pPr>
              <w:ind w:left="260"/>
              <w:spacing w:after="0"/>
              <w:rPr>
                <w:sz w:val="20"/>
                <w:szCs w:val="20"/>
                <w:color w:val="auto"/>
              </w:rPr>
            </w:pPr>
            <w:r>
              <w:rPr>
                <w:rFonts w:ascii="Arial" w:cs="Arial" w:eastAsia="Arial" w:hAnsi="Arial"/>
                <w:sz w:val="13"/>
                <w:szCs w:val="13"/>
                <w:b w:val="1"/>
                <w:bCs w:val="1"/>
                <w:color w:val="143A84"/>
              </w:rPr>
              <w:t>(285)</w:t>
            </w:r>
          </w:p>
        </w:tc>
        <w:tc>
          <w:tcPr>
            <w:tcW w:w="720" w:type="dxa"/>
            <w:vAlign w:val="bottom"/>
            <w:vMerge w:val="restart"/>
            <w:shd w:val="clear" w:color="auto" w:fill="E6E7F4"/>
          </w:tcPr>
          <w:p>
            <w:pPr>
              <w:jc w:val="right"/>
              <w:ind w:right="80"/>
              <w:spacing w:after="0"/>
              <w:rPr>
                <w:sz w:val="20"/>
                <w:szCs w:val="20"/>
                <w:color w:val="auto"/>
              </w:rPr>
            </w:pPr>
            <w:r>
              <w:rPr>
                <w:rFonts w:ascii="Arial" w:cs="Arial" w:eastAsia="Arial" w:hAnsi="Arial"/>
                <w:sz w:val="13"/>
                <w:szCs w:val="13"/>
                <w:b w:val="1"/>
                <w:bCs w:val="1"/>
                <w:color w:val="143A84"/>
              </w:rPr>
              <w:t>5,110</w:t>
            </w:r>
          </w:p>
        </w:tc>
        <w:tc>
          <w:tcPr>
            <w:tcW w:w="820" w:type="dxa"/>
            <w:vAlign w:val="bottom"/>
            <w:vMerge w:val="restart"/>
            <w:shd w:val="clear" w:color="auto" w:fill="E6E7F4"/>
          </w:tcPr>
          <w:p>
            <w:pPr>
              <w:jc w:val="right"/>
              <w:ind w:right="101"/>
              <w:spacing w:after="0"/>
              <w:rPr>
                <w:sz w:val="20"/>
                <w:szCs w:val="20"/>
                <w:color w:val="auto"/>
              </w:rPr>
            </w:pPr>
            <w:r>
              <w:rPr>
                <w:rFonts w:ascii="Arial" w:cs="Arial" w:eastAsia="Arial" w:hAnsi="Arial"/>
                <w:sz w:val="13"/>
                <w:szCs w:val="13"/>
                <w:b w:val="1"/>
                <w:bCs w:val="1"/>
                <w:color w:val="143A84"/>
              </w:rPr>
              <w:t>53,436</w:t>
            </w:r>
          </w:p>
        </w:tc>
        <w:tc>
          <w:tcPr>
            <w:tcW w:w="740" w:type="dxa"/>
            <w:vAlign w:val="bottom"/>
            <w:vMerge w:val="restart"/>
            <w:shd w:val="clear" w:color="auto" w:fill="E6E7F4"/>
          </w:tcPr>
          <w:p>
            <w:pPr>
              <w:jc w:val="right"/>
              <w:ind w:right="159"/>
              <w:spacing w:after="0"/>
              <w:rPr>
                <w:sz w:val="20"/>
                <w:szCs w:val="20"/>
                <w:color w:val="auto"/>
              </w:rPr>
            </w:pPr>
            <w:r>
              <w:rPr>
                <w:rFonts w:ascii="Arial" w:cs="Arial" w:eastAsia="Arial" w:hAnsi="Arial"/>
                <w:sz w:val="13"/>
                <w:szCs w:val="13"/>
                <w:b w:val="1"/>
                <w:bCs w:val="1"/>
                <w:color w:val="143A84"/>
              </w:rPr>
              <w:t>248</w:t>
            </w:r>
          </w:p>
        </w:tc>
        <w:tc>
          <w:tcPr>
            <w:tcW w:w="1100" w:type="dxa"/>
            <w:vAlign w:val="bottom"/>
            <w:vMerge w:val="restart"/>
            <w:shd w:val="clear" w:color="auto" w:fill="E6E7F4"/>
          </w:tcPr>
          <w:p>
            <w:pPr>
              <w:jc w:val="right"/>
              <w:ind w:right="60"/>
              <w:spacing w:after="0"/>
              <w:rPr>
                <w:sz w:val="20"/>
                <w:szCs w:val="20"/>
                <w:color w:val="auto"/>
              </w:rPr>
            </w:pPr>
            <w:r>
              <w:rPr>
                <w:rFonts w:ascii="Arial" w:cs="Arial" w:eastAsia="Arial" w:hAnsi="Arial"/>
                <w:sz w:val="13"/>
                <w:szCs w:val="13"/>
                <w:b w:val="1"/>
                <w:bCs w:val="1"/>
                <w:color w:val="143A84"/>
              </w:rPr>
              <w:t>59</w:t>
            </w:r>
          </w:p>
        </w:tc>
        <w:tc>
          <w:tcPr>
            <w:tcW w:w="960" w:type="dxa"/>
            <w:vAlign w:val="bottom"/>
            <w:vMerge w:val="restart"/>
            <w:shd w:val="clear" w:color="auto" w:fill="E6E7F4"/>
          </w:tcPr>
          <w:p>
            <w:pPr>
              <w:jc w:val="right"/>
              <w:ind w:right="142"/>
              <w:spacing w:after="0"/>
              <w:rPr>
                <w:sz w:val="20"/>
                <w:szCs w:val="20"/>
                <w:color w:val="auto"/>
              </w:rPr>
            </w:pPr>
            <w:r>
              <w:rPr>
                <w:rFonts w:ascii="Arial" w:cs="Arial" w:eastAsia="Arial" w:hAnsi="Arial"/>
                <w:sz w:val="13"/>
                <w:szCs w:val="13"/>
                <w:b w:val="1"/>
                <w:bCs w:val="1"/>
                <w:color w:val="143A84"/>
              </w:rPr>
              <w:t>3,866</w:t>
            </w:r>
          </w:p>
        </w:tc>
        <w:tc>
          <w:tcPr>
            <w:tcW w:w="760" w:type="dxa"/>
            <w:vAlign w:val="bottom"/>
            <w:vMerge w:val="restart"/>
            <w:shd w:val="clear" w:color="auto" w:fill="E6E7F4"/>
          </w:tcPr>
          <w:p>
            <w:pPr>
              <w:jc w:val="right"/>
              <w:ind w:right="61"/>
              <w:spacing w:after="0"/>
              <w:rPr>
                <w:sz w:val="20"/>
                <w:szCs w:val="20"/>
                <w:color w:val="auto"/>
              </w:rPr>
            </w:pPr>
            <w:r>
              <w:rPr>
                <w:rFonts w:ascii="Arial" w:cs="Arial" w:eastAsia="Arial" w:hAnsi="Arial"/>
                <w:sz w:val="13"/>
                <w:szCs w:val="13"/>
                <w:b w:val="1"/>
                <w:bCs w:val="1"/>
                <w:color w:val="143A84"/>
              </w:rPr>
              <w:t>(681)</w:t>
            </w:r>
          </w:p>
        </w:tc>
        <w:tc>
          <w:tcPr>
            <w:tcW w:w="920" w:type="dxa"/>
            <w:vAlign w:val="bottom"/>
            <w:vMerge w:val="restart"/>
            <w:shd w:val="clear" w:color="auto" w:fill="E6E7F4"/>
          </w:tcPr>
          <w:p>
            <w:pPr>
              <w:jc w:val="right"/>
              <w:ind w:right="41"/>
              <w:spacing w:after="0"/>
              <w:rPr>
                <w:sz w:val="20"/>
                <w:szCs w:val="20"/>
                <w:color w:val="auto"/>
              </w:rPr>
            </w:pPr>
            <w:r>
              <w:rPr>
                <w:rFonts w:ascii="Arial" w:cs="Arial" w:eastAsia="Arial" w:hAnsi="Arial"/>
                <w:sz w:val="13"/>
                <w:szCs w:val="13"/>
                <w:b w:val="1"/>
                <w:bCs w:val="1"/>
                <w:color w:val="143A84"/>
              </w:rPr>
              <w:t>(499)</w:t>
            </w:r>
          </w:p>
        </w:tc>
        <w:tc>
          <w:tcPr>
            <w:tcW w:w="1040" w:type="dxa"/>
            <w:vAlign w:val="bottom"/>
            <w:vMerge w:val="restart"/>
            <w:shd w:val="clear" w:color="auto" w:fill="E6E7F4"/>
          </w:tcPr>
          <w:p>
            <w:pPr>
              <w:jc w:val="right"/>
              <w:ind w:right="161"/>
              <w:spacing w:after="0"/>
              <w:rPr>
                <w:sz w:val="20"/>
                <w:szCs w:val="20"/>
                <w:color w:val="auto"/>
              </w:rPr>
            </w:pPr>
            <w:r>
              <w:rPr>
                <w:rFonts w:ascii="Arial" w:cs="Arial" w:eastAsia="Arial" w:hAnsi="Arial"/>
                <w:sz w:val="13"/>
                <w:szCs w:val="13"/>
                <w:b w:val="1"/>
                <w:bCs w:val="1"/>
                <w:color w:val="143A84"/>
              </w:rPr>
              <w:t>61,291</w:t>
            </w:r>
          </w:p>
        </w:tc>
        <w:tc>
          <w:tcPr>
            <w:tcW w:w="780" w:type="dxa"/>
            <w:vAlign w:val="bottom"/>
            <w:vMerge w:val="restart"/>
            <w:shd w:val="clear" w:color="auto" w:fill="E6E7F4"/>
          </w:tcPr>
          <w:p>
            <w:pPr>
              <w:jc w:val="right"/>
              <w:ind w:right="100"/>
              <w:spacing w:after="0"/>
              <w:rPr>
                <w:sz w:val="20"/>
                <w:szCs w:val="20"/>
                <w:color w:val="auto"/>
              </w:rPr>
            </w:pPr>
            <w:r>
              <w:rPr>
                <w:rFonts w:ascii="Arial" w:cs="Arial" w:eastAsia="Arial" w:hAnsi="Arial"/>
                <w:sz w:val="13"/>
                <w:szCs w:val="13"/>
                <w:b w:val="1"/>
                <w:bCs w:val="1"/>
                <w:color w:val="143A84"/>
              </w:rPr>
              <w:t>472</w:t>
            </w:r>
          </w:p>
        </w:tc>
        <w:tc>
          <w:tcPr>
            <w:tcW w:w="660" w:type="dxa"/>
            <w:vAlign w:val="bottom"/>
            <w:vMerge w:val="restart"/>
            <w:shd w:val="clear" w:color="auto" w:fill="E6E7F4"/>
          </w:tcPr>
          <w:p>
            <w:pPr>
              <w:jc w:val="right"/>
              <w:spacing w:after="0"/>
              <w:rPr>
                <w:sz w:val="20"/>
                <w:szCs w:val="20"/>
                <w:color w:val="auto"/>
              </w:rPr>
            </w:pPr>
            <w:r>
              <w:rPr>
                <w:rFonts w:ascii="Arial" w:cs="Arial" w:eastAsia="Arial" w:hAnsi="Arial"/>
                <w:sz w:val="13"/>
                <w:szCs w:val="13"/>
                <w:b w:val="1"/>
                <w:bCs w:val="1"/>
                <w:color w:val="143A84"/>
              </w:rPr>
              <w:t>61,763</w:t>
            </w:r>
          </w:p>
        </w:tc>
        <w:tc>
          <w:tcPr>
            <w:tcW w:w="0" w:type="dxa"/>
            <w:vAlign w:val="bottom"/>
          </w:tcPr>
          <w:p>
            <w:pPr>
              <w:spacing w:after="0"/>
              <w:rPr>
                <w:sz w:val="1"/>
                <w:szCs w:val="1"/>
                <w:color w:val="auto"/>
              </w:rPr>
            </w:pPr>
          </w:p>
        </w:tc>
      </w:tr>
      <w:tr>
        <w:trPr>
          <w:trHeight w:val="77"/>
        </w:trPr>
        <w:tc>
          <w:tcPr>
            <w:tcW w:w="1400" w:type="dxa"/>
            <w:vAlign w:val="bottom"/>
            <w:vMerge w:val="restart"/>
            <w:shd w:val="clear" w:color="auto" w:fill="E6E7F4"/>
          </w:tcPr>
          <w:p>
            <w:pPr>
              <w:ind w:left="20"/>
              <w:spacing w:after="0"/>
              <w:rPr>
                <w:sz w:val="20"/>
                <w:szCs w:val="20"/>
                <w:color w:val="auto"/>
              </w:rPr>
            </w:pPr>
            <w:r>
              <w:rPr>
                <w:rFonts w:ascii="Arial" w:cs="Arial" w:eastAsia="Arial" w:hAnsi="Arial"/>
                <w:sz w:val="13"/>
                <w:szCs w:val="13"/>
                <w:b w:val="1"/>
                <w:bCs w:val="1"/>
                <w:color w:val="143A84"/>
              </w:rPr>
              <w:t>2026</w:t>
            </w:r>
          </w:p>
        </w:tc>
        <w:tc>
          <w:tcPr>
            <w:tcW w:w="600" w:type="dxa"/>
            <w:vAlign w:val="bottom"/>
            <w:vMerge w:val="continue"/>
            <w:shd w:val="clear" w:color="auto" w:fill="E6E7F4"/>
          </w:tcPr>
          <w:p>
            <w:pPr>
              <w:spacing w:after="0"/>
              <w:rPr>
                <w:sz w:val="6"/>
                <w:szCs w:val="6"/>
                <w:color w:val="auto"/>
              </w:rPr>
            </w:pPr>
          </w:p>
        </w:tc>
        <w:tc>
          <w:tcPr>
            <w:tcW w:w="740" w:type="dxa"/>
            <w:vAlign w:val="bottom"/>
            <w:vMerge w:val="continue"/>
            <w:shd w:val="clear" w:color="auto" w:fill="E6E7F4"/>
          </w:tcPr>
          <w:p>
            <w:pPr>
              <w:spacing w:after="0"/>
              <w:rPr>
                <w:sz w:val="6"/>
                <w:szCs w:val="6"/>
                <w:color w:val="auto"/>
              </w:rPr>
            </w:pPr>
          </w:p>
        </w:tc>
        <w:tc>
          <w:tcPr>
            <w:tcW w:w="720" w:type="dxa"/>
            <w:vAlign w:val="bottom"/>
            <w:vMerge w:val="continue"/>
            <w:shd w:val="clear" w:color="auto" w:fill="E6E7F4"/>
          </w:tcPr>
          <w:p>
            <w:pPr>
              <w:spacing w:after="0"/>
              <w:rPr>
                <w:sz w:val="6"/>
                <w:szCs w:val="6"/>
                <w:color w:val="auto"/>
              </w:rPr>
            </w:pPr>
          </w:p>
        </w:tc>
        <w:tc>
          <w:tcPr>
            <w:tcW w:w="820" w:type="dxa"/>
            <w:vAlign w:val="bottom"/>
            <w:vMerge w:val="continue"/>
            <w:shd w:val="clear" w:color="auto" w:fill="E6E7F4"/>
          </w:tcPr>
          <w:p>
            <w:pPr>
              <w:spacing w:after="0"/>
              <w:rPr>
                <w:sz w:val="6"/>
                <w:szCs w:val="6"/>
                <w:color w:val="auto"/>
              </w:rPr>
            </w:pPr>
          </w:p>
        </w:tc>
        <w:tc>
          <w:tcPr>
            <w:tcW w:w="740" w:type="dxa"/>
            <w:vAlign w:val="bottom"/>
            <w:vMerge w:val="continue"/>
            <w:shd w:val="clear" w:color="auto" w:fill="E6E7F4"/>
          </w:tcPr>
          <w:p>
            <w:pPr>
              <w:spacing w:after="0"/>
              <w:rPr>
                <w:sz w:val="6"/>
                <w:szCs w:val="6"/>
                <w:color w:val="auto"/>
              </w:rPr>
            </w:pPr>
          </w:p>
        </w:tc>
        <w:tc>
          <w:tcPr>
            <w:tcW w:w="1100" w:type="dxa"/>
            <w:vAlign w:val="bottom"/>
            <w:vMerge w:val="continue"/>
            <w:shd w:val="clear" w:color="auto" w:fill="E6E7F4"/>
          </w:tcPr>
          <w:p>
            <w:pPr>
              <w:spacing w:after="0"/>
              <w:rPr>
                <w:sz w:val="6"/>
                <w:szCs w:val="6"/>
                <w:color w:val="auto"/>
              </w:rPr>
            </w:pPr>
          </w:p>
        </w:tc>
        <w:tc>
          <w:tcPr>
            <w:tcW w:w="960" w:type="dxa"/>
            <w:vAlign w:val="bottom"/>
            <w:vMerge w:val="continue"/>
            <w:shd w:val="clear" w:color="auto" w:fill="E6E7F4"/>
          </w:tcPr>
          <w:p>
            <w:pPr>
              <w:spacing w:after="0"/>
              <w:rPr>
                <w:sz w:val="6"/>
                <w:szCs w:val="6"/>
                <w:color w:val="auto"/>
              </w:rPr>
            </w:pPr>
          </w:p>
        </w:tc>
        <w:tc>
          <w:tcPr>
            <w:tcW w:w="760" w:type="dxa"/>
            <w:vAlign w:val="bottom"/>
            <w:vMerge w:val="continue"/>
            <w:shd w:val="clear" w:color="auto" w:fill="E6E7F4"/>
          </w:tcPr>
          <w:p>
            <w:pPr>
              <w:spacing w:after="0"/>
              <w:rPr>
                <w:sz w:val="6"/>
                <w:szCs w:val="6"/>
                <w:color w:val="auto"/>
              </w:rPr>
            </w:pPr>
          </w:p>
        </w:tc>
        <w:tc>
          <w:tcPr>
            <w:tcW w:w="920" w:type="dxa"/>
            <w:vAlign w:val="bottom"/>
            <w:vMerge w:val="continue"/>
            <w:shd w:val="clear" w:color="auto" w:fill="E6E7F4"/>
          </w:tcPr>
          <w:p>
            <w:pPr>
              <w:spacing w:after="0"/>
              <w:rPr>
                <w:sz w:val="6"/>
                <w:szCs w:val="6"/>
                <w:color w:val="auto"/>
              </w:rPr>
            </w:pPr>
          </w:p>
        </w:tc>
        <w:tc>
          <w:tcPr>
            <w:tcW w:w="1040" w:type="dxa"/>
            <w:vAlign w:val="bottom"/>
            <w:vMerge w:val="continue"/>
            <w:shd w:val="clear" w:color="auto" w:fill="E6E7F4"/>
          </w:tcPr>
          <w:p>
            <w:pPr>
              <w:spacing w:after="0"/>
              <w:rPr>
                <w:sz w:val="6"/>
                <w:szCs w:val="6"/>
                <w:color w:val="auto"/>
              </w:rPr>
            </w:pPr>
          </w:p>
        </w:tc>
        <w:tc>
          <w:tcPr>
            <w:tcW w:w="780" w:type="dxa"/>
            <w:vAlign w:val="bottom"/>
            <w:vMerge w:val="continue"/>
            <w:shd w:val="clear" w:color="auto" w:fill="E6E7F4"/>
          </w:tcPr>
          <w:p>
            <w:pPr>
              <w:spacing w:after="0"/>
              <w:rPr>
                <w:sz w:val="6"/>
                <w:szCs w:val="6"/>
                <w:color w:val="auto"/>
              </w:rPr>
            </w:pPr>
          </w:p>
        </w:tc>
        <w:tc>
          <w:tcPr>
            <w:tcW w:w="660" w:type="dxa"/>
            <w:vAlign w:val="bottom"/>
            <w:vMerge w:val="continue"/>
            <w:shd w:val="clear" w:color="auto" w:fill="E6E7F4"/>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400" w:type="dxa"/>
            <w:vAlign w:val="bottom"/>
            <w:tcBorders>
              <w:bottom w:val="single" w:sz="8" w:color="8E939F"/>
            </w:tcBorders>
            <w:vMerge w:val="continue"/>
            <w:shd w:val="clear" w:color="auto" w:fill="E6E7F4"/>
          </w:tcPr>
          <w:p>
            <w:pPr>
              <w:spacing w:after="0"/>
              <w:rPr>
                <w:sz w:val="8"/>
                <w:szCs w:val="8"/>
                <w:color w:val="auto"/>
              </w:rPr>
            </w:pPr>
          </w:p>
        </w:tc>
        <w:tc>
          <w:tcPr>
            <w:tcW w:w="600" w:type="dxa"/>
            <w:vAlign w:val="bottom"/>
            <w:tcBorders>
              <w:bottom w:val="single" w:sz="8" w:color="8E939F"/>
            </w:tcBorders>
            <w:shd w:val="clear" w:color="auto" w:fill="E6E7F4"/>
          </w:tcPr>
          <w:p>
            <w:pPr>
              <w:spacing w:after="0"/>
              <w:rPr>
                <w:sz w:val="8"/>
                <w:szCs w:val="8"/>
                <w:color w:val="auto"/>
              </w:rPr>
            </w:pPr>
          </w:p>
        </w:tc>
        <w:tc>
          <w:tcPr>
            <w:tcW w:w="740" w:type="dxa"/>
            <w:vAlign w:val="bottom"/>
            <w:tcBorders>
              <w:bottom w:val="single" w:sz="8" w:color="8E939F"/>
            </w:tcBorders>
            <w:shd w:val="clear" w:color="auto" w:fill="E6E7F4"/>
          </w:tcPr>
          <w:p>
            <w:pPr>
              <w:spacing w:after="0"/>
              <w:rPr>
                <w:sz w:val="8"/>
                <w:szCs w:val="8"/>
                <w:color w:val="auto"/>
              </w:rPr>
            </w:pPr>
          </w:p>
        </w:tc>
        <w:tc>
          <w:tcPr>
            <w:tcW w:w="720" w:type="dxa"/>
            <w:vAlign w:val="bottom"/>
            <w:tcBorders>
              <w:bottom w:val="single" w:sz="8" w:color="8E939F"/>
            </w:tcBorders>
            <w:shd w:val="clear" w:color="auto" w:fill="E6E7F4"/>
          </w:tcPr>
          <w:p>
            <w:pPr>
              <w:spacing w:after="0"/>
              <w:rPr>
                <w:sz w:val="8"/>
                <w:szCs w:val="8"/>
                <w:color w:val="auto"/>
              </w:rPr>
            </w:pPr>
          </w:p>
        </w:tc>
        <w:tc>
          <w:tcPr>
            <w:tcW w:w="820" w:type="dxa"/>
            <w:vAlign w:val="bottom"/>
            <w:tcBorders>
              <w:bottom w:val="single" w:sz="8" w:color="8E939F"/>
            </w:tcBorders>
            <w:shd w:val="clear" w:color="auto" w:fill="E6E7F4"/>
          </w:tcPr>
          <w:p>
            <w:pPr>
              <w:spacing w:after="0"/>
              <w:rPr>
                <w:sz w:val="8"/>
                <w:szCs w:val="8"/>
                <w:color w:val="auto"/>
              </w:rPr>
            </w:pPr>
          </w:p>
        </w:tc>
        <w:tc>
          <w:tcPr>
            <w:tcW w:w="740" w:type="dxa"/>
            <w:vAlign w:val="bottom"/>
            <w:tcBorders>
              <w:bottom w:val="single" w:sz="8" w:color="8E939F"/>
            </w:tcBorders>
            <w:shd w:val="clear" w:color="auto" w:fill="E6E7F4"/>
          </w:tcPr>
          <w:p>
            <w:pPr>
              <w:spacing w:after="0"/>
              <w:rPr>
                <w:sz w:val="8"/>
                <w:szCs w:val="8"/>
                <w:color w:val="auto"/>
              </w:rPr>
            </w:pPr>
          </w:p>
        </w:tc>
        <w:tc>
          <w:tcPr>
            <w:tcW w:w="1100" w:type="dxa"/>
            <w:vAlign w:val="bottom"/>
            <w:tcBorders>
              <w:bottom w:val="single" w:sz="8" w:color="8E939F"/>
            </w:tcBorders>
            <w:shd w:val="clear" w:color="auto" w:fill="E6E7F4"/>
          </w:tcPr>
          <w:p>
            <w:pPr>
              <w:spacing w:after="0"/>
              <w:rPr>
                <w:sz w:val="8"/>
                <w:szCs w:val="8"/>
                <w:color w:val="auto"/>
              </w:rPr>
            </w:pPr>
          </w:p>
        </w:tc>
        <w:tc>
          <w:tcPr>
            <w:tcW w:w="960" w:type="dxa"/>
            <w:vAlign w:val="bottom"/>
            <w:tcBorders>
              <w:bottom w:val="single" w:sz="8" w:color="8E939F"/>
            </w:tcBorders>
            <w:shd w:val="clear" w:color="auto" w:fill="E6E7F4"/>
          </w:tcPr>
          <w:p>
            <w:pPr>
              <w:spacing w:after="0"/>
              <w:rPr>
                <w:sz w:val="8"/>
                <w:szCs w:val="8"/>
                <w:color w:val="auto"/>
              </w:rPr>
            </w:pPr>
          </w:p>
        </w:tc>
        <w:tc>
          <w:tcPr>
            <w:tcW w:w="760" w:type="dxa"/>
            <w:vAlign w:val="bottom"/>
            <w:tcBorders>
              <w:bottom w:val="single" w:sz="8" w:color="8E939F"/>
            </w:tcBorders>
            <w:shd w:val="clear" w:color="auto" w:fill="E6E7F4"/>
          </w:tcPr>
          <w:p>
            <w:pPr>
              <w:spacing w:after="0"/>
              <w:rPr>
                <w:sz w:val="8"/>
                <w:szCs w:val="8"/>
                <w:color w:val="auto"/>
              </w:rPr>
            </w:pPr>
          </w:p>
        </w:tc>
        <w:tc>
          <w:tcPr>
            <w:tcW w:w="920" w:type="dxa"/>
            <w:vAlign w:val="bottom"/>
            <w:tcBorders>
              <w:bottom w:val="single" w:sz="8" w:color="8E939F"/>
            </w:tcBorders>
            <w:shd w:val="clear" w:color="auto" w:fill="E6E7F4"/>
          </w:tcPr>
          <w:p>
            <w:pPr>
              <w:spacing w:after="0"/>
              <w:rPr>
                <w:sz w:val="8"/>
                <w:szCs w:val="8"/>
                <w:color w:val="auto"/>
              </w:rPr>
            </w:pPr>
          </w:p>
        </w:tc>
        <w:tc>
          <w:tcPr>
            <w:tcW w:w="1040" w:type="dxa"/>
            <w:vAlign w:val="bottom"/>
            <w:tcBorders>
              <w:bottom w:val="single" w:sz="8" w:color="8E939F"/>
            </w:tcBorders>
            <w:shd w:val="clear" w:color="auto" w:fill="E6E7F4"/>
          </w:tcPr>
          <w:p>
            <w:pPr>
              <w:spacing w:after="0"/>
              <w:rPr>
                <w:sz w:val="8"/>
                <w:szCs w:val="8"/>
                <w:color w:val="auto"/>
              </w:rPr>
            </w:pPr>
          </w:p>
        </w:tc>
        <w:tc>
          <w:tcPr>
            <w:tcW w:w="780" w:type="dxa"/>
            <w:vAlign w:val="bottom"/>
            <w:tcBorders>
              <w:bottom w:val="single" w:sz="8" w:color="8E939F"/>
            </w:tcBorders>
            <w:shd w:val="clear" w:color="auto" w:fill="E6E7F4"/>
          </w:tcPr>
          <w:p>
            <w:pPr>
              <w:spacing w:after="0"/>
              <w:rPr>
                <w:sz w:val="8"/>
                <w:szCs w:val="8"/>
                <w:color w:val="auto"/>
              </w:rPr>
            </w:pPr>
          </w:p>
        </w:tc>
        <w:tc>
          <w:tcPr>
            <w:tcW w:w="660" w:type="dxa"/>
            <w:vAlign w:val="bottom"/>
            <w:tcBorders>
              <w:bottom w:val="single" w:sz="8" w:color="8E939F"/>
            </w:tcBorders>
            <w:shd w:val="clear" w:color="auto" w:fill="E6E7F4"/>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firstLine="8"/>
        <w:spacing w:after="0" w:line="305" w:lineRule="auto"/>
        <w:tabs>
          <w:tab w:leader="none" w:pos="22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the effect of hyperinflation for entities whose functional currency is the Turkish Lira, beginning from January 1, 2022, and the Argentine Peso, from July 1, 2018 of €121 million at September 30, 2026. Also includes €(5) million deferred net hedging gains/(losses) transferred to inventory, net of tax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Interim Condensed Consolidated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STELLANTIS N.V.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NOTES TO THE INTERIM CONDENSED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 Basis of preparation</w:t>
      </w:r>
    </w:p>
    <w:p>
      <w:pPr>
        <w:spacing w:after="0" w:line="252" w:lineRule="exact"/>
        <w:rPr>
          <w:sz w:val="20"/>
          <w:szCs w:val="20"/>
          <w:color w:val="auto"/>
        </w:rPr>
      </w:pPr>
    </w:p>
    <w:p>
      <w:pPr>
        <w:ind w:right="820"/>
        <w:spacing w:after="0" w:line="334" w:lineRule="auto"/>
        <w:rPr>
          <w:sz w:val="20"/>
          <w:szCs w:val="20"/>
          <w:color w:val="auto"/>
        </w:rPr>
      </w:pPr>
      <w:r>
        <w:rPr>
          <w:rFonts w:ascii="Arial" w:cs="Arial" w:eastAsia="Arial" w:hAnsi="Arial"/>
          <w:sz w:val="18"/>
          <w:szCs w:val="18"/>
          <w:color w:val="auto"/>
        </w:rPr>
        <w:t>The accompanying Interim Condensed Consolidated Financial Statements together with the notes thereto (the “Interim Condensed Consolidated Financial Statements”) were authorized for issuance on October 28, 2026.</w:t>
      </w:r>
    </w:p>
    <w:p>
      <w:pPr>
        <w:spacing w:after="0" w:line="153" w:lineRule="exact"/>
        <w:rPr>
          <w:sz w:val="20"/>
          <w:szCs w:val="20"/>
          <w:color w:val="auto"/>
        </w:rPr>
      </w:pPr>
    </w:p>
    <w:p>
      <w:pPr>
        <w:ind w:right="180"/>
        <w:spacing w:after="0" w:line="304" w:lineRule="auto"/>
        <w:rPr>
          <w:sz w:val="20"/>
          <w:szCs w:val="20"/>
          <w:color w:val="auto"/>
        </w:rPr>
      </w:pPr>
      <w:r>
        <w:rPr>
          <w:rFonts w:ascii="Arial" w:cs="Arial" w:eastAsia="Arial" w:hAnsi="Arial"/>
          <w:sz w:val="18"/>
          <w:szCs w:val="18"/>
          <w:color w:val="auto"/>
        </w:rPr>
        <w:t xml:space="preserve">The Interim Condensed Consolidated Financial Statements, which have been prepared in accordance with IAS 34 –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do not include all of the information and notes required for complete financial statements and should be read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audited annual consolidated financial statements as of and for the year ended December 31, 2025 filed with the AFM and with the SEC on February 26, 2026 (the “Consolidated Financial Statements at December 31, 2025”), which are available on the Company’s corporate website at www.stellantis.com. The accounting policies are consistent with those used at December 31, 2025, except as described in the section — </w:t>
      </w:r>
      <w:r>
        <w:rPr>
          <w:rFonts w:ascii="Arial" w:cs="Arial" w:eastAsia="Arial" w:hAnsi="Arial"/>
          <w:sz w:val="18"/>
          <w:szCs w:val="18"/>
          <w:i w:val="1"/>
          <w:iCs w:val="1"/>
          <w:color w:val="auto"/>
        </w:rPr>
        <w:t>New standards and amendments effective from January 1, 2026</w:t>
      </w:r>
      <w:r>
        <w:rPr>
          <w:rFonts w:ascii="Arial" w:cs="Arial" w:eastAsia="Arial" w:hAnsi="Arial"/>
          <w:sz w:val="18"/>
          <w:szCs w:val="18"/>
          <w:color w:val="auto"/>
        </w:rPr>
        <w:t xml:space="preserve"> below. There is no effect on these Interim Condensed Consolidated Financial Statements resulting from differences between IFRS as issued by the IASB and IFRS as adopted by the European Union.</w:t>
      </w:r>
    </w:p>
    <w:p>
      <w:pPr>
        <w:spacing w:after="0" w:line="184" w:lineRule="exact"/>
        <w:rPr>
          <w:sz w:val="20"/>
          <w:szCs w:val="20"/>
          <w:color w:val="auto"/>
        </w:rPr>
      </w:pPr>
    </w:p>
    <w:p>
      <w:pPr>
        <w:jc w:val="both"/>
        <w:ind w:right="100"/>
        <w:spacing w:after="0" w:line="315" w:lineRule="auto"/>
        <w:rPr>
          <w:sz w:val="20"/>
          <w:szCs w:val="20"/>
          <w:color w:val="auto"/>
        </w:rPr>
      </w:pPr>
      <w:r>
        <w:rPr>
          <w:rFonts w:ascii="Arial" w:cs="Arial" w:eastAsia="Arial" w:hAnsi="Arial"/>
          <w:sz w:val="18"/>
          <w:szCs w:val="18"/>
          <w:color w:val="auto"/>
        </w:rPr>
        <w:t xml:space="preserve">The Interim Condensed Consolidated Financial Statements are prepared under the historical cost method, modified for the measurement of certain financial instruments as required, as well as on a going concern basis. In this respect, the Company’s assessment is that no material uncertainties (as defined in IAS 1 -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exist about its ability to continue as a going concern.</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 xml:space="preserve">The preparation of the Interim Condensed Consolidated Financial Statements requires management to make estimates and assumptions that affect the reported amounts of revenues, expenses, assets, liabilities and disclosure of contingent liabilities. If in the future such estimates and assumptions, which are based on management’s best judgment at the date of the Interim Condensed Consolidated Financial Statements, deviate from the actual circumstances, the original estimates and assumptions will be modified as appropriate in the period in which the circumstances change. The Interim Condensed Consolidated Financial Statements include all adjustments considered necessary by management to fairly state the Company's results of operations, financial position and cash flows. For a description of the significant estimates, judgments and assumptions of the Company, refer to Note 2, </w:t>
      </w:r>
      <w:r>
        <w:rPr>
          <w:rFonts w:ascii="Arial" w:cs="Arial" w:eastAsia="Arial" w:hAnsi="Arial"/>
          <w:sz w:val="18"/>
          <w:szCs w:val="18"/>
          <w:i w:val="1"/>
          <w:iCs w:val="1"/>
          <w:color w:val="auto"/>
        </w:rPr>
        <w:t>Basis of preparation - Critical judgments and use of estimates</w:t>
      </w:r>
      <w:r>
        <w:rPr>
          <w:rFonts w:ascii="Arial" w:cs="Arial" w:eastAsia="Arial" w:hAnsi="Arial"/>
          <w:sz w:val="18"/>
          <w:szCs w:val="18"/>
          <w:color w:val="auto"/>
        </w:rPr>
        <w:t xml:space="preserve"> in the Consolidated Financial Statements at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Segment reporting changes</w:t>
      </w:r>
    </w:p>
    <w:p>
      <w:pPr>
        <w:spacing w:after="0" w:line="252" w:lineRule="exact"/>
        <w:rPr>
          <w:sz w:val="20"/>
          <w:szCs w:val="20"/>
          <w:color w:val="auto"/>
        </w:rPr>
      </w:pPr>
    </w:p>
    <w:p>
      <w:pPr>
        <w:ind w:right="140"/>
        <w:spacing w:after="0" w:line="315" w:lineRule="auto"/>
        <w:rPr>
          <w:sz w:val="20"/>
          <w:szCs w:val="20"/>
          <w:color w:val="auto"/>
        </w:rPr>
      </w:pPr>
      <w:r>
        <w:rPr>
          <w:rFonts w:ascii="Arial" w:cs="Arial" w:eastAsia="Arial" w:hAnsi="Arial"/>
          <w:sz w:val="18"/>
          <w:szCs w:val="18"/>
          <w:color w:val="auto"/>
        </w:rPr>
        <w:t>Effective January 2026, the Company’s segment structure was updated to align with how the Chief Operating Decision Maker (“CODM”) reviews performance and allocates resources. Under the revised structure, the CODM reviews the business through the following operating and reporting segments: North America; Enlarged Europe; Middle East &amp; Africa; South America; and Asia Pacific.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segment reporting are summarized below:</w:t>
      </w:r>
    </w:p>
    <w:p>
      <w:pPr>
        <w:spacing w:after="0" w:line="266" w:lineRule="exact"/>
        <w:rPr>
          <w:sz w:val="20"/>
          <w:szCs w:val="20"/>
          <w:color w:val="auto"/>
        </w:rPr>
      </w:pPr>
    </w:p>
    <w:p>
      <w:pPr>
        <w:ind w:left="160" w:hanging="152"/>
        <w:spacing w:after="0" w:line="334" w:lineRule="auto"/>
        <w:tabs>
          <w:tab w:leader="none" w:pos="121" w:val="left"/>
        </w:tabs>
        <w:numPr>
          <w:ilvl w:val="0"/>
          <w:numId w:val="54"/>
        </w:numPr>
        <w:rPr>
          <w:rFonts w:ascii="Arial" w:cs="Arial" w:eastAsia="Arial" w:hAnsi="Arial"/>
          <w:sz w:val="18"/>
          <w:szCs w:val="18"/>
          <w:color w:val="143A84"/>
        </w:rPr>
      </w:pPr>
      <w:r>
        <w:rPr>
          <w:rFonts w:ascii="Arial" w:cs="Arial" w:eastAsia="Arial" w:hAnsi="Arial"/>
          <w:sz w:val="18"/>
          <w:szCs w:val="18"/>
          <w:color w:val="auto"/>
        </w:rPr>
        <w:t>Maserati is no longer presented as a separate reporting segment as it is managed consistently with the other brands within the regions (and is therefore presented on a “where sold”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right="80" w:hanging="152"/>
        <w:spacing w:after="0" w:line="309" w:lineRule="auto"/>
        <w:tabs>
          <w:tab w:leader="none" w:pos="121" w:val="left"/>
        </w:tabs>
        <w:numPr>
          <w:ilvl w:val="0"/>
          <w:numId w:val="55"/>
        </w:numPr>
        <w:rPr>
          <w:rFonts w:ascii="Arial" w:cs="Arial" w:eastAsia="Arial" w:hAnsi="Arial"/>
          <w:sz w:val="18"/>
          <w:szCs w:val="18"/>
          <w:color w:val="143A84"/>
        </w:rPr>
      </w:pPr>
      <w:r>
        <w:rPr>
          <w:rFonts w:ascii="Arial" w:cs="Arial" w:eastAsia="Arial" w:hAnsi="Arial"/>
          <w:sz w:val="18"/>
          <w:szCs w:val="18"/>
          <w:color w:val="auto"/>
        </w:rPr>
        <w:t>The Asia Pacific region is now managed as a single operating segment. Previously, the CODM reviewed two operating segments: (i) China and (ii) India &amp; Asia Pacific, which were reported as one reporting segment under IFRS 8. From 2026, these activities are reviewed together, resulting in one operating and reporting segment: Asia Pacific. There is no impact on previously reported numbers as a result of this change; and</w:t>
      </w:r>
    </w:p>
    <w:p>
      <w:pPr>
        <w:spacing w:after="0" w:line="176" w:lineRule="exact"/>
        <w:rPr>
          <w:rFonts w:ascii="Arial" w:cs="Arial" w:eastAsia="Arial" w:hAnsi="Arial"/>
          <w:sz w:val="18"/>
          <w:szCs w:val="18"/>
          <w:color w:val="143A84"/>
        </w:rPr>
      </w:pPr>
    </w:p>
    <w:p>
      <w:pPr>
        <w:ind w:left="160" w:right="280" w:hanging="152"/>
        <w:spacing w:after="0" w:line="334" w:lineRule="auto"/>
        <w:tabs>
          <w:tab w:leader="none" w:pos="121" w:val="left"/>
        </w:tabs>
        <w:numPr>
          <w:ilvl w:val="0"/>
          <w:numId w:val="55"/>
        </w:numPr>
        <w:rPr>
          <w:rFonts w:ascii="Arial" w:cs="Arial" w:eastAsia="Arial" w:hAnsi="Arial"/>
          <w:sz w:val="18"/>
          <w:szCs w:val="18"/>
          <w:color w:val="143A84"/>
        </w:rPr>
      </w:pPr>
      <w:r>
        <w:rPr>
          <w:rFonts w:ascii="Arial" w:cs="Arial" w:eastAsia="Arial" w:hAnsi="Arial"/>
          <w:sz w:val="18"/>
          <w:szCs w:val="18"/>
          <w:color w:val="auto"/>
        </w:rPr>
        <w:t>European used car operations, previously included within Other activities, have been reclassified to the Enlarged Europe segment in line with the CODM’s oversight.</w:t>
      </w:r>
    </w:p>
    <w:p>
      <w:pPr>
        <w:spacing w:after="0" w:line="153" w:lineRule="exact"/>
        <w:rPr>
          <w:sz w:val="20"/>
          <w:szCs w:val="20"/>
          <w:color w:val="auto"/>
        </w:rPr>
      </w:pPr>
    </w:p>
    <w:p>
      <w:pPr>
        <w:ind w:right="700"/>
        <w:spacing w:after="0" w:line="334" w:lineRule="auto"/>
        <w:rPr>
          <w:sz w:val="20"/>
          <w:szCs w:val="20"/>
          <w:color w:val="auto"/>
        </w:rPr>
      </w:pPr>
      <w:r>
        <w:rPr>
          <w:rFonts w:ascii="Arial" w:cs="Arial" w:eastAsia="Arial" w:hAnsi="Arial"/>
          <w:sz w:val="18"/>
          <w:szCs w:val="18"/>
          <w:color w:val="auto"/>
        </w:rPr>
        <w:t>Comparative information has been restated to reflect the revised segment structure. The impact of these changes is presented in the following tables: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43A84"/>
        </w:rPr>
        <w:t>Net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60" w:type="dxa"/>
            <w:vAlign w:val="bottom"/>
            <w:tcBorders>
              <w:bottom w:val="single" w:sz="8" w:color="8E939F"/>
            </w:tcBorders>
          </w:tcPr>
          <w:p>
            <w:pPr>
              <w:spacing w:after="0"/>
              <w:rPr>
                <w:sz w:val="19"/>
                <w:szCs w:val="19"/>
                <w:color w:val="auto"/>
              </w:rPr>
            </w:pPr>
          </w:p>
        </w:tc>
        <w:tc>
          <w:tcPr>
            <w:tcW w:w="1620" w:type="dxa"/>
            <w:vAlign w:val="bottom"/>
            <w:tcBorders>
              <w:bottom w:val="single" w:sz="8" w:color="8E939F"/>
            </w:tcBorders>
          </w:tcPr>
          <w:p>
            <w:pPr>
              <w:spacing w:after="0"/>
              <w:rPr>
                <w:sz w:val="19"/>
                <w:szCs w:val="19"/>
                <w:color w:val="auto"/>
              </w:rPr>
            </w:pPr>
          </w:p>
        </w:tc>
        <w:tc>
          <w:tcPr>
            <w:tcW w:w="3520" w:type="dxa"/>
            <w:vAlign w:val="bottom"/>
            <w:tcBorders>
              <w:bottom w:val="single" w:sz="8" w:color="8E939F"/>
            </w:tcBorders>
            <w:gridSpan w:val="3"/>
          </w:tcPr>
          <w:p>
            <w:pPr>
              <w:ind w:left="300"/>
              <w:spacing w:after="0"/>
              <w:rPr>
                <w:sz w:val="20"/>
                <w:szCs w:val="20"/>
                <w:color w:val="auto"/>
              </w:rPr>
            </w:pPr>
            <w:r>
              <w:rPr>
                <w:rFonts w:ascii="Arial" w:cs="Arial" w:eastAsia="Arial" w:hAnsi="Arial"/>
                <w:sz w:val="16"/>
                <w:szCs w:val="16"/>
                <w:b w:val="1"/>
                <w:bCs w:val="1"/>
                <w:color w:val="243782"/>
              </w:rPr>
              <w:t>Nine months ended September 30, 2025</w:t>
            </w:r>
          </w:p>
        </w:tc>
        <w:tc>
          <w:tcPr>
            <w:tcW w:w="1740" w:type="dxa"/>
            <w:vAlign w:val="bottom"/>
            <w:tcBorders>
              <w:bottom w:val="single" w:sz="8" w:color="8E939F"/>
            </w:tcBorders>
          </w:tcPr>
          <w:p>
            <w:pPr>
              <w:spacing w:after="0"/>
              <w:rPr>
                <w:sz w:val="19"/>
                <w:szCs w:val="19"/>
                <w:color w:val="auto"/>
              </w:rPr>
            </w:pPr>
          </w:p>
        </w:tc>
      </w:tr>
      <w:tr>
        <w:trPr>
          <w:trHeight w:val="219"/>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620" w:type="dxa"/>
            <w:vAlign w:val="bottom"/>
            <w:shd w:val="clear" w:color="auto" w:fill="F3F3F9"/>
          </w:tcPr>
          <w:p>
            <w:pPr>
              <w:spacing w:after="0"/>
              <w:rPr>
                <w:sz w:val="19"/>
                <w:szCs w:val="19"/>
                <w:color w:val="auto"/>
              </w:rPr>
            </w:pPr>
          </w:p>
        </w:tc>
        <w:tc>
          <w:tcPr>
            <w:tcW w:w="620" w:type="dxa"/>
            <w:vAlign w:val="bottom"/>
            <w:shd w:val="clear" w:color="auto" w:fill="F3F3F9"/>
          </w:tcPr>
          <w:p>
            <w:pPr>
              <w:spacing w:after="0"/>
              <w:rPr>
                <w:sz w:val="19"/>
                <w:szCs w:val="19"/>
                <w:color w:val="auto"/>
              </w:rPr>
            </w:pPr>
          </w:p>
        </w:tc>
        <w:tc>
          <w:tcPr>
            <w:tcW w:w="2420" w:type="dxa"/>
            <w:vAlign w:val="bottom"/>
          </w:tcPr>
          <w:p>
            <w:pPr>
              <w:spacing w:after="0"/>
              <w:rPr>
                <w:sz w:val="19"/>
                <w:szCs w:val="19"/>
                <w:color w:val="auto"/>
              </w:rPr>
            </w:pPr>
          </w:p>
        </w:tc>
        <w:tc>
          <w:tcPr>
            <w:tcW w:w="480" w:type="dxa"/>
            <w:vAlign w:val="bottom"/>
            <w:shd w:val="clear" w:color="auto" w:fill="F3F3F9"/>
          </w:tcPr>
          <w:p>
            <w:pPr>
              <w:spacing w:after="0"/>
              <w:rPr>
                <w:sz w:val="19"/>
                <w:szCs w:val="19"/>
                <w:color w:val="auto"/>
              </w:rPr>
            </w:pPr>
          </w:p>
        </w:tc>
        <w:tc>
          <w:tcPr>
            <w:tcW w:w="1740" w:type="dxa"/>
            <w:vAlign w:val="bottom"/>
            <w:shd w:val="clear" w:color="auto" w:fill="F3F3F9"/>
          </w:tcPr>
          <w:p>
            <w:pPr>
              <w:spacing w:after="0"/>
              <w:rPr>
                <w:sz w:val="19"/>
                <w:szCs w:val="19"/>
                <w:color w:val="auto"/>
              </w:rPr>
            </w:pPr>
          </w:p>
        </w:tc>
      </w:tr>
      <w:tr>
        <w:trPr>
          <w:trHeight w:val="234"/>
        </w:trPr>
        <w:tc>
          <w:tcPr>
            <w:tcW w:w="4360" w:type="dxa"/>
            <w:vAlign w:val="bottom"/>
            <w:tcBorders>
              <w:bottom w:val="single" w:sz="8" w:color="143A84"/>
            </w:tcBorders>
          </w:tcPr>
          <w:p>
            <w:pPr>
              <w:spacing w:after="0"/>
              <w:rPr>
                <w:sz w:val="20"/>
                <w:szCs w:val="20"/>
                <w:color w:val="auto"/>
              </w:rPr>
            </w:pPr>
          </w:p>
        </w:tc>
        <w:tc>
          <w:tcPr>
            <w:tcW w:w="1620" w:type="dxa"/>
            <w:vAlign w:val="bottom"/>
            <w:tcBorders>
              <w:bottom w:val="single" w:sz="8" w:color="143A84"/>
            </w:tcBorders>
            <w:shd w:val="clear" w:color="auto" w:fill="F3F3F9"/>
          </w:tcPr>
          <w:p>
            <w:pPr>
              <w:ind w:left="660"/>
              <w:spacing w:after="0"/>
              <w:rPr>
                <w:sz w:val="20"/>
                <w:szCs w:val="20"/>
                <w:color w:val="auto"/>
              </w:rPr>
            </w:pPr>
            <w:r>
              <w:rPr>
                <w:rFonts w:ascii="Arial" w:cs="Arial" w:eastAsia="Arial" w:hAnsi="Arial"/>
                <w:sz w:val="16"/>
                <w:szCs w:val="16"/>
                <w:b w:val="1"/>
                <w:bCs w:val="1"/>
                <w:color w:val="243782"/>
              </w:rPr>
              <w:t>As reported</w:t>
            </w:r>
          </w:p>
        </w:tc>
        <w:tc>
          <w:tcPr>
            <w:tcW w:w="620" w:type="dxa"/>
            <w:vAlign w:val="bottom"/>
            <w:tcBorders>
              <w:bottom w:val="single" w:sz="8" w:color="143A84"/>
            </w:tcBorders>
            <w:shd w:val="clear" w:color="auto" w:fill="F3F3F9"/>
          </w:tcPr>
          <w:p>
            <w:pPr>
              <w:spacing w:after="0"/>
              <w:rPr>
                <w:sz w:val="20"/>
                <w:szCs w:val="20"/>
                <w:color w:val="auto"/>
              </w:rPr>
            </w:pPr>
          </w:p>
        </w:tc>
        <w:tc>
          <w:tcPr>
            <w:tcW w:w="2420" w:type="dxa"/>
            <w:vAlign w:val="bottom"/>
            <w:tcBorders>
              <w:bottom w:val="single" w:sz="8" w:color="143A84"/>
            </w:tcBorders>
          </w:tcPr>
          <w:p>
            <w:pPr>
              <w:jc w:val="right"/>
              <w:ind w:right="639"/>
              <w:spacing w:after="0"/>
              <w:rPr>
                <w:sz w:val="20"/>
                <w:szCs w:val="20"/>
                <w:color w:val="auto"/>
              </w:rPr>
            </w:pPr>
            <w:r>
              <w:rPr>
                <w:rFonts w:ascii="Arial" w:cs="Arial" w:eastAsia="Arial" w:hAnsi="Arial"/>
                <w:sz w:val="16"/>
                <w:szCs w:val="16"/>
                <w:b w:val="1"/>
                <w:bCs w:val="1"/>
                <w:color w:val="243782"/>
              </w:rPr>
              <w:t>Adjustments</w:t>
            </w:r>
          </w:p>
        </w:tc>
        <w:tc>
          <w:tcPr>
            <w:tcW w:w="480" w:type="dxa"/>
            <w:vAlign w:val="bottom"/>
            <w:tcBorders>
              <w:bottom w:val="single" w:sz="8" w:color="143A84"/>
            </w:tcBorders>
            <w:shd w:val="clear" w:color="auto" w:fill="F3F3F9"/>
          </w:tcPr>
          <w:p>
            <w:pPr>
              <w:spacing w:after="0"/>
              <w:rPr>
                <w:sz w:val="20"/>
                <w:szCs w:val="20"/>
                <w:color w:val="auto"/>
              </w:rPr>
            </w:pPr>
          </w:p>
        </w:tc>
        <w:tc>
          <w:tcPr>
            <w:tcW w:w="1740" w:type="dxa"/>
            <w:vAlign w:val="bottom"/>
            <w:tcBorders>
              <w:bottom w:val="single" w:sz="8" w:color="143A84"/>
            </w:tcBorders>
            <w:shd w:val="clear" w:color="auto" w:fill="F3F3F9"/>
          </w:tcPr>
          <w:p>
            <w:pPr>
              <w:jc w:val="right"/>
              <w:ind w:right="579"/>
              <w:spacing w:after="0"/>
              <w:rPr>
                <w:sz w:val="20"/>
                <w:szCs w:val="20"/>
                <w:color w:val="auto"/>
              </w:rPr>
            </w:pPr>
            <w:r>
              <w:rPr>
                <w:rFonts w:ascii="Arial" w:cs="Arial" w:eastAsia="Arial" w:hAnsi="Arial"/>
                <w:sz w:val="16"/>
                <w:szCs w:val="16"/>
                <w:b w:val="1"/>
                <w:bCs w:val="1"/>
                <w:color w:val="243782"/>
              </w:rPr>
              <w:t>As adjusted</w:t>
            </w:r>
          </w:p>
        </w:tc>
      </w:tr>
      <w:tr>
        <w:trPr>
          <w:trHeight w:val="24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44,245</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145</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44,390</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42,214</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1,974</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44,188</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6,997</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25</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7,022</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11,758</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11,760</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1,350</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136</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1,486</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Maserati</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557</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(557)</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Others</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4,346</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(1,725)</w:t>
            </w:r>
          </w:p>
        </w:tc>
        <w:tc>
          <w:tcPr>
            <w:tcW w:w="480" w:type="dxa"/>
            <w:vAlign w:val="bottom"/>
            <w:tcBorders>
              <w:bottom w:val="single" w:sz="8" w:color="8E939F"/>
            </w:tcBorders>
            <w:shd w:val="clear" w:color="auto" w:fill="F3F3F9"/>
          </w:tcPr>
          <w:p>
            <w:pPr>
              <w:spacing w:after="0"/>
              <w:rPr>
                <w:sz w:val="21"/>
                <w:szCs w:val="21"/>
                <w:color w:val="auto"/>
              </w:rPr>
            </w:pPr>
          </w:p>
        </w:tc>
        <w:tc>
          <w:tcPr>
            <w:tcW w:w="17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2,621</w:t>
            </w: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60" w:type="dxa"/>
            <w:vAlign w:val="bottom"/>
            <w:tcBorders>
              <w:bottom w:val="single" w:sz="8" w:color="8E939F"/>
            </w:tcBorders>
          </w:tcPr>
          <w:p>
            <w:pPr>
              <w:spacing w:after="0"/>
              <w:rPr>
                <w:sz w:val="19"/>
                <w:szCs w:val="19"/>
                <w:color w:val="auto"/>
              </w:rPr>
            </w:pPr>
          </w:p>
        </w:tc>
        <w:tc>
          <w:tcPr>
            <w:tcW w:w="1620" w:type="dxa"/>
            <w:vAlign w:val="bottom"/>
            <w:tcBorders>
              <w:bottom w:val="single" w:sz="8" w:color="8E939F"/>
            </w:tcBorders>
          </w:tcPr>
          <w:p>
            <w:pPr>
              <w:spacing w:after="0"/>
              <w:rPr>
                <w:sz w:val="19"/>
                <w:szCs w:val="19"/>
                <w:color w:val="auto"/>
              </w:rPr>
            </w:pPr>
          </w:p>
        </w:tc>
        <w:tc>
          <w:tcPr>
            <w:tcW w:w="3540" w:type="dxa"/>
            <w:vAlign w:val="bottom"/>
            <w:tcBorders>
              <w:bottom w:val="single" w:sz="8" w:color="8E939F"/>
            </w:tcBorders>
            <w:gridSpan w:val="3"/>
          </w:tcPr>
          <w:p>
            <w:pPr>
              <w:jc w:val="center"/>
              <w:ind w:left="19"/>
              <w:spacing w:after="0"/>
              <w:rPr>
                <w:sz w:val="20"/>
                <w:szCs w:val="20"/>
                <w:color w:val="auto"/>
              </w:rPr>
            </w:pPr>
            <w:r>
              <w:rPr>
                <w:rFonts w:ascii="Arial" w:cs="Arial" w:eastAsia="Arial" w:hAnsi="Arial"/>
                <w:sz w:val="16"/>
                <w:szCs w:val="16"/>
                <w:b w:val="1"/>
                <w:bCs w:val="1"/>
                <w:color w:val="243782"/>
              </w:rPr>
              <w:t>Three months ended September 30, 2025</w:t>
            </w:r>
          </w:p>
        </w:tc>
        <w:tc>
          <w:tcPr>
            <w:tcW w:w="1720" w:type="dxa"/>
            <w:vAlign w:val="bottom"/>
            <w:tcBorders>
              <w:bottom w:val="single" w:sz="8" w:color="8E939F"/>
            </w:tcBorders>
          </w:tcPr>
          <w:p>
            <w:pPr>
              <w:spacing w:after="0"/>
              <w:rPr>
                <w:sz w:val="19"/>
                <w:szCs w:val="19"/>
                <w:color w:val="auto"/>
              </w:rPr>
            </w:pPr>
          </w:p>
        </w:tc>
      </w:tr>
      <w:tr>
        <w:trPr>
          <w:trHeight w:val="219"/>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620" w:type="dxa"/>
            <w:vAlign w:val="bottom"/>
            <w:shd w:val="clear" w:color="auto" w:fill="F3F3F9"/>
          </w:tcPr>
          <w:p>
            <w:pPr>
              <w:spacing w:after="0"/>
              <w:rPr>
                <w:sz w:val="19"/>
                <w:szCs w:val="19"/>
                <w:color w:val="auto"/>
              </w:rPr>
            </w:pPr>
          </w:p>
        </w:tc>
        <w:tc>
          <w:tcPr>
            <w:tcW w:w="620" w:type="dxa"/>
            <w:vAlign w:val="bottom"/>
            <w:shd w:val="clear" w:color="auto" w:fill="F3F3F9"/>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shd w:val="clear" w:color="auto" w:fill="F3F3F9"/>
          </w:tcPr>
          <w:p>
            <w:pPr>
              <w:spacing w:after="0"/>
              <w:rPr>
                <w:sz w:val="19"/>
                <w:szCs w:val="19"/>
                <w:color w:val="auto"/>
              </w:rPr>
            </w:pPr>
          </w:p>
        </w:tc>
        <w:tc>
          <w:tcPr>
            <w:tcW w:w="1720" w:type="dxa"/>
            <w:vAlign w:val="bottom"/>
            <w:shd w:val="clear" w:color="auto" w:fill="F3F3F9"/>
          </w:tcPr>
          <w:p>
            <w:pPr>
              <w:spacing w:after="0"/>
              <w:rPr>
                <w:sz w:val="19"/>
                <w:szCs w:val="19"/>
                <w:color w:val="auto"/>
              </w:rPr>
            </w:pPr>
          </w:p>
        </w:tc>
      </w:tr>
      <w:tr>
        <w:trPr>
          <w:trHeight w:val="234"/>
        </w:trPr>
        <w:tc>
          <w:tcPr>
            <w:tcW w:w="4360" w:type="dxa"/>
            <w:vAlign w:val="bottom"/>
            <w:tcBorders>
              <w:bottom w:val="single" w:sz="8" w:color="143A84"/>
            </w:tcBorders>
          </w:tcPr>
          <w:p>
            <w:pPr>
              <w:spacing w:after="0"/>
              <w:rPr>
                <w:sz w:val="20"/>
                <w:szCs w:val="20"/>
                <w:color w:val="auto"/>
              </w:rPr>
            </w:pPr>
          </w:p>
        </w:tc>
        <w:tc>
          <w:tcPr>
            <w:tcW w:w="1620" w:type="dxa"/>
            <w:vAlign w:val="bottom"/>
            <w:tcBorders>
              <w:bottom w:val="single" w:sz="8" w:color="143A84"/>
            </w:tcBorders>
            <w:shd w:val="clear" w:color="auto" w:fill="F3F3F9"/>
          </w:tcPr>
          <w:p>
            <w:pPr>
              <w:ind w:left="660"/>
              <w:spacing w:after="0"/>
              <w:rPr>
                <w:sz w:val="20"/>
                <w:szCs w:val="20"/>
                <w:color w:val="auto"/>
              </w:rPr>
            </w:pPr>
            <w:r>
              <w:rPr>
                <w:rFonts w:ascii="Arial" w:cs="Arial" w:eastAsia="Arial" w:hAnsi="Arial"/>
                <w:sz w:val="16"/>
                <w:szCs w:val="16"/>
                <w:b w:val="1"/>
                <w:bCs w:val="1"/>
                <w:color w:val="243782"/>
              </w:rPr>
              <w:t>As reported</w:t>
            </w:r>
          </w:p>
        </w:tc>
        <w:tc>
          <w:tcPr>
            <w:tcW w:w="620" w:type="dxa"/>
            <w:vAlign w:val="bottom"/>
            <w:tcBorders>
              <w:bottom w:val="single" w:sz="8" w:color="143A84"/>
            </w:tcBorders>
            <w:shd w:val="clear" w:color="auto" w:fill="F3F3F9"/>
          </w:tcPr>
          <w:p>
            <w:pPr>
              <w:spacing w:after="0"/>
              <w:rPr>
                <w:sz w:val="20"/>
                <w:szCs w:val="20"/>
                <w:color w:val="auto"/>
              </w:rPr>
            </w:pPr>
          </w:p>
        </w:tc>
        <w:tc>
          <w:tcPr>
            <w:tcW w:w="2420" w:type="dxa"/>
            <w:vAlign w:val="bottom"/>
            <w:tcBorders>
              <w:bottom w:val="single" w:sz="8" w:color="143A84"/>
            </w:tcBorders>
          </w:tcPr>
          <w:p>
            <w:pPr>
              <w:jc w:val="center"/>
              <w:spacing w:after="0"/>
              <w:rPr>
                <w:sz w:val="20"/>
                <w:szCs w:val="20"/>
                <w:color w:val="auto"/>
              </w:rPr>
            </w:pPr>
            <w:r>
              <w:rPr>
                <w:rFonts w:ascii="Arial" w:cs="Arial" w:eastAsia="Arial" w:hAnsi="Arial"/>
                <w:sz w:val="16"/>
                <w:szCs w:val="16"/>
                <w:b w:val="1"/>
                <w:bCs w:val="1"/>
                <w:color w:val="243782"/>
              </w:rPr>
              <w:t>Adjustments</w:t>
            </w:r>
          </w:p>
        </w:tc>
        <w:tc>
          <w:tcPr>
            <w:tcW w:w="500" w:type="dxa"/>
            <w:vAlign w:val="bottom"/>
            <w:tcBorders>
              <w:bottom w:val="single" w:sz="8" w:color="143A84"/>
            </w:tcBorders>
            <w:shd w:val="clear" w:color="auto" w:fill="F3F3F9"/>
          </w:tcPr>
          <w:p>
            <w:pPr>
              <w:spacing w:after="0"/>
              <w:rPr>
                <w:sz w:val="20"/>
                <w:szCs w:val="20"/>
                <w:color w:val="auto"/>
              </w:rPr>
            </w:pPr>
          </w:p>
        </w:tc>
        <w:tc>
          <w:tcPr>
            <w:tcW w:w="1720" w:type="dxa"/>
            <w:vAlign w:val="bottom"/>
            <w:tcBorders>
              <w:bottom w:val="single" w:sz="8" w:color="143A84"/>
            </w:tcBorders>
            <w:shd w:val="clear" w:color="auto" w:fill="F3F3F9"/>
          </w:tcPr>
          <w:p>
            <w:pPr>
              <w:jc w:val="right"/>
              <w:ind w:right="579"/>
              <w:spacing w:after="0"/>
              <w:rPr>
                <w:sz w:val="20"/>
                <w:szCs w:val="20"/>
                <w:color w:val="auto"/>
              </w:rPr>
            </w:pPr>
            <w:r>
              <w:rPr>
                <w:rFonts w:ascii="Arial" w:cs="Arial" w:eastAsia="Arial" w:hAnsi="Arial"/>
                <w:sz w:val="16"/>
                <w:szCs w:val="16"/>
                <w:b w:val="1"/>
                <w:bCs w:val="1"/>
                <w:color w:val="243782"/>
              </w:rPr>
              <w:t>As adjusted</w:t>
            </w:r>
          </w:p>
        </w:tc>
      </w:tr>
      <w:tr>
        <w:trPr>
          <w:trHeight w:val="24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16,047</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40</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16,087</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12,973</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658</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13,631</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2,053</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7</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2,060</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3,989</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3,989</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427</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49</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476</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Maserati</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188</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(188)</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Others</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1,529</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(566)</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963</w:t>
            </w:r>
          </w:p>
        </w:tc>
      </w:tr>
      <w:tr>
        <w:trPr>
          <w:trHeight w:val="505"/>
        </w:trPr>
        <w:tc>
          <w:tcPr>
            <w:tcW w:w="5980" w:type="dxa"/>
            <w:vAlign w:val="bottom"/>
            <w:gridSpan w:val="2"/>
          </w:tcPr>
          <w:p>
            <w:pPr>
              <w:spacing w:after="0"/>
              <w:rPr>
                <w:sz w:val="20"/>
                <w:szCs w:val="20"/>
                <w:color w:val="auto"/>
              </w:rPr>
            </w:pPr>
            <w:r>
              <w:rPr>
                <w:rFonts w:ascii="Arial" w:cs="Arial" w:eastAsia="Arial" w:hAnsi="Arial"/>
                <w:sz w:val="16"/>
                <w:szCs w:val="16"/>
                <w:b w:val="1"/>
                <w:bCs w:val="1"/>
                <w:color w:val="143A84"/>
              </w:rPr>
              <w:t>Adjusted operating income/(loss)</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82"/>
        </w:trPr>
        <w:tc>
          <w:tcPr>
            <w:tcW w:w="4360" w:type="dxa"/>
            <w:vAlign w:val="bottom"/>
            <w:tcBorders>
              <w:bottom w:val="single" w:sz="8" w:color="8E939F"/>
            </w:tcBorders>
          </w:tcPr>
          <w:p>
            <w:pPr>
              <w:spacing w:after="0"/>
              <w:rPr>
                <w:sz w:val="24"/>
                <w:szCs w:val="24"/>
                <w:color w:val="auto"/>
              </w:rPr>
            </w:pPr>
          </w:p>
        </w:tc>
        <w:tc>
          <w:tcPr>
            <w:tcW w:w="1620" w:type="dxa"/>
            <w:vAlign w:val="bottom"/>
            <w:tcBorders>
              <w:bottom w:val="single" w:sz="8" w:color="8E939F"/>
            </w:tcBorders>
          </w:tcPr>
          <w:p>
            <w:pPr>
              <w:spacing w:after="0"/>
              <w:rPr>
                <w:sz w:val="24"/>
                <w:szCs w:val="24"/>
                <w:color w:val="auto"/>
              </w:rPr>
            </w:pPr>
          </w:p>
        </w:tc>
        <w:tc>
          <w:tcPr>
            <w:tcW w:w="3540" w:type="dxa"/>
            <w:vAlign w:val="bottom"/>
            <w:tcBorders>
              <w:bottom w:val="single" w:sz="8" w:color="8E939F"/>
            </w:tcBorders>
            <w:gridSpan w:val="3"/>
          </w:tcPr>
          <w:p>
            <w:pPr>
              <w:jc w:val="center"/>
              <w:ind w:left="39"/>
              <w:spacing w:after="0"/>
              <w:rPr>
                <w:sz w:val="20"/>
                <w:szCs w:val="20"/>
                <w:color w:val="auto"/>
              </w:rPr>
            </w:pPr>
            <w:r>
              <w:rPr>
                <w:rFonts w:ascii="Arial" w:cs="Arial" w:eastAsia="Arial" w:hAnsi="Arial"/>
                <w:sz w:val="16"/>
                <w:szCs w:val="16"/>
                <w:b w:val="1"/>
                <w:bCs w:val="1"/>
                <w:color w:val="243782"/>
              </w:rPr>
              <w:t>Nine months ended September 30, 2025</w:t>
            </w:r>
          </w:p>
        </w:tc>
        <w:tc>
          <w:tcPr>
            <w:tcW w:w="1720" w:type="dxa"/>
            <w:vAlign w:val="bottom"/>
            <w:tcBorders>
              <w:bottom w:val="single" w:sz="8" w:color="8E939F"/>
            </w:tcBorders>
          </w:tcPr>
          <w:p>
            <w:pPr>
              <w:spacing w:after="0"/>
              <w:rPr>
                <w:sz w:val="24"/>
                <w:szCs w:val="24"/>
                <w:color w:val="auto"/>
              </w:rPr>
            </w:pPr>
          </w:p>
        </w:tc>
      </w:tr>
      <w:tr>
        <w:trPr>
          <w:trHeight w:val="219"/>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620" w:type="dxa"/>
            <w:vAlign w:val="bottom"/>
            <w:shd w:val="clear" w:color="auto" w:fill="F3F3F9"/>
          </w:tcPr>
          <w:p>
            <w:pPr>
              <w:spacing w:after="0"/>
              <w:rPr>
                <w:sz w:val="19"/>
                <w:szCs w:val="19"/>
                <w:color w:val="auto"/>
              </w:rPr>
            </w:pPr>
          </w:p>
        </w:tc>
        <w:tc>
          <w:tcPr>
            <w:tcW w:w="620" w:type="dxa"/>
            <w:vAlign w:val="bottom"/>
            <w:shd w:val="clear" w:color="auto" w:fill="F3F3F9"/>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shd w:val="clear" w:color="auto" w:fill="F3F3F9"/>
          </w:tcPr>
          <w:p>
            <w:pPr>
              <w:spacing w:after="0"/>
              <w:rPr>
                <w:sz w:val="19"/>
                <w:szCs w:val="19"/>
                <w:color w:val="auto"/>
              </w:rPr>
            </w:pPr>
          </w:p>
        </w:tc>
        <w:tc>
          <w:tcPr>
            <w:tcW w:w="1720" w:type="dxa"/>
            <w:vAlign w:val="bottom"/>
            <w:shd w:val="clear" w:color="auto" w:fill="F3F3F9"/>
          </w:tcPr>
          <w:p>
            <w:pPr>
              <w:spacing w:after="0"/>
              <w:rPr>
                <w:sz w:val="19"/>
                <w:szCs w:val="19"/>
                <w:color w:val="auto"/>
              </w:rPr>
            </w:pPr>
          </w:p>
        </w:tc>
      </w:tr>
      <w:tr>
        <w:trPr>
          <w:trHeight w:val="234"/>
        </w:trPr>
        <w:tc>
          <w:tcPr>
            <w:tcW w:w="4360" w:type="dxa"/>
            <w:vAlign w:val="bottom"/>
            <w:tcBorders>
              <w:bottom w:val="single" w:sz="8" w:color="143A84"/>
            </w:tcBorders>
          </w:tcPr>
          <w:p>
            <w:pPr>
              <w:spacing w:after="0"/>
              <w:rPr>
                <w:sz w:val="20"/>
                <w:szCs w:val="20"/>
                <w:color w:val="auto"/>
              </w:rPr>
            </w:pPr>
          </w:p>
        </w:tc>
        <w:tc>
          <w:tcPr>
            <w:tcW w:w="1620" w:type="dxa"/>
            <w:vAlign w:val="bottom"/>
            <w:tcBorders>
              <w:bottom w:val="single" w:sz="8" w:color="143A84"/>
            </w:tcBorders>
            <w:shd w:val="clear" w:color="auto" w:fill="F3F3F9"/>
          </w:tcPr>
          <w:p>
            <w:pPr>
              <w:ind w:left="660"/>
              <w:spacing w:after="0"/>
              <w:rPr>
                <w:sz w:val="20"/>
                <w:szCs w:val="20"/>
                <w:color w:val="auto"/>
              </w:rPr>
            </w:pPr>
            <w:r>
              <w:rPr>
                <w:rFonts w:ascii="Arial" w:cs="Arial" w:eastAsia="Arial" w:hAnsi="Arial"/>
                <w:sz w:val="16"/>
                <w:szCs w:val="16"/>
                <w:b w:val="1"/>
                <w:bCs w:val="1"/>
                <w:color w:val="243782"/>
              </w:rPr>
              <w:t>As reported</w:t>
            </w:r>
          </w:p>
        </w:tc>
        <w:tc>
          <w:tcPr>
            <w:tcW w:w="620" w:type="dxa"/>
            <w:vAlign w:val="bottom"/>
            <w:tcBorders>
              <w:bottom w:val="single" w:sz="8" w:color="143A84"/>
            </w:tcBorders>
            <w:shd w:val="clear" w:color="auto" w:fill="F3F3F9"/>
          </w:tcPr>
          <w:p>
            <w:pPr>
              <w:spacing w:after="0"/>
              <w:rPr>
                <w:sz w:val="20"/>
                <w:szCs w:val="20"/>
                <w:color w:val="auto"/>
              </w:rPr>
            </w:pPr>
          </w:p>
        </w:tc>
        <w:tc>
          <w:tcPr>
            <w:tcW w:w="2420" w:type="dxa"/>
            <w:vAlign w:val="bottom"/>
            <w:tcBorders>
              <w:bottom w:val="single" w:sz="8" w:color="143A84"/>
            </w:tcBorders>
          </w:tcPr>
          <w:p>
            <w:pPr>
              <w:jc w:val="center"/>
              <w:spacing w:after="0"/>
              <w:rPr>
                <w:sz w:val="20"/>
                <w:szCs w:val="20"/>
                <w:color w:val="auto"/>
              </w:rPr>
            </w:pPr>
            <w:r>
              <w:rPr>
                <w:rFonts w:ascii="Arial" w:cs="Arial" w:eastAsia="Arial" w:hAnsi="Arial"/>
                <w:sz w:val="16"/>
                <w:szCs w:val="16"/>
                <w:b w:val="1"/>
                <w:bCs w:val="1"/>
                <w:color w:val="243782"/>
              </w:rPr>
              <w:t>Adjustments</w:t>
            </w:r>
          </w:p>
        </w:tc>
        <w:tc>
          <w:tcPr>
            <w:tcW w:w="500" w:type="dxa"/>
            <w:vAlign w:val="bottom"/>
            <w:tcBorders>
              <w:bottom w:val="single" w:sz="8" w:color="143A84"/>
            </w:tcBorders>
            <w:shd w:val="clear" w:color="auto" w:fill="F3F3F9"/>
          </w:tcPr>
          <w:p>
            <w:pPr>
              <w:spacing w:after="0"/>
              <w:rPr>
                <w:sz w:val="20"/>
                <w:szCs w:val="20"/>
                <w:color w:val="auto"/>
              </w:rPr>
            </w:pPr>
          </w:p>
        </w:tc>
        <w:tc>
          <w:tcPr>
            <w:tcW w:w="1720" w:type="dxa"/>
            <w:vAlign w:val="bottom"/>
            <w:tcBorders>
              <w:bottom w:val="single" w:sz="8" w:color="143A84"/>
            </w:tcBorders>
            <w:shd w:val="clear" w:color="auto" w:fill="F3F3F9"/>
          </w:tcPr>
          <w:p>
            <w:pPr>
              <w:jc w:val="right"/>
              <w:ind w:right="579"/>
              <w:spacing w:after="0"/>
              <w:rPr>
                <w:sz w:val="20"/>
                <w:szCs w:val="20"/>
                <w:color w:val="auto"/>
              </w:rPr>
            </w:pPr>
            <w:r>
              <w:rPr>
                <w:rFonts w:ascii="Arial" w:cs="Arial" w:eastAsia="Arial" w:hAnsi="Arial"/>
                <w:sz w:val="16"/>
                <w:szCs w:val="16"/>
                <w:b w:val="1"/>
                <w:bCs w:val="1"/>
                <w:color w:val="243782"/>
              </w:rPr>
              <w:t>As adjusted</w:t>
            </w:r>
          </w:p>
        </w:tc>
      </w:tr>
      <w:tr>
        <w:trPr>
          <w:trHeight w:val="247"/>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North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(1,420)</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(37)</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(1,457)</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Enlarged Europe</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179</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(89)</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90</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Middle East &amp; Africa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1,040</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1,040</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South America</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1,618</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1,618</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Asia Pacific</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(28)</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Maserati</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(172)</w:t>
            </w:r>
          </w:p>
        </w:tc>
        <w:tc>
          <w:tcPr>
            <w:tcW w:w="242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172</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3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Others</w:t>
            </w:r>
          </w:p>
        </w:tc>
        <w:tc>
          <w:tcPr>
            <w:tcW w:w="1620" w:type="dxa"/>
            <w:vAlign w:val="bottom"/>
            <w:tcBorders>
              <w:bottom w:val="single" w:sz="8" w:color="8E939F"/>
            </w:tcBorders>
            <w:shd w:val="clear" w:color="auto" w:fill="F3F3F9"/>
          </w:tcPr>
          <w:p>
            <w:pPr>
              <w:spacing w:after="0"/>
              <w:rPr>
                <w:sz w:val="21"/>
                <w:szCs w:val="21"/>
                <w:color w:val="auto"/>
              </w:rPr>
            </w:pPr>
          </w:p>
        </w:tc>
        <w:tc>
          <w:tcPr>
            <w:tcW w:w="6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(639)</w:t>
            </w:r>
          </w:p>
        </w:tc>
        <w:tc>
          <w:tcPr>
            <w:tcW w:w="242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8E939F"/>
            </w:tcBorders>
            <w:shd w:val="clear" w:color="auto" w:fill="F3F3F9"/>
          </w:tcPr>
          <w:p>
            <w:pPr>
              <w:spacing w:after="0"/>
              <w:rPr>
                <w:sz w:val="21"/>
                <w:szCs w:val="21"/>
                <w:color w:val="auto"/>
              </w:rPr>
            </w:pPr>
          </w:p>
        </w:tc>
        <w:tc>
          <w:tcPr>
            <w:tcW w:w="17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(657)</w:t>
            </w:r>
          </w:p>
        </w:tc>
      </w:tr>
    </w:tbl>
    <w:p>
      <w:pPr>
        <w:spacing w:after="0" w:line="200" w:lineRule="exact"/>
        <w:rPr>
          <w:sz w:val="20"/>
          <w:szCs w:val="20"/>
          <w:color w:val="auto"/>
        </w:rPr>
      </w:pPr>
    </w:p>
    <w:p>
      <w:pPr>
        <w:sectPr>
          <w:pgSz w:w="11900" w:h="16838" w:orient="portrait"/>
          <w:cols w:equalWidth="0" w:num="1">
            <w:col w:w="11240"/>
          </w:cols>
          <w:pgMar w:left="320" w:top="1440" w:right="339" w:bottom="112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122"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New standards and amendments effective from January 1,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new standards, amendments and interpretations, which were effective from January 1, 2026, were adopted by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these amendments did not have a material impact on the Interim Condensed Consolidated Financial Statements.</w:t>
      </w:r>
    </w:p>
    <w:p>
      <w:pPr>
        <w:spacing w:after="0" w:line="266" w:lineRule="exact"/>
        <w:rPr>
          <w:sz w:val="20"/>
          <w:szCs w:val="20"/>
          <w:color w:val="auto"/>
        </w:rPr>
      </w:pPr>
    </w:p>
    <w:p>
      <w:pPr>
        <w:ind w:left="160" w:right="40" w:hanging="152"/>
        <w:spacing w:after="0" w:line="315" w:lineRule="auto"/>
        <w:tabs>
          <w:tab w:leader="none" w:pos="121" w:val="left"/>
        </w:tabs>
        <w:numPr>
          <w:ilvl w:val="0"/>
          <w:numId w:val="56"/>
        </w:numPr>
        <w:rPr>
          <w:rFonts w:ascii="Arial" w:cs="Arial" w:eastAsia="Arial" w:hAnsi="Arial"/>
          <w:sz w:val="18"/>
          <w:szCs w:val="18"/>
          <w:color w:val="143A84"/>
        </w:rPr>
      </w:pPr>
      <w:r>
        <w:rPr>
          <w:rFonts w:ascii="Arial" w:cs="Arial" w:eastAsia="Arial" w:hAnsi="Arial"/>
          <w:sz w:val="18"/>
          <w:szCs w:val="18"/>
          <w:color w:val="auto"/>
        </w:rPr>
        <w:t>In May 2024, the IASB issued amendments to IFRS 9 and IFRS 7 regarding the classification and measurement of financial instruments. The amendments relate to the settling of financial liabilities using an electronic payment system, as well as assessing contractual cash flow characteristics of financial assets, including those with environmental, social and governance linked features.</w:t>
      </w:r>
    </w:p>
    <w:p>
      <w:pPr>
        <w:spacing w:after="0" w:line="62" w:lineRule="exact"/>
        <w:rPr>
          <w:rFonts w:ascii="Arial" w:cs="Arial" w:eastAsia="Arial" w:hAnsi="Arial"/>
          <w:sz w:val="18"/>
          <w:szCs w:val="18"/>
          <w:color w:val="143A84"/>
        </w:rPr>
      </w:pPr>
    </w:p>
    <w:p>
      <w:pPr>
        <w:ind w:left="160" w:right="140" w:hanging="152"/>
        <w:spacing w:after="0" w:line="302" w:lineRule="auto"/>
        <w:tabs>
          <w:tab w:leader="none" w:pos="121" w:val="left"/>
        </w:tabs>
        <w:numPr>
          <w:ilvl w:val="0"/>
          <w:numId w:val="56"/>
        </w:numPr>
        <w:rPr>
          <w:rFonts w:ascii="Arial" w:cs="Arial" w:eastAsia="Arial" w:hAnsi="Arial"/>
          <w:sz w:val="18"/>
          <w:szCs w:val="18"/>
          <w:color w:val="143A84"/>
        </w:rPr>
      </w:pPr>
      <w:r>
        <w:rPr>
          <w:rFonts w:ascii="Arial" w:cs="Arial" w:eastAsia="Arial" w:hAnsi="Arial"/>
          <w:sz w:val="18"/>
          <w:szCs w:val="18"/>
          <w:color w:val="auto"/>
        </w:rPr>
        <w:t>In July 2024, the IASB issued Annual Improvements to IFRS Accounting Standards – Volume 11, which included amendments to the following standards: updated wording regarding hedge accounting in IFRS 1 - First-time Adoption of IFRS, to address potential confusion from an inconsistency with the hedge accounting requirements of IFRS 9 Financial Instruments; replaced an obsolete reference in IFRS 7</w:t>
      </w:r>
    </w:p>
    <w:p>
      <w:pPr>
        <w:spacing w:after="0" w:line="1" w:lineRule="exact"/>
        <w:rPr>
          <w:rFonts w:ascii="Arial" w:cs="Arial" w:eastAsia="Arial" w:hAnsi="Arial"/>
          <w:sz w:val="18"/>
          <w:szCs w:val="18"/>
          <w:color w:val="143A84"/>
        </w:rPr>
      </w:pPr>
    </w:p>
    <w:p>
      <w:pPr>
        <w:ind w:left="160" w:right="20"/>
        <w:spacing w:after="0" w:line="303" w:lineRule="auto"/>
        <w:rPr>
          <w:rFonts w:ascii="Arial" w:cs="Arial" w:eastAsia="Arial" w:hAnsi="Arial"/>
          <w:sz w:val="18"/>
          <w:szCs w:val="18"/>
          <w:color w:val="143A84"/>
        </w:rPr>
      </w:pPr>
      <w:r>
        <w:rPr>
          <w:rFonts w:ascii="Arial" w:cs="Arial" w:eastAsia="Arial" w:hAnsi="Arial"/>
          <w:sz w:val="18"/>
          <w:szCs w:val="18"/>
          <w:color w:val="auto"/>
        </w:rPr>
        <w:t>– Financial Instruments: Disclosures, to IFRS 13 – Fair Value Measurement, and made other minor revisions regarding inconsistencies with IFRS 13; amended IFRS 9 Financial Instruments, to clarify how a lessee accounts for the derecognition of a lease liability and removed a potentially confusing cross reference to the term “transaction price” in IFRS 15 – Revenue from Contracts with Customers, as the term is used elsewhere in IFRS 9 and is not necessarily consistent with the definition in IFRS 15; revised the wording in IFRS 10 - Consolidated Financial Statements, to address potential confusion arising from an inconsistency between two paragraphs related to an investor determining whether another party is acting on its behalf by aligning the language in both paragraphs; amended IAS 7 – Statement of Cash Flows, to remove a reference to the term “cost method” that is no longer defined in IFRS.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Exchange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exchange rates used to translate other currencies into Euro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2200" w:type="dxa"/>
            <w:vAlign w:val="bottom"/>
            <w:shd w:val="clear" w:color="auto" w:fill="F3F3F9"/>
          </w:tcPr>
          <w:p>
            <w:pPr>
              <w:jc w:val="right"/>
              <w:ind w:right="161"/>
              <w:spacing w:after="0"/>
              <w:rPr>
                <w:sz w:val="20"/>
                <w:szCs w:val="20"/>
                <w:color w:val="auto"/>
              </w:rPr>
            </w:pPr>
            <w:r>
              <w:rPr>
                <w:rFonts w:ascii="Arial" w:cs="Arial" w:eastAsia="Arial" w:hAnsi="Arial"/>
                <w:sz w:val="13"/>
                <w:szCs w:val="13"/>
                <w:b w:val="1"/>
                <w:bCs w:val="1"/>
                <w:color w:val="243782"/>
              </w:rPr>
              <w:t>For the nine months ended</w:t>
            </w:r>
          </w:p>
        </w:tc>
        <w:tc>
          <w:tcPr>
            <w:tcW w:w="1420" w:type="dxa"/>
            <w:vAlign w:val="bottom"/>
            <w:shd w:val="clear" w:color="auto" w:fill="F3F3F9"/>
          </w:tcPr>
          <w:p>
            <w:pPr>
              <w:jc w:val="right"/>
              <w:ind w:right="41"/>
              <w:spacing w:after="0"/>
              <w:rPr>
                <w:sz w:val="20"/>
                <w:szCs w:val="20"/>
                <w:color w:val="auto"/>
              </w:rPr>
            </w:pPr>
            <w:r>
              <w:rPr>
                <w:rFonts w:ascii="Arial" w:cs="Arial" w:eastAsia="Arial" w:hAnsi="Arial"/>
                <w:sz w:val="13"/>
                <w:szCs w:val="13"/>
                <w:b w:val="1"/>
                <w:bCs w:val="1"/>
                <w:color w:val="243782"/>
              </w:rPr>
              <w:t>At September 30,</w:t>
            </w:r>
          </w:p>
        </w:tc>
        <w:tc>
          <w:tcPr>
            <w:tcW w:w="1520" w:type="dxa"/>
            <w:vAlign w:val="bottom"/>
          </w:tcPr>
          <w:p>
            <w:pPr>
              <w:jc w:val="right"/>
              <w:ind w:right="201"/>
              <w:spacing w:after="0"/>
              <w:rPr>
                <w:sz w:val="20"/>
                <w:szCs w:val="20"/>
                <w:color w:val="auto"/>
              </w:rPr>
            </w:pPr>
            <w:r>
              <w:rPr>
                <w:rFonts w:ascii="Arial" w:cs="Arial" w:eastAsia="Arial" w:hAnsi="Arial"/>
                <w:sz w:val="13"/>
                <w:szCs w:val="13"/>
                <w:b w:val="1"/>
                <w:bCs w:val="1"/>
                <w:color w:val="243782"/>
              </w:rPr>
              <w:t>At December 31,</w:t>
            </w:r>
          </w:p>
        </w:tc>
        <w:tc>
          <w:tcPr>
            <w:tcW w:w="2240" w:type="dxa"/>
            <w:vAlign w:val="bottom"/>
          </w:tcPr>
          <w:p>
            <w:pPr>
              <w:jc w:val="right"/>
              <w:ind w:right="261"/>
              <w:spacing w:after="0"/>
              <w:rPr>
                <w:sz w:val="20"/>
                <w:szCs w:val="20"/>
                <w:color w:val="auto"/>
              </w:rPr>
            </w:pPr>
            <w:r>
              <w:rPr>
                <w:rFonts w:ascii="Arial" w:cs="Arial" w:eastAsia="Arial" w:hAnsi="Arial"/>
                <w:sz w:val="13"/>
                <w:szCs w:val="13"/>
                <w:b w:val="1"/>
                <w:bCs w:val="1"/>
                <w:color w:val="243782"/>
              </w:rPr>
              <w:t>For the nine months ended</w:t>
            </w:r>
          </w:p>
        </w:tc>
        <w:tc>
          <w:tcPr>
            <w:tcW w:w="1320" w:type="dxa"/>
            <w:vAlign w:val="bottom"/>
          </w:tcPr>
          <w:p>
            <w:pPr>
              <w:jc w:val="right"/>
              <w:ind w:right="21"/>
              <w:spacing w:after="0"/>
              <w:rPr>
                <w:sz w:val="20"/>
                <w:szCs w:val="20"/>
                <w:color w:val="auto"/>
              </w:rPr>
            </w:pPr>
            <w:r>
              <w:rPr>
                <w:rFonts w:ascii="Arial" w:cs="Arial" w:eastAsia="Arial" w:hAnsi="Arial"/>
                <w:sz w:val="13"/>
                <w:szCs w:val="13"/>
                <w:b w:val="1"/>
                <w:bCs w:val="1"/>
                <w:color w:val="243782"/>
              </w:rPr>
              <w:t>At September 30,</w:t>
            </w:r>
          </w:p>
        </w:tc>
      </w:tr>
      <w:tr>
        <w:trPr>
          <w:trHeight w:val="197"/>
        </w:trPr>
        <w:tc>
          <w:tcPr>
            <w:tcW w:w="2540" w:type="dxa"/>
            <w:vAlign w:val="bottom"/>
            <w:tcBorders>
              <w:bottom w:val="single" w:sz="8" w:color="143A84"/>
            </w:tcBorders>
          </w:tcPr>
          <w:p>
            <w:pPr>
              <w:spacing w:after="0"/>
              <w:rPr>
                <w:sz w:val="17"/>
                <w:szCs w:val="17"/>
                <w:color w:val="auto"/>
              </w:rPr>
            </w:pPr>
          </w:p>
        </w:tc>
        <w:tc>
          <w:tcPr>
            <w:tcW w:w="2200" w:type="dxa"/>
            <w:vAlign w:val="bottom"/>
            <w:tcBorders>
              <w:bottom w:val="single" w:sz="8" w:color="143A84"/>
            </w:tcBorders>
            <w:shd w:val="clear" w:color="auto" w:fill="F3F3F9"/>
          </w:tcPr>
          <w:p>
            <w:pPr>
              <w:jc w:val="right"/>
              <w:ind w:right="401"/>
              <w:spacing w:after="0"/>
              <w:rPr>
                <w:sz w:val="20"/>
                <w:szCs w:val="20"/>
                <w:color w:val="auto"/>
              </w:rPr>
            </w:pPr>
            <w:r>
              <w:rPr>
                <w:rFonts w:ascii="Arial" w:cs="Arial" w:eastAsia="Arial" w:hAnsi="Arial"/>
                <w:sz w:val="13"/>
                <w:szCs w:val="13"/>
                <w:b w:val="1"/>
                <w:bCs w:val="1"/>
                <w:color w:val="243782"/>
              </w:rPr>
              <w:t>September 30, 2026</w:t>
            </w:r>
          </w:p>
        </w:tc>
        <w:tc>
          <w:tcPr>
            <w:tcW w:w="1420" w:type="dxa"/>
            <w:vAlign w:val="bottom"/>
            <w:tcBorders>
              <w:bottom w:val="single" w:sz="8" w:color="143A84"/>
            </w:tcBorders>
            <w:shd w:val="clear" w:color="auto" w:fill="F3F3F9"/>
          </w:tcPr>
          <w:p>
            <w:pPr>
              <w:jc w:val="right"/>
              <w:ind w:right="441"/>
              <w:spacing w:after="0"/>
              <w:rPr>
                <w:sz w:val="20"/>
                <w:szCs w:val="20"/>
                <w:color w:val="auto"/>
              </w:rPr>
            </w:pPr>
            <w:r>
              <w:rPr>
                <w:rFonts w:ascii="Arial" w:cs="Arial" w:eastAsia="Arial" w:hAnsi="Arial"/>
                <w:sz w:val="13"/>
                <w:szCs w:val="13"/>
                <w:b w:val="1"/>
                <w:bCs w:val="1"/>
                <w:color w:val="243782"/>
              </w:rPr>
              <w:t>2026</w:t>
            </w:r>
          </w:p>
        </w:tc>
        <w:tc>
          <w:tcPr>
            <w:tcW w:w="1520" w:type="dxa"/>
            <w:vAlign w:val="bottom"/>
            <w:tcBorders>
              <w:bottom w:val="single" w:sz="8" w:color="143A84"/>
            </w:tcBorders>
          </w:tcPr>
          <w:p>
            <w:pPr>
              <w:jc w:val="right"/>
              <w:ind w:right="581"/>
              <w:spacing w:after="0"/>
              <w:rPr>
                <w:sz w:val="20"/>
                <w:szCs w:val="20"/>
                <w:color w:val="auto"/>
              </w:rPr>
            </w:pPr>
            <w:r>
              <w:rPr>
                <w:rFonts w:ascii="Arial" w:cs="Arial" w:eastAsia="Arial" w:hAnsi="Arial"/>
                <w:sz w:val="13"/>
                <w:szCs w:val="13"/>
                <w:b w:val="1"/>
                <w:bCs w:val="1"/>
                <w:color w:val="243782"/>
              </w:rPr>
              <w:t>2025</w:t>
            </w:r>
          </w:p>
        </w:tc>
        <w:tc>
          <w:tcPr>
            <w:tcW w:w="2240" w:type="dxa"/>
            <w:vAlign w:val="bottom"/>
            <w:tcBorders>
              <w:bottom w:val="single" w:sz="8" w:color="143A84"/>
            </w:tcBorders>
          </w:tcPr>
          <w:p>
            <w:pPr>
              <w:jc w:val="right"/>
              <w:ind w:right="481"/>
              <w:spacing w:after="0"/>
              <w:rPr>
                <w:sz w:val="20"/>
                <w:szCs w:val="20"/>
                <w:color w:val="auto"/>
              </w:rPr>
            </w:pPr>
            <w:r>
              <w:rPr>
                <w:rFonts w:ascii="Arial" w:cs="Arial" w:eastAsia="Arial" w:hAnsi="Arial"/>
                <w:sz w:val="13"/>
                <w:szCs w:val="13"/>
                <w:b w:val="1"/>
                <w:bCs w:val="1"/>
                <w:color w:val="243782"/>
              </w:rPr>
              <w:t>September 30, 2025</w:t>
            </w:r>
          </w:p>
        </w:tc>
        <w:tc>
          <w:tcPr>
            <w:tcW w:w="1320" w:type="dxa"/>
            <w:vAlign w:val="bottom"/>
            <w:tcBorders>
              <w:bottom w:val="single" w:sz="8" w:color="143A84"/>
            </w:tcBorders>
          </w:tcPr>
          <w:p>
            <w:pPr>
              <w:jc w:val="right"/>
              <w:ind w:right="421"/>
              <w:spacing w:after="0"/>
              <w:rPr>
                <w:sz w:val="20"/>
                <w:szCs w:val="20"/>
                <w:color w:val="auto"/>
              </w:rPr>
            </w:pPr>
            <w:r>
              <w:rPr>
                <w:rFonts w:ascii="Arial" w:cs="Arial" w:eastAsia="Arial" w:hAnsi="Arial"/>
                <w:sz w:val="13"/>
                <w:szCs w:val="13"/>
                <w:b w:val="1"/>
                <w:bCs w:val="1"/>
                <w:color w:val="243782"/>
              </w:rPr>
              <w:t>2025</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U.S. Dollar (USD)</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1.161</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1.136</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1.175</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1.118</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1.174</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Canadian Dollar (CAD)</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1.608</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1.611</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1.609</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1.563</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1.635</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Mexican Peso (MXN)</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20.210</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20.582</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21.118</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21.799</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21.531</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Pound Sterling (GBP)</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0.864</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0.855</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0.873</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0.851</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0.873</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Polish Zloty (PLN)</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4.270</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4.367</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4.227</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4.241</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4.269</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Swiss Franc (CHF)</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0.924</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0.948</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0.931</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0.939</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0.936</w:t>
            </w:r>
          </w:p>
        </w:tc>
      </w:tr>
      <w:tr>
        <w:trPr>
          <w:trHeight w:val="256"/>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Turkish Lira (TRY)</w:t>
            </w:r>
            <w:r>
              <w:rPr>
                <w:rFonts w:ascii="Arial" w:cs="Arial" w:eastAsia="Arial" w:hAnsi="Arial"/>
                <w:sz w:val="21"/>
                <w:szCs w:val="21"/>
                <w:color w:val="auto"/>
                <w:vertAlign w:val="superscript"/>
              </w:rPr>
              <w:t>(1)</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n.a.</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55.607</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50.331</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48.795</w:t>
            </w:r>
          </w:p>
        </w:tc>
      </w:tr>
      <w:tr>
        <w:trPr>
          <w:trHeight w:val="244"/>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Brazilian Real (BRL)</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5.981</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5.877</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6.469</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6.318</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6.241</w:t>
            </w:r>
          </w:p>
        </w:tc>
      </w:tr>
      <w:tr>
        <w:trPr>
          <w:trHeight w:val="256"/>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Argentine Peso (ARS)</w:t>
            </w:r>
            <w:r>
              <w:rPr>
                <w:rFonts w:ascii="Arial" w:cs="Arial" w:eastAsia="Arial" w:hAnsi="Arial"/>
                <w:sz w:val="21"/>
                <w:szCs w:val="21"/>
                <w:color w:val="auto"/>
                <w:vertAlign w:val="superscript"/>
              </w:rPr>
              <w:t>(2)</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n.a.</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1,717.444</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1,707.560</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1,593.990</w:t>
            </w:r>
          </w:p>
        </w:tc>
      </w:tr>
      <w:tr>
        <w:trPr>
          <w:trHeight w:val="244"/>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Chinese Renminbi (CNY)</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7.925</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7.613</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8.226</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8.072</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8.359</w:t>
            </w:r>
          </w:p>
        </w:tc>
      </w:tr>
      <w:tr>
        <w:trPr>
          <w:trHeight w:val="250"/>
        </w:trPr>
        <w:tc>
          <w:tcPr>
            <w:tcW w:w="2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Japanese Yen (JPY)</w:t>
            </w:r>
          </w:p>
        </w:tc>
        <w:tc>
          <w:tcPr>
            <w:tcW w:w="22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184.039</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178.270</w:t>
            </w:r>
          </w:p>
        </w:tc>
        <w:tc>
          <w:tcPr>
            <w:tcW w:w="1520" w:type="dxa"/>
            <w:vAlign w:val="bottom"/>
            <w:tcBorders>
              <w:bottom w:val="single" w:sz="8" w:color="8E939F"/>
            </w:tcBorders>
          </w:tcPr>
          <w:p>
            <w:pPr>
              <w:jc w:val="right"/>
              <w:ind w:right="101"/>
              <w:spacing w:after="0"/>
              <w:rPr>
                <w:sz w:val="20"/>
                <w:szCs w:val="20"/>
                <w:color w:val="auto"/>
              </w:rPr>
            </w:pPr>
            <w:r>
              <w:rPr>
                <w:rFonts w:ascii="Arial" w:cs="Arial" w:eastAsia="Arial" w:hAnsi="Arial"/>
                <w:sz w:val="16"/>
                <w:szCs w:val="16"/>
                <w:color w:val="auto"/>
              </w:rPr>
              <w:t>184.090</w:t>
            </w:r>
          </w:p>
        </w:tc>
        <w:tc>
          <w:tcPr>
            <w:tcW w:w="2240" w:type="dxa"/>
            <w:vAlign w:val="bottom"/>
            <w:tcBorders>
              <w:bottom w:val="single" w:sz="8" w:color="8E939F"/>
            </w:tcBorders>
          </w:tcPr>
          <w:p>
            <w:pPr>
              <w:jc w:val="right"/>
              <w:ind w:right="21"/>
              <w:spacing w:after="0"/>
              <w:rPr>
                <w:sz w:val="20"/>
                <w:szCs w:val="20"/>
                <w:color w:val="auto"/>
              </w:rPr>
            </w:pPr>
            <w:r>
              <w:rPr>
                <w:rFonts w:ascii="Arial" w:cs="Arial" w:eastAsia="Arial" w:hAnsi="Arial"/>
                <w:sz w:val="16"/>
                <w:szCs w:val="16"/>
                <w:color w:val="auto"/>
              </w:rPr>
              <w:t>165.528</w:t>
            </w:r>
          </w:p>
        </w:tc>
        <w:tc>
          <w:tcPr>
            <w:tcW w:w="13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173.760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n.a. = not applicable</w:t>
      </w:r>
    </w:p>
    <w:p>
      <w:pPr>
        <w:spacing w:after="0" w:line="15" w:lineRule="exact"/>
        <w:rPr>
          <w:sz w:val="20"/>
          <w:szCs w:val="20"/>
          <w:color w:val="auto"/>
        </w:rPr>
      </w:pPr>
    </w:p>
    <w:p>
      <w:pPr>
        <w:ind w:right="420" w:firstLine="8"/>
        <w:spacing w:after="0" w:line="261" w:lineRule="auto"/>
        <w:tabs>
          <w:tab w:leader="none" w:pos="222" w:val="left"/>
        </w:tabs>
        <w:numPr>
          <w:ilvl w:val="0"/>
          <w:numId w:val="57"/>
        </w:numPr>
        <w:rPr>
          <w:rFonts w:ascii="Arial" w:cs="Arial" w:eastAsia="Arial" w:hAnsi="Arial"/>
          <w:sz w:val="14"/>
          <w:szCs w:val="14"/>
          <w:color w:val="auto"/>
        </w:rPr>
      </w:pPr>
      <w:r>
        <w:rPr>
          <w:rFonts w:ascii="Arial" w:cs="Arial" w:eastAsia="Arial" w:hAnsi="Arial"/>
          <w:sz w:val="14"/>
          <w:szCs w:val="14"/>
          <w:color w:val="auto"/>
        </w:rPr>
        <w:t>From April 1, 2022, Türkiye’s economy was considered to be hyperinflationary. Transactions after January 1, 2022 for entities with the Turkish Lira as the functional currency were translated using the spot rate at the end of the period. The price indices used are published by the Turkish Statistical Institute</w:t>
      </w:r>
    </w:p>
    <w:p>
      <w:pPr>
        <w:ind w:right="60" w:firstLine="8"/>
        <w:spacing w:after="0" w:line="283" w:lineRule="auto"/>
        <w:tabs>
          <w:tab w:leader="none" w:pos="222" w:val="left"/>
        </w:tabs>
        <w:numPr>
          <w:ilvl w:val="0"/>
          <w:numId w:val="57"/>
        </w:numPr>
        <w:rPr>
          <w:rFonts w:ascii="Arial" w:cs="Arial" w:eastAsia="Arial" w:hAnsi="Arial"/>
          <w:sz w:val="14"/>
          <w:szCs w:val="14"/>
          <w:color w:val="auto"/>
        </w:rPr>
      </w:pPr>
      <w:r>
        <w:rPr>
          <w:rFonts w:ascii="Arial" w:cs="Arial" w:eastAsia="Arial" w:hAnsi="Arial"/>
          <w:sz w:val="14"/>
          <w:szCs w:val="14"/>
          <w:color w:val="auto"/>
        </w:rPr>
        <w:t>From July 1, 2018, Argentina’s economy was considered to be hyperinflationary. Transactions after July 1, 2018 for entities with the Argentine Peso as the functional currency were translated using the spot rate at the end of the period. The price indices used are published by the Instituto Nacional de Estadistica y Censos de la Republica Argentina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2. Scope of consolidation</w:t>
      </w:r>
    </w:p>
    <w:p>
      <w:pPr>
        <w:spacing w:after="0" w:line="252"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During the nine months ended September 30, 2026, the effects of minor business disposals and minor business combinations were not material.</w:t>
      </w:r>
    </w:p>
    <w:p>
      <w:pPr>
        <w:spacing w:after="0" w:line="153"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On March 31, 2026, Stellantis exited its joint venture with NextStar Energy Inc (“NextStar”). The investment had been classified as held for sale and fully written down in 2025, and the exit had no material financial impact in 2026.</w:t>
      </w:r>
    </w:p>
    <w:p>
      <w:pPr>
        <w:spacing w:after="0" w:line="153" w:lineRule="exact"/>
        <w:rPr>
          <w:sz w:val="20"/>
          <w:szCs w:val="20"/>
          <w:color w:val="auto"/>
        </w:rPr>
      </w:pPr>
    </w:p>
    <w:p>
      <w:pPr>
        <w:ind w:right="320"/>
        <w:spacing w:after="0" w:line="315" w:lineRule="auto"/>
        <w:rPr>
          <w:sz w:val="20"/>
          <w:szCs w:val="20"/>
          <w:color w:val="auto"/>
        </w:rPr>
      </w:pPr>
      <w:r>
        <w:rPr>
          <w:rFonts w:ascii="Arial" w:cs="Arial" w:eastAsia="Arial" w:hAnsi="Arial"/>
          <w:sz w:val="18"/>
          <w:szCs w:val="18"/>
          <w:color w:val="auto"/>
        </w:rPr>
        <w:t xml:space="preserve">In June 2026, Stellantis concluded, in accordance with IAS 28 - </w:t>
      </w:r>
      <w:r>
        <w:rPr>
          <w:rFonts w:ascii="Arial" w:cs="Arial" w:eastAsia="Arial" w:hAnsi="Arial"/>
          <w:sz w:val="18"/>
          <w:szCs w:val="18"/>
          <w:i w:val="1"/>
          <w:iCs w:val="1"/>
          <w:color w:val="auto"/>
        </w:rPr>
        <w:t>Investments in Associates and Joint Ventures,</w:t>
      </w:r>
      <w:r>
        <w:rPr>
          <w:rFonts w:ascii="Arial" w:cs="Arial" w:eastAsia="Arial" w:hAnsi="Arial"/>
          <w:sz w:val="18"/>
          <w:szCs w:val="18"/>
          <w:color w:val="auto"/>
        </w:rPr>
        <w:t xml:space="preserve"> that it ceased to have significant influence over Archer Aviation Inc. (“Archer”) due to the loss of board representation rights, as Stellantis’ shareholding was no longer sufficient to nominate a director at the June 2026 shareholder meeting.</w:t>
      </w:r>
    </w:p>
    <w:p>
      <w:pPr>
        <w:spacing w:after="0" w:line="171" w:lineRule="exact"/>
        <w:rPr>
          <w:sz w:val="20"/>
          <w:szCs w:val="20"/>
          <w:color w:val="auto"/>
        </w:rPr>
      </w:pPr>
    </w:p>
    <w:p>
      <w:pPr>
        <w:jc w:val="both"/>
        <w:ind w:right="260"/>
        <w:spacing w:after="0" w:line="323" w:lineRule="auto"/>
        <w:rPr>
          <w:sz w:val="20"/>
          <w:szCs w:val="20"/>
          <w:color w:val="auto"/>
        </w:rPr>
      </w:pPr>
      <w:r>
        <w:rPr>
          <w:rFonts w:ascii="Arial" w:cs="Arial" w:eastAsia="Arial" w:hAnsi="Arial"/>
          <w:sz w:val="18"/>
          <w:szCs w:val="18"/>
          <w:color w:val="auto"/>
        </w:rPr>
        <w:t xml:space="preserve">Following the loss of significant influence, Stellantis discontinued the application of the equity method and derecognized its investment in Archer as an associate at that date. The retained interest was remeasured at fair value on the date significant influence was lost, and this amount was recognized as the initial carrying value of a financial asset in accordance with IFRS 9 </w:t>
      </w:r>
      <w:r>
        <w:rPr>
          <w:rFonts w:ascii="Arial" w:cs="Arial" w:eastAsia="Arial" w:hAnsi="Arial"/>
          <w:sz w:val="18"/>
          <w:szCs w:val="18"/>
          <w:i w:val="1"/>
          <w:iCs w:val="1"/>
          <w:color w:val="auto"/>
        </w:rPr>
        <w:t>- Financial Instruments</w:t>
      </w:r>
      <w:r>
        <w:rPr>
          <w:rFonts w:ascii="Arial" w:cs="Arial" w:eastAsia="Arial" w:hAnsi="Arial"/>
          <w:sz w:val="18"/>
          <w:szCs w:val="18"/>
          <w:color w:val="auto"/>
        </w:rPr>
        <w:t>.</w:t>
      </w:r>
    </w:p>
    <w:p>
      <w:pPr>
        <w:spacing w:after="0" w:line="163"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The resulting gain of €49 million, representing the difference between (i) the carrying amount of the equity accounted investment and (ii) the fair value of the retained interest, together with the reclassification of amounts previously recognized in other comprehensive income, was recognized in the Interim Condensed Consolidated Income Statement within Gains/(losses) on disposal of investments for the nine months ended September 30, 2026.</w:t>
      </w:r>
    </w:p>
    <w:p>
      <w:pPr>
        <w:spacing w:after="0" w:line="176" w:lineRule="exact"/>
        <w:rPr>
          <w:sz w:val="20"/>
          <w:szCs w:val="20"/>
          <w:color w:val="auto"/>
        </w:rPr>
      </w:pPr>
    </w:p>
    <w:p>
      <w:pPr>
        <w:ind w:right="360"/>
        <w:spacing w:after="0" w:line="315" w:lineRule="auto"/>
        <w:rPr>
          <w:sz w:val="20"/>
          <w:szCs w:val="20"/>
          <w:color w:val="auto"/>
        </w:rPr>
      </w:pPr>
      <w:r>
        <w:rPr>
          <w:rFonts w:ascii="Arial" w:cs="Arial" w:eastAsia="Arial" w:hAnsi="Arial"/>
          <w:sz w:val="18"/>
          <w:szCs w:val="18"/>
          <w:color w:val="auto"/>
        </w:rPr>
        <w:t>Stellantis has elected to present subsequent changes in the fair value of the retained interest in Archer in Other comprehensive income. Archer shares are accounted for as equity instruments and presented as non-current financial assets in the Condensed Consolidated Statement of Financial Position.</w:t>
      </w:r>
    </w:p>
    <w:p>
      <w:pPr>
        <w:spacing w:after="0" w:line="170"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 xml:space="preserve">In August 2026, Stellantis obtained significant influence over Dongfeng Stellantis Automotive Technology (Wuhan) Co., Ltd. (“DSAT”) and Dongfeng Peugeot Citroën Automobiles Co. Ltd. ("DPCA") and, accordingly, accounted for both investments using the equity method in accordance with IAS 28 from the respective dates significant influence was obtained. DSAT and DPCA will produce all-new Peugeot and Jeep-branded vehicles in China. The initial investment in DSAT amounted to approximately €55 million. In addition, the Company has contingent capital commitments of €82 million, payable upon sales targets being achieved for the all-new Peugeot and Jeep-branded vehicles produced by DSAT and DPCA as disclosed in Note 18, </w:t>
      </w:r>
      <w:r>
        <w:rPr>
          <w:rFonts w:ascii="Arial" w:cs="Arial" w:eastAsia="Arial" w:hAnsi="Arial"/>
          <w:sz w:val="18"/>
          <w:szCs w:val="18"/>
          <w:i w:val="1"/>
          <w:iCs w:val="1"/>
          <w:color w:val="auto"/>
        </w:rPr>
        <w:t>Guarantees granted, commitments and contingent liabilities</w:t>
      </w:r>
      <w:r>
        <w:rPr>
          <w:rFonts w:ascii="Arial" w:cs="Arial" w:eastAsia="Arial" w:hAnsi="Arial"/>
          <w:sz w:val="18"/>
          <w:szCs w:val="18"/>
          <w:color w:val="auto"/>
        </w:rPr>
        <w:t>. No gain or loss was recognized on the acquisition of significant influence.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43A84"/>
        </w:rPr>
        <w:t>Held for sale</w:t>
      </w:r>
    </w:p>
    <w:p>
      <w:pPr>
        <w:spacing w:after="0" w:line="252" w:lineRule="exact"/>
        <w:rPr>
          <w:sz w:val="20"/>
          <w:szCs w:val="20"/>
          <w:color w:val="auto"/>
        </w:rPr>
      </w:pPr>
    </w:p>
    <w:p>
      <w:pPr>
        <w:jc w:val="both"/>
        <w:ind w:right="60"/>
        <w:spacing w:after="0" w:line="315" w:lineRule="auto"/>
        <w:rPr>
          <w:sz w:val="20"/>
          <w:szCs w:val="20"/>
          <w:color w:val="auto"/>
        </w:rPr>
      </w:pPr>
      <w:r>
        <w:rPr>
          <w:rFonts w:ascii="Arial" w:cs="Arial" w:eastAsia="Arial" w:hAnsi="Arial"/>
          <w:sz w:val="18"/>
          <w:szCs w:val="18"/>
          <w:color w:val="auto"/>
        </w:rPr>
        <w:t>At September 30, 2026, there were €323 million of assets and €178 million of liabilities (€5 million of assets and nil of liabilities at December 31, 2025), primarily related to Free2move Deutschland GmbH and Auto Avaliar which met the criteria under IFRS 5 to be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60"/>
          </w:cols>
          <w:pgMar w:left="320" w:top="1440" w:right="41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3. Net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120" w:type="dxa"/>
            <w:vAlign w:val="bottom"/>
            <w:tcBorders>
              <w:bottom w:val="single" w:sz="8" w:color="8E939F"/>
            </w:tcBorders>
            <w:gridSpan w:val="4"/>
          </w:tcPr>
          <w:p>
            <w:pPr>
              <w:jc w:val="right"/>
              <w:ind w:right="164"/>
              <w:spacing w:after="0"/>
              <w:rPr>
                <w:sz w:val="20"/>
                <w:szCs w:val="20"/>
                <w:color w:val="auto"/>
              </w:rPr>
            </w:pPr>
            <w:r>
              <w:rPr>
                <w:rFonts w:ascii="Arial" w:cs="Arial" w:eastAsia="Arial" w:hAnsi="Arial"/>
                <w:sz w:val="16"/>
                <w:szCs w:val="16"/>
                <w:b w:val="1"/>
                <w:bCs w:val="1"/>
                <w:color w:val="243782"/>
              </w:rPr>
              <w:t>Three months ended September 30,</w:t>
            </w:r>
          </w:p>
        </w:tc>
        <w:tc>
          <w:tcPr>
            <w:tcW w:w="3040" w:type="dxa"/>
            <w:vAlign w:val="bottom"/>
            <w:tcBorders>
              <w:bottom w:val="single" w:sz="8" w:color="8E939F"/>
            </w:tcBorders>
            <w:gridSpan w:val="4"/>
          </w:tcPr>
          <w:p>
            <w:pPr>
              <w:jc w:val="right"/>
              <w:ind w:right="125"/>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shd w:val="clear" w:color="auto" w:fill="F3F3F9"/>
          </w:tcPr>
          <w:p>
            <w:pPr>
              <w:spacing w:after="0"/>
              <w:rPr>
                <w:sz w:val="18"/>
                <w:szCs w:val="18"/>
                <w:color w:val="auto"/>
              </w:rPr>
            </w:pPr>
          </w:p>
        </w:tc>
        <w:tc>
          <w:tcPr>
            <w:tcW w:w="1160" w:type="dxa"/>
            <w:vAlign w:val="bottom"/>
            <w:shd w:val="clear" w:color="auto" w:fill="F3F3F9"/>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shd w:val="clear" w:color="auto" w:fill="F3F3F9"/>
          </w:tcPr>
          <w:p>
            <w:pPr>
              <w:spacing w:after="0"/>
              <w:rPr>
                <w:sz w:val="18"/>
                <w:szCs w:val="18"/>
                <w:color w:val="auto"/>
              </w:rPr>
            </w:pPr>
          </w:p>
        </w:tc>
        <w:tc>
          <w:tcPr>
            <w:tcW w:w="780" w:type="dxa"/>
            <w:vAlign w:val="bottom"/>
            <w:shd w:val="clear" w:color="auto" w:fill="F3F3F9"/>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Borders>
              <w:bottom w:val="single" w:sz="8" w:color="143A84"/>
            </w:tcBorders>
          </w:tcPr>
          <w:p>
            <w:pPr>
              <w:spacing w:after="0"/>
              <w:rPr>
                <w:sz w:val="20"/>
                <w:szCs w:val="20"/>
                <w:color w:val="auto"/>
              </w:rPr>
            </w:pPr>
          </w:p>
        </w:tc>
        <w:tc>
          <w:tcPr>
            <w:tcW w:w="1320" w:type="dxa"/>
            <w:vAlign w:val="bottom"/>
            <w:tcBorders>
              <w:bottom w:val="single" w:sz="8" w:color="143A84"/>
            </w:tcBorders>
          </w:tcPr>
          <w:p>
            <w:pPr>
              <w:spacing w:after="0"/>
              <w:rPr>
                <w:sz w:val="20"/>
                <w:szCs w:val="20"/>
                <w:color w:val="auto"/>
              </w:rPr>
            </w:pPr>
          </w:p>
        </w:tc>
        <w:tc>
          <w:tcPr>
            <w:tcW w:w="780" w:type="dxa"/>
            <w:vAlign w:val="bottom"/>
            <w:tcBorders>
              <w:bottom w:val="single" w:sz="8" w:color="143A84"/>
            </w:tcBorders>
          </w:tcPr>
          <w:p>
            <w:pPr>
              <w:spacing w:after="0"/>
              <w:rPr>
                <w:sz w:val="20"/>
                <w:szCs w:val="20"/>
                <w:color w:val="auto"/>
              </w:rPr>
            </w:pPr>
          </w:p>
        </w:tc>
        <w:tc>
          <w:tcPr>
            <w:tcW w:w="300" w:type="dxa"/>
            <w:vAlign w:val="bottom"/>
            <w:tcBorders>
              <w:bottom w:val="single" w:sz="8" w:color="143A84"/>
            </w:tcBorders>
            <w:shd w:val="clear" w:color="auto" w:fill="F3F3F9"/>
          </w:tcPr>
          <w:p>
            <w:pPr>
              <w:spacing w:after="0"/>
              <w:rPr>
                <w:sz w:val="20"/>
                <w:szCs w:val="20"/>
                <w:color w:val="auto"/>
              </w:rPr>
            </w:pPr>
          </w:p>
        </w:tc>
        <w:tc>
          <w:tcPr>
            <w:tcW w:w="1160" w:type="dxa"/>
            <w:vAlign w:val="bottom"/>
            <w:tcBorders>
              <w:bottom w:val="single" w:sz="8" w:color="143A84"/>
            </w:tcBorders>
            <w:shd w:val="clear" w:color="auto" w:fill="F3F3F9"/>
          </w:tcPr>
          <w:p>
            <w:pPr>
              <w:jc w:val="right"/>
              <w:ind w:right="466"/>
              <w:spacing w:after="0"/>
              <w:rPr>
                <w:sz w:val="20"/>
                <w:szCs w:val="20"/>
                <w:color w:val="auto"/>
              </w:rPr>
            </w:pPr>
            <w:r>
              <w:rPr>
                <w:rFonts w:ascii="Arial" w:cs="Arial" w:eastAsia="Arial" w:hAnsi="Arial"/>
                <w:sz w:val="16"/>
                <w:szCs w:val="16"/>
                <w:b w:val="1"/>
                <w:bCs w:val="1"/>
                <w:color w:val="243782"/>
              </w:rPr>
              <w:t>2026</w:t>
            </w:r>
          </w:p>
        </w:tc>
        <w:tc>
          <w:tcPr>
            <w:tcW w:w="1180" w:type="dxa"/>
            <w:vAlign w:val="bottom"/>
            <w:tcBorders>
              <w:bottom w:val="single" w:sz="8" w:color="143A84"/>
            </w:tcBorders>
          </w:tcPr>
          <w:p>
            <w:pPr>
              <w:jc w:val="right"/>
              <w:ind w:right="86"/>
              <w:spacing w:after="0"/>
              <w:rPr>
                <w:sz w:val="20"/>
                <w:szCs w:val="20"/>
                <w:color w:val="auto"/>
              </w:rPr>
            </w:pPr>
            <w:r>
              <w:rPr>
                <w:rFonts w:ascii="Arial" w:cs="Arial" w:eastAsia="Arial" w:hAnsi="Arial"/>
                <w:sz w:val="16"/>
                <w:szCs w:val="16"/>
                <w:b w:val="1"/>
                <w:bCs w:val="1"/>
                <w:color w:val="243782"/>
              </w:rPr>
              <w:t>2025</w:t>
            </w:r>
          </w:p>
        </w:tc>
        <w:tc>
          <w:tcPr>
            <w:tcW w:w="480" w:type="dxa"/>
            <w:vAlign w:val="bottom"/>
            <w:tcBorders>
              <w:bottom w:val="single" w:sz="8" w:color="143A84"/>
            </w:tcBorders>
          </w:tcPr>
          <w:p>
            <w:pPr>
              <w:spacing w:after="0"/>
              <w:rPr>
                <w:sz w:val="20"/>
                <w:szCs w:val="20"/>
                <w:color w:val="auto"/>
              </w:rPr>
            </w:pPr>
          </w:p>
        </w:tc>
        <w:tc>
          <w:tcPr>
            <w:tcW w:w="1480" w:type="dxa"/>
            <w:vAlign w:val="bottom"/>
            <w:tcBorders>
              <w:bottom w:val="single" w:sz="8" w:color="143A84"/>
            </w:tcBorders>
            <w:gridSpan w:val="2"/>
            <w:shd w:val="clear" w:color="auto" w:fill="F3F3F9"/>
          </w:tcPr>
          <w:p>
            <w:pPr>
              <w:jc w:val="right"/>
              <w:ind w:right="485"/>
              <w:spacing w:after="0"/>
              <w:rPr>
                <w:sz w:val="20"/>
                <w:szCs w:val="20"/>
                <w:color w:val="auto"/>
              </w:rPr>
            </w:pPr>
            <w:r>
              <w:rPr>
                <w:rFonts w:ascii="Arial" w:cs="Arial" w:eastAsia="Arial" w:hAnsi="Arial"/>
                <w:sz w:val="16"/>
                <w:szCs w:val="16"/>
                <w:b w:val="1"/>
                <w:bCs w:val="1"/>
                <w:color w:val="243782"/>
              </w:rPr>
              <w:t>2026</w:t>
            </w:r>
          </w:p>
        </w:tc>
        <w:tc>
          <w:tcPr>
            <w:tcW w:w="480" w:type="dxa"/>
            <w:vAlign w:val="bottom"/>
            <w:tcBorders>
              <w:bottom w:val="single" w:sz="8" w:color="143A84"/>
            </w:tcBorders>
          </w:tcPr>
          <w:p>
            <w:pPr>
              <w:spacing w:after="0"/>
              <w:rPr>
                <w:sz w:val="20"/>
                <w:szCs w:val="20"/>
                <w:color w:val="auto"/>
              </w:rPr>
            </w:pPr>
          </w:p>
        </w:tc>
        <w:tc>
          <w:tcPr>
            <w:tcW w:w="1080" w:type="dxa"/>
            <w:vAlign w:val="bottom"/>
            <w:tcBorders>
              <w:bottom w:val="single" w:sz="8" w:color="143A84"/>
            </w:tcBorders>
          </w:tcPr>
          <w:p>
            <w:pPr>
              <w:jc w:val="right"/>
              <w:ind w:right="485"/>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47"/>
        </w:trPr>
        <w:tc>
          <w:tcPr>
            <w:tcW w:w="29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Revenues from:</w:t>
            </w:r>
          </w:p>
        </w:tc>
        <w:tc>
          <w:tcPr>
            <w:tcW w:w="132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shd w:val="clear" w:color="auto" w:fill="F3F3F9"/>
          </w:tcPr>
          <w:p>
            <w:pPr>
              <w:spacing w:after="0"/>
              <w:rPr>
                <w:sz w:val="21"/>
                <w:szCs w:val="21"/>
                <w:color w:val="auto"/>
              </w:rPr>
            </w:pPr>
          </w:p>
        </w:tc>
        <w:tc>
          <w:tcPr>
            <w:tcW w:w="1160" w:type="dxa"/>
            <w:vAlign w:val="bottom"/>
            <w:tcBorders>
              <w:bottom w:val="single" w:sz="8" w:color="8E939F"/>
            </w:tcBorders>
            <w:shd w:val="clear" w:color="auto" w:fill="F3F3F9"/>
          </w:tcPr>
          <w:p>
            <w:pPr>
              <w:spacing w:after="0"/>
              <w:rPr>
                <w:sz w:val="21"/>
                <w:szCs w:val="21"/>
                <w:color w:val="auto"/>
              </w:rPr>
            </w:pPr>
          </w:p>
        </w:tc>
        <w:tc>
          <w:tcPr>
            <w:tcW w:w="11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700" w:type="dxa"/>
            <w:vAlign w:val="bottom"/>
            <w:tcBorders>
              <w:bottom w:val="single" w:sz="8" w:color="8E939F"/>
            </w:tcBorders>
            <w:shd w:val="clear" w:color="auto" w:fill="F3F3F9"/>
          </w:tcPr>
          <w:p>
            <w:pPr>
              <w:spacing w:after="0"/>
              <w:rPr>
                <w:sz w:val="21"/>
                <w:szCs w:val="21"/>
                <w:color w:val="auto"/>
              </w:rPr>
            </w:pPr>
          </w:p>
        </w:tc>
        <w:tc>
          <w:tcPr>
            <w:tcW w:w="780" w:type="dxa"/>
            <w:vAlign w:val="bottom"/>
            <w:tcBorders>
              <w:bottom w:val="single" w:sz="8" w:color="8E939F"/>
            </w:tcBorders>
            <w:shd w:val="clear" w:color="auto" w:fill="F3F3F9"/>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Shipments of vehicles and sales of other goods</w:t>
            </w: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shd w:val="clear" w:color="auto" w:fill="F3F3F9"/>
          </w:tcPr>
          <w:p>
            <w:pPr>
              <w:spacing w:after="0"/>
              <w:rPr>
                <w:sz w:val="21"/>
                <w:szCs w:val="21"/>
                <w:color w:val="auto"/>
              </w:rPr>
            </w:pP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34,950</w:t>
            </w:r>
          </w:p>
        </w:tc>
        <w:tc>
          <w:tcPr>
            <w:tcW w:w="1660" w:type="dxa"/>
            <w:vAlign w:val="bottom"/>
            <w:tcBorders>
              <w:bottom w:val="single" w:sz="8" w:color="8E939F"/>
            </w:tcBorders>
            <w:gridSpan w:val="2"/>
          </w:tcPr>
          <w:p>
            <w:pPr>
              <w:jc w:val="right"/>
              <w:ind w:right="84"/>
              <w:spacing w:after="0"/>
              <w:rPr>
                <w:sz w:val="20"/>
                <w:szCs w:val="20"/>
                <w:color w:val="auto"/>
              </w:rPr>
            </w:pPr>
            <w:r>
              <w:rPr>
                <w:rFonts w:ascii="Arial" w:cs="Arial" w:eastAsia="Arial" w:hAnsi="Arial"/>
                <w:sz w:val="16"/>
                <w:szCs w:val="16"/>
                <w:color w:val="auto"/>
              </w:rPr>
              <w:t>35,265</w:t>
            </w:r>
          </w:p>
        </w:tc>
        <w:tc>
          <w:tcPr>
            <w:tcW w:w="700" w:type="dxa"/>
            <w:vAlign w:val="bottom"/>
            <w:tcBorders>
              <w:bottom w:val="single" w:sz="8" w:color="8E939F"/>
            </w:tcBorders>
            <w:shd w:val="clear" w:color="auto" w:fill="F3F3F9"/>
          </w:tcPr>
          <w:p>
            <w:pPr>
              <w:spacing w:after="0"/>
              <w:rPr>
                <w:sz w:val="21"/>
                <w:szCs w:val="21"/>
                <w:color w:val="auto"/>
              </w:rPr>
            </w:pPr>
          </w:p>
        </w:tc>
        <w:tc>
          <w:tcPr>
            <w:tcW w:w="780" w:type="dxa"/>
            <w:vAlign w:val="bottom"/>
            <w:tcBorders>
              <w:bottom w:val="single" w:sz="8" w:color="8E939F"/>
            </w:tcBorders>
            <w:shd w:val="clear" w:color="auto" w:fill="F3F3F9"/>
          </w:tcPr>
          <w:p>
            <w:pPr>
              <w:jc w:val="right"/>
              <w:ind w:right="5"/>
              <w:spacing w:after="0"/>
              <w:rPr>
                <w:sz w:val="20"/>
                <w:szCs w:val="20"/>
                <w:color w:val="auto"/>
              </w:rPr>
            </w:pPr>
            <w:r>
              <w:rPr>
                <w:rFonts w:ascii="Arial" w:cs="Arial" w:eastAsia="Arial" w:hAnsi="Arial"/>
                <w:sz w:val="16"/>
                <w:szCs w:val="16"/>
                <w:color w:val="auto"/>
              </w:rPr>
              <w:t>112,115</w:t>
            </w: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jc w:val="right"/>
              <w:ind w:right="5"/>
              <w:spacing w:after="0"/>
              <w:rPr>
                <w:sz w:val="20"/>
                <w:szCs w:val="20"/>
                <w:color w:val="auto"/>
              </w:rPr>
            </w:pPr>
            <w:r>
              <w:rPr>
                <w:rFonts w:ascii="Arial" w:cs="Arial" w:eastAsia="Arial" w:hAnsi="Arial"/>
                <w:sz w:val="16"/>
                <w:szCs w:val="16"/>
                <w:color w:val="auto"/>
              </w:rPr>
              <w:t>105,855</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services provided</w:t>
            </w:r>
          </w:p>
        </w:tc>
        <w:tc>
          <w:tcPr>
            <w:tcW w:w="132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shd w:val="clear" w:color="auto" w:fill="F3F3F9"/>
          </w:tcPr>
          <w:p>
            <w:pPr>
              <w:spacing w:after="0"/>
              <w:rPr>
                <w:sz w:val="21"/>
                <w:szCs w:val="21"/>
                <w:color w:val="auto"/>
              </w:rPr>
            </w:pP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1,469</w:t>
            </w:r>
          </w:p>
        </w:tc>
        <w:tc>
          <w:tcPr>
            <w:tcW w:w="1660" w:type="dxa"/>
            <w:vAlign w:val="bottom"/>
            <w:tcBorders>
              <w:bottom w:val="single" w:sz="8" w:color="8E939F"/>
            </w:tcBorders>
            <w:gridSpan w:val="2"/>
          </w:tcPr>
          <w:p>
            <w:pPr>
              <w:jc w:val="right"/>
              <w:ind w:right="84"/>
              <w:spacing w:after="0"/>
              <w:rPr>
                <w:sz w:val="20"/>
                <w:szCs w:val="20"/>
                <w:color w:val="auto"/>
              </w:rPr>
            </w:pPr>
            <w:r>
              <w:rPr>
                <w:rFonts w:ascii="Arial" w:cs="Arial" w:eastAsia="Arial" w:hAnsi="Arial"/>
                <w:sz w:val="16"/>
                <w:szCs w:val="16"/>
                <w:color w:val="auto"/>
              </w:rPr>
              <w:t>1,219</w:t>
            </w:r>
          </w:p>
        </w:tc>
        <w:tc>
          <w:tcPr>
            <w:tcW w:w="700" w:type="dxa"/>
            <w:vAlign w:val="bottom"/>
            <w:tcBorders>
              <w:bottom w:val="single" w:sz="8" w:color="8E939F"/>
            </w:tcBorders>
            <w:shd w:val="clear" w:color="auto" w:fill="F3F3F9"/>
          </w:tcPr>
          <w:p>
            <w:pPr>
              <w:spacing w:after="0"/>
              <w:rPr>
                <w:sz w:val="21"/>
                <w:szCs w:val="21"/>
                <w:color w:val="auto"/>
              </w:rPr>
            </w:pPr>
          </w:p>
        </w:tc>
        <w:tc>
          <w:tcPr>
            <w:tcW w:w="780" w:type="dxa"/>
            <w:vAlign w:val="bottom"/>
            <w:tcBorders>
              <w:bottom w:val="single" w:sz="8" w:color="8E939F"/>
            </w:tcBorders>
            <w:shd w:val="clear" w:color="auto" w:fill="F3F3F9"/>
          </w:tcPr>
          <w:p>
            <w:pPr>
              <w:jc w:val="right"/>
              <w:ind w:right="5"/>
              <w:spacing w:after="0"/>
              <w:rPr>
                <w:sz w:val="20"/>
                <w:szCs w:val="20"/>
                <w:color w:val="auto"/>
              </w:rPr>
            </w:pPr>
            <w:r>
              <w:rPr>
                <w:rFonts w:ascii="Arial" w:cs="Arial" w:eastAsia="Arial" w:hAnsi="Arial"/>
                <w:sz w:val="16"/>
                <w:szCs w:val="16"/>
                <w:color w:val="auto"/>
              </w:rPr>
              <w:t>4,174</w:t>
            </w: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jc w:val="right"/>
              <w:ind w:right="5"/>
              <w:spacing w:after="0"/>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8E939F"/>
            </w:tcBorders>
            <w:gridSpan w:val="3"/>
          </w:tcPr>
          <w:p>
            <w:pPr>
              <w:ind w:left="20"/>
              <w:spacing w:after="0"/>
              <w:rPr>
                <w:sz w:val="20"/>
                <w:szCs w:val="20"/>
                <w:color w:val="auto"/>
              </w:rPr>
            </w:pPr>
            <w:r>
              <w:rPr>
                <w:rFonts w:ascii="Arial" w:cs="Arial" w:eastAsia="Arial" w:hAnsi="Arial"/>
                <w:sz w:val="16"/>
                <w:szCs w:val="16"/>
                <w:color w:val="auto"/>
              </w:rPr>
              <w:t>Lease installments from assets sold with a buy-back commitment</w:t>
            </w:r>
          </w:p>
        </w:tc>
        <w:tc>
          <w:tcPr>
            <w:tcW w:w="300" w:type="dxa"/>
            <w:vAlign w:val="bottom"/>
            <w:tcBorders>
              <w:bottom w:val="single" w:sz="8" w:color="8E939F"/>
            </w:tcBorders>
            <w:shd w:val="clear" w:color="auto" w:fill="F3F3F9"/>
          </w:tcPr>
          <w:p>
            <w:pPr>
              <w:spacing w:after="0"/>
              <w:rPr>
                <w:sz w:val="21"/>
                <w:szCs w:val="21"/>
                <w:color w:val="auto"/>
              </w:rPr>
            </w:pP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156</w:t>
            </w:r>
          </w:p>
        </w:tc>
        <w:tc>
          <w:tcPr>
            <w:tcW w:w="11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jc w:val="right"/>
              <w:ind w:right="84"/>
              <w:spacing w:after="0"/>
              <w:rPr>
                <w:sz w:val="20"/>
                <w:szCs w:val="20"/>
                <w:color w:val="auto"/>
              </w:rPr>
            </w:pPr>
            <w:r>
              <w:rPr>
                <w:rFonts w:ascii="Arial" w:cs="Arial" w:eastAsia="Arial" w:hAnsi="Arial"/>
                <w:sz w:val="16"/>
                <w:szCs w:val="16"/>
                <w:color w:val="auto"/>
              </w:rPr>
              <w:t>173</w:t>
            </w:r>
          </w:p>
        </w:tc>
        <w:tc>
          <w:tcPr>
            <w:tcW w:w="700" w:type="dxa"/>
            <w:vAlign w:val="bottom"/>
            <w:tcBorders>
              <w:bottom w:val="single" w:sz="8" w:color="8E939F"/>
            </w:tcBorders>
            <w:shd w:val="clear" w:color="auto" w:fill="F3F3F9"/>
          </w:tcPr>
          <w:p>
            <w:pPr>
              <w:spacing w:after="0"/>
              <w:rPr>
                <w:sz w:val="21"/>
                <w:szCs w:val="21"/>
                <w:color w:val="auto"/>
              </w:rPr>
            </w:pPr>
          </w:p>
        </w:tc>
        <w:tc>
          <w:tcPr>
            <w:tcW w:w="780" w:type="dxa"/>
            <w:vAlign w:val="bottom"/>
            <w:tcBorders>
              <w:bottom w:val="single" w:sz="8" w:color="8E939F"/>
            </w:tcBorders>
            <w:shd w:val="clear" w:color="auto" w:fill="F3F3F9"/>
          </w:tcPr>
          <w:p>
            <w:pPr>
              <w:jc w:val="right"/>
              <w:ind w:right="5"/>
              <w:spacing w:after="0"/>
              <w:rPr>
                <w:sz w:val="20"/>
                <w:szCs w:val="20"/>
                <w:color w:val="auto"/>
              </w:rPr>
            </w:pPr>
            <w:r>
              <w:rPr>
                <w:rFonts w:ascii="Arial" w:cs="Arial" w:eastAsia="Arial" w:hAnsi="Arial"/>
                <w:sz w:val="16"/>
                <w:szCs w:val="16"/>
                <w:color w:val="auto"/>
              </w:rPr>
              <w:t>467</w:t>
            </w: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jc w:val="right"/>
              <w:ind w:right="5"/>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Interest income of financial services activities</w:t>
            </w: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shd w:val="clear" w:color="auto" w:fill="F3F3F9"/>
          </w:tcPr>
          <w:p>
            <w:pPr>
              <w:spacing w:after="0"/>
              <w:rPr>
                <w:sz w:val="21"/>
                <w:szCs w:val="21"/>
                <w:color w:val="auto"/>
              </w:rPr>
            </w:pP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1,036</w:t>
            </w:r>
          </w:p>
        </w:tc>
        <w:tc>
          <w:tcPr>
            <w:tcW w:w="11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jc w:val="right"/>
              <w:ind w:right="84"/>
              <w:spacing w:after="0"/>
              <w:rPr>
                <w:sz w:val="20"/>
                <w:szCs w:val="20"/>
                <w:color w:val="auto"/>
              </w:rPr>
            </w:pPr>
            <w:r>
              <w:rPr>
                <w:rFonts w:ascii="Arial" w:cs="Arial" w:eastAsia="Arial" w:hAnsi="Arial"/>
                <w:sz w:val="16"/>
                <w:szCs w:val="16"/>
                <w:color w:val="auto"/>
              </w:rPr>
              <w:t>549</w:t>
            </w:r>
          </w:p>
        </w:tc>
        <w:tc>
          <w:tcPr>
            <w:tcW w:w="700" w:type="dxa"/>
            <w:vAlign w:val="bottom"/>
            <w:tcBorders>
              <w:bottom w:val="single" w:sz="8" w:color="8E939F"/>
            </w:tcBorders>
            <w:shd w:val="clear" w:color="auto" w:fill="F3F3F9"/>
          </w:tcPr>
          <w:p>
            <w:pPr>
              <w:spacing w:after="0"/>
              <w:rPr>
                <w:sz w:val="21"/>
                <w:szCs w:val="21"/>
                <w:color w:val="auto"/>
              </w:rPr>
            </w:pPr>
          </w:p>
        </w:tc>
        <w:tc>
          <w:tcPr>
            <w:tcW w:w="780" w:type="dxa"/>
            <w:vAlign w:val="bottom"/>
            <w:tcBorders>
              <w:bottom w:val="single" w:sz="8" w:color="8E939F"/>
            </w:tcBorders>
            <w:shd w:val="clear" w:color="auto" w:fill="F3F3F9"/>
          </w:tcPr>
          <w:p>
            <w:pPr>
              <w:jc w:val="right"/>
              <w:ind w:right="5"/>
              <w:spacing w:after="0"/>
              <w:rPr>
                <w:sz w:val="20"/>
                <w:szCs w:val="20"/>
                <w:color w:val="auto"/>
              </w:rPr>
            </w:pPr>
            <w:r>
              <w:rPr>
                <w:rFonts w:ascii="Arial" w:cs="Arial" w:eastAsia="Arial" w:hAnsi="Arial"/>
                <w:sz w:val="16"/>
                <w:szCs w:val="16"/>
                <w:color w:val="auto"/>
              </w:rPr>
              <w:t>2,469</w:t>
            </w: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jc w:val="right"/>
              <w:ind w:right="5"/>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53"/>
        </w:trPr>
        <w:tc>
          <w:tcPr>
            <w:tcW w:w="29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Net revenues</w:t>
            </w:r>
          </w:p>
        </w:tc>
        <w:tc>
          <w:tcPr>
            <w:tcW w:w="1320" w:type="dxa"/>
            <w:vAlign w:val="bottom"/>
            <w:tcBorders>
              <w:bottom w:val="single" w:sz="8" w:color="8E939F"/>
            </w:tcBorders>
            <w:shd w:val="clear" w:color="auto" w:fill="E6E7F4"/>
          </w:tcPr>
          <w:p>
            <w:pPr>
              <w:spacing w:after="0"/>
              <w:rPr>
                <w:sz w:val="21"/>
                <w:szCs w:val="21"/>
                <w:color w:val="auto"/>
              </w:rPr>
            </w:pPr>
          </w:p>
        </w:tc>
        <w:tc>
          <w:tcPr>
            <w:tcW w:w="780" w:type="dxa"/>
            <w:vAlign w:val="bottom"/>
            <w:tcBorders>
              <w:bottom w:val="single" w:sz="8" w:color="8E939F"/>
            </w:tcBorders>
            <w:shd w:val="clear" w:color="auto" w:fill="E6E7F4"/>
          </w:tcPr>
          <w:p>
            <w:pPr>
              <w:spacing w:after="0"/>
              <w:rPr>
                <w:sz w:val="21"/>
                <w:szCs w:val="21"/>
                <w:color w:val="auto"/>
              </w:rPr>
            </w:pPr>
          </w:p>
        </w:tc>
        <w:tc>
          <w:tcPr>
            <w:tcW w:w="300" w:type="dxa"/>
            <w:vAlign w:val="bottom"/>
            <w:tcBorders>
              <w:bottom w:val="single" w:sz="8" w:color="8E939F"/>
            </w:tcBorders>
            <w:shd w:val="clear" w:color="auto" w:fill="E6E7F4"/>
          </w:tcPr>
          <w:p>
            <w:pPr>
              <w:spacing w:after="0"/>
              <w:rPr>
                <w:sz w:val="21"/>
                <w:szCs w:val="21"/>
                <w:color w:val="auto"/>
              </w:rPr>
            </w:pPr>
          </w:p>
        </w:tc>
        <w:tc>
          <w:tcPr>
            <w:tcW w:w="1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37,611</w:t>
            </w:r>
          </w:p>
        </w:tc>
        <w:tc>
          <w:tcPr>
            <w:tcW w:w="1660" w:type="dxa"/>
            <w:vAlign w:val="bottom"/>
            <w:tcBorders>
              <w:bottom w:val="single" w:sz="8" w:color="8E939F"/>
            </w:tcBorders>
            <w:gridSpan w:val="2"/>
            <w:shd w:val="clear" w:color="auto" w:fill="E6E7F4"/>
          </w:tcPr>
          <w:p>
            <w:pPr>
              <w:jc w:val="right"/>
              <w:ind w:right="84"/>
              <w:spacing w:after="0"/>
              <w:rPr>
                <w:sz w:val="20"/>
                <w:szCs w:val="20"/>
                <w:color w:val="auto"/>
              </w:rPr>
            </w:pPr>
            <w:r>
              <w:rPr>
                <w:rFonts w:ascii="Arial" w:cs="Arial" w:eastAsia="Arial" w:hAnsi="Arial"/>
                <w:sz w:val="16"/>
                <w:szCs w:val="16"/>
                <w:b w:val="1"/>
                <w:bCs w:val="1"/>
                <w:color w:val="243782"/>
              </w:rPr>
              <w:t>37,206</w:t>
            </w:r>
          </w:p>
        </w:tc>
        <w:tc>
          <w:tcPr>
            <w:tcW w:w="700" w:type="dxa"/>
            <w:vAlign w:val="bottom"/>
            <w:tcBorders>
              <w:bottom w:val="single" w:sz="8" w:color="8E939F"/>
            </w:tcBorders>
            <w:shd w:val="clear" w:color="auto" w:fill="E6E7F4"/>
          </w:tcPr>
          <w:p>
            <w:pPr>
              <w:spacing w:after="0"/>
              <w:rPr>
                <w:sz w:val="21"/>
                <w:szCs w:val="21"/>
                <w:color w:val="auto"/>
              </w:rPr>
            </w:pPr>
          </w:p>
        </w:tc>
        <w:tc>
          <w:tcPr>
            <w:tcW w:w="780" w:type="dxa"/>
            <w:vAlign w:val="bottom"/>
            <w:tcBorders>
              <w:bottom w:val="single" w:sz="8" w:color="8E939F"/>
            </w:tcBorders>
            <w:shd w:val="clear" w:color="auto" w:fill="E6E7F4"/>
          </w:tcPr>
          <w:p>
            <w:pPr>
              <w:jc w:val="right"/>
              <w:ind w:right="5"/>
              <w:spacing w:after="0"/>
              <w:rPr>
                <w:sz w:val="20"/>
                <w:szCs w:val="20"/>
                <w:color w:val="auto"/>
              </w:rPr>
            </w:pPr>
            <w:r>
              <w:rPr>
                <w:rFonts w:ascii="Arial" w:cs="Arial" w:eastAsia="Arial" w:hAnsi="Arial"/>
                <w:sz w:val="16"/>
                <w:szCs w:val="16"/>
                <w:b w:val="1"/>
                <w:bCs w:val="1"/>
                <w:color w:val="243782"/>
              </w:rPr>
              <w:t>119,225</w:t>
            </w:r>
          </w:p>
        </w:tc>
        <w:tc>
          <w:tcPr>
            <w:tcW w:w="480" w:type="dxa"/>
            <w:vAlign w:val="bottom"/>
            <w:tcBorders>
              <w:bottom w:val="single" w:sz="8" w:color="8E939F"/>
            </w:tcBorders>
            <w:shd w:val="clear" w:color="auto" w:fill="E6E7F4"/>
          </w:tcPr>
          <w:p>
            <w:pPr>
              <w:spacing w:after="0"/>
              <w:rPr>
                <w:sz w:val="21"/>
                <w:szCs w:val="21"/>
                <w:color w:val="auto"/>
              </w:rPr>
            </w:pPr>
          </w:p>
        </w:tc>
        <w:tc>
          <w:tcPr>
            <w:tcW w:w="1080" w:type="dxa"/>
            <w:vAlign w:val="bottom"/>
            <w:tcBorders>
              <w:bottom w:val="single" w:sz="8" w:color="8E939F"/>
            </w:tcBorders>
            <w:shd w:val="clear" w:color="auto" w:fill="E6E7F4"/>
          </w:tcPr>
          <w:p>
            <w:pPr>
              <w:jc w:val="right"/>
              <w:ind w:right="5"/>
              <w:spacing w:after="0"/>
              <w:rPr>
                <w:sz w:val="20"/>
                <w:szCs w:val="20"/>
                <w:color w:val="auto"/>
              </w:rPr>
            </w:pPr>
            <w:r>
              <w:rPr>
                <w:rFonts w:ascii="Arial" w:cs="Arial" w:eastAsia="Arial" w:hAnsi="Arial"/>
                <w:sz w:val="16"/>
                <w:szCs w:val="16"/>
                <w:b w:val="1"/>
                <w:bCs w:val="1"/>
                <w:color w:val="243782"/>
              </w:rPr>
              <w:t>111,467</w:t>
            </w:r>
          </w:p>
        </w:tc>
        <w:tc>
          <w:tcPr>
            <w:tcW w:w="0" w:type="dxa"/>
            <w:vAlign w:val="bottom"/>
          </w:tcPr>
          <w:p>
            <w:pPr>
              <w:spacing w:after="0"/>
              <w:rPr>
                <w:sz w:val="1"/>
                <w:szCs w:val="1"/>
                <w:color w:val="auto"/>
              </w:rPr>
            </w:pPr>
          </w:p>
        </w:tc>
      </w:tr>
      <w:tr>
        <w:trPr>
          <w:trHeight w:val="704"/>
        </w:trPr>
        <w:tc>
          <w:tcPr>
            <w:tcW w:w="2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243782"/>
              </w:rPr>
              <w:t>Enlarged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243782"/>
              </w:rPr>
              <w:t>Middle East &amp;</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Three months ended September 30, 2026</w:t>
            </w:r>
          </w:p>
        </w:tc>
        <w:tc>
          <w:tcPr>
            <w:tcW w:w="1320" w:type="dxa"/>
            <w:vAlign w:val="bottom"/>
            <w:tcBorders>
              <w:bottom w:val="single" w:sz="8" w:color="143A84"/>
            </w:tcBorders>
          </w:tcPr>
          <w:p>
            <w:pPr>
              <w:jc w:val="right"/>
              <w:ind w:right="128"/>
              <w:spacing w:after="0"/>
              <w:rPr>
                <w:sz w:val="20"/>
                <w:szCs w:val="20"/>
                <w:color w:val="auto"/>
              </w:rPr>
            </w:pPr>
            <w:r>
              <w:rPr>
                <w:rFonts w:ascii="Arial" w:cs="Arial" w:eastAsia="Arial" w:hAnsi="Arial"/>
                <w:sz w:val="14"/>
                <w:szCs w:val="14"/>
                <w:b w:val="1"/>
                <w:bCs w:val="1"/>
                <w:color w:val="243782"/>
              </w:rPr>
              <w:t>North America</w:t>
            </w:r>
          </w:p>
        </w:tc>
        <w:tc>
          <w:tcPr>
            <w:tcW w:w="1080" w:type="dxa"/>
            <w:vAlign w:val="bottom"/>
            <w:tcBorders>
              <w:bottom w:val="single" w:sz="8" w:color="143A84"/>
            </w:tcBorders>
            <w:gridSpan w:val="2"/>
          </w:tcPr>
          <w:p>
            <w:pPr>
              <w:jc w:val="center"/>
              <w:ind w:right="25"/>
              <w:spacing w:after="0"/>
              <w:rPr>
                <w:sz w:val="20"/>
                <w:szCs w:val="20"/>
                <w:color w:val="auto"/>
              </w:rPr>
            </w:pPr>
            <w:r>
              <w:rPr>
                <w:rFonts w:ascii="Arial" w:cs="Arial" w:eastAsia="Arial" w:hAnsi="Arial"/>
                <w:sz w:val="14"/>
                <w:szCs w:val="14"/>
                <w:b w:val="1"/>
                <w:bCs w:val="1"/>
                <w:color w:val="243782"/>
              </w:rPr>
              <w:t>Europe</w:t>
            </w:r>
          </w:p>
        </w:tc>
        <w:tc>
          <w:tcPr>
            <w:tcW w:w="11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Africa</w:t>
            </w:r>
          </w:p>
        </w:tc>
        <w:tc>
          <w:tcPr>
            <w:tcW w:w="118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243782"/>
              </w:rPr>
              <w:t>South America</w:t>
            </w:r>
          </w:p>
        </w:tc>
        <w:tc>
          <w:tcPr>
            <w:tcW w:w="1180" w:type="dxa"/>
            <w:vAlign w:val="bottom"/>
            <w:tcBorders>
              <w:bottom w:val="single" w:sz="8" w:color="143A84"/>
            </w:tcBorders>
            <w:gridSpan w:val="2"/>
          </w:tcPr>
          <w:p>
            <w:pPr>
              <w:jc w:val="right"/>
              <w:ind w:right="107"/>
              <w:spacing w:after="0"/>
              <w:rPr>
                <w:sz w:val="20"/>
                <w:szCs w:val="20"/>
                <w:color w:val="auto"/>
              </w:rPr>
            </w:pPr>
            <w:r>
              <w:rPr>
                <w:rFonts w:ascii="Arial" w:cs="Arial" w:eastAsia="Arial" w:hAnsi="Arial"/>
                <w:sz w:val="14"/>
                <w:szCs w:val="14"/>
                <w:b w:val="1"/>
                <w:bCs w:val="1"/>
                <w:color w:val="243782"/>
              </w:rPr>
              <w:t>Asia Pacific</w:t>
            </w:r>
          </w:p>
        </w:tc>
        <w:tc>
          <w:tcPr>
            <w:tcW w:w="1260" w:type="dxa"/>
            <w:vAlign w:val="bottom"/>
            <w:tcBorders>
              <w:bottom w:val="single" w:sz="8" w:color="143A84"/>
            </w:tcBorders>
            <w:gridSpan w:val="2"/>
          </w:tcPr>
          <w:p>
            <w:pPr>
              <w:jc w:val="right"/>
              <w:ind w:right="48"/>
              <w:spacing w:after="0"/>
              <w:rPr>
                <w:sz w:val="20"/>
                <w:szCs w:val="20"/>
                <w:color w:val="auto"/>
              </w:rPr>
            </w:pPr>
            <w:r>
              <w:rPr>
                <w:rFonts w:ascii="Arial" w:cs="Arial" w:eastAsia="Arial" w:hAnsi="Arial"/>
                <w:sz w:val="14"/>
                <w:szCs w:val="14"/>
                <w:b w:val="1"/>
                <w:bCs w:val="1"/>
                <w:color w:val="243782"/>
              </w:rPr>
              <w:t>Other activities</w:t>
            </w:r>
          </w:p>
        </w:tc>
        <w:tc>
          <w:tcPr>
            <w:tcW w:w="1080" w:type="dxa"/>
            <w:vAlign w:val="bottom"/>
            <w:tcBorders>
              <w:bottom w:val="single" w:sz="8" w:color="143A84"/>
            </w:tcBorders>
          </w:tcPr>
          <w:p>
            <w:pPr>
              <w:jc w:val="right"/>
              <w:ind w:right="305"/>
              <w:spacing w:after="0"/>
              <w:rPr>
                <w:sz w:val="20"/>
                <w:szCs w:val="20"/>
                <w:color w:val="auto"/>
              </w:rPr>
            </w:pPr>
            <w:r>
              <w:rPr>
                <w:rFonts w:ascii="Arial" w:cs="Arial" w:eastAsia="Arial" w:hAnsi="Arial"/>
                <w:sz w:val="14"/>
                <w:szCs w:val="14"/>
                <w:b w:val="1"/>
                <w:bCs w:val="1"/>
                <w:color w:val="243782"/>
              </w:rPr>
              <w:t>Total</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tcPr>
          <w:p>
            <w:pPr>
              <w:spacing w:after="0"/>
              <w:rPr>
                <w:sz w:val="21"/>
                <w:szCs w:val="21"/>
                <w:color w:val="auto"/>
              </w:rPr>
            </w:pPr>
          </w:p>
        </w:tc>
        <w:tc>
          <w:tcPr>
            <w:tcW w:w="1160" w:type="dxa"/>
            <w:vAlign w:val="bottom"/>
            <w:tcBorders>
              <w:bottom w:val="single" w:sz="8" w:color="8E939F"/>
            </w:tcBorders>
          </w:tcPr>
          <w:p>
            <w:pPr>
              <w:spacing w:after="0"/>
              <w:rPr>
                <w:sz w:val="21"/>
                <w:szCs w:val="21"/>
                <w:color w:val="auto"/>
              </w:rPr>
            </w:pPr>
          </w:p>
        </w:tc>
        <w:tc>
          <w:tcPr>
            <w:tcW w:w="11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70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4"/>
                <w:szCs w:val="14"/>
                <w:color w:val="auto"/>
              </w:rPr>
              <w:t>Revenues from:</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80" w:type="dxa"/>
            <w:vAlign w:val="bottom"/>
            <w:tcBorders>
              <w:bottom w:val="single" w:sz="8" w:color="8E939F"/>
            </w:tcBorders>
          </w:tcPr>
          <w:p>
            <w:pPr>
              <w:spacing w:after="0" w:line="20" w:lineRule="exact"/>
              <w:rPr>
                <w:sz w:val="1"/>
                <w:szCs w:val="1"/>
                <w:color w:val="auto"/>
              </w:rPr>
            </w:pPr>
          </w:p>
        </w:tc>
        <w:tc>
          <w:tcPr>
            <w:tcW w:w="1320" w:type="dxa"/>
            <w:vAlign w:val="bottom"/>
            <w:tcBorders>
              <w:bottom w:val="single" w:sz="8" w:color="8E939F"/>
            </w:tcBorders>
          </w:tcPr>
          <w:p>
            <w:pPr>
              <w:spacing w:after="0" w:line="20" w:lineRule="exact"/>
              <w:rPr>
                <w:sz w:val="1"/>
                <w:szCs w:val="1"/>
                <w:color w:val="auto"/>
              </w:rPr>
            </w:pPr>
          </w:p>
        </w:tc>
        <w:tc>
          <w:tcPr>
            <w:tcW w:w="780" w:type="dxa"/>
            <w:vAlign w:val="bottom"/>
            <w:tcBorders>
              <w:bottom w:val="single" w:sz="8" w:color="8E939F"/>
            </w:tcBorders>
          </w:tcPr>
          <w:p>
            <w:pPr>
              <w:spacing w:after="0" w:line="20" w:lineRule="exact"/>
              <w:rPr>
                <w:sz w:val="1"/>
                <w:szCs w:val="1"/>
                <w:color w:val="auto"/>
              </w:rPr>
            </w:pPr>
          </w:p>
        </w:tc>
        <w:tc>
          <w:tcPr>
            <w:tcW w:w="300" w:type="dxa"/>
            <w:vAlign w:val="bottom"/>
            <w:tcBorders>
              <w:bottom w:val="single" w:sz="8" w:color="8E939F"/>
            </w:tcBorders>
          </w:tcPr>
          <w:p>
            <w:pPr>
              <w:spacing w:after="0" w:line="20" w:lineRule="exact"/>
              <w:rPr>
                <w:sz w:val="1"/>
                <w:szCs w:val="1"/>
                <w:color w:val="auto"/>
              </w:rPr>
            </w:pPr>
          </w:p>
        </w:tc>
        <w:tc>
          <w:tcPr>
            <w:tcW w:w="1160" w:type="dxa"/>
            <w:vAlign w:val="bottom"/>
            <w:tcBorders>
              <w:bottom w:val="single" w:sz="8" w:color="8E939F"/>
            </w:tcBorders>
          </w:tcPr>
          <w:p>
            <w:pPr>
              <w:spacing w:after="0" w:line="20" w:lineRule="exact"/>
              <w:rPr>
                <w:sz w:val="1"/>
                <w:szCs w:val="1"/>
                <w:color w:val="auto"/>
              </w:rPr>
            </w:pPr>
          </w:p>
        </w:tc>
        <w:tc>
          <w:tcPr>
            <w:tcW w:w="1180" w:type="dxa"/>
            <w:vAlign w:val="bottom"/>
            <w:tcBorders>
              <w:bottom w:val="single" w:sz="8" w:color="8E939F"/>
            </w:tcBorders>
          </w:tcPr>
          <w:p>
            <w:pPr>
              <w:spacing w:after="0" w:line="20" w:lineRule="exact"/>
              <w:rPr>
                <w:sz w:val="1"/>
                <w:szCs w:val="1"/>
                <w:color w:val="auto"/>
              </w:rPr>
            </w:pPr>
          </w:p>
        </w:tc>
        <w:tc>
          <w:tcPr>
            <w:tcW w:w="48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780" w:type="dxa"/>
            <w:vAlign w:val="bottom"/>
            <w:tcBorders>
              <w:bottom w:val="single" w:sz="8" w:color="8E939F"/>
            </w:tcBorders>
          </w:tcPr>
          <w:p>
            <w:pPr>
              <w:spacing w:after="0" w:line="20" w:lineRule="exact"/>
              <w:rPr>
                <w:sz w:val="1"/>
                <w:szCs w:val="1"/>
                <w:color w:val="auto"/>
              </w:rPr>
            </w:pPr>
          </w:p>
        </w:tc>
        <w:tc>
          <w:tcPr>
            <w:tcW w:w="48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4"/>
                <w:szCs w:val="14"/>
                <w:color w:val="auto"/>
              </w:rPr>
              <w:t>Shipments of vehicles and sales of other</w:t>
            </w:r>
          </w:p>
        </w:tc>
        <w:tc>
          <w:tcPr>
            <w:tcW w:w="1320" w:type="dxa"/>
            <w:vAlign w:val="bottom"/>
            <w:vMerge w:val="restart"/>
          </w:tcPr>
          <w:p>
            <w:pPr>
              <w:jc w:val="right"/>
              <w:ind w:right="148"/>
              <w:spacing w:after="0"/>
              <w:rPr>
                <w:sz w:val="20"/>
                <w:szCs w:val="20"/>
                <w:color w:val="auto"/>
              </w:rPr>
            </w:pPr>
            <w:r>
              <w:rPr>
                <w:rFonts w:ascii="Arial" w:cs="Arial" w:eastAsia="Arial" w:hAnsi="Arial"/>
                <w:sz w:val="14"/>
                <w:szCs w:val="14"/>
                <w:color w:val="auto"/>
              </w:rPr>
              <w:t>15,236</w:t>
            </w:r>
          </w:p>
        </w:tc>
        <w:tc>
          <w:tcPr>
            <w:tcW w:w="1080" w:type="dxa"/>
            <w:vAlign w:val="bottom"/>
            <w:gridSpan w:val="2"/>
            <w:vMerge w:val="restart"/>
          </w:tcPr>
          <w:p>
            <w:pPr>
              <w:jc w:val="right"/>
              <w:ind w:right="45"/>
              <w:spacing w:after="0"/>
              <w:rPr>
                <w:sz w:val="20"/>
                <w:szCs w:val="20"/>
                <w:color w:val="auto"/>
              </w:rPr>
            </w:pPr>
            <w:r>
              <w:rPr>
                <w:rFonts w:ascii="Arial" w:cs="Arial" w:eastAsia="Arial" w:hAnsi="Arial"/>
                <w:sz w:val="14"/>
                <w:szCs w:val="14"/>
                <w:color w:val="auto"/>
              </w:rPr>
              <w:t>13,563</w:t>
            </w:r>
          </w:p>
        </w:tc>
        <w:tc>
          <w:tcPr>
            <w:tcW w:w="1160" w:type="dxa"/>
            <w:vAlign w:val="bottom"/>
            <w:vMerge w:val="restart"/>
          </w:tcPr>
          <w:p>
            <w:pPr>
              <w:jc w:val="right"/>
              <w:ind w:right="26"/>
              <w:spacing w:after="0"/>
              <w:rPr>
                <w:sz w:val="20"/>
                <w:szCs w:val="20"/>
                <w:color w:val="auto"/>
              </w:rPr>
            </w:pPr>
            <w:r>
              <w:rPr>
                <w:rFonts w:ascii="Arial" w:cs="Arial" w:eastAsia="Arial" w:hAnsi="Arial"/>
                <w:sz w:val="14"/>
                <w:szCs w:val="14"/>
                <w:color w:val="auto"/>
              </w:rPr>
              <w:t>1,660</w:t>
            </w:r>
          </w:p>
        </w:tc>
        <w:tc>
          <w:tcPr>
            <w:tcW w:w="1180" w:type="dxa"/>
            <w:vAlign w:val="bottom"/>
            <w:vMerge w:val="restart"/>
          </w:tcPr>
          <w:p>
            <w:pPr>
              <w:jc w:val="right"/>
              <w:ind w:right="26"/>
              <w:spacing w:after="0"/>
              <w:rPr>
                <w:sz w:val="20"/>
                <w:szCs w:val="20"/>
                <w:color w:val="auto"/>
              </w:rPr>
            </w:pPr>
            <w:r>
              <w:rPr>
                <w:rFonts w:ascii="Arial" w:cs="Arial" w:eastAsia="Arial" w:hAnsi="Arial"/>
                <w:sz w:val="14"/>
                <w:szCs w:val="14"/>
                <w:color w:val="auto"/>
              </w:rPr>
              <w:t>3,985</w:t>
            </w:r>
          </w:p>
        </w:tc>
        <w:tc>
          <w:tcPr>
            <w:tcW w:w="480" w:type="dxa"/>
            <w:vAlign w:val="bottom"/>
          </w:tcPr>
          <w:p>
            <w:pPr>
              <w:spacing w:after="0"/>
              <w:rPr>
                <w:sz w:val="17"/>
                <w:szCs w:val="17"/>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4"/>
                <w:szCs w:val="14"/>
                <w:color w:val="auto"/>
              </w:rPr>
              <w:t>433</w:t>
            </w:r>
          </w:p>
        </w:tc>
        <w:tc>
          <w:tcPr>
            <w:tcW w:w="12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73</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34,950</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goods</w:t>
            </w:r>
          </w:p>
        </w:tc>
        <w:tc>
          <w:tcPr>
            <w:tcW w:w="13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8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4"/>
                <w:szCs w:val="14"/>
                <w:color w:val="auto"/>
              </w:rPr>
              <w:t>Other services provided</w:t>
            </w:r>
          </w:p>
        </w:tc>
        <w:tc>
          <w:tcPr>
            <w:tcW w:w="1320" w:type="dxa"/>
            <w:vAlign w:val="bottom"/>
            <w:tcBorders>
              <w:top w:val="single" w:sz="8" w:color="8E939F"/>
              <w:bottom w:val="single" w:sz="8" w:color="8E939F"/>
            </w:tcBorders>
          </w:tcPr>
          <w:p>
            <w:pPr>
              <w:jc w:val="right"/>
              <w:ind w:right="148"/>
              <w:spacing w:after="0"/>
              <w:rPr>
                <w:sz w:val="20"/>
                <w:szCs w:val="20"/>
                <w:color w:val="auto"/>
              </w:rPr>
            </w:pPr>
            <w:r>
              <w:rPr>
                <w:rFonts w:ascii="Arial" w:cs="Arial" w:eastAsia="Arial" w:hAnsi="Arial"/>
                <w:sz w:val="14"/>
                <w:szCs w:val="14"/>
                <w:color w:val="auto"/>
              </w:rPr>
              <w:t>334</w:t>
            </w:r>
          </w:p>
        </w:tc>
        <w:tc>
          <w:tcPr>
            <w:tcW w:w="1080" w:type="dxa"/>
            <w:vAlign w:val="bottom"/>
            <w:tcBorders>
              <w:top w:val="single" w:sz="8" w:color="8E939F"/>
              <w:bottom w:val="single" w:sz="8" w:color="8E939F"/>
            </w:tcBorders>
            <w:gridSpan w:val="2"/>
          </w:tcPr>
          <w:p>
            <w:pPr>
              <w:jc w:val="right"/>
              <w:ind w:right="45"/>
              <w:spacing w:after="0"/>
              <w:rPr>
                <w:sz w:val="20"/>
                <w:szCs w:val="20"/>
                <w:color w:val="auto"/>
              </w:rPr>
            </w:pPr>
            <w:r>
              <w:rPr>
                <w:rFonts w:ascii="Arial" w:cs="Arial" w:eastAsia="Arial" w:hAnsi="Arial"/>
                <w:sz w:val="14"/>
                <w:szCs w:val="14"/>
                <w:color w:val="auto"/>
              </w:rPr>
              <w:t>343</w:t>
            </w:r>
          </w:p>
        </w:tc>
        <w:tc>
          <w:tcPr>
            <w:tcW w:w="1160" w:type="dxa"/>
            <w:vAlign w:val="bottom"/>
            <w:tcBorders>
              <w:top w:val="single" w:sz="8" w:color="8E939F"/>
              <w:bottom w:val="single" w:sz="8" w:color="8E939F"/>
            </w:tcBorders>
          </w:tcPr>
          <w:p>
            <w:pPr>
              <w:jc w:val="right"/>
              <w:ind w:right="26"/>
              <w:spacing w:after="0"/>
              <w:rPr>
                <w:sz w:val="20"/>
                <w:szCs w:val="20"/>
                <w:color w:val="auto"/>
              </w:rPr>
            </w:pPr>
            <w:r>
              <w:rPr>
                <w:rFonts w:ascii="Arial" w:cs="Arial" w:eastAsia="Arial" w:hAnsi="Arial"/>
                <w:sz w:val="14"/>
                <w:szCs w:val="14"/>
                <w:color w:val="auto"/>
              </w:rPr>
              <w:t>13</w:t>
            </w:r>
          </w:p>
        </w:tc>
        <w:tc>
          <w:tcPr>
            <w:tcW w:w="1180" w:type="dxa"/>
            <w:vAlign w:val="bottom"/>
            <w:tcBorders>
              <w:top w:val="single" w:sz="8" w:color="8E939F"/>
              <w:bottom w:val="single" w:sz="8" w:color="8E939F"/>
            </w:tcBorders>
          </w:tcPr>
          <w:p>
            <w:pPr>
              <w:jc w:val="right"/>
              <w:ind w:right="26"/>
              <w:spacing w:after="0"/>
              <w:rPr>
                <w:sz w:val="20"/>
                <w:szCs w:val="20"/>
                <w:color w:val="auto"/>
              </w:rPr>
            </w:pPr>
            <w:r>
              <w:rPr>
                <w:rFonts w:ascii="Arial" w:cs="Arial" w:eastAsia="Arial" w:hAnsi="Arial"/>
                <w:sz w:val="14"/>
                <w:szCs w:val="14"/>
                <w:color w:val="auto"/>
              </w:rPr>
              <w:t>103</w:t>
            </w:r>
          </w:p>
        </w:tc>
        <w:tc>
          <w:tcPr>
            <w:tcW w:w="480" w:type="dxa"/>
            <w:vAlign w:val="bottom"/>
            <w:tcBorders>
              <w:top w:val="single" w:sz="8" w:color="8E939F"/>
              <w:bottom w:val="single" w:sz="8" w:color="8E939F"/>
            </w:tcBorders>
          </w:tcPr>
          <w:p>
            <w:pPr>
              <w:spacing w:after="0"/>
              <w:rPr>
                <w:sz w:val="20"/>
                <w:szCs w:val="20"/>
                <w:color w:val="auto"/>
              </w:rPr>
            </w:pPr>
          </w:p>
        </w:tc>
        <w:tc>
          <w:tcPr>
            <w:tcW w:w="700" w:type="dxa"/>
            <w:vAlign w:val="bottom"/>
            <w:tcBorders>
              <w:top w:val="single" w:sz="8" w:color="8E939F"/>
              <w:bottom w:val="single" w:sz="8" w:color="8E939F"/>
            </w:tcBorders>
          </w:tcPr>
          <w:p>
            <w:pPr>
              <w:jc w:val="right"/>
              <w:ind w:right="27"/>
              <w:spacing w:after="0"/>
              <w:rPr>
                <w:sz w:val="20"/>
                <w:szCs w:val="20"/>
                <w:color w:val="auto"/>
              </w:rPr>
            </w:pPr>
            <w:r>
              <w:rPr>
                <w:rFonts w:ascii="Arial" w:cs="Arial" w:eastAsia="Arial" w:hAnsi="Arial"/>
                <w:sz w:val="14"/>
                <w:szCs w:val="14"/>
                <w:color w:val="auto"/>
              </w:rPr>
              <w:t>12</w:t>
            </w:r>
          </w:p>
        </w:tc>
        <w:tc>
          <w:tcPr>
            <w:tcW w:w="1260" w:type="dxa"/>
            <w:vAlign w:val="bottom"/>
            <w:tcBorders>
              <w:top w:val="single" w:sz="8" w:color="8E939F"/>
              <w:bottom w:val="single" w:sz="8" w:color="8E939F"/>
            </w:tcBorders>
            <w:gridSpan w:val="2"/>
          </w:tcPr>
          <w:p>
            <w:pPr>
              <w:jc w:val="right"/>
              <w:ind w:right="108"/>
              <w:spacing w:after="0"/>
              <w:rPr>
                <w:sz w:val="20"/>
                <w:szCs w:val="20"/>
                <w:color w:val="auto"/>
              </w:rPr>
            </w:pPr>
            <w:r>
              <w:rPr>
                <w:rFonts w:ascii="Arial" w:cs="Arial" w:eastAsia="Arial" w:hAnsi="Arial"/>
                <w:sz w:val="14"/>
                <w:szCs w:val="14"/>
                <w:color w:val="auto"/>
              </w:rPr>
              <w:t>664</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1,469</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Revenues from goods and services</w:t>
            </w:r>
          </w:p>
        </w:tc>
        <w:tc>
          <w:tcPr>
            <w:tcW w:w="1320" w:type="dxa"/>
            <w:vAlign w:val="bottom"/>
            <w:tcBorders>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15,570</w:t>
            </w:r>
          </w:p>
        </w:tc>
        <w:tc>
          <w:tcPr>
            <w:tcW w:w="1080" w:type="dxa"/>
            <w:vAlign w:val="bottom"/>
            <w:tcBorders>
              <w:bottom w:val="single" w:sz="8" w:color="8E939F"/>
            </w:tcBorders>
            <w:gridSpan w:val="2"/>
            <w:shd w:val="clear" w:color="auto" w:fill="E6E7F4"/>
          </w:tcPr>
          <w:p>
            <w:pPr>
              <w:jc w:val="right"/>
              <w:ind w:right="45"/>
              <w:spacing w:after="0"/>
              <w:rPr>
                <w:sz w:val="20"/>
                <w:szCs w:val="20"/>
                <w:color w:val="auto"/>
              </w:rPr>
            </w:pPr>
            <w:r>
              <w:rPr>
                <w:rFonts w:ascii="Arial" w:cs="Arial" w:eastAsia="Arial" w:hAnsi="Arial"/>
                <w:sz w:val="14"/>
                <w:szCs w:val="14"/>
                <w:b w:val="1"/>
                <w:bCs w:val="1"/>
                <w:color w:val="243782"/>
              </w:rPr>
              <w:t>13,906</w:t>
            </w:r>
          </w:p>
        </w:tc>
        <w:tc>
          <w:tcPr>
            <w:tcW w:w="1160" w:type="dxa"/>
            <w:vAlign w:val="bottom"/>
            <w:tcBorders>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1,673</w:t>
            </w:r>
          </w:p>
        </w:tc>
        <w:tc>
          <w:tcPr>
            <w:tcW w:w="1180" w:type="dxa"/>
            <w:vAlign w:val="bottom"/>
            <w:tcBorders>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4,088</w:t>
            </w:r>
          </w:p>
        </w:tc>
        <w:tc>
          <w:tcPr>
            <w:tcW w:w="480" w:type="dxa"/>
            <w:vAlign w:val="bottom"/>
            <w:tcBorders>
              <w:bottom w:val="single" w:sz="8" w:color="8E939F"/>
            </w:tcBorders>
            <w:shd w:val="clear" w:color="auto" w:fill="E6E7F4"/>
          </w:tcPr>
          <w:p>
            <w:pPr>
              <w:spacing w:after="0"/>
              <w:rPr>
                <w:sz w:val="20"/>
                <w:szCs w:val="20"/>
                <w:color w:val="auto"/>
              </w:rPr>
            </w:pPr>
          </w:p>
        </w:tc>
        <w:tc>
          <w:tcPr>
            <w:tcW w:w="700" w:type="dxa"/>
            <w:vAlign w:val="bottom"/>
            <w:tcBorders>
              <w:bottom w:val="single" w:sz="8" w:color="8E939F"/>
            </w:tcBorders>
            <w:shd w:val="clear" w:color="auto" w:fill="E6E7F4"/>
          </w:tcPr>
          <w:p>
            <w:pPr>
              <w:jc w:val="right"/>
              <w:ind w:right="27"/>
              <w:spacing w:after="0"/>
              <w:rPr>
                <w:sz w:val="20"/>
                <w:szCs w:val="20"/>
                <w:color w:val="auto"/>
              </w:rPr>
            </w:pPr>
            <w:r>
              <w:rPr>
                <w:rFonts w:ascii="Arial" w:cs="Arial" w:eastAsia="Arial" w:hAnsi="Arial"/>
                <w:sz w:val="14"/>
                <w:szCs w:val="14"/>
                <w:b w:val="1"/>
                <w:bCs w:val="1"/>
                <w:color w:val="243782"/>
              </w:rPr>
              <w:t>445</w:t>
            </w:r>
          </w:p>
        </w:tc>
        <w:tc>
          <w:tcPr>
            <w:tcW w:w="1260" w:type="dxa"/>
            <w:vAlign w:val="bottom"/>
            <w:tcBorders>
              <w:bottom w:val="single" w:sz="8" w:color="8E939F"/>
            </w:tcBorders>
            <w:gridSpan w:val="2"/>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737</w:t>
            </w:r>
          </w:p>
        </w:tc>
        <w:tc>
          <w:tcPr>
            <w:tcW w:w="10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36,419</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8E939F"/>
            </w:tcBorders>
          </w:tcPr>
          <w:p>
            <w:pPr>
              <w:spacing w:after="0"/>
              <w:rPr>
                <w:sz w:val="22"/>
                <w:szCs w:val="22"/>
                <w:color w:val="auto"/>
              </w:rPr>
            </w:pPr>
          </w:p>
        </w:tc>
        <w:tc>
          <w:tcPr>
            <w:tcW w:w="132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300" w:type="dxa"/>
            <w:vAlign w:val="bottom"/>
            <w:tcBorders>
              <w:bottom w:val="single" w:sz="8" w:color="8E939F"/>
            </w:tcBorders>
          </w:tcPr>
          <w:p>
            <w:pPr>
              <w:spacing w:after="0"/>
              <w:rPr>
                <w:sz w:val="22"/>
                <w:szCs w:val="22"/>
                <w:color w:val="auto"/>
              </w:rPr>
            </w:pPr>
          </w:p>
        </w:tc>
        <w:tc>
          <w:tcPr>
            <w:tcW w:w="1160" w:type="dxa"/>
            <w:vAlign w:val="bottom"/>
            <w:tcBorders>
              <w:bottom w:val="single" w:sz="8" w:color="8E939F"/>
            </w:tcBorders>
          </w:tcPr>
          <w:p>
            <w:pPr>
              <w:spacing w:after="0"/>
              <w:rPr>
                <w:sz w:val="22"/>
                <w:szCs w:val="22"/>
                <w:color w:val="auto"/>
              </w:rPr>
            </w:pPr>
          </w:p>
        </w:tc>
        <w:tc>
          <w:tcPr>
            <w:tcW w:w="1180" w:type="dxa"/>
            <w:vAlign w:val="bottom"/>
            <w:tcBorders>
              <w:bottom w:val="single" w:sz="8" w:color="8E939F"/>
            </w:tcBorders>
          </w:tcPr>
          <w:p>
            <w:pPr>
              <w:spacing w:after="0"/>
              <w:rPr>
                <w:sz w:val="22"/>
                <w:szCs w:val="22"/>
                <w:color w:val="auto"/>
              </w:rPr>
            </w:pPr>
          </w:p>
        </w:tc>
        <w:tc>
          <w:tcPr>
            <w:tcW w:w="480" w:type="dxa"/>
            <w:vAlign w:val="bottom"/>
            <w:tcBorders>
              <w:bottom w:val="single" w:sz="8" w:color="8E939F"/>
            </w:tcBorders>
          </w:tcPr>
          <w:p>
            <w:pPr>
              <w:spacing w:after="0"/>
              <w:rPr>
                <w:sz w:val="22"/>
                <w:szCs w:val="22"/>
                <w:color w:val="auto"/>
              </w:rPr>
            </w:pPr>
          </w:p>
        </w:tc>
        <w:tc>
          <w:tcPr>
            <w:tcW w:w="70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48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shd w:val="clear" w:color="auto" w:fill="E6E7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4"/>
                <w:szCs w:val="14"/>
                <w:color w:val="auto"/>
              </w:rPr>
              <w:t>Lease installments from assets sold with a</w:t>
            </w:r>
          </w:p>
        </w:tc>
        <w:tc>
          <w:tcPr>
            <w:tcW w:w="1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45"/>
              <w:spacing w:after="0"/>
              <w:rPr>
                <w:sz w:val="20"/>
                <w:szCs w:val="20"/>
                <w:color w:val="auto"/>
              </w:rPr>
            </w:pPr>
            <w:r>
              <w:rPr>
                <w:rFonts w:ascii="Arial" w:cs="Arial" w:eastAsia="Arial" w:hAnsi="Arial"/>
                <w:sz w:val="14"/>
                <w:szCs w:val="14"/>
                <w:color w:val="auto"/>
              </w:rPr>
              <w:t>156</w:t>
            </w:r>
          </w:p>
        </w:tc>
        <w:tc>
          <w:tcPr>
            <w:tcW w:w="116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4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156</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buy-back commitment</w:t>
            </w:r>
          </w:p>
        </w:tc>
        <w:tc>
          <w:tcPr>
            <w:tcW w:w="13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80" w:type="dxa"/>
            <w:vAlign w:val="bottom"/>
            <w:tcBorders>
              <w:top w:val="single" w:sz="8" w:color="8E939F"/>
            </w:tcBorders>
          </w:tcPr>
          <w:p>
            <w:pPr>
              <w:ind w:left="20"/>
              <w:spacing w:after="0"/>
              <w:rPr>
                <w:sz w:val="20"/>
                <w:szCs w:val="20"/>
                <w:color w:val="auto"/>
              </w:rPr>
            </w:pPr>
            <w:r>
              <w:rPr>
                <w:rFonts w:ascii="Arial" w:cs="Arial" w:eastAsia="Arial" w:hAnsi="Arial"/>
                <w:sz w:val="14"/>
                <w:szCs w:val="14"/>
                <w:color w:val="auto"/>
              </w:rPr>
              <w:t>Interest income from financial services</w:t>
            </w:r>
          </w:p>
        </w:tc>
        <w:tc>
          <w:tcPr>
            <w:tcW w:w="1320" w:type="dxa"/>
            <w:vAlign w:val="bottom"/>
            <w:tcBorders>
              <w:top w:val="single" w:sz="8" w:color="8E939F"/>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8E939F"/>
            </w:tcBorders>
          </w:tcPr>
          <w:p>
            <w:pPr>
              <w:spacing w:after="0"/>
              <w:rPr>
                <w:sz w:val="17"/>
                <w:szCs w:val="17"/>
                <w:color w:val="auto"/>
              </w:rPr>
            </w:pPr>
          </w:p>
        </w:tc>
        <w:tc>
          <w:tcPr>
            <w:tcW w:w="300" w:type="dxa"/>
            <w:vAlign w:val="bottom"/>
            <w:tcBorders>
              <w:top w:val="single" w:sz="8" w:color="8E939F"/>
            </w:tcBorders>
            <w:vMerge w:val="restart"/>
          </w:tcPr>
          <w:p>
            <w:pPr>
              <w:jc w:val="right"/>
              <w:ind w:right="45"/>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8E939F"/>
            </w:tcBorders>
            <w:vMerge w:val="restart"/>
          </w:tcPr>
          <w:p>
            <w:pPr>
              <w:jc w:val="right"/>
              <w:ind w:right="26"/>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8E939F"/>
            </w:tcBorders>
            <w:vMerge w:val="restart"/>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8E939F"/>
            </w:tcBorders>
          </w:tcPr>
          <w:p>
            <w:pPr>
              <w:spacing w:after="0"/>
              <w:rPr>
                <w:sz w:val="17"/>
                <w:szCs w:val="17"/>
                <w:color w:val="auto"/>
              </w:rPr>
            </w:pPr>
          </w:p>
        </w:tc>
        <w:tc>
          <w:tcPr>
            <w:tcW w:w="700" w:type="dxa"/>
            <w:vAlign w:val="bottom"/>
            <w:tcBorders>
              <w:top w:val="single" w:sz="8" w:color="8E939F"/>
            </w:tcBorders>
            <w:vMerge w:val="restart"/>
          </w:tcPr>
          <w:p>
            <w:pPr>
              <w:jc w:val="right"/>
              <w:ind w:right="27"/>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8E939F"/>
            </w:tcBorders>
            <w:gridSpan w:val="2"/>
            <w:vMerge w:val="restart"/>
          </w:tcPr>
          <w:p>
            <w:pPr>
              <w:jc w:val="right"/>
              <w:ind w:right="108"/>
              <w:spacing w:after="0"/>
              <w:rPr>
                <w:sz w:val="20"/>
                <w:szCs w:val="20"/>
                <w:color w:val="auto"/>
              </w:rPr>
            </w:pPr>
            <w:r>
              <w:rPr>
                <w:rFonts w:ascii="Arial" w:cs="Arial" w:eastAsia="Arial" w:hAnsi="Arial"/>
                <w:sz w:val="14"/>
                <w:szCs w:val="14"/>
                <w:color w:val="auto"/>
              </w:rPr>
              <w:t>1,036</w:t>
            </w:r>
          </w:p>
        </w:tc>
        <w:tc>
          <w:tcPr>
            <w:tcW w:w="1080" w:type="dxa"/>
            <w:vAlign w:val="bottom"/>
            <w:tcBorders>
              <w:top w:val="single" w:sz="8" w:color="8E939F"/>
            </w:tcBorders>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1,036</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activities</w:t>
            </w:r>
          </w:p>
        </w:tc>
        <w:tc>
          <w:tcPr>
            <w:tcW w:w="13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80" w:type="dxa"/>
            <w:vAlign w:val="bottom"/>
            <w:tcBorders>
              <w:top w:val="single" w:sz="8" w:color="8E939F"/>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Total Net revenues</w:t>
            </w:r>
          </w:p>
        </w:tc>
        <w:tc>
          <w:tcPr>
            <w:tcW w:w="1320" w:type="dxa"/>
            <w:vAlign w:val="bottom"/>
            <w:tcBorders>
              <w:top w:val="single" w:sz="8" w:color="8E939F"/>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15,570</w:t>
            </w:r>
          </w:p>
        </w:tc>
        <w:tc>
          <w:tcPr>
            <w:tcW w:w="1080" w:type="dxa"/>
            <w:vAlign w:val="bottom"/>
            <w:tcBorders>
              <w:top w:val="single" w:sz="8" w:color="8E939F"/>
              <w:bottom w:val="single" w:sz="8" w:color="8E939F"/>
            </w:tcBorders>
            <w:gridSpan w:val="2"/>
            <w:shd w:val="clear" w:color="auto" w:fill="E6E7F4"/>
          </w:tcPr>
          <w:p>
            <w:pPr>
              <w:jc w:val="right"/>
              <w:ind w:right="45"/>
              <w:spacing w:after="0"/>
              <w:rPr>
                <w:sz w:val="20"/>
                <w:szCs w:val="20"/>
                <w:color w:val="auto"/>
              </w:rPr>
            </w:pPr>
            <w:r>
              <w:rPr>
                <w:rFonts w:ascii="Arial" w:cs="Arial" w:eastAsia="Arial" w:hAnsi="Arial"/>
                <w:sz w:val="14"/>
                <w:szCs w:val="14"/>
                <w:b w:val="1"/>
                <w:bCs w:val="1"/>
                <w:color w:val="243782"/>
              </w:rPr>
              <w:t>14,062</w:t>
            </w:r>
          </w:p>
        </w:tc>
        <w:tc>
          <w:tcPr>
            <w:tcW w:w="1160" w:type="dxa"/>
            <w:vAlign w:val="bottom"/>
            <w:tcBorders>
              <w:top w:val="single" w:sz="8" w:color="8E939F"/>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1,673</w:t>
            </w:r>
          </w:p>
        </w:tc>
        <w:tc>
          <w:tcPr>
            <w:tcW w:w="1180" w:type="dxa"/>
            <w:vAlign w:val="bottom"/>
            <w:tcBorders>
              <w:top w:val="single" w:sz="8" w:color="8E939F"/>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4,088</w:t>
            </w:r>
          </w:p>
        </w:tc>
        <w:tc>
          <w:tcPr>
            <w:tcW w:w="480" w:type="dxa"/>
            <w:vAlign w:val="bottom"/>
            <w:tcBorders>
              <w:top w:val="single" w:sz="8" w:color="8E939F"/>
              <w:bottom w:val="single" w:sz="8" w:color="8E939F"/>
            </w:tcBorders>
            <w:shd w:val="clear" w:color="auto" w:fill="E6E7F4"/>
          </w:tcPr>
          <w:p>
            <w:pPr>
              <w:spacing w:after="0"/>
              <w:rPr>
                <w:sz w:val="20"/>
                <w:szCs w:val="20"/>
                <w:color w:val="auto"/>
              </w:rPr>
            </w:pPr>
          </w:p>
        </w:tc>
        <w:tc>
          <w:tcPr>
            <w:tcW w:w="700" w:type="dxa"/>
            <w:vAlign w:val="bottom"/>
            <w:tcBorders>
              <w:top w:val="single" w:sz="8" w:color="8E939F"/>
              <w:bottom w:val="single" w:sz="8" w:color="8E939F"/>
            </w:tcBorders>
            <w:shd w:val="clear" w:color="auto" w:fill="E6E7F4"/>
          </w:tcPr>
          <w:p>
            <w:pPr>
              <w:jc w:val="right"/>
              <w:ind w:right="27"/>
              <w:spacing w:after="0"/>
              <w:rPr>
                <w:sz w:val="20"/>
                <w:szCs w:val="20"/>
                <w:color w:val="auto"/>
              </w:rPr>
            </w:pPr>
            <w:r>
              <w:rPr>
                <w:rFonts w:ascii="Arial" w:cs="Arial" w:eastAsia="Arial" w:hAnsi="Arial"/>
                <w:sz w:val="14"/>
                <w:szCs w:val="14"/>
                <w:b w:val="1"/>
                <w:bCs w:val="1"/>
                <w:color w:val="243782"/>
              </w:rPr>
              <w:t>445</w:t>
            </w:r>
          </w:p>
        </w:tc>
        <w:tc>
          <w:tcPr>
            <w:tcW w:w="1260" w:type="dxa"/>
            <w:vAlign w:val="bottom"/>
            <w:tcBorders>
              <w:top w:val="single" w:sz="8" w:color="8E939F"/>
              <w:bottom w:val="single" w:sz="8" w:color="8E939F"/>
            </w:tcBorders>
            <w:gridSpan w:val="2"/>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1,773</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37,611</w:t>
            </w:r>
          </w:p>
        </w:tc>
        <w:tc>
          <w:tcPr>
            <w:tcW w:w="0" w:type="dxa"/>
            <w:vAlign w:val="bottom"/>
          </w:tcPr>
          <w:p>
            <w:pPr>
              <w:spacing w:after="0"/>
              <w:rPr>
                <w:sz w:val="1"/>
                <w:szCs w:val="1"/>
                <w:color w:val="auto"/>
              </w:rPr>
            </w:pPr>
          </w:p>
        </w:tc>
      </w:tr>
      <w:tr>
        <w:trPr>
          <w:trHeight w:val="450"/>
        </w:trPr>
        <w:tc>
          <w:tcPr>
            <w:tcW w:w="2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243782"/>
              </w:rPr>
              <w:t>Enlarged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243782"/>
              </w:rPr>
              <w:t>Middle East &amp;</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Three months ended September 30, 2025</w:t>
            </w:r>
          </w:p>
        </w:tc>
        <w:tc>
          <w:tcPr>
            <w:tcW w:w="1320" w:type="dxa"/>
            <w:vAlign w:val="bottom"/>
            <w:tcBorders>
              <w:bottom w:val="single" w:sz="8" w:color="143A84"/>
            </w:tcBorders>
          </w:tcPr>
          <w:p>
            <w:pPr>
              <w:jc w:val="right"/>
              <w:ind w:right="128"/>
              <w:spacing w:after="0"/>
              <w:rPr>
                <w:sz w:val="20"/>
                <w:szCs w:val="20"/>
                <w:color w:val="auto"/>
              </w:rPr>
            </w:pPr>
            <w:r>
              <w:rPr>
                <w:rFonts w:ascii="Arial" w:cs="Arial" w:eastAsia="Arial" w:hAnsi="Arial"/>
                <w:sz w:val="14"/>
                <w:szCs w:val="14"/>
                <w:b w:val="1"/>
                <w:bCs w:val="1"/>
                <w:color w:val="243782"/>
              </w:rPr>
              <w:t>North America</w:t>
            </w:r>
          </w:p>
        </w:tc>
        <w:tc>
          <w:tcPr>
            <w:tcW w:w="1080" w:type="dxa"/>
            <w:vAlign w:val="bottom"/>
            <w:tcBorders>
              <w:bottom w:val="single" w:sz="8" w:color="143A84"/>
            </w:tcBorders>
            <w:gridSpan w:val="2"/>
          </w:tcPr>
          <w:p>
            <w:pPr>
              <w:jc w:val="center"/>
              <w:ind w:right="25"/>
              <w:spacing w:after="0"/>
              <w:rPr>
                <w:sz w:val="20"/>
                <w:szCs w:val="20"/>
                <w:color w:val="auto"/>
              </w:rPr>
            </w:pPr>
            <w:r>
              <w:rPr>
                <w:rFonts w:ascii="Arial" w:cs="Arial" w:eastAsia="Arial" w:hAnsi="Arial"/>
                <w:sz w:val="14"/>
                <w:szCs w:val="14"/>
                <w:b w:val="1"/>
                <w:bCs w:val="1"/>
                <w:color w:val="243782"/>
              </w:rPr>
              <w:t>Europe</w:t>
            </w:r>
          </w:p>
        </w:tc>
        <w:tc>
          <w:tcPr>
            <w:tcW w:w="11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Africa</w:t>
            </w:r>
          </w:p>
        </w:tc>
        <w:tc>
          <w:tcPr>
            <w:tcW w:w="118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243782"/>
              </w:rPr>
              <w:t>South America</w:t>
            </w:r>
          </w:p>
        </w:tc>
        <w:tc>
          <w:tcPr>
            <w:tcW w:w="1180" w:type="dxa"/>
            <w:vAlign w:val="bottom"/>
            <w:tcBorders>
              <w:bottom w:val="single" w:sz="8" w:color="143A84"/>
            </w:tcBorders>
            <w:gridSpan w:val="2"/>
          </w:tcPr>
          <w:p>
            <w:pPr>
              <w:jc w:val="right"/>
              <w:ind w:right="107"/>
              <w:spacing w:after="0"/>
              <w:rPr>
                <w:sz w:val="20"/>
                <w:szCs w:val="20"/>
                <w:color w:val="auto"/>
              </w:rPr>
            </w:pPr>
            <w:r>
              <w:rPr>
                <w:rFonts w:ascii="Arial" w:cs="Arial" w:eastAsia="Arial" w:hAnsi="Arial"/>
                <w:sz w:val="14"/>
                <w:szCs w:val="14"/>
                <w:b w:val="1"/>
                <w:bCs w:val="1"/>
                <w:color w:val="243782"/>
              </w:rPr>
              <w:t>Asia Pacific</w:t>
            </w:r>
          </w:p>
        </w:tc>
        <w:tc>
          <w:tcPr>
            <w:tcW w:w="1260" w:type="dxa"/>
            <w:vAlign w:val="bottom"/>
            <w:tcBorders>
              <w:bottom w:val="single" w:sz="8" w:color="143A84"/>
            </w:tcBorders>
            <w:gridSpan w:val="2"/>
          </w:tcPr>
          <w:p>
            <w:pPr>
              <w:jc w:val="right"/>
              <w:ind w:right="48"/>
              <w:spacing w:after="0"/>
              <w:rPr>
                <w:sz w:val="20"/>
                <w:szCs w:val="20"/>
                <w:color w:val="auto"/>
              </w:rPr>
            </w:pPr>
            <w:r>
              <w:rPr>
                <w:rFonts w:ascii="Arial" w:cs="Arial" w:eastAsia="Arial" w:hAnsi="Arial"/>
                <w:sz w:val="14"/>
                <w:szCs w:val="14"/>
                <w:b w:val="1"/>
                <w:bCs w:val="1"/>
                <w:color w:val="243782"/>
              </w:rPr>
              <w:t>Other activities</w:t>
            </w:r>
          </w:p>
        </w:tc>
        <w:tc>
          <w:tcPr>
            <w:tcW w:w="1080" w:type="dxa"/>
            <w:vAlign w:val="bottom"/>
            <w:tcBorders>
              <w:bottom w:val="single" w:sz="8" w:color="143A84"/>
            </w:tcBorders>
          </w:tcPr>
          <w:p>
            <w:pPr>
              <w:jc w:val="right"/>
              <w:ind w:right="305"/>
              <w:spacing w:after="0"/>
              <w:rPr>
                <w:sz w:val="20"/>
                <w:szCs w:val="20"/>
                <w:color w:val="auto"/>
              </w:rPr>
            </w:pPr>
            <w:r>
              <w:rPr>
                <w:rFonts w:ascii="Arial" w:cs="Arial" w:eastAsia="Arial" w:hAnsi="Arial"/>
                <w:sz w:val="14"/>
                <w:szCs w:val="14"/>
                <w:b w:val="1"/>
                <w:bCs w:val="1"/>
                <w:color w:val="243782"/>
              </w:rPr>
              <w:t>Total</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8E939F"/>
            </w:tcBorders>
          </w:tcPr>
          <w:p>
            <w:pPr>
              <w:spacing w:after="0"/>
              <w:rPr>
                <w:sz w:val="21"/>
                <w:szCs w:val="21"/>
                <w:color w:val="auto"/>
              </w:rPr>
            </w:pPr>
          </w:p>
        </w:tc>
        <w:tc>
          <w:tcPr>
            <w:tcW w:w="132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300" w:type="dxa"/>
            <w:vAlign w:val="bottom"/>
            <w:tcBorders>
              <w:bottom w:val="single" w:sz="8" w:color="8E939F"/>
            </w:tcBorders>
          </w:tcPr>
          <w:p>
            <w:pPr>
              <w:spacing w:after="0"/>
              <w:rPr>
                <w:sz w:val="21"/>
                <w:szCs w:val="21"/>
                <w:color w:val="auto"/>
              </w:rPr>
            </w:pPr>
          </w:p>
        </w:tc>
        <w:tc>
          <w:tcPr>
            <w:tcW w:w="1160" w:type="dxa"/>
            <w:vAlign w:val="bottom"/>
            <w:tcBorders>
              <w:bottom w:val="single" w:sz="8" w:color="8E939F"/>
            </w:tcBorders>
          </w:tcPr>
          <w:p>
            <w:pPr>
              <w:spacing w:after="0"/>
              <w:rPr>
                <w:sz w:val="21"/>
                <w:szCs w:val="21"/>
                <w:color w:val="auto"/>
              </w:rPr>
            </w:pPr>
          </w:p>
        </w:tc>
        <w:tc>
          <w:tcPr>
            <w:tcW w:w="11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700" w:type="dxa"/>
            <w:vAlign w:val="bottom"/>
            <w:tcBorders>
              <w:bottom w:val="single" w:sz="8" w:color="8E939F"/>
            </w:tcBorders>
          </w:tcPr>
          <w:p>
            <w:pPr>
              <w:spacing w:after="0"/>
              <w:rPr>
                <w:sz w:val="21"/>
                <w:szCs w:val="21"/>
                <w:color w:val="auto"/>
              </w:rPr>
            </w:pPr>
          </w:p>
        </w:tc>
        <w:tc>
          <w:tcPr>
            <w:tcW w:w="780" w:type="dxa"/>
            <w:vAlign w:val="bottom"/>
            <w:tcBorders>
              <w:bottom w:val="single" w:sz="8" w:color="8E939F"/>
            </w:tcBorders>
          </w:tcPr>
          <w:p>
            <w:pPr>
              <w:spacing w:after="0"/>
              <w:rPr>
                <w:sz w:val="21"/>
                <w:szCs w:val="21"/>
                <w:color w:val="auto"/>
              </w:rPr>
            </w:pPr>
          </w:p>
        </w:tc>
        <w:tc>
          <w:tcPr>
            <w:tcW w:w="4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4"/>
                <w:szCs w:val="14"/>
                <w:color w:val="auto"/>
              </w:rPr>
              <w:t>Revenues from:</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80" w:type="dxa"/>
            <w:vAlign w:val="bottom"/>
            <w:tcBorders>
              <w:bottom w:val="single" w:sz="8" w:color="8E939F"/>
            </w:tcBorders>
          </w:tcPr>
          <w:p>
            <w:pPr>
              <w:spacing w:after="0" w:line="20" w:lineRule="exact"/>
              <w:rPr>
                <w:sz w:val="1"/>
                <w:szCs w:val="1"/>
                <w:color w:val="auto"/>
              </w:rPr>
            </w:pPr>
          </w:p>
        </w:tc>
        <w:tc>
          <w:tcPr>
            <w:tcW w:w="1320" w:type="dxa"/>
            <w:vAlign w:val="bottom"/>
            <w:tcBorders>
              <w:bottom w:val="single" w:sz="8" w:color="8E939F"/>
            </w:tcBorders>
          </w:tcPr>
          <w:p>
            <w:pPr>
              <w:spacing w:after="0" w:line="20" w:lineRule="exact"/>
              <w:rPr>
                <w:sz w:val="1"/>
                <w:szCs w:val="1"/>
                <w:color w:val="auto"/>
              </w:rPr>
            </w:pPr>
          </w:p>
        </w:tc>
        <w:tc>
          <w:tcPr>
            <w:tcW w:w="780" w:type="dxa"/>
            <w:vAlign w:val="bottom"/>
            <w:tcBorders>
              <w:bottom w:val="single" w:sz="8" w:color="8E939F"/>
            </w:tcBorders>
          </w:tcPr>
          <w:p>
            <w:pPr>
              <w:spacing w:after="0" w:line="20" w:lineRule="exact"/>
              <w:rPr>
                <w:sz w:val="1"/>
                <w:szCs w:val="1"/>
                <w:color w:val="auto"/>
              </w:rPr>
            </w:pPr>
          </w:p>
        </w:tc>
        <w:tc>
          <w:tcPr>
            <w:tcW w:w="300" w:type="dxa"/>
            <w:vAlign w:val="bottom"/>
            <w:tcBorders>
              <w:bottom w:val="single" w:sz="8" w:color="8E939F"/>
            </w:tcBorders>
          </w:tcPr>
          <w:p>
            <w:pPr>
              <w:spacing w:after="0" w:line="20" w:lineRule="exact"/>
              <w:rPr>
                <w:sz w:val="1"/>
                <w:szCs w:val="1"/>
                <w:color w:val="auto"/>
              </w:rPr>
            </w:pPr>
          </w:p>
        </w:tc>
        <w:tc>
          <w:tcPr>
            <w:tcW w:w="1160" w:type="dxa"/>
            <w:vAlign w:val="bottom"/>
            <w:tcBorders>
              <w:bottom w:val="single" w:sz="8" w:color="8E939F"/>
            </w:tcBorders>
          </w:tcPr>
          <w:p>
            <w:pPr>
              <w:spacing w:after="0" w:line="20" w:lineRule="exact"/>
              <w:rPr>
                <w:sz w:val="1"/>
                <w:szCs w:val="1"/>
                <w:color w:val="auto"/>
              </w:rPr>
            </w:pPr>
          </w:p>
        </w:tc>
        <w:tc>
          <w:tcPr>
            <w:tcW w:w="1180" w:type="dxa"/>
            <w:vAlign w:val="bottom"/>
            <w:tcBorders>
              <w:bottom w:val="single" w:sz="8" w:color="8E939F"/>
            </w:tcBorders>
          </w:tcPr>
          <w:p>
            <w:pPr>
              <w:spacing w:after="0" w:line="20" w:lineRule="exact"/>
              <w:rPr>
                <w:sz w:val="1"/>
                <w:szCs w:val="1"/>
                <w:color w:val="auto"/>
              </w:rPr>
            </w:pPr>
          </w:p>
        </w:tc>
        <w:tc>
          <w:tcPr>
            <w:tcW w:w="480" w:type="dxa"/>
            <w:vAlign w:val="bottom"/>
            <w:tcBorders>
              <w:bottom w:val="single" w:sz="8" w:color="8E939F"/>
            </w:tcBorders>
          </w:tcPr>
          <w:p>
            <w:pPr>
              <w:spacing w:after="0" w:line="20" w:lineRule="exact"/>
              <w:rPr>
                <w:sz w:val="1"/>
                <w:szCs w:val="1"/>
                <w:color w:val="auto"/>
              </w:rPr>
            </w:pPr>
          </w:p>
        </w:tc>
        <w:tc>
          <w:tcPr>
            <w:tcW w:w="700" w:type="dxa"/>
            <w:vAlign w:val="bottom"/>
            <w:tcBorders>
              <w:bottom w:val="single" w:sz="8" w:color="8E939F"/>
            </w:tcBorders>
          </w:tcPr>
          <w:p>
            <w:pPr>
              <w:spacing w:after="0" w:line="20" w:lineRule="exact"/>
              <w:rPr>
                <w:sz w:val="1"/>
                <w:szCs w:val="1"/>
                <w:color w:val="auto"/>
              </w:rPr>
            </w:pPr>
          </w:p>
        </w:tc>
        <w:tc>
          <w:tcPr>
            <w:tcW w:w="780" w:type="dxa"/>
            <w:vAlign w:val="bottom"/>
            <w:tcBorders>
              <w:bottom w:val="single" w:sz="8" w:color="8E939F"/>
            </w:tcBorders>
          </w:tcPr>
          <w:p>
            <w:pPr>
              <w:spacing w:after="0" w:line="20" w:lineRule="exact"/>
              <w:rPr>
                <w:sz w:val="1"/>
                <w:szCs w:val="1"/>
                <w:color w:val="auto"/>
              </w:rPr>
            </w:pPr>
          </w:p>
        </w:tc>
        <w:tc>
          <w:tcPr>
            <w:tcW w:w="48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4"/>
                <w:szCs w:val="14"/>
                <w:color w:val="auto"/>
              </w:rPr>
              <w:t>Shipments of vehicles and sales of other</w:t>
            </w:r>
          </w:p>
        </w:tc>
        <w:tc>
          <w:tcPr>
            <w:tcW w:w="1320" w:type="dxa"/>
            <w:vAlign w:val="bottom"/>
            <w:vMerge w:val="restart"/>
          </w:tcPr>
          <w:p>
            <w:pPr>
              <w:jc w:val="right"/>
              <w:ind w:right="148"/>
              <w:spacing w:after="0"/>
              <w:rPr>
                <w:sz w:val="20"/>
                <w:szCs w:val="20"/>
                <w:color w:val="auto"/>
              </w:rPr>
            </w:pPr>
            <w:r>
              <w:rPr>
                <w:rFonts w:ascii="Arial" w:cs="Arial" w:eastAsia="Arial" w:hAnsi="Arial"/>
                <w:sz w:val="14"/>
                <w:szCs w:val="14"/>
                <w:color w:val="auto"/>
              </w:rPr>
              <w:t>15,762</w:t>
            </w:r>
          </w:p>
        </w:tc>
        <w:tc>
          <w:tcPr>
            <w:tcW w:w="1080" w:type="dxa"/>
            <w:vAlign w:val="bottom"/>
            <w:gridSpan w:val="2"/>
            <w:vMerge w:val="restart"/>
          </w:tcPr>
          <w:p>
            <w:pPr>
              <w:jc w:val="right"/>
              <w:ind w:right="45"/>
              <w:spacing w:after="0"/>
              <w:rPr>
                <w:sz w:val="20"/>
                <w:szCs w:val="20"/>
                <w:color w:val="auto"/>
              </w:rPr>
            </w:pPr>
            <w:r>
              <w:rPr>
                <w:rFonts w:ascii="Arial" w:cs="Arial" w:eastAsia="Arial" w:hAnsi="Arial"/>
                <w:sz w:val="14"/>
                <w:szCs w:val="14"/>
                <w:color w:val="auto"/>
              </w:rPr>
              <w:t>13,079</w:t>
            </w:r>
          </w:p>
        </w:tc>
        <w:tc>
          <w:tcPr>
            <w:tcW w:w="1160" w:type="dxa"/>
            <w:vAlign w:val="bottom"/>
            <w:vMerge w:val="restart"/>
          </w:tcPr>
          <w:p>
            <w:pPr>
              <w:jc w:val="right"/>
              <w:ind w:right="26"/>
              <w:spacing w:after="0"/>
              <w:rPr>
                <w:sz w:val="20"/>
                <w:szCs w:val="20"/>
                <w:color w:val="auto"/>
              </w:rPr>
            </w:pPr>
            <w:r>
              <w:rPr>
                <w:rFonts w:ascii="Arial" w:cs="Arial" w:eastAsia="Arial" w:hAnsi="Arial"/>
                <w:sz w:val="14"/>
                <w:szCs w:val="14"/>
                <w:color w:val="auto"/>
              </w:rPr>
              <w:t>2,042</w:t>
            </w:r>
          </w:p>
        </w:tc>
        <w:tc>
          <w:tcPr>
            <w:tcW w:w="1180" w:type="dxa"/>
            <w:vAlign w:val="bottom"/>
            <w:vMerge w:val="restart"/>
          </w:tcPr>
          <w:p>
            <w:pPr>
              <w:jc w:val="right"/>
              <w:ind w:right="26"/>
              <w:spacing w:after="0"/>
              <w:rPr>
                <w:sz w:val="20"/>
                <w:szCs w:val="20"/>
                <w:color w:val="auto"/>
              </w:rPr>
            </w:pPr>
            <w:r>
              <w:rPr>
                <w:rFonts w:ascii="Arial" w:cs="Arial" w:eastAsia="Arial" w:hAnsi="Arial"/>
                <w:sz w:val="14"/>
                <w:szCs w:val="14"/>
                <w:color w:val="auto"/>
              </w:rPr>
              <w:t>3,847</w:t>
            </w:r>
          </w:p>
        </w:tc>
        <w:tc>
          <w:tcPr>
            <w:tcW w:w="480" w:type="dxa"/>
            <w:vAlign w:val="bottom"/>
          </w:tcPr>
          <w:p>
            <w:pPr>
              <w:spacing w:after="0"/>
              <w:rPr>
                <w:sz w:val="17"/>
                <w:szCs w:val="17"/>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4"/>
                <w:szCs w:val="14"/>
                <w:color w:val="auto"/>
              </w:rPr>
              <w:t>462</w:t>
            </w:r>
          </w:p>
        </w:tc>
        <w:tc>
          <w:tcPr>
            <w:tcW w:w="12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73</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35,265</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goods</w:t>
            </w:r>
          </w:p>
        </w:tc>
        <w:tc>
          <w:tcPr>
            <w:tcW w:w="13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8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4"/>
                <w:szCs w:val="14"/>
                <w:color w:val="auto"/>
              </w:rPr>
              <w:t>Other services provided</w:t>
            </w:r>
          </w:p>
        </w:tc>
        <w:tc>
          <w:tcPr>
            <w:tcW w:w="1320" w:type="dxa"/>
            <w:vAlign w:val="bottom"/>
            <w:tcBorders>
              <w:top w:val="single" w:sz="8" w:color="8E939F"/>
              <w:bottom w:val="single" w:sz="8" w:color="8E939F"/>
            </w:tcBorders>
          </w:tcPr>
          <w:p>
            <w:pPr>
              <w:jc w:val="right"/>
              <w:ind w:right="148"/>
              <w:spacing w:after="0"/>
              <w:rPr>
                <w:sz w:val="20"/>
                <w:szCs w:val="20"/>
                <w:color w:val="auto"/>
              </w:rPr>
            </w:pPr>
            <w:r>
              <w:rPr>
                <w:rFonts w:ascii="Arial" w:cs="Arial" w:eastAsia="Arial" w:hAnsi="Arial"/>
                <w:sz w:val="14"/>
                <w:szCs w:val="14"/>
                <w:color w:val="auto"/>
              </w:rPr>
              <w:t>317</w:t>
            </w:r>
          </w:p>
        </w:tc>
        <w:tc>
          <w:tcPr>
            <w:tcW w:w="1080" w:type="dxa"/>
            <w:vAlign w:val="bottom"/>
            <w:tcBorders>
              <w:top w:val="single" w:sz="8" w:color="8E939F"/>
              <w:bottom w:val="single" w:sz="8" w:color="8E939F"/>
            </w:tcBorders>
            <w:gridSpan w:val="2"/>
          </w:tcPr>
          <w:p>
            <w:pPr>
              <w:jc w:val="right"/>
              <w:ind w:right="45"/>
              <w:spacing w:after="0"/>
              <w:rPr>
                <w:sz w:val="20"/>
                <w:szCs w:val="20"/>
                <w:color w:val="auto"/>
              </w:rPr>
            </w:pPr>
            <w:r>
              <w:rPr>
                <w:rFonts w:ascii="Arial" w:cs="Arial" w:eastAsia="Arial" w:hAnsi="Arial"/>
                <w:sz w:val="14"/>
                <w:szCs w:val="14"/>
                <w:color w:val="auto"/>
              </w:rPr>
              <w:t>370</w:t>
            </w:r>
          </w:p>
        </w:tc>
        <w:tc>
          <w:tcPr>
            <w:tcW w:w="1160" w:type="dxa"/>
            <w:vAlign w:val="bottom"/>
            <w:tcBorders>
              <w:top w:val="single" w:sz="8" w:color="8E939F"/>
              <w:bottom w:val="single" w:sz="8" w:color="8E939F"/>
            </w:tcBorders>
          </w:tcPr>
          <w:p>
            <w:pPr>
              <w:jc w:val="right"/>
              <w:ind w:right="26"/>
              <w:spacing w:after="0"/>
              <w:rPr>
                <w:sz w:val="20"/>
                <w:szCs w:val="20"/>
                <w:color w:val="auto"/>
              </w:rPr>
            </w:pPr>
            <w:r>
              <w:rPr>
                <w:rFonts w:ascii="Arial" w:cs="Arial" w:eastAsia="Arial" w:hAnsi="Arial"/>
                <w:sz w:val="14"/>
                <w:szCs w:val="14"/>
                <w:color w:val="auto"/>
              </w:rPr>
              <w:t>11</w:t>
            </w:r>
          </w:p>
        </w:tc>
        <w:tc>
          <w:tcPr>
            <w:tcW w:w="1180" w:type="dxa"/>
            <w:vAlign w:val="bottom"/>
            <w:tcBorders>
              <w:top w:val="single" w:sz="8" w:color="8E939F"/>
              <w:bottom w:val="single" w:sz="8" w:color="8E939F"/>
            </w:tcBorders>
          </w:tcPr>
          <w:p>
            <w:pPr>
              <w:jc w:val="right"/>
              <w:ind w:right="26"/>
              <w:spacing w:after="0"/>
              <w:rPr>
                <w:sz w:val="20"/>
                <w:szCs w:val="20"/>
                <w:color w:val="auto"/>
              </w:rPr>
            </w:pPr>
            <w:r>
              <w:rPr>
                <w:rFonts w:ascii="Arial" w:cs="Arial" w:eastAsia="Arial" w:hAnsi="Arial"/>
                <w:sz w:val="14"/>
                <w:szCs w:val="14"/>
                <w:color w:val="auto"/>
              </w:rPr>
              <w:t>80</w:t>
            </w:r>
          </w:p>
        </w:tc>
        <w:tc>
          <w:tcPr>
            <w:tcW w:w="480" w:type="dxa"/>
            <w:vAlign w:val="bottom"/>
            <w:tcBorders>
              <w:top w:val="single" w:sz="8" w:color="8E939F"/>
              <w:bottom w:val="single" w:sz="8" w:color="8E939F"/>
            </w:tcBorders>
          </w:tcPr>
          <w:p>
            <w:pPr>
              <w:spacing w:after="0"/>
              <w:rPr>
                <w:sz w:val="20"/>
                <w:szCs w:val="20"/>
                <w:color w:val="auto"/>
              </w:rPr>
            </w:pPr>
          </w:p>
        </w:tc>
        <w:tc>
          <w:tcPr>
            <w:tcW w:w="700" w:type="dxa"/>
            <w:vAlign w:val="bottom"/>
            <w:tcBorders>
              <w:top w:val="single" w:sz="8" w:color="8E939F"/>
              <w:bottom w:val="single" w:sz="8" w:color="8E939F"/>
            </w:tcBorders>
          </w:tcPr>
          <w:p>
            <w:pPr>
              <w:jc w:val="right"/>
              <w:ind w:right="27"/>
              <w:spacing w:after="0"/>
              <w:rPr>
                <w:sz w:val="20"/>
                <w:szCs w:val="20"/>
                <w:color w:val="auto"/>
              </w:rPr>
            </w:pPr>
            <w:r>
              <w:rPr>
                <w:rFonts w:ascii="Arial" w:cs="Arial" w:eastAsia="Arial" w:hAnsi="Arial"/>
                <w:sz w:val="14"/>
                <w:szCs w:val="14"/>
                <w:color w:val="auto"/>
              </w:rPr>
              <w:t>14</w:t>
            </w:r>
          </w:p>
        </w:tc>
        <w:tc>
          <w:tcPr>
            <w:tcW w:w="1260" w:type="dxa"/>
            <w:vAlign w:val="bottom"/>
            <w:tcBorders>
              <w:top w:val="single" w:sz="8" w:color="8E939F"/>
              <w:bottom w:val="single" w:sz="8" w:color="8E939F"/>
            </w:tcBorders>
            <w:gridSpan w:val="2"/>
          </w:tcPr>
          <w:p>
            <w:pPr>
              <w:jc w:val="right"/>
              <w:ind w:right="108"/>
              <w:spacing w:after="0"/>
              <w:rPr>
                <w:sz w:val="20"/>
                <w:szCs w:val="20"/>
                <w:color w:val="auto"/>
              </w:rPr>
            </w:pPr>
            <w:r>
              <w:rPr>
                <w:rFonts w:ascii="Arial" w:cs="Arial" w:eastAsia="Arial" w:hAnsi="Arial"/>
                <w:sz w:val="14"/>
                <w:szCs w:val="14"/>
                <w:color w:val="auto"/>
              </w:rPr>
              <w:t>427</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1,219</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Revenues from goods and services</w:t>
            </w:r>
          </w:p>
        </w:tc>
        <w:tc>
          <w:tcPr>
            <w:tcW w:w="1320" w:type="dxa"/>
            <w:vAlign w:val="bottom"/>
            <w:tcBorders>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16,079</w:t>
            </w:r>
          </w:p>
        </w:tc>
        <w:tc>
          <w:tcPr>
            <w:tcW w:w="1080" w:type="dxa"/>
            <w:vAlign w:val="bottom"/>
            <w:tcBorders>
              <w:bottom w:val="single" w:sz="8" w:color="8E939F"/>
            </w:tcBorders>
            <w:gridSpan w:val="2"/>
            <w:shd w:val="clear" w:color="auto" w:fill="E6E7F4"/>
          </w:tcPr>
          <w:p>
            <w:pPr>
              <w:jc w:val="right"/>
              <w:ind w:right="45"/>
              <w:spacing w:after="0"/>
              <w:rPr>
                <w:sz w:val="20"/>
                <w:szCs w:val="20"/>
                <w:color w:val="auto"/>
              </w:rPr>
            </w:pPr>
            <w:r>
              <w:rPr>
                <w:rFonts w:ascii="Arial" w:cs="Arial" w:eastAsia="Arial" w:hAnsi="Arial"/>
                <w:sz w:val="14"/>
                <w:szCs w:val="14"/>
                <w:b w:val="1"/>
                <w:bCs w:val="1"/>
                <w:color w:val="243782"/>
              </w:rPr>
              <w:t>13,449</w:t>
            </w:r>
          </w:p>
        </w:tc>
        <w:tc>
          <w:tcPr>
            <w:tcW w:w="1160" w:type="dxa"/>
            <w:vAlign w:val="bottom"/>
            <w:tcBorders>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2,053</w:t>
            </w:r>
          </w:p>
        </w:tc>
        <w:tc>
          <w:tcPr>
            <w:tcW w:w="1180" w:type="dxa"/>
            <w:vAlign w:val="bottom"/>
            <w:tcBorders>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3,927</w:t>
            </w:r>
          </w:p>
        </w:tc>
        <w:tc>
          <w:tcPr>
            <w:tcW w:w="480" w:type="dxa"/>
            <w:vAlign w:val="bottom"/>
            <w:tcBorders>
              <w:bottom w:val="single" w:sz="8" w:color="8E939F"/>
            </w:tcBorders>
            <w:shd w:val="clear" w:color="auto" w:fill="E6E7F4"/>
          </w:tcPr>
          <w:p>
            <w:pPr>
              <w:spacing w:after="0"/>
              <w:rPr>
                <w:sz w:val="20"/>
                <w:szCs w:val="20"/>
                <w:color w:val="auto"/>
              </w:rPr>
            </w:pPr>
          </w:p>
        </w:tc>
        <w:tc>
          <w:tcPr>
            <w:tcW w:w="700" w:type="dxa"/>
            <w:vAlign w:val="bottom"/>
            <w:tcBorders>
              <w:bottom w:val="single" w:sz="8" w:color="8E939F"/>
            </w:tcBorders>
            <w:shd w:val="clear" w:color="auto" w:fill="E6E7F4"/>
          </w:tcPr>
          <w:p>
            <w:pPr>
              <w:jc w:val="right"/>
              <w:ind w:right="27"/>
              <w:spacing w:after="0"/>
              <w:rPr>
                <w:sz w:val="20"/>
                <w:szCs w:val="20"/>
                <w:color w:val="auto"/>
              </w:rPr>
            </w:pPr>
            <w:r>
              <w:rPr>
                <w:rFonts w:ascii="Arial" w:cs="Arial" w:eastAsia="Arial" w:hAnsi="Arial"/>
                <w:sz w:val="14"/>
                <w:szCs w:val="14"/>
                <w:b w:val="1"/>
                <w:bCs w:val="1"/>
                <w:color w:val="243782"/>
              </w:rPr>
              <w:t>476</w:t>
            </w:r>
          </w:p>
        </w:tc>
        <w:tc>
          <w:tcPr>
            <w:tcW w:w="1260" w:type="dxa"/>
            <w:vAlign w:val="bottom"/>
            <w:tcBorders>
              <w:bottom w:val="single" w:sz="8" w:color="8E939F"/>
            </w:tcBorders>
            <w:gridSpan w:val="2"/>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500</w:t>
            </w:r>
          </w:p>
        </w:tc>
        <w:tc>
          <w:tcPr>
            <w:tcW w:w="10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36,484</w:t>
            </w:r>
          </w:p>
        </w:tc>
        <w:tc>
          <w:tcPr>
            <w:tcW w:w="0" w:type="dxa"/>
            <w:vAlign w:val="bottom"/>
          </w:tcPr>
          <w:p>
            <w:pPr>
              <w:spacing w:after="0"/>
              <w:rPr>
                <w:sz w:val="1"/>
                <w:szCs w:val="1"/>
                <w:color w:val="auto"/>
              </w:rPr>
            </w:pPr>
          </w:p>
        </w:tc>
      </w:tr>
      <w:tr>
        <w:trPr>
          <w:trHeight w:val="256"/>
        </w:trPr>
        <w:tc>
          <w:tcPr>
            <w:tcW w:w="2980" w:type="dxa"/>
            <w:vAlign w:val="bottom"/>
            <w:tcBorders>
              <w:bottom w:val="single" w:sz="8" w:color="8E939F"/>
            </w:tcBorders>
          </w:tcPr>
          <w:p>
            <w:pPr>
              <w:spacing w:after="0"/>
              <w:rPr>
                <w:sz w:val="22"/>
                <w:szCs w:val="22"/>
                <w:color w:val="auto"/>
              </w:rPr>
            </w:pPr>
          </w:p>
        </w:tc>
        <w:tc>
          <w:tcPr>
            <w:tcW w:w="132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300" w:type="dxa"/>
            <w:vAlign w:val="bottom"/>
            <w:tcBorders>
              <w:bottom w:val="single" w:sz="8" w:color="8E939F"/>
            </w:tcBorders>
          </w:tcPr>
          <w:p>
            <w:pPr>
              <w:spacing w:after="0"/>
              <w:rPr>
                <w:sz w:val="22"/>
                <w:szCs w:val="22"/>
                <w:color w:val="auto"/>
              </w:rPr>
            </w:pPr>
          </w:p>
        </w:tc>
        <w:tc>
          <w:tcPr>
            <w:tcW w:w="1160" w:type="dxa"/>
            <w:vAlign w:val="bottom"/>
            <w:tcBorders>
              <w:bottom w:val="single" w:sz="8" w:color="8E939F"/>
            </w:tcBorders>
          </w:tcPr>
          <w:p>
            <w:pPr>
              <w:spacing w:after="0"/>
              <w:rPr>
                <w:sz w:val="22"/>
                <w:szCs w:val="22"/>
                <w:color w:val="auto"/>
              </w:rPr>
            </w:pPr>
          </w:p>
        </w:tc>
        <w:tc>
          <w:tcPr>
            <w:tcW w:w="1180" w:type="dxa"/>
            <w:vAlign w:val="bottom"/>
            <w:tcBorders>
              <w:bottom w:val="single" w:sz="8" w:color="8E939F"/>
            </w:tcBorders>
          </w:tcPr>
          <w:p>
            <w:pPr>
              <w:spacing w:after="0"/>
              <w:rPr>
                <w:sz w:val="22"/>
                <w:szCs w:val="22"/>
                <w:color w:val="auto"/>
              </w:rPr>
            </w:pPr>
          </w:p>
        </w:tc>
        <w:tc>
          <w:tcPr>
            <w:tcW w:w="480" w:type="dxa"/>
            <w:vAlign w:val="bottom"/>
            <w:tcBorders>
              <w:bottom w:val="single" w:sz="8" w:color="8E939F"/>
            </w:tcBorders>
          </w:tcPr>
          <w:p>
            <w:pPr>
              <w:spacing w:after="0"/>
              <w:rPr>
                <w:sz w:val="22"/>
                <w:szCs w:val="22"/>
                <w:color w:val="auto"/>
              </w:rPr>
            </w:pPr>
          </w:p>
        </w:tc>
        <w:tc>
          <w:tcPr>
            <w:tcW w:w="700" w:type="dxa"/>
            <w:vAlign w:val="bottom"/>
            <w:tcBorders>
              <w:bottom w:val="single" w:sz="8" w:color="8E939F"/>
            </w:tcBorders>
          </w:tcPr>
          <w:p>
            <w:pPr>
              <w:spacing w:after="0"/>
              <w:rPr>
                <w:sz w:val="22"/>
                <w:szCs w:val="22"/>
                <w:color w:val="auto"/>
              </w:rPr>
            </w:pPr>
          </w:p>
        </w:tc>
        <w:tc>
          <w:tcPr>
            <w:tcW w:w="780" w:type="dxa"/>
            <w:vAlign w:val="bottom"/>
            <w:tcBorders>
              <w:bottom w:val="single" w:sz="8" w:color="8E939F"/>
            </w:tcBorders>
          </w:tcPr>
          <w:p>
            <w:pPr>
              <w:spacing w:after="0"/>
              <w:rPr>
                <w:sz w:val="22"/>
                <w:szCs w:val="22"/>
                <w:color w:val="auto"/>
              </w:rPr>
            </w:pPr>
          </w:p>
        </w:tc>
        <w:tc>
          <w:tcPr>
            <w:tcW w:w="48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shd w:val="clear" w:color="auto" w:fill="E6E7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20"/>
              <w:spacing w:after="0"/>
              <w:rPr>
                <w:sz w:val="20"/>
                <w:szCs w:val="20"/>
                <w:color w:val="auto"/>
              </w:rPr>
            </w:pPr>
            <w:r>
              <w:rPr>
                <w:rFonts w:ascii="Arial" w:cs="Arial" w:eastAsia="Arial" w:hAnsi="Arial"/>
                <w:sz w:val="14"/>
                <w:szCs w:val="14"/>
                <w:color w:val="auto"/>
              </w:rPr>
              <w:t>Lease installments from assets sold with a</w:t>
            </w:r>
          </w:p>
        </w:tc>
        <w:tc>
          <w:tcPr>
            <w:tcW w:w="1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45"/>
              <w:spacing w:after="0"/>
              <w:rPr>
                <w:sz w:val="20"/>
                <w:szCs w:val="20"/>
                <w:color w:val="auto"/>
              </w:rPr>
            </w:pPr>
            <w:r>
              <w:rPr>
                <w:rFonts w:ascii="Arial" w:cs="Arial" w:eastAsia="Arial" w:hAnsi="Arial"/>
                <w:sz w:val="14"/>
                <w:szCs w:val="14"/>
                <w:color w:val="auto"/>
              </w:rPr>
              <w:t>173</w:t>
            </w:r>
          </w:p>
        </w:tc>
        <w:tc>
          <w:tcPr>
            <w:tcW w:w="116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4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173</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buy-back commitment</w:t>
            </w:r>
          </w:p>
        </w:tc>
        <w:tc>
          <w:tcPr>
            <w:tcW w:w="13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80" w:type="dxa"/>
            <w:vAlign w:val="bottom"/>
            <w:tcBorders>
              <w:top w:val="single" w:sz="8" w:color="8E939F"/>
            </w:tcBorders>
          </w:tcPr>
          <w:p>
            <w:pPr>
              <w:ind w:left="20"/>
              <w:spacing w:after="0"/>
              <w:rPr>
                <w:sz w:val="20"/>
                <w:szCs w:val="20"/>
                <w:color w:val="auto"/>
              </w:rPr>
            </w:pPr>
            <w:r>
              <w:rPr>
                <w:rFonts w:ascii="Arial" w:cs="Arial" w:eastAsia="Arial" w:hAnsi="Arial"/>
                <w:sz w:val="14"/>
                <w:szCs w:val="14"/>
                <w:color w:val="auto"/>
              </w:rPr>
              <w:t>Interest income from financial services</w:t>
            </w:r>
          </w:p>
        </w:tc>
        <w:tc>
          <w:tcPr>
            <w:tcW w:w="1320" w:type="dxa"/>
            <w:vAlign w:val="bottom"/>
            <w:tcBorders>
              <w:top w:val="single" w:sz="8" w:color="8E939F"/>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8E939F"/>
            </w:tcBorders>
          </w:tcPr>
          <w:p>
            <w:pPr>
              <w:spacing w:after="0"/>
              <w:rPr>
                <w:sz w:val="17"/>
                <w:szCs w:val="17"/>
                <w:color w:val="auto"/>
              </w:rPr>
            </w:pPr>
          </w:p>
        </w:tc>
        <w:tc>
          <w:tcPr>
            <w:tcW w:w="300" w:type="dxa"/>
            <w:vAlign w:val="bottom"/>
            <w:tcBorders>
              <w:top w:val="single" w:sz="8" w:color="8E939F"/>
            </w:tcBorders>
            <w:vMerge w:val="restart"/>
          </w:tcPr>
          <w:p>
            <w:pPr>
              <w:jc w:val="right"/>
              <w:ind w:right="45"/>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8E939F"/>
            </w:tcBorders>
            <w:vMerge w:val="restart"/>
          </w:tcPr>
          <w:p>
            <w:pPr>
              <w:jc w:val="right"/>
              <w:ind w:right="26"/>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8E939F"/>
            </w:tcBorders>
            <w:vMerge w:val="restart"/>
          </w:tcPr>
          <w:p>
            <w:pPr>
              <w:jc w:val="right"/>
              <w:ind w:right="26"/>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8E939F"/>
            </w:tcBorders>
          </w:tcPr>
          <w:p>
            <w:pPr>
              <w:spacing w:after="0"/>
              <w:rPr>
                <w:sz w:val="17"/>
                <w:szCs w:val="17"/>
                <w:color w:val="auto"/>
              </w:rPr>
            </w:pPr>
          </w:p>
        </w:tc>
        <w:tc>
          <w:tcPr>
            <w:tcW w:w="700" w:type="dxa"/>
            <w:vAlign w:val="bottom"/>
            <w:tcBorders>
              <w:top w:val="single" w:sz="8" w:color="8E939F"/>
            </w:tcBorders>
            <w:vMerge w:val="restart"/>
          </w:tcPr>
          <w:p>
            <w:pPr>
              <w:jc w:val="right"/>
              <w:ind w:right="27"/>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8E939F"/>
            </w:tcBorders>
            <w:gridSpan w:val="2"/>
            <w:vMerge w:val="restart"/>
          </w:tcPr>
          <w:p>
            <w:pPr>
              <w:jc w:val="right"/>
              <w:ind w:right="108"/>
              <w:spacing w:after="0"/>
              <w:rPr>
                <w:sz w:val="20"/>
                <w:szCs w:val="20"/>
                <w:color w:val="auto"/>
              </w:rPr>
            </w:pPr>
            <w:r>
              <w:rPr>
                <w:rFonts w:ascii="Arial" w:cs="Arial" w:eastAsia="Arial" w:hAnsi="Arial"/>
                <w:sz w:val="14"/>
                <w:szCs w:val="14"/>
                <w:color w:val="auto"/>
              </w:rPr>
              <w:t>549</w:t>
            </w:r>
          </w:p>
        </w:tc>
        <w:tc>
          <w:tcPr>
            <w:tcW w:w="1080" w:type="dxa"/>
            <w:vAlign w:val="bottom"/>
            <w:tcBorders>
              <w:top w:val="single" w:sz="8" w:color="8E939F"/>
            </w:tcBorders>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549</w:t>
            </w:r>
          </w:p>
        </w:tc>
        <w:tc>
          <w:tcPr>
            <w:tcW w:w="0" w:type="dxa"/>
            <w:vAlign w:val="bottom"/>
          </w:tcPr>
          <w:p>
            <w:pPr>
              <w:spacing w:after="0"/>
              <w:rPr>
                <w:sz w:val="1"/>
                <w:szCs w:val="1"/>
                <w:color w:val="auto"/>
              </w:rPr>
            </w:pPr>
          </w:p>
        </w:tc>
      </w:tr>
      <w:tr>
        <w:trPr>
          <w:trHeight w:val="102"/>
        </w:trPr>
        <w:tc>
          <w:tcPr>
            <w:tcW w:w="2980" w:type="dxa"/>
            <w:vAlign w:val="bottom"/>
            <w:vMerge w:val="restart"/>
          </w:tcPr>
          <w:p>
            <w:pPr>
              <w:ind w:left="20"/>
              <w:spacing w:after="0"/>
              <w:rPr>
                <w:sz w:val="20"/>
                <w:szCs w:val="20"/>
                <w:color w:val="auto"/>
              </w:rPr>
            </w:pPr>
            <w:r>
              <w:rPr>
                <w:rFonts w:ascii="Arial" w:cs="Arial" w:eastAsia="Arial" w:hAnsi="Arial"/>
                <w:sz w:val="14"/>
                <w:szCs w:val="14"/>
                <w:color w:val="auto"/>
              </w:rPr>
              <w:t>activities</w:t>
            </w:r>
          </w:p>
        </w:tc>
        <w:tc>
          <w:tcPr>
            <w:tcW w:w="13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80" w:type="dxa"/>
            <w:vAlign w:val="bottom"/>
            <w:tcBorders>
              <w:top w:val="single" w:sz="8" w:color="8E939F"/>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Total Net revenues</w:t>
            </w:r>
          </w:p>
        </w:tc>
        <w:tc>
          <w:tcPr>
            <w:tcW w:w="1320" w:type="dxa"/>
            <w:vAlign w:val="bottom"/>
            <w:tcBorders>
              <w:top w:val="single" w:sz="8" w:color="8E939F"/>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16,079</w:t>
            </w:r>
          </w:p>
        </w:tc>
        <w:tc>
          <w:tcPr>
            <w:tcW w:w="1080" w:type="dxa"/>
            <w:vAlign w:val="bottom"/>
            <w:tcBorders>
              <w:top w:val="single" w:sz="8" w:color="8E939F"/>
              <w:bottom w:val="single" w:sz="8" w:color="8E939F"/>
            </w:tcBorders>
            <w:gridSpan w:val="2"/>
            <w:shd w:val="clear" w:color="auto" w:fill="E6E7F4"/>
          </w:tcPr>
          <w:p>
            <w:pPr>
              <w:jc w:val="right"/>
              <w:ind w:right="45"/>
              <w:spacing w:after="0"/>
              <w:rPr>
                <w:sz w:val="20"/>
                <w:szCs w:val="20"/>
                <w:color w:val="auto"/>
              </w:rPr>
            </w:pPr>
            <w:r>
              <w:rPr>
                <w:rFonts w:ascii="Arial" w:cs="Arial" w:eastAsia="Arial" w:hAnsi="Arial"/>
                <w:sz w:val="14"/>
                <w:szCs w:val="14"/>
                <w:b w:val="1"/>
                <w:bCs w:val="1"/>
                <w:color w:val="243782"/>
              </w:rPr>
              <w:t>13,622</w:t>
            </w:r>
          </w:p>
        </w:tc>
        <w:tc>
          <w:tcPr>
            <w:tcW w:w="1160" w:type="dxa"/>
            <w:vAlign w:val="bottom"/>
            <w:tcBorders>
              <w:top w:val="single" w:sz="8" w:color="8E939F"/>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2,053</w:t>
            </w:r>
          </w:p>
        </w:tc>
        <w:tc>
          <w:tcPr>
            <w:tcW w:w="1180" w:type="dxa"/>
            <w:vAlign w:val="bottom"/>
            <w:tcBorders>
              <w:top w:val="single" w:sz="8" w:color="8E939F"/>
              <w:bottom w:val="single" w:sz="8" w:color="8E939F"/>
            </w:tcBorders>
            <w:shd w:val="clear" w:color="auto" w:fill="E6E7F4"/>
          </w:tcPr>
          <w:p>
            <w:pPr>
              <w:jc w:val="right"/>
              <w:ind w:right="26"/>
              <w:spacing w:after="0"/>
              <w:rPr>
                <w:sz w:val="20"/>
                <w:szCs w:val="20"/>
                <w:color w:val="auto"/>
              </w:rPr>
            </w:pPr>
            <w:r>
              <w:rPr>
                <w:rFonts w:ascii="Arial" w:cs="Arial" w:eastAsia="Arial" w:hAnsi="Arial"/>
                <w:sz w:val="14"/>
                <w:szCs w:val="14"/>
                <w:b w:val="1"/>
                <w:bCs w:val="1"/>
                <w:color w:val="243782"/>
              </w:rPr>
              <w:t>3,927</w:t>
            </w:r>
          </w:p>
        </w:tc>
        <w:tc>
          <w:tcPr>
            <w:tcW w:w="480" w:type="dxa"/>
            <w:vAlign w:val="bottom"/>
            <w:tcBorders>
              <w:top w:val="single" w:sz="8" w:color="8E939F"/>
              <w:bottom w:val="single" w:sz="8" w:color="8E939F"/>
            </w:tcBorders>
            <w:shd w:val="clear" w:color="auto" w:fill="E6E7F4"/>
          </w:tcPr>
          <w:p>
            <w:pPr>
              <w:spacing w:after="0"/>
              <w:rPr>
                <w:sz w:val="20"/>
                <w:szCs w:val="20"/>
                <w:color w:val="auto"/>
              </w:rPr>
            </w:pPr>
          </w:p>
        </w:tc>
        <w:tc>
          <w:tcPr>
            <w:tcW w:w="700" w:type="dxa"/>
            <w:vAlign w:val="bottom"/>
            <w:tcBorders>
              <w:top w:val="single" w:sz="8" w:color="8E939F"/>
              <w:bottom w:val="single" w:sz="8" w:color="8E939F"/>
            </w:tcBorders>
            <w:shd w:val="clear" w:color="auto" w:fill="E6E7F4"/>
          </w:tcPr>
          <w:p>
            <w:pPr>
              <w:jc w:val="right"/>
              <w:ind w:right="27"/>
              <w:spacing w:after="0"/>
              <w:rPr>
                <w:sz w:val="20"/>
                <w:szCs w:val="20"/>
                <w:color w:val="auto"/>
              </w:rPr>
            </w:pPr>
            <w:r>
              <w:rPr>
                <w:rFonts w:ascii="Arial" w:cs="Arial" w:eastAsia="Arial" w:hAnsi="Arial"/>
                <w:sz w:val="14"/>
                <w:szCs w:val="14"/>
                <w:b w:val="1"/>
                <w:bCs w:val="1"/>
                <w:color w:val="243782"/>
              </w:rPr>
              <w:t>476</w:t>
            </w:r>
          </w:p>
        </w:tc>
        <w:tc>
          <w:tcPr>
            <w:tcW w:w="1260" w:type="dxa"/>
            <w:vAlign w:val="bottom"/>
            <w:tcBorders>
              <w:top w:val="single" w:sz="8" w:color="8E939F"/>
              <w:bottom w:val="single" w:sz="8" w:color="8E939F"/>
            </w:tcBorders>
            <w:gridSpan w:val="2"/>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1,049</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37,206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243782"/>
              </w:rPr>
              <w:t>Enlarged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243782"/>
              </w:rPr>
              <w:t>Middle East &amp;</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2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Nine months ended September 30, 2026</w:t>
            </w:r>
          </w:p>
        </w:tc>
        <w:tc>
          <w:tcPr>
            <w:tcW w:w="1380" w:type="dxa"/>
            <w:vAlign w:val="bottom"/>
            <w:tcBorders>
              <w:bottom w:val="single" w:sz="8" w:color="143A84"/>
            </w:tcBorders>
          </w:tcPr>
          <w:p>
            <w:pPr>
              <w:jc w:val="right"/>
              <w:ind w:right="128"/>
              <w:spacing w:after="0"/>
              <w:rPr>
                <w:sz w:val="20"/>
                <w:szCs w:val="20"/>
                <w:color w:val="auto"/>
              </w:rPr>
            </w:pPr>
            <w:r>
              <w:rPr>
                <w:rFonts w:ascii="Arial" w:cs="Arial" w:eastAsia="Arial" w:hAnsi="Arial"/>
                <w:sz w:val="14"/>
                <w:szCs w:val="14"/>
                <w:b w:val="1"/>
                <w:bCs w:val="1"/>
                <w:color w:val="243782"/>
              </w:rPr>
              <w:t>North America</w:t>
            </w:r>
          </w:p>
        </w:tc>
        <w:tc>
          <w:tcPr>
            <w:tcW w:w="1080" w:type="dxa"/>
            <w:vAlign w:val="bottom"/>
            <w:tcBorders>
              <w:bottom w:val="single" w:sz="8" w:color="143A84"/>
            </w:tcBorders>
          </w:tcPr>
          <w:p>
            <w:pPr>
              <w:jc w:val="center"/>
              <w:ind w:right="28"/>
              <w:spacing w:after="0"/>
              <w:rPr>
                <w:sz w:val="20"/>
                <w:szCs w:val="20"/>
                <w:color w:val="auto"/>
              </w:rPr>
            </w:pPr>
            <w:r>
              <w:rPr>
                <w:rFonts w:ascii="Arial" w:cs="Arial" w:eastAsia="Arial" w:hAnsi="Arial"/>
                <w:sz w:val="14"/>
                <w:szCs w:val="14"/>
                <w:b w:val="1"/>
                <w:bCs w:val="1"/>
                <w:color w:val="243782"/>
              </w:rPr>
              <w:t>Europe</w:t>
            </w:r>
          </w:p>
        </w:tc>
        <w:tc>
          <w:tcPr>
            <w:tcW w:w="11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Africa</w:t>
            </w:r>
          </w:p>
        </w:tc>
        <w:tc>
          <w:tcPr>
            <w:tcW w:w="1240" w:type="dxa"/>
            <w:vAlign w:val="bottom"/>
            <w:tcBorders>
              <w:bottom w:val="single" w:sz="8" w:color="143A84"/>
            </w:tcBorders>
          </w:tcPr>
          <w:p>
            <w:pPr>
              <w:jc w:val="right"/>
              <w:ind w:right="48"/>
              <w:spacing w:after="0"/>
              <w:rPr>
                <w:sz w:val="20"/>
                <w:szCs w:val="20"/>
                <w:color w:val="auto"/>
              </w:rPr>
            </w:pPr>
            <w:r>
              <w:rPr>
                <w:rFonts w:ascii="Arial" w:cs="Arial" w:eastAsia="Arial" w:hAnsi="Arial"/>
                <w:sz w:val="14"/>
                <w:szCs w:val="14"/>
                <w:b w:val="1"/>
                <w:bCs w:val="1"/>
                <w:color w:val="243782"/>
              </w:rPr>
              <w:t>South America</w:t>
            </w:r>
          </w:p>
        </w:tc>
        <w:tc>
          <w:tcPr>
            <w:tcW w:w="1120" w:type="dxa"/>
            <w:vAlign w:val="bottom"/>
            <w:tcBorders>
              <w:bottom w:val="single" w:sz="8" w:color="143A84"/>
            </w:tcBorders>
          </w:tcPr>
          <w:p>
            <w:pPr>
              <w:jc w:val="right"/>
              <w:ind w:right="108"/>
              <w:spacing w:after="0"/>
              <w:rPr>
                <w:sz w:val="20"/>
                <w:szCs w:val="20"/>
                <w:color w:val="auto"/>
              </w:rPr>
            </w:pPr>
            <w:r>
              <w:rPr>
                <w:rFonts w:ascii="Arial" w:cs="Arial" w:eastAsia="Arial" w:hAnsi="Arial"/>
                <w:sz w:val="14"/>
                <w:szCs w:val="14"/>
                <w:b w:val="1"/>
                <w:bCs w:val="1"/>
                <w:color w:val="243782"/>
              </w:rPr>
              <w:t>Asia Pacific</w:t>
            </w:r>
          </w:p>
        </w:tc>
        <w:tc>
          <w:tcPr>
            <w:tcW w:w="1260" w:type="dxa"/>
            <w:vAlign w:val="bottom"/>
            <w:tcBorders>
              <w:bottom w:val="single" w:sz="8" w:color="143A84"/>
            </w:tcBorders>
          </w:tcPr>
          <w:p>
            <w:pPr>
              <w:jc w:val="right"/>
              <w:ind w:right="48"/>
              <w:spacing w:after="0"/>
              <w:rPr>
                <w:sz w:val="20"/>
                <w:szCs w:val="20"/>
                <w:color w:val="auto"/>
              </w:rPr>
            </w:pPr>
            <w:r>
              <w:rPr>
                <w:rFonts w:ascii="Arial" w:cs="Arial" w:eastAsia="Arial" w:hAnsi="Arial"/>
                <w:sz w:val="14"/>
                <w:szCs w:val="14"/>
                <w:b w:val="1"/>
                <w:bCs w:val="1"/>
                <w:color w:val="243782"/>
              </w:rPr>
              <w:t>Other activities</w:t>
            </w:r>
          </w:p>
        </w:tc>
        <w:tc>
          <w:tcPr>
            <w:tcW w:w="1080" w:type="dxa"/>
            <w:vAlign w:val="bottom"/>
            <w:tcBorders>
              <w:bottom w:val="single" w:sz="8" w:color="143A84"/>
            </w:tcBorders>
          </w:tcPr>
          <w:p>
            <w:pPr>
              <w:jc w:val="right"/>
              <w:ind w:right="308"/>
              <w:spacing w:after="0"/>
              <w:rPr>
                <w:sz w:val="20"/>
                <w:szCs w:val="20"/>
                <w:color w:val="auto"/>
              </w:rPr>
            </w:pPr>
            <w:r>
              <w:rPr>
                <w:rFonts w:ascii="Arial" w:cs="Arial" w:eastAsia="Arial" w:hAnsi="Arial"/>
                <w:sz w:val="14"/>
                <w:szCs w:val="14"/>
                <w:b w:val="1"/>
                <w:bCs w:val="1"/>
                <w:color w:val="243782"/>
              </w:rPr>
              <w:t>Total</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8E939F"/>
            </w:tcBorders>
          </w:tcPr>
          <w:p>
            <w:pPr>
              <w:spacing w:after="0"/>
              <w:rPr>
                <w:sz w:val="21"/>
                <w:szCs w:val="21"/>
                <w:color w:val="auto"/>
              </w:rPr>
            </w:pPr>
          </w:p>
        </w:tc>
        <w:tc>
          <w:tcPr>
            <w:tcW w:w="138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1160" w:type="dxa"/>
            <w:vAlign w:val="bottom"/>
            <w:tcBorders>
              <w:bottom w:val="single" w:sz="8" w:color="8E939F"/>
            </w:tcBorders>
          </w:tcPr>
          <w:p>
            <w:pPr>
              <w:spacing w:after="0"/>
              <w:rPr>
                <w:sz w:val="21"/>
                <w:szCs w:val="21"/>
                <w:color w:val="auto"/>
              </w:rPr>
            </w:pPr>
          </w:p>
        </w:tc>
        <w:tc>
          <w:tcPr>
            <w:tcW w:w="1240" w:type="dxa"/>
            <w:vAlign w:val="bottom"/>
            <w:tcBorders>
              <w:bottom w:val="single" w:sz="8" w:color="8E939F"/>
            </w:tcBorders>
          </w:tcPr>
          <w:p>
            <w:pPr>
              <w:spacing w:after="0"/>
              <w:rPr>
                <w:sz w:val="21"/>
                <w:szCs w:val="21"/>
                <w:color w:val="auto"/>
              </w:rPr>
            </w:pPr>
          </w:p>
        </w:tc>
        <w:tc>
          <w:tcPr>
            <w:tcW w:w="1120" w:type="dxa"/>
            <w:vAlign w:val="bottom"/>
            <w:tcBorders>
              <w:bottom w:val="single" w:sz="8" w:color="8E939F"/>
            </w:tcBorders>
          </w:tcPr>
          <w:p>
            <w:pPr>
              <w:spacing w:after="0"/>
              <w:rPr>
                <w:sz w:val="21"/>
                <w:szCs w:val="21"/>
                <w:color w:val="auto"/>
              </w:rPr>
            </w:pPr>
          </w:p>
        </w:tc>
        <w:tc>
          <w:tcPr>
            <w:tcW w:w="1260" w:type="dxa"/>
            <w:vAlign w:val="bottom"/>
            <w:tcBorders>
              <w:bottom w:val="single" w:sz="8" w:color="8E939F"/>
            </w:tcBorders>
          </w:tcPr>
          <w:p>
            <w:pPr>
              <w:spacing w:after="0"/>
              <w:rPr>
                <w:sz w:val="21"/>
                <w:szCs w:val="21"/>
                <w:color w:val="auto"/>
              </w:rPr>
            </w:pPr>
          </w:p>
        </w:tc>
        <w:tc>
          <w:tcPr>
            <w:tcW w:w="108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4"/>
                <w:szCs w:val="14"/>
                <w:color w:val="auto"/>
              </w:rPr>
              <w:t>Revenues from:</w:t>
            </w: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20" w:type="dxa"/>
            <w:vAlign w:val="bottom"/>
            <w:tcBorders>
              <w:bottom w:val="single" w:sz="8" w:color="8E939F"/>
            </w:tcBorders>
          </w:tcPr>
          <w:p>
            <w:pPr>
              <w:spacing w:after="0" w:line="20" w:lineRule="exact"/>
              <w:rPr>
                <w:sz w:val="1"/>
                <w:szCs w:val="1"/>
                <w:color w:val="auto"/>
              </w:rPr>
            </w:pPr>
          </w:p>
        </w:tc>
        <w:tc>
          <w:tcPr>
            <w:tcW w:w="138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1160" w:type="dxa"/>
            <w:vAlign w:val="bottom"/>
            <w:tcBorders>
              <w:bottom w:val="single" w:sz="8" w:color="8E939F"/>
            </w:tcBorders>
          </w:tcPr>
          <w:p>
            <w:pPr>
              <w:spacing w:after="0" w:line="20" w:lineRule="exact"/>
              <w:rPr>
                <w:sz w:val="1"/>
                <w:szCs w:val="1"/>
                <w:color w:val="auto"/>
              </w:rPr>
            </w:pPr>
          </w:p>
        </w:tc>
        <w:tc>
          <w:tcPr>
            <w:tcW w:w="124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126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Shipments of vehicles and sales of other</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color w:val="auto"/>
              </w:rPr>
              <w:t>48,892</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43,364</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6,578</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11,713</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1,343</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225</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112,115</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goods</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2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4"/>
                <w:szCs w:val="14"/>
                <w:color w:val="auto"/>
              </w:rPr>
              <w:t>Other services provided</w:t>
            </w:r>
          </w:p>
        </w:tc>
        <w:tc>
          <w:tcPr>
            <w:tcW w:w="1380" w:type="dxa"/>
            <w:vAlign w:val="bottom"/>
            <w:tcBorders>
              <w:top w:val="single" w:sz="8" w:color="8E939F"/>
              <w:bottom w:val="single" w:sz="8" w:color="8E939F"/>
            </w:tcBorders>
          </w:tcPr>
          <w:p>
            <w:pPr>
              <w:jc w:val="right"/>
              <w:ind w:right="148"/>
              <w:spacing w:after="0"/>
              <w:rPr>
                <w:sz w:val="20"/>
                <w:szCs w:val="20"/>
                <w:color w:val="auto"/>
              </w:rPr>
            </w:pPr>
            <w:r>
              <w:rPr>
                <w:rFonts w:ascii="Arial" w:cs="Arial" w:eastAsia="Arial" w:hAnsi="Arial"/>
                <w:sz w:val="14"/>
                <w:szCs w:val="14"/>
                <w:color w:val="auto"/>
              </w:rPr>
              <w:t>985</w:t>
            </w:r>
          </w:p>
        </w:tc>
        <w:tc>
          <w:tcPr>
            <w:tcW w:w="1080" w:type="dxa"/>
            <w:vAlign w:val="bottom"/>
            <w:tcBorders>
              <w:top w:val="single" w:sz="8" w:color="8E939F"/>
              <w:bottom w:val="single" w:sz="8" w:color="8E939F"/>
            </w:tcBorders>
          </w:tcPr>
          <w:p>
            <w:pPr>
              <w:jc w:val="right"/>
              <w:ind w:right="48"/>
              <w:spacing w:after="0"/>
              <w:rPr>
                <w:sz w:val="20"/>
                <w:szCs w:val="20"/>
                <w:color w:val="auto"/>
              </w:rPr>
            </w:pPr>
            <w:r>
              <w:rPr>
                <w:rFonts w:ascii="Arial" w:cs="Arial" w:eastAsia="Arial" w:hAnsi="Arial"/>
                <w:sz w:val="14"/>
                <w:szCs w:val="14"/>
                <w:color w:val="auto"/>
              </w:rPr>
              <w:t>1,028</w:t>
            </w:r>
          </w:p>
        </w:tc>
        <w:tc>
          <w:tcPr>
            <w:tcW w:w="1160" w:type="dxa"/>
            <w:vAlign w:val="bottom"/>
            <w:tcBorders>
              <w:top w:val="single" w:sz="8" w:color="8E939F"/>
              <w:bottom w:val="single" w:sz="8" w:color="8E939F"/>
            </w:tcBorders>
          </w:tcPr>
          <w:p>
            <w:pPr>
              <w:jc w:val="right"/>
              <w:ind w:right="28"/>
              <w:spacing w:after="0"/>
              <w:rPr>
                <w:sz w:val="20"/>
                <w:szCs w:val="20"/>
                <w:color w:val="auto"/>
              </w:rPr>
            </w:pPr>
            <w:r>
              <w:rPr>
                <w:rFonts w:ascii="Arial" w:cs="Arial" w:eastAsia="Arial" w:hAnsi="Arial"/>
                <w:sz w:val="14"/>
                <w:szCs w:val="14"/>
                <w:color w:val="auto"/>
              </w:rPr>
              <w:t>48</w:t>
            </w:r>
          </w:p>
        </w:tc>
        <w:tc>
          <w:tcPr>
            <w:tcW w:w="1240" w:type="dxa"/>
            <w:vAlign w:val="bottom"/>
            <w:tcBorders>
              <w:top w:val="single" w:sz="8" w:color="8E939F"/>
              <w:bottom w:val="single" w:sz="8" w:color="8E939F"/>
            </w:tcBorders>
          </w:tcPr>
          <w:p>
            <w:pPr>
              <w:jc w:val="right"/>
              <w:ind w:right="88"/>
              <w:spacing w:after="0"/>
              <w:rPr>
                <w:sz w:val="20"/>
                <w:szCs w:val="20"/>
                <w:color w:val="auto"/>
              </w:rPr>
            </w:pPr>
            <w:r>
              <w:rPr>
                <w:rFonts w:ascii="Arial" w:cs="Arial" w:eastAsia="Arial" w:hAnsi="Arial"/>
                <w:sz w:val="14"/>
                <w:szCs w:val="14"/>
                <w:color w:val="auto"/>
              </w:rPr>
              <w:t>252</w:t>
            </w:r>
          </w:p>
        </w:tc>
        <w:tc>
          <w:tcPr>
            <w:tcW w:w="1120" w:type="dxa"/>
            <w:vAlign w:val="bottom"/>
            <w:tcBorders>
              <w:top w:val="single" w:sz="8" w:color="8E939F"/>
              <w:bottom w:val="single" w:sz="8" w:color="8E939F"/>
            </w:tcBorders>
          </w:tcPr>
          <w:p>
            <w:pPr>
              <w:jc w:val="right"/>
              <w:ind w:right="28"/>
              <w:spacing w:after="0"/>
              <w:rPr>
                <w:sz w:val="20"/>
                <w:szCs w:val="20"/>
                <w:color w:val="auto"/>
              </w:rPr>
            </w:pPr>
            <w:r>
              <w:rPr>
                <w:rFonts w:ascii="Arial" w:cs="Arial" w:eastAsia="Arial" w:hAnsi="Arial"/>
                <w:sz w:val="14"/>
                <w:szCs w:val="14"/>
                <w:color w:val="auto"/>
              </w:rPr>
              <w:t>36</w:t>
            </w:r>
          </w:p>
        </w:tc>
        <w:tc>
          <w:tcPr>
            <w:tcW w:w="1260" w:type="dxa"/>
            <w:vAlign w:val="bottom"/>
            <w:tcBorders>
              <w:top w:val="single" w:sz="8" w:color="8E939F"/>
              <w:bottom w:val="single" w:sz="8" w:color="8E939F"/>
            </w:tcBorders>
          </w:tcPr>
          <w:p>
            <w:pPr>
              <w:jc w:val="right"/>
              <w:ind w:right="108"/>
              <w:spacing w:after="0"/>
              <w:rPr>
                <w:sz w:val="20"/>
                <w:szCs w:val="20"/>
                <w:color w:val="auto"/>
              </w:rPr>
            </w:pPr>
            <w:r>
              <w:rPr>
                <w:rFonts w:ascii="Arial" w:cs="Arial" w:eastAsia="Arial" w:hAnsi="Arial"/>
                <w:sz w:val="14"/>
                <w:szCs w:val="14"/>
                <w:color w:val="auto"/>
              </w:rPr>
              <w:t>1,825</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4,174</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Revenues from goods and services</w:t>
            </w:r>
          </w:p>
        </w:tc>
        <w:tc>
          <w:tcPr>
            <w:tcW w:w="1380" w:type="dxa"/>
            <w:vAlign w:val="bottom"/>
            <w:tcBorders>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49,877</w:t>
            </w:r>
          </w:p>
        </w:tc>
        <w:tc>
          <w:tcPr>
            <w:tcW w:w="1080" w:type="dxa"/>
            <w:vAlign w:val="bottom"/>
            <w:tcBorders>
              <w:bottom w:val="single" w:sz="8" w:color="8E939F"/>
            </w:tcBorders>
            <w:shd w:val="clear" w:color="auto" w:fill="E6E7F4"/>
          </w:tcPr>
          <w:p>
            <w:pPr>
              <w:jc w:val="right"/>
              <w:ind w:right="48"/>
              <w:spacing w:after="0"/>
              <w:rPr>
                <w:sz w:val="20"/>
                <w:szCs w:val="20"/>
                <w:color w:val="auto"/>
              </w:rPr>
            </w:pPr>
            <w:r>
              <w:rPr>
                <w:rFonts w:ascii="Arial" w:cs="Arial" w:eastAsia="Arial" w:hAnsi="Arial"/>
                <w:sz w:val="14"/>
                <w:szCs w:val="14"/>
                <w:b w:val="1"/>
                <w:bCs w:val="1"/>
                <w:color w:val="243782"/>
              </w:rPr>
              <w:t>44,392</w:t>
            </w:r>
          </w:p>
        </w:tc>
        <w:tc>
          <w:tcPr>
            <w:tcW w:w="1160" w:type="dxa"/>
            <w:vAlign w:val="bottom"/>
            <w:tcBorders>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6,626</w:t>
            </w:r>
          </w:p>
        </w:tc>
        <w:tc>
          <w:tcPr>
            <w:tcW w:w="1240" w:type="dxa"/>
            <w:vAlign w:val="bottom"/>
            <w:tcBorders>
              <w:bottom w:val="single" w:sz="8" w:color="8E939F"/>
            </w:tcBorders>
            <w:shd w:val="clear" w:color="auto" w:fill="E6E7F4"/>
          </w:tcPr>
          <w:p>
            <w:pPr>
              <w:jc w:val="right"/>
              <w:ind w:right="88"/>
              <w:spacing w:after="0"/>
              <w:rPr>
                <w:sz w:val="20"/>
                <w:szCs w:val="20"/>
                <w:color w:val="auto"/>
              </w:rPr>
            </w:pPr>
            <w:r>
              <w:rPr>
                <w:rFonts w:ascii="Arial" w:cs="Arial" w:eastAsia="Arial" w:hAnsi="Arial"/>
                <w:sz w:val="14"/>
                <w:szCs w:val="14"/>
                <w:b w:val="1"/>
                <w:bCs w:val="1"/>
                <w:color w:val="243782"/>
              </w:rPr>
              <w:t>11,965</w:t>
            </w:r>
          </w:p>
        </w:tc>
        <w:tc>
          <w:tcPr>
            <w:tcW w:w="1120" w:type="dxa"/>
            <w:vAlign w:val="bottom"/>
            <w:tcBorders>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1,379</w:t>
            </w:r>
          </w:p>
        </w:tc>
        <w:tc>
          <w:tcPr>
            <w:tcW w:w="1260" w:type="dxa"/>
            <w:vAlign w:val="bottom"/>
            <w:tcBorders>
              <w:bottom w:val="single" w:sz="8" w:color="8E939F"/>
            </w:tcBorders>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2,050</w:t>
            </w:r>
          </w:p>
        </w:tc>
        <w:tc>
          <w:tcPr>
            <w:tcW w:w="10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116,289</w:t>
            </w:r>
          </w:p>
        </w:tc>
        <w:tc>
          <w:tcPr>
            <w:tcW w:w="0" w:type="dxa"/>
            <w:vAlign w:val="bottom"/>
          </w:tcPr>
          <w:p>
            <w:pPr>
              <w:spacing w:after="0"/>
              <w:rPr>
                <w:sz w:val="1"/>
                <w:szCs w:val="1"/>
                <w:color w:val="auto"/>
              </w:rPr>
            </w:pPr>
          </w:p>
        </w:tc>
      </w:tr>
      <w:tr>
        <w:trPr>
          <w:trHeight w:val="257"/>
        </w:trPr>
        <w:tc>
          <w:tcPr>
            <w:tcW w:w="2920" w:type="dxa"/>
            <w:vAlign w:val="bottom"/>
            <w:tcBorders>
              <w:bottom w:val="single" w:sz="8" w:color="8E939F"/>
            </w:tcBorders>
          </w:tcPr>
          <w:p>
            <w:pPr>
              <w:spacing w:after="0"/>
              <w:rPr>
                <w:sz w:val="22"/>
                <w:szCs w:val="22"/>
                <w:color w:val="auto"/>
              </w:rPr>
            </w:pPr>
          </w:p>
        </w:tc>
        <w:tc>
          <w:tcPr>
            <w:tcW w:w="138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tcPr>
          <w:p>
            <w:pPr>
              <w:spacing w:after="0"/>
              <w:rPr>
                <w:sz w:val="22"/>
                <w:szCs w:val="22"/>
                <w:color w:val="auto"/>
              </w:rPr>
            </w:pPr>
          </w:p>
        </w:tc>
        <w:tc>
          <w:tcPr>
            <w:tcW w:w="1160" w:type="dxa"/>
            <w:vAlign w:val="bottom"/>
            <w:tcBorders>
              <w:bottom w:val="single" w:sz="8" w:color="8E939F"/>
            </w:tcBorders>
          </w:tcPr>
          <w:p>
            <w:pPr>
              <w:spacing w:after="0"/>
              <w:rPr>
                <w:sz w:val="22"/>
                <w:szCs w:val="22"/>
                <w:color w:val="auto"/>
              </w:rPr>
            </w:pPr>
          </w:p>
        </w:tc>
        <w:tc>
          <w:tcPr>
            <w:tcW w:w="1240" w:type="dxa"/>
            <w:vAlign w:val="bottom"/>
            <w:tcBorders>
              <w:bottom w:val="single" w:sz="8" w:color="8E939F"/>
            </w:tcBorders>
          </w:tcPr>
          <w:p>
            <w:pPr>
              <w:spacing w:after="0"/>
              <w:rPr>
                <w:sz w:val="22"/>
                <w:szCs w:val="22"/>
                <w:color w:val="auto"/>
              </w:rPr>
            </w:pPr>
          </w:p>
        </w:tc>
        <w:tc>
          <w:tcPr>
            <w:tcW w:w="1120" w:type="dxa"/>
            <w:vAlign w:val="bottom"/>
            <w:tcBorders>
              <w:bottom w:val="single" w:sz="8" w:color="8E939F"/>
            </w:tcBorders>
          </w:tcPr>
          <w:p>
            <w:pPr>
              <w:spacing w:after="0"/>
              <w:rPr>
                <w:sz w:val="22"/>
                <w:szCs w:val="22"/>
                <w:color w:val="auto"/>
              </w:rPr>
            </w:pPr>
          </w:p>
        </w:tc>
        <w:tc>
          <w:tcPr>
            <w:tcW w:w="126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shd w:val="clear" w:color="auto" w:fill="E6E7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Lease installments from assets sold with a</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467</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467</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buy-back commitment</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20" w:type="dxa"/>
            <w:vAlign w:val="bottom"/>
            <w:tcBorders>
              <w:top w:val="single" w:sz="8" w:color="8E939F"/>
            </w:tcBorders>
          </w:tcPr>
          <w:p>
            <w:pPr>
              <w:ind w:left="20"/>
              <w:spacing w:after="0"/>
              <w:rPr>
                <w:sz w:val="20"/>
                <w:szCs w:val="20"/>
                <w:color w:val="auto"/>
              </w:rPr>
            </w:pPr>
            <w:r>
              <w:rPr>
                <w:rFonts w:ascii="Arial" w:cs="Arial" w:eastAsia="Arial" w:hAnsi="Arial"/>
                <w:sz w:val="14"/>
                <w:szCs w:val="14"/>
                <w:color w:val="auto"/>
              </w:rPr>
              <w:t>Interest income from financial services</w:t>
            </w:r>
          </w:p>
        </w:tc>
        <w:tc>
          <w:tcPr>
            <w:tcW w:w="1380" w:type="dxa"/>
            <w:vAlign w:val="bottom"/>
            <w:tcBorders>
              <w:top w:val="single" w:sz="8" w:color="8E939F"/>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8E939F"/>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8E939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8E939F"/>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8E939F"/>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8E939F"/>
            </w:tcBorders>
            <w:vMerge w:val="restart"/>
          </w:tcPr>
          <w:p>
            <w:pPr>
              <w:jc w:val="right"/>
              <w:ind w:right="108"/>
              <w:spacing w:after="0"/>
              <w:rPr>
                <w:sz w:val="20"/>
                <w:szCs w:val="20"/>
                <w:color w:val="auto"/>
              </w:rPr>
            </w:pPr>
            <w:r>
              <w:rPr>
                <w:rFonts w:ascii="Arial" w:cs="Arial" w:eastAsia="Arial" w:hAnsi="Arial"/>
                <w:sz w:val="14"/>
                <w:szCs w:val="14"/>
                <w:color w:val="auto"/>
              </w:rPr>
              <w:t>2,469</w:t>
            </w:r>
          </w:p>
        </w:tc>
        <w:tc>
          <w:tcPr>
            <w:tcW w:w="1080" w:type="dxa"/>
            <w:vAlign w:val="bottom"/>
            <w:tcBorders>
              <w:top w:val="single" w:sz="8" w:color="8E939F"/>
            </w:tcBorders>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2,469</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activities</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20" w:type="dxa"/>
            <w:vAlign w:val="bottom"/>
            <w:tcBorders>
              <w:top w:val="single" w:sz="8" w:color="8E939F"/>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Total Net revenues</w:t>
            </w:r>
          </w:p>
        </w:tc>
        <w:tc>
          <w:tcPr>
            <w:tcW w:w="1380" w:type="dxa"/>
            <w:vAlign w:val="bottom"/>
            <w:tcBorders>
              <w:top w:val="single" w:sz="8" w:color="8E939F"/>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49,877</w:t>
            </w:r>
          </w:p>
        </w:tc>
        <w:tc>
          <w:tcPr>
            <w:tcW w:w="1080" w:type="dxa"/>
            <w:vAlign w:val="bottom"/>
            <w:tcBorders>
              <w:top w:val="single" w:sz="8" w:color="8E939F"/>
              <w:bottom w:val="single" w:sz="8" w:color="8E939F"/>
            </w:tcBorders>
            <w:shd w:val="clear" w:color="auto" w:fill="E6E7F4"/>
          </w:tcPr>
          <w:p>
            <w:pPr>
              <w:jc w:val="right"/>
              <w:ind w:right="48"/>
              <w:spacing w:after="0"/>
              <w:rPr>
                <w:sz w:val="20"/>
                <w:szCs w:val="20"/>
                <w:color w:val="auto"/>
              </w:rPr>
            </w:pPr>
            <w:r>
              <w:rPr>
                <w:rFonts w:ascii="Arial" w:cs="Arial" w:eastAsia="Arial" w:hAnsi="Arial"/>
                <w:sz w:val="14"/>
                <w:szCs w:val="14"/>
                <w:b w:val="1"/>
                <w:bCs w:val="1"/>
                <w:color w:val="243782"/>
              </w:rPr>
              <w:t>44,859</w:t>
            </w:r>
          </w:p>
        </w:tc>
        <w:tc>
          <w:tcPr>
            <w:tcW w:w="1160" w:type="dxa"/>
            <w:vAlign w:val="bottom"/>
            <w:tcBorders>
              <w:top w:val="single" w:sz="8" w:color="8E939F"/>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6,626</w:t>
            </w:r>
          </w:p>
        </w:tc>
        <w:tc>
          <w:tcPr>
            <w:tcW w:w="1240" w:type="dxa"/>
            <w:vAlign w:val="bottom"/>
            <w:tcBorders>
              <w:top w:val="single" w:sz="8" w:color="8E939F"/>
              <w:bottom w:val="single" w:sz="8" w:color="8E939F"/>
            </w:tcBorders>
            <w:shd w:val="clear" w:color="auto" w:fill="E6E7F4"/>
          </w:tcPr>
          <w:p>
            <w:pPr>
              <w:jc w:val="right"/>
              <w:ind w:right="88"/>
              <w:spacing w:after="0"/>
              <w:rPr>
                <w:sz w:val="20"/>
                <w:szCs w:val="20"/>
                <w:color w:val="auto"/>
              </w:rPr>
            </w:pPr>
            <w:r>
              <w:rPr>
                <w:rFonts w:ascii="Arial" w:cs="Arial" w:eastAsia="Arial" w:hAnsi="Arial"/>
                <w:sz w:val="14"/>
                <w:szCs w:val="14"/>
                <w:b w:val="1"/>
                <w:bCs w:val="1"/>
                <w:color w:val="243782"/>
              </w:rPr>
              <w:t>11,965</w:t>
            </w:r>
          </w:p>
        </w:tc>
        <w:tc>
          <w:tcPr>
            <w:tcW w:w="1120" w:type="dxa"/>
            <w:vAlign w:val="bottom"/>
            <w:tcBorders>
              <w:top w:val="single" w:sz="8" w:color="8E939F"/>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1,379</w:t>
            </w:r>
          </w:p>
        </w:tc>
        <w:tc>
          <w:tcPr>
            <w:tcW w:w="1260" w:type="dxa"/>
            <w:vAlign w:val="bottom"/>
            <w:tcBorders>
              <w:top w:val="single" w:sz="8" w:color="8E939F"/>
              <w:bottom w:val="single" w:sz="8" w:color="8E939F"/>
            </w:tcBorders>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4,519</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119,225</w:t>
            </w:r>
          </w:p>
        </w:tc>
        <w:tc>
          <w:tcPr>
            <w:tcW w:w="0" w:type="dxa"/>
            <w:vAlign w:val="bottom"/>
          </w:tcPr>
          <w:p>
            <w:pPr>
              <w:spacing w:after="0"/>
              <w:rPr>
                <w:sz w:val="1"/>
                <w:szCs w:val="1"/>
                <w:color w:val="auto"/>
              </w:rPr>
            </w:pPr>
          </w:p>
        </w:tc>
      </w:tr>
      <w:tr>
        <w:trPr>
          <w:trHeight w:val="450"/>
        </w:trPr>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243782"/>
              </w:rPr>
              <w:t>Enlarged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243782"/>
              </w:rPr>
              <w:t>Middle East &amp;</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2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Nine months ended September 30, 2025</w:t>
            </w:r>
          </w:p>
        </w:tc>
        <w:tc>
          <w:tcPr>
            <w:tcW w:w="1380" w:type="dxa"/>
            <w:vAlign w:val="bottom"/>
            <w:tcBorders>
              <w:bottom w:val="single" w:sz="8" w:color="143A84"/>
            </w:tcBorders>
          </w:tcPr>
          <w:p>
            <w:pPr>
              <w:jc w:val="right"/>
              <w:ind w:right="128"/>
              <w:spacing w:after="0"/>
              <w:rPr>
                <w:sz w:val="20"/>
                <w:szCs w:val="20"/>
                <w:color w:val="auto"/>
              </w:rPr>
            </w:pPr>
            <w:r>
              <w:rPr>
                <w:rFonts w:ascii="Arial" w:cs="Arial" w:eastAsia="Arial" w:hAnsi="Arial"/>
                <w:sz w:val="14"/>
                <w:szCs w:val="14"/>
                <w:b w:val="1"/>
                <w:bCs w:val="1"/>
                <w:color w:val="243782"/>
              </w:rPr>
              <w:t>North America</w:t>
            </w:r>
          </w:p>
        </w:tc>
        <w:tc>
          <w:tcPr>
            <w:tcW w:w="1080" w:type="dxa"/>
            <w:vAlign w:val="bottom"/>
            <w:tcBorders>
              <w:bottom w:val="single" w:sz="8" w:color="143A84"/>
            </w:tcBorders>
          </w:tcPr>
          <w:p>
            <w:pPr>
              <w:jc w:val="center"/>
              <w:ind w:right="28"/>
              <w:spacing w:after="0"/>
              <w:rPr>
                <w:sz w:val="20"/>
                <w:szCs w:val="20"/>
                <w:color w:val="auto"/>
              </w:rPr>
            </w:pPr>
            <w:r>
              <w:rPr>
                <w:rFonts w:ascii="Arial" w:cs="Arial" w:eastAsia="Arial" w:hAnsi="Arial"/>
                <w:sz w:val="14"/>
                <w:szCs w:val="14"/>
                <w:b w:val="1"/>
                <w:bCs w:val="1"/>
                <w:color w:val="243782"/>
              </w:rPr>
              <w:t>Europe</w:t>
            </w:r>
          </w:p>
        </w:tc>
        <w:tc>
          <w:tcPr>
            <w:tcW w:w="11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Africa</w:t>
            </w:r>
          </w:p>
        </w:tc>
        <w:tc>
          <w:tcPr>
            <w:tcW w:w="1240" w:type="dxa"/>
            <w:vAlign w:val="bottom"/>
            <w:tcBorders>
              <w:bottom w:val="single" w:sz="8" w:color="143A84"/>
            </w:tcBorders>
          </w:tcPr>
          <w:p>
            <w:pPr>
              <w:jc w:val="right"/>
              <w:ind w:right="48"/>
              <w:spacing w:after="0"/>
              <w:rPr>
                <w:sz w:val="20"/>
                <w:szCs w:val="20"/>
                <w:color w:val="auto"/>
              </w:rPr>
            </w:pPr>
            <w:r>
              <w:rPr>
                <w:rFonts w:ascii="Arial" w:cs="Arial" w:eastAsia="Arial" w:hAnsi="Arial"/>
                <w:sz w:val="14"/>
                <w:szCs w:val="14"/>
                <w:b w:val="1"/>
                <w:bCs w:val="1"/>
                <w:color w:val="243782"/>
              </w:rPr>
              <w:t>South America</w:t>
            </w:r>
          </w:p>
        </w:tc>
        <w:tc>
          <w:tcPr>
            <w:tcW w:w="1120" w:type="dxa"/>
            <w:vAlign w:val="bottom"/>
            <w:tcBorders>
              <w:bottom w:val="single" w:sz="8" w:color="143A84"/>
            </w:tcBorders>
          </w:tcPr>
          <w:p>
            <w:pPr>
              <w:jc w:val="right"/>
              <w:ind w:right="108"/>
              <w:spacing w:after="0"/>
              <w:rPr>
                <w:sz w:val="20"/>
                <w:szCs w:val="20"/>
                <w:color w:val="auto"/>
              </w:rPr>
            </w:pPr>
            <w:r>
              <w:rPr>
                <w:rFonts w:ascii="Arial" w:cs="Arial" w:eastAsia="Arial" w:hAnsi="Arial"/>
                <w:sz w:val="14"/>
                <w:szCs w:val="14"/>
                <w:b w:val="1"/>
                <w:bCs w:val="1"/>
                <w:color w:val="243782"/>
              </w:rPr>
              <w:t>Asia Pacific</w:t>
            </w:r>
          </w:p>
        </w:tc>
        <w:tc>
          <w:tcPr>
            <w:tcW w:w="1260" w:type="dxa"/>
            <w:vAlign w:val="bottom"/>
            <w:tcBorders>
              <w:bottom w:val="single" w:sz="8" w:color="143A84"/>
            </w:tcBorders>
          </w:tcPr>
          <w:p>
            <w:pPr>
              <w:jc w:val="right"/>
              <w:ind w:right="48"/>
              <w:spacing w:after="0"/>
              <w:rPr>
                <w:sz w:val="20"/>
                <w:szCs w:val="20"/>
                <w:color w:val="auto"/>
              </w:rPr>
            </w:pPr>
            <w:r>
              <w:rPr>
                <w:rFonts w:ascii="Arial" w:cs="Arial" w:eastAsia="Arial" w:hAnsi="Arial"/>
                <w:sz w:val="14"/>
                <w:szCs w:val="14"/>
                <w:b w:val="1"/>
                <w:bCs w:val="1"/>
                <w:color w:val="243782"/>
              </w:rPr>
              <w:t>Other activities</w:t>
            </w:r>
          </w:p>
        </w:tc>
        <w:tc>
          <w:tcPr>
            <w:tcW w:w="1080" w:type="dxa"/>
            <w:vAlign w:val="bottom"/>
            <w:tcBorders>
              <w:bottom w:val="single" w:sz="8" w:color="143A84"/>
            </w:tcBorders>
          </w:tcPr>
          <w:p>
            <w:pPr>
              <w:jc w:val="right"/>
              <w:ind w:right="308"/>
              <w:spacing w:after="0"/>
              <w:rPr>
                <w:sz w:val="20"/>
                <w:szCs w:val="20"/>
                <w:color w:val="auto"/>
              </w:rPr>
            </w:pPr>
            <w:r>
              <w:rPr>
                <w:rFonts w:ascii="Arial" w:cs="Arial" w:eastAsia="Arial" w:hAnsi="Arial"/>
                <w:sz w:val="14"/>
                <w:szCs w:val="14"/>
                <w:b w:val="1"/>
                <w:bCs w:val="1"/>
                <w:color w:val="243782"/>
              </w:rPr>
              <w:t>Total</w:t>
            </w:r>
          </w:p>
        </w:tc>
        <w:tc>
          <w:tcPr>
            <w:tcW w:w="0" w:type="dxa"/>
            <w:vAlign w:val="bottom"/>
          </w:tcPr>
          <w:p>
            <w:pPr>
              <w:spacing w:after="0"/>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20" w:type="dxa"/>
            <w:vAlign w:val="bottom"/>
            <w:tcBorders>
              <w:bottom w:val="single" w:sz="8" w:color="8E939F"/>
            </w:tcBorders>
          </w:tcPr>
          <w:p>
            <w:pPr>
              <w:spacing w:after="0"/>
              <w:rPr>
                <w:sz w:val="20"/>
                <w:szCs w:val="20"/>
                <w:color w:val="auto"/>
              </w:rPr>
            </w:pPr>
          </w:p>
        </w:tc>
        <w:tc>
          <w:tcPr>
            <w:tcW w:w="1380" w:type="dxa"/>
            <w:vAlign w:val="bottom"/>
            <w:tcBorders>
              <w:bottom w:val="single" w:sz="8" w:color="8E939F"/>
            </w:tcBorders>
          </w:tcPr>
          <w:p>
            <w:pPr>
              <w:spacing w:after="0"/>
              <w:rPr>
                <w:sz w:val="20"/>
                <w:szCs w:val="20"/>
                <w:color w:val="auto"/>
              </w:rPr>
            </w:pPr>
          </w:p>
        </w:tc>
        <w:tc>
          <w:tcPr>
            <w:tcW w:w="1080" w:type="dxa"/>
            <w:vAlign w:val="bottom"/>
            <w:tcBorders>
              <w:bottom w:val="single" w:sz="8" w:color="8E939F"/>
            </w:tcBorders>
          </w:tcPr>
          <w:p>
            <w:pPr>
              <w:spacing w:after="0"/>
              <w:rPr>
                <w:sz w:val="20"/>
                <w:szCs w:val="20"/>
                <w:color w:val="auto"/>
              </w:rPr>
            </w:pPr>
          </w:p>
        </w:tc>
        <w:tc>
          <w:tcPr>
            <w:tcW w:w="1160" w:type="dxa"/>
            <w:vAlign w:val="bottom"/>
            <w:tcBorders>
              <w:bottom w:val="single" w:sz="8" w:color="8E939F"/>
            </w:tcBorders>
          </w:tcPr>
          <w:p>
            <w:pPr>
              <w:spacing w:after="0"/>
              <w:rPr>
                <w:sz w:val="20"/>
                <w:szCs w:val="20"/>
                <w:color w:val="auto"/>
              </w:rPr>
            </w:pPr>
          </w:p>
        </w:tc>
        <w:tc>
          <w:tcPr>
            <w:tcW w:w="1240" w:type="dxa"/>
            <w:vAlign w:val="bottom"/>
            <w:tcBorders>
              <w:bottom w:val="single" w:sz="8" w:color="8E939F"/>
            </w:tcBorders>
          </w:tcPr>
          <w:p>
            <w:pPr>
              <w:spacing w:after="0"/>
              <w:rPr>
                <w:sz w:val="20"/>
                <w:szCs w:val="20"/>
                <w:color w:val="auto"/>
              </w:rPr>
            </w:pPr>
          </w:p>
        </w:tc>
        <w:tc>
          <w:tcPr>
            <w:tcW w:w="1120" w:type="dxa"/>
            <w:vAlign w:val="bottom"/>
            <w:tcBorders>
              <w:bottom w:val="single" w:sz="8" w:color="8E939F"/>
            </w:tcBorders>
          </w:tcPr>
          <w:p>
            <w:pPr>
              <w:spacing w:after="0"/>
              <w:rPr>
                <w:sz w:val="20"/>
                <w:szCs w:val="20"/>
                <w:color w:val="auto"/>
              </w:rPr>
            </w:pPr>
          </w:p>
        </w:tc>
        <w:tc>
          <w:tcPr>
            <w:tcW w:w="1260" w:type="dxa"/>
            <w:vAlign w:val="bottom"/>
            <w:tcBorders>
              <w:bottom w:val="single" w:sz="8" w:color="8E939F"/>
            </w:tcBorders>
          </w:tcPr>
          <w:p>
            <w:pPr>
              <w:spacing w:after="0"/>
              <w:rPr>
                <w:sz w:val="20"/>
                <w:szCs w:val="20"/>
                <w:color w:val="auto"/>
              </w:rPr>
            </w:pPr>
          </w:p>
        </w:tc>
        <w:tc>
          <w:tcPr>
            <w:tcW w:w="1080" w:type="dxa"/>
            <w:vAlign w:val="bottom"/>
            <w:tcBorders>
              <w:bottom w:val="single" w:sz="8" w:color="8E939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4"/>
                <w:szCs w:val="14"/>
                <w:color w:val="auto"/>
              </w:rPr>
              <w:t>Revenues from:</w:t>
            </w: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20" w:type="dxa"/>
            <w:vAlign w:val="bottom"/>
            <w:tcBorders>
              <w:bottom w:val="single" w:sz="8" w:color="8E939F"/>
            </w:tcBorders>
          </w:tcPr>
          <w:p>
            <w:pPr>
              <w:spacing w:after="0" w:line="20" w:lineRule="exact"/>
              <w:rPr>
                <w:sz w:val="1"/>
                <w:szCs w:val="1"/>
                <w:color w:val="auto"/>
              </w:rPr>
            </w:pPr>
          </w:p>
        </w:tc>
        <w:tc>
          <w:tcPr>
            <w:tcW w:w="138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8E939F"/>
            </w:tcBorders>
          </w:tcPr>
          <w:p>
            <w:pPr>
              <w:spacing w:after="0" w:line="20" w:lineRule="exact"/>
              <w:rPr>
                <w:sz w:val="1"/>
                <w:szCs w:val="1"/>
                <w:color w:val="auto"/>
              </w:rPr>
            </w:pPr>
          </w:p>
        </w:tc>
        <w:tc>
          <w:tcPr>
            <w:tcW w:w="1160" w:type="dxa"/>
            <w:vAlign w:val="bottom"/>
            <w:tcBorders>
              <w:bottom w:val="single" w:sz="8" w:color="8E939F"/>
            </w:tcBorders>
          </w:tcPr>
          <w:p>
            <w:pPr>
              <w:spacing w:after="0" w:line="20" w:lineRule="exact"/>
              <w:rPr>
                <w:sz w:val="1"/>
                <w:szCs w:val="1"/>
                <w:color w:val="auto"/>
              </w:rPr>
            </w:pPr>
          </w:p>
        </w:tc>
        <w:tc>
          <w:tcPr>
            <w:tcW w:w="1240" w:type="dxa"/>
            <w:vAlign w:val="bottom"/>
            <w:tcBorders>
              <w:bottom w:val="single" w:sz="8" w:color="8E939F"/>
            </w:tcBorders>
          </w:tcPr>
          <w:p>
            <w:pPr>
              <w:spacing w:after="0" w:line="20" w:lineRule="exact"/>
              <w:rPr>
                <w:sz w:val="1"/>
                <w:szCs w:val="1"/>
                <w:color w:val="auto"/>
              </w:rPr>
            </w:pPr>
          </w:p>
        </w:tc>
        <w:tc>
          <w:tcPr>
            <w:tcW w:w="1120" w:type="dxa"/>
            <w:vAlign w:val="bottom"/>
            <w:tcBorders>
              <w:bottom w:val="single" w:sz="8" w:color="8E939F"/>
            </w:tcBorders>
          </w:tcPr>
          <w:p>
            <w:pPr>
              <w:spacing w:after="0" w:line="20" w:lineRule="exact"/>
              <w:rPr>
                <w:sz w:val="1"/>
                <w:szCs w:val="1"/>
                <w:color w:val="auto"/>
              </w:rPr>
            </w:pPr>
          </w:p>
        </w:tc>
        <w:tc>
          <w:tcPr>
            <w:tcW w:w="1260" w:type="dxa"/>
            <w:vAlign w:val="bottom"/>
            <w:tcBorders>
              <w:bottom w:val="single" w:sz="8" w:color="8E939F"/>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Shipments of vehicles and sales of other</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color w:val="auto"/>
              </w:rPr>
              <w:t>43,399</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42,405</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6,987</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11,412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1,443</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209</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105,855</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goods</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2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4"/>
                <w:szCs w:val="14"/>
                <w:color w:val="auto"/>
              </w:rPr>
              <w:t>Other services provided</w:t>
            </w:r>
          </w:p>
        </w:tc>
        <w:tc>
          <w:tcPr>
            <w:tcW w:w="1380" w:type="dxa"/>
            <w:vAlign w:val="bottom"/>
            <w:tcBorders>
              <w:top w:val="single" w:sz="8" w:color="8E939F"/>
              <w:bottom w:val="single" w:sz="8" w:color="8E939F"/>
            </w:tcBorders>
          </w:tcPr>
          <w:p>
            <w:pPr>
              <w:jc w:val="right"/>
              <w:ind w:right="148"/>
              <w:spacing w:after="0"/>
              <w:rPr>
                <w:sz w:val="20"/>
                <w:szCs w:val="20"/>
                <w:color w:val="auto"/>
              </w:rPr>
            </w:pPr>
            <w:r>
              <w:rPr>
                <w:rFonts w:ascii="Arial" w:cs="Arial" w:eastAsia="Arial" w:hAnsi="Arial"/>
                <w:sz w:val="14"/>
                <w:szCs w:val="14"/>
                <w:color w:val="auto"/>
              </w:rPr>
              <w:t>983</w:t>
            </w:r>
          </w:p>
        </w:tc>
        <w:tc>
          <w:tcPr>
            <w:tcW w:w="1080" w:type="dxa"/>
            <w:vAlign w:val="bottom"/>
            <w:tcBorders>
              <w:top w:val="single" w:sz="8" w:color="8E939F"/>
              <w:bottom w:val="single" w:sz="8" w:color="8E939F"/>
            </w:tcBorders>
          </w:tcPr>
          <w:p>
            <w:pPr>
              <w:jc w:val="right"/>
              <w:ind w:right="48"/>
              <w:spacing w:after="0"/>
              <w:rPr>
                <w:sz w:val="20"/>
                <w:szCs w:val="20"/>
                <w:color w:val="auto"/>
              </w:rPr>
            </w:pPr>
            <w:r>
              <w:rPr>
                <w:rFonts w:ascii="Arial" w:cs="Arial" w:eastAsia="Arial" w:hAnsi="Arial"/>
                <w:sz w:val="14"/>
                <w:szCs w:val="14"/>
                <w:color w:val="auto"/>
              </w:rPr>
              <w:t>1,240</w:t>
            </w:r>
          </w:p>
        </w:tc>
        <w:tc>
          <w:tcPr>
            <w:tcW w:w="1160" w:type="dxa"/>
            <w:vAlign w:val="bottom"/>
            <w:tcBorders>
              <w:top w:val="single" w:sz="8" w:color="8E939F"/>
              <w:bottom w:val="single" w:sz="8" w:color="8E939F"/>
            </w:tcBorders>
          </w:tcPr>
          <w:p>
            <w:pPr>
              <w:jc w:val="right"/>
              <w:ind w:right="28"/>
              <w:spacing w:after="0"/>
              <w:rPr>
                <w:sz w:val="20"/>
                <w:szCs w:val="20"/>
                <w:color w:val="auto"/>
              </w:rPr>
            </w:pPr>
            <w:r>
              <w:rPr>
                <w:rFonts w:ascii="Arial" w:cs="Arial" w:eastAsia="Arial" w:hAnsi="Arial"/>
                <w:sz w:val="14"/>
                <w:szCs w:val="14"/>
                <w:color w:val="auto"/>
              </w:rPr>
              <w:t>22</w:t>
            </w:r>
          </w:p>
        </w:tc>
        <w:tc>
          <w:tcPr>
            <w:tcW w:w="1240" w:type="dxa"/>
            <w:vAlign w:val="bottom"/>
            <w:tcBorders>
              <w:top w:val="single" w:sz="8" w:color="8E939F"/>
              <w:bottom w:val="single" w:sz="8" w:color="8E939F"/>
            </w:tcBorders>
          </w:tcPr>
          <w:p>
            <w:pPr>
              <w:jc w:val="right"/>
              <w:ind w:right="88"/>
              <w:spacing w:after="0"/>
              <w:rPr>
                <w:sz w:val="20"/>
                <w:szCs w:val="20"/>
                <w:color w:val="auto"/>
              </w:rPr>
            </w:pPr>
            <w:r>
              <w:rPr>
                <w:rFonts w:ascii="Arial" w:cs="Arial" w:eastAsia="Arial" w:hAnsi="Arial"/>
                <w:sz w:val="14"/>
                <w:szCs w:val="14"/>
                <w:color w:val="auto"/>
              </w:rPr>
              <w:t>213</w:t>
            </w:r>
          </w:p>
        </w:tc>
        <w:tc>
          <w:tcPr>
            <w:tcW w:w="1120" w:type="dxa"/>
            <w:vAlign w:val="bottom"/>
            <w:tcBorders>
              <w:top w:val="single" w:sz="8" w:color="8E939F"/>
              <w:bottom w:val="single" w:sz="8" w:color="8E939F"/>
            </w:tcBorders>
          </w:tcPr>
          <w:p>
            <w:pPr>
              <w:jc w:val="right"/>
              <w:ind w:right="28"/>
              <w:spacing w:after="0"/>
              <w:rPr>
                <w:sz w:val="20"/>
                <w:szCs w:val="20"/>
                <w:color w:val="auto"/>
              </w:rPr>
            </w:pPr>
            <w:r>
              <w:rPr>
                <w:rFonts w:ascii="Arial" w:cs="Arial" w:eastAsia="Arial" w:hAnsi="Arial"/>
                <w:sz w:val="14"/>
                <w:szCs w:val="14"/>
                <w:color w:val="auto"/>
              </w:rPr>
              <w:t>39</w:t>
            </w:r>
          </w:p>
        </w:tc>
        <w:tc>
          <w:tcPr>
            <w:tcW w:w="1260" w:type="dxa"/>
            <w:vAlign w:val="bottom"/>
            <w:tcBorders>
              <w:top w:val="single" w:sz="8" w:color="8E939F"/>
              <w:bottom w:val="single" w:sz="8" w:color="8E939F"/>
            </w:tcBorders>
          </w:tcPr>
          <w:p>
            <w:pPr>
              <w:jc w:val="right"/>
              <w:ind w:right="108"/>
              <w:spacing w:after="0"/>
              <w:rPr>
                <w:sz w:val="20"/>
                <w:szCs w:val="20"/>
                <w:color w:val="auto"/>
              </w:rPr>
            </w:pPr>
            <w:r>
              <w:rPr>
                <w:rFonts w:ascii="Arial" w:cs="Arial" w:eastAsia="Arial" w:hAnsi="Arial"/>
                <w:sz w:val="14"/>
                <w:szCs w:val="14"/>
                <w:color w:val="auto"/>
              </w:rPr>
              <w:t>1,148</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3,645</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Revenues from goods and services</w:t>
            </w:r>
          </w:p>
        </w:tc>
        <w:tc>
          <w:tcPr>
            <w:tcW w:w="1380" w:type="dxa"/>
            <w:vAlign w:val="bottom"/>
            <w:tcBorders>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44,382</w:t>
            </w:r>
          </w:p>
        </w:tc>
        <w:tc>
          <w:tcPr>
            <w:tcW w:w="1080" w:type="dxa"/>
            <w:vAlign w:val="bottom"/>
            <w:tcBorders>
              <w:bottom w:val="single" w:sz="8" w:color="8E939F"/>
            </w:tcBorders>
            <w:shd w:val="clear" w:color="auto" w:fill="E6E7F4"/>
          </w:tcPr>
          <w:p>
            <w:pPr>
              <w:jc w:val="right"/>
              <w:ind w:right="48"/>
              <w:spacing w:after="0"/>
              <w:rPr>
                <w:sz w:val="20"/>
                <w:szCs w:val="20"/>
                <w:color w:val="auto"/>
              </w:rPr>
            </w:pPr>
            <w:r>
              <w:rPr>
                <w:rFonts w:ascii="Arial" w:cs="Arial" w:eastAsia="Arial" w:hAnsi="Arial"/>
                <w:sz w:val="14"/>
                <w:szCs w:val="14"/>
                <w:b w:val="1"/>
                <w:bCs w:val="1"/>
                <w:color w:val="243782"/>
              </w:rPr>
              <w:t>43,645</w:t>
            </w:r>
          </w:p>
        </w:tc>
        <w:tc>
          <w:tcPr>
            <w:tcW w:w="1160" w:type="dxa"/>
            <w:vAlign w:val="bottom"/>
            <w:tcBorders>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7,009</w:t>
            </w:r>
          </w:p>
        </w:tc>
        <w:tc>
          <w:tcPr>
            <w:tcW w:w="1240" w:type="dxa"/>
            <w:vAlign w:val="bottom"/>
            <w:tcBorders>
              <w:bottom w:val="single" w:sz="8" w:color="8E939F"/>
            </w:tcBorders>
            <w:shd w:val="clear" w:color="auto" w:fill="E6E7F4"/>
          </w:tcPr>
          <w:p>
            <w:pPr>
              <w:jc w:val="right"/>
              <w:ind w:right="88"/>
              <w:spacing w:after="0"/>
              <w:rPr>
                <w:sz w:val="20"/>
                <w:szCs w:val="20"/>
                <w:color w:val="auto"/>
              </w:rPr>
            </w:pPr>
            <w:r>
              <w:rPr>
                <w:rFonts w:ascii="Arial" w:cs="Arial" w:eastAsia="Arial" w:hAnsi="Arial"/>
                <w:sz w:val="14"/>
                <w:szCs w:val="14"/>
                <w:b w:val="1"/>
                <w:bCs w:val="1"/>
                <w:color w:val="243782"/>
              </w:rPr>
              <w:t>11,625</w:t>
            </w:r>
          </w:p>
        </w:tc>
        <w:tc>
          <w:tcPr>
            <w:tcW w:w="1120" w:type="dxa"/>
            <w:vAlign w:val="bottom"/>
            <w:tcBorders>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1,482</w:t>
            </w:r>
          </w:p>
        </w:tc>
        <w:tc>
          <w:tcPr>
            <w:tcW w:w="1260" w:type="dxa"/>
            <w:vAlign w:val="bottom"/>
            <w:tcBorders>
              <w:bottom w:val="single" w:sz="8" w:color="8E939F"/>
            </w:tcBorders>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1,357</w:t>
            </w:r>
          </w:p>
        </w:tc>
        <w:tc>
          <w:tcPr>
            <w:tcW w:w="10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109,500</w:t>
            </w:r>
          </w:p>
        </w:tc>
        <w:tc>
          <w:tcPr>
            <w:tcW w:w="0" w:type="dxa"/>
            <w:vAlign w:val="bottom"/>
          </w:tcPr>
          <w:p>
            <w:pPr>
              <w:spacing w:after="0"/>
              <w:rPr>
                <w:sz w:val="1"/>
                <w:szCs w:val="1"/>
                <w:color w:val="auto"/>
              </w:rPr>
            </w:pPr>
          </w:p>
        </w:tc>
      </w:tr>
      <w:tr>
        <w:trPr>
          <w:trHeight w:val="256"/>
        </w:trPr>
        <w:tc>
          <w:tcPr>
            <w:tcW w:w="2920" w:type="dxa"/>
            <w:vAlign w:val="bottom"/>
            <w:tcBorders>
              <w:bottom w:val="single" w:sz="8" w:color="8E939F"/>
            </w:tcBorders>
          </w:tcPr>
          <w:p>
            <w:pPr>
              <w:spacing w:after="0"/>
              <w:rPr>
                <w:sz w:val="22"/>
                <w:szCs w:val="22"/>
                <w:color w:val="auto"/>
              </w:rPr>
            </w:pPr>
          </w:p>
        </w:tc>
        <w:tc>
          <w:tcPr>
            <w:tcW w:w="138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tcPr>
          <w:p>
            <w:pPr>
              <w:spacing w:after="0"/>
              <w:rPr>
                <w:sz w:val="22"/>
                <w:szCs w:val="22"/>
                <w:color w:val="auto"/>
              </w:rPr>
            </w:pPr>
          </w:p>
        </w:tc>
        <w:tc>
          <w:tcPr>
            <w:tcW w:w="1160" w:type="dxa"/>
            <w:vAlign w:val="bottom"/>
            <w:tcBorders>
              <w:bottom w:val="single" w:sz="8" w:color="8E939F"/>
            </w:tcBorders>
          </w:tcPr>
          <w:p>
            <w:pPr>
              <w:spacing w:after="0"/>
              <w:rPr>
                <w:sz w:val="22"/>
                <w:szCs w:val="22"/>
                <w:color w:val="auto"/>
              </w:rPr>
            </w:pPr>
          </w:p>
        </w:tc>
        <w:tc>
          <w:tcPr>
            <w:tcW w:w="1240" w:type="dxa"/>
            <w:vAlign w:val="bottom"/>
            <w:tcBorders>
              <w:bottom w:val="single" w:sz="8" w:color="8E939F"/>
            </w:tcBorders>
          </w:tcPr>
          <w:p>
            <w:pPr>
              <w:spacing w:after="0"/>
              <w:rPr>
                <w:sz w:val="22"/>
                <w:szCs w:val="22"/>
                <w:color w:val="auto"/>
              </w:rPr>
            </w:pPr>
          </w:p>
        </w:tc>
        <w:tc>
          <w:tcPr>
            <w:tcW w:w="1120" w:type="dxa"/>
            <w:vAlign w:val="bottom"/>
            <w:tcBorders>
              <w:bottom w:val="single" w:sz="8" w:color="8E939F"/>
            </w:tcBorders>
          </w:tcPr>
          <w:p>
            <w:pPr>
              <w:spacing w:after="0"/>
              <w:rPr>
                <w:sz w:val="22"/>
                <w:szCs w:val="22"/>
                <w:color w:val="auto"/>
              </w:rPr>
            </w:pPr>
          </w:p>
        </w:tc>
        <w:tc>
          <w:tcPr>
            <w:tcW w:w="1260" w:type="dxa"/>
            <w:vAlign w:val="bottom"/>
            <w:tcBorders>
              <w:bottom w:val="single" w:sz="8" w:color="8E939F"/>
            </w:tcBorders>
          </w:tcPr>
          <w:p>
            <w:pPr>
              <w:spacing w:after="0"/>
              <w:rPr>
                <w:sz w:val="22"/>
                <w:szCs w:val="22"/>
                <w:color w:val="auto"/>
              </w:rPr>
            </w:pPr>
          </w:p>
        </w:tc>
        <w:tc>
          <w:tcPr>
            <w:tcW w:w="1080" w:type="dxa"/>
            <w:vAlign w:val="bottom"/>
            <w:tcBorders>
              <w:bottom w:val="single" w:sz="8" w:color="8E939F"/>
            </w:tcBorders>
            <w:shd w:val="clear" w:color="auto" w:fill="E6E7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Lease installments from assets sold with a</w:t>
            </w:r>
          </w:p>
        </w:tc>
        <w:tc>
          <w:tcPr>
            <w:tcW w:w="1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532</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532</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buy-back commitment</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20" w:type="dxa"/>
            <w:vAlign w:val="bottom"/>
            <w:tcBorders>
              <w:top w:val="single" w:sz="8" w:color="8E939F"/>
            </w:tcBorders>
          </w:tcPr>
          <w:p>
            <w:pPr>
              <w:ind w:left="20"/>
              <w:spacing w:after="0"/>
              <w:rPr>
                <w:sz w:val="20"/>
                <w:szCs w:val="20"/>
                <w:color w:val="auto"/>
              </w:rPr>
            </w:pPr>
            <w:r>
              <w:rPr>
                <w:rFonts w:ascii="Arial" w:cs="Arial" w:eastAsia="Arial" w:hAnsi="Arial"/>
                <w:sz w:val="14"/>
                <w:szCs w:val="14"/>
                <w:color w:val="auto"/>
              </w:rPr>
              <w:t>Interest income from financial services</w:t>
            </w:r>
          </w:p>
        </w:tc>
        <w:tc>
          <w:tcPr>
            <w:tcW w:w="1380" w:type="dxa"/>
            <w:vAlign w:val="bottom"/>
            <w:tcBorders>
              <w:top w:val="single" w:sz="8" w:color="8E939F"/>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8E939F"/>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8E939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8E939F"/>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8E939F"/>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8E939F"/>
            </w:tcBorders>
            <w:vMerge w:val="restart"/>
          </w:tcPr>
          <w:p>
            <w:pPr>
              <w:jc w:val="right"/>
              <w:ind w:right="108"/>
              <w:spacing w:after="0"/>
              <w:rPr>
                <w:sz w:val="20"/>
                <w:szCs w:val="20"/>
                <w:color w:val="auto"/>
              </w:rPr>
            </w:pPr>
            <w:r>
              <w:rPr>
                <w:rFonts w:ascii="Arial" w:cs="Arial" w:eastAsia="Arial" w:hAnsi="Arial"/>
                <w:sz w:val="14"/>
                <w:szCs w:val="14"/>
                <w:color w:val="auto"/>
              </w:rPr>
              <w:t>1,435</w:t>
            </w:r>
          </w:p>
        </w:tc>
        <w:tc>
          <w:tcPr>
            <w:tcW w:w="1080" w:type="dxa"/>
            <w:vAlign w:val="bottom"/>
            <w:tcBorders>
              <w:top w:val="single" w:sz="8" w:color="8E939F"/>
            </w:tcBorders>
            <w:vMerge w:val="restart"/>
            <w:shd w:val="clear" w:color="auto" w:fill="E6E7F4"/>
          </w:tcPr>
          <w:p>
            <w:pPr>
              <w:jc w:val="right"/>
              <w:spacing w:after="0"/>
              <w:rPr>
                <w:sz w:val="20"/>
                <w:szCs w:val="20"/>
                <w:color w:val="auto"/>
              </w:rPr>
            </w:pPr>
            <w:r>
              <w:rPr>
                <w:rFonts w:ascii="Arial" w:cs="Arial" w:eastAsia="Arial" w:hAnsi="Arial"/>
                <w:sz w:val="14"/>
                <w:szCs w:val="14"/>
                <w:b w:val="1"/>
                <w:bCs w:val="1"/>
                <w:color w:val="243782"/>
              </w:rPr>
              <w:t>1,435</w:t>
            </w:r>
          </w:p>
        </w:tc>
        <w:tc>
          <w:tcPr>
            <w:tcW w:w="0" w:type="dxa"/>
            <w:vAlign w:val="bottom"/>
          </w:tcPr>
          <w:p>
            <w:pPr>
              <w:spacing w:after="0"/>
              <w:rPr>
                <w:sz w:val="1"/>
                <w:szCs w:val="1"/>
                <w:color w:val="auto"/>
              </w:rPr>
            </w:pPr>
          </w:p>
        </w:tc>
      </w:tr>
      <w:tr>
        <w:trPr>
          <w:trHeight w:val="102"/>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activities</w:t>
            </w:r>
          </w:p>
        </w:tc>
        <w:tc>
          <w:tcPr>
            <w:tcW w:w="13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80" w:type="dxa"/>
            <w:vAlign w:val="bottom"/>
            <w:vMerge w:val="continue"/>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9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Borders>
              <w:bottom w:val="single" w:sz="8" w:color="E6E7F4"/>
            </w:tcBorders>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920" w:type="dxa"/>
            <w:vAlign w:val="bottom"/>
            <w:tcBorders>
              <w:top w:val="single" w:sz="8" w:color="8E939F"/>
              <w:bottom w:val="single" w:sz="8" w:color="8E939F"/>
            </w:tcBorders>
            <w:shd w:val="clear" w:color="auto" w:fill="E6E7F4"/>
          </w:tcPr>
          <w:p>
            <w:pPr>
              <w:ind w:left="20"/>
              <w:spacing w:after="0"/>
              <w:rPr>
                <w:sz w:val="20"/>
                <w:szCs w:val="20"/>
                <w:color w:val="auto"/>
              </w:rPr>
            </w:pPr>
            <w:r>
              <w:rPr>
                <w:rFonts w:ascii="Arial" w:cs="Arial" w:eastAsia="Arial" w:hAnsi="Arial"/>
                <w:sz w:val="14"/>
                <w:szCs w:val="14"/>
                <w:b w:val="1"/>
                <w:bCs w:val="1"/>
                <w:color w:val="243782"/>
              </w:rPr>
              <w:t>Total Net revenues</w:t>
            </w:r>
          </w:p>
        </w:tc>
        <w:tc>
          <w:tcPr>
            <w:tcW w:w="1380" w:type="dxa"/>
            <w:vAlign w:val="bottom"/>
            <w:tcBorders>
              <w:top w:val="single" w:sz="8" w:color="8E939F"/>
              <w:bottom w:val="single" w:sz="8" w:color="8E939F"/>
            </w:tcBorders>
            <w:shd w:val="clear" w:color="auto" w:fill="E6E7F4"/>
          </w:tcPr>
          <w:p>
            <w:pPr>
              <w:jc w:val="right"/>
              <w:ind w:right="148"/>
              <w:spacing w:after="0"/>
              <w:rPr>
                <w:sz w:val="20"/>
                <w:szCs w:val="20"/>
                <w:color w:val="auto"/>
              </w:rPr>
            </w:pPr>
            <w:r>
              <w:rPr>
                <w:rFonts w:ascii="Arial" w:cs="Arial" w:eastAsia="Arial" w:hAnsi="Arial"/>
                <w:sz w:val="14"/>
                <w:szCs w:val="14"/>
                <w:b w:val="1"/>
                <w:bCs w:val="1"/>
                <w:color w:val="243782"/>
              </w:rPr>
              <w:t>44,382</w:t>
            </w:r>
          </w:p>
        </w:tc>
        <w:tc>
          <w:tcPr>
            <w:tcW w:w="1080" w:type="dxa"/>
            <w:vAlign w:val="bottom"/>
            <w:tcBorders>
              <w:top w:val="single" w:sz="8" w:color="8E939F"/>
              <w:bottom w:val="single" w:sz="8" w:color="8E939F"/>
            </w:tcBorders>
            <w:shd w:val="clear" w:color="auto" w:fill="E6E7F4"/>
          </w:tcPr>
          <w:p>
            <w:pPr>
              <w:jc w:val="right"/>
              <w:ind w:right="48"/>
              <w:spacing w:after="0"/>
              <w:rPr>
                <w:sz w:val="20"/>
                <w:szCs w:val="20"/>
                <w:color w:val="auto"/>
              </w:rPr>
            </w:pPr>
            <w:r>
              <w:rPr>
                <w:rFonts w:ascii="Arial" w:cs="Arial" w:eastAsia="Arial" w:hAnsi="Arial"/>
                <w:sz w:val="14"/>
                <w:szCs w:val="14"/>
                <w:b w:val="1"/>
                <w:bCs w:val="1"/>
                <w:color w:val="243782"/>
              </w:rPr>
              <w:t>44,177</w:t>
            </w:r>
          </w:p>
        </w:tc>
        <w:tc>
          <w:tcPr>
            <w:tcW w:w="1160" w:type="dxa"/>
            <w:vAlign w:val="bottom"/>
            <w:tcBorders>
              <w:top w:val="single" w:sz="8" w:color="8E939F"/>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7,009</w:t>
            </w:r>
          </w:p>
        </w:tc>
        <w:tc>
          <w:tcPr>
            <w:tcW w:w="1240" w:type="dxa"/>
            <w:vAlign w:val="bottom"/>
            <w:tcBorders>
              <w:top w:val="single" w:sz="8" w:color="8E939F"/>
              <w:bottom w:val="single" w:sz="8" w:color="8E939F"/>
            </w:tcBorders>
            <w:shd w:val="clear" w:color="auto" w:fill="E6E7F4"/>
          </w:tcPr>
          <w:p>
            <w:pPr>
              <w:jc w:val="right"/>
              <w:ind w:right="88"/>
              <w:spacing w:after="0"/>
              <w:rPr>
                <w:sz w:val="20"/>
                <w:szCs w:val="20"/>
                <w:color w:val="auto"/>
              </w:rPr>
            </w:pPr>
            <w:r>
              <w:rPr>
                <w:rFonts w:ascii="Arial" w:cs="Arial" w:eastAsia="Arial" w:hAnsi="Arial"/>
                <w:sz w:val="14"/>
                <w:szCs w:val="14"/>
                <w:b w:val="1"/>
                <w:bCs w:val="1"/>
                <w:color w:val="243782"/>
              </w:rPr>
              <w:t>11,625</w:t>
            </w:r>
          </w:p>
        </w:tc>
        <w:tc>
          <w:tcPr>
            <w:tcW w:w="1120" w:type="dxa"/>
            <w:vAlign w:val="bottom"/>
            <w:tcBorders>
              <w:top w:val="single" w:sz="8" w:color="8E939F"/>
              <w:bottom w:val="single" w:sz="8" w:color="8E939F"/>
            </w:tcBorders>
            <w:shd w:val="clear" w:color="auto" w:fill="E6E7F4"/>
          </w:tcPr>
          <w:p>
            <w:pPr>
              <w:jc w:val="right"/>
              <w:ind w:right="28"/>
              <w:spacing w:after="0"/>
              <w:rPr>
                <w:sz w:val="20"/>
                <w:szCs w:val="20"/>
                <w:color w:val="auto"/>
              </w:rPr>
            </w:pPr>
            <w:r>
              <w:rPr>
                <w:rFonts w:ascii="Arial" w:cs="Arial" w:eastAsia="Arial" w:hAnsi="Arial"/>
                <w:sz w:val="14"/>
                <w:szCs w:val="14"/>
                <w:b w:val="1"/>
                <w:bCs w:val="1"/>
                <w:color w:val="243782"/>
              </w:rPr>
              <w:t>1,482</w:t>
            </w:r>
          </w:p>
        </w:tc>
        <w:tc>
          <w:tcPr>
            <w:tcW w:w="1260" w:type="dxa"/>
            <w:vAlign w:val="bottom"/>
            <w:tcBorders>
              <w:top w:val="single" w:sz="8" w:color="8E939F"/>
              <w:bottom w:val="single" w:sz="8" w:color="8E939F"/>
            </w:tcBorders>
            <w:shd w:val="clear" w:color="auto" w:fill="E6E7F4"/>
          </w:tcPr>
          <w:p>
            <w:pPr>
              <w:jc w:val="right"/>
              <w:ind w:right="108"/>
              <w:spacing w:after="0"/>
              <w:rPr>
                <w:sz w:val="20"/>
                <w:szCs w:val="20"/>
                <w:color w:val="auto"/>
              </w:rPr>
            </w:pPr>
            <w:r>
              <w:rPr>
                <w:rFonts w:ascii="Arial" w:cs="Arial" w:eastAsia="Arial" w:hAnsi="Arial"/>
                <w:sz w:val="14"/>
                <w:szCs w:val="14"/>
                <w:b w:val="1"/>
                <w:bCs w:val="1"/>
                <w:color w:val="243782"/>
              </w:rPr>
              <w:t>2,792</w:t>
            </w:r>
          </w:p>
        </w:tc>
        <w:tc>
          <w:tcPr>
            <w:tcW w:w="1080" w:type="dxa"/>
            <w:vAlign w:val="bottom"/>
            <w:tcBorders>
              <w:top w:val="single" w:sz="8" w:color="8E939F"/>
              <w:bottom w:val="single" w:sz="8" w:color="8E939F"/>
            </w:tcBorders>
            <w:shd w:val="clear" w:color="auto" w:fill="E6E7F4"/>
          </w:tcPr>
          <w:p>
            <w:pPr>
              <w:jc w:val="right"/>
              <w:spacing w:after="0"/>
              <w:rPr>
                <w:sz w:val="20"/>
                <w:szCs w:val="20"/>
                <w:color w:val="auto"/>
              </w:rPr>
            </w:pPr>
            <w:r>
              <w:rPr>
                <w:rFonts w:ascii="Arial" w:cs="Arial" w:eastAsia="Arial" w:hAnsi="Arial"/>
                <w:sz w:val="14"/>
                <w:szCs w:val="14"/>
                <w:b w:val="1"/>
                <w:bCs w:val="1"/>
                <w:color w:val="243782"/>
              </w:rPr>
              <w:t>111,467</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4. Net financial expenses/(income)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financial income and expenses included within Net financial expenses/(income):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60" w:type="dxa"/>
            <w:vAlign w:val="bottom"/>
          </w:tcPr>
          <w:p>
            <w:pPr>
              <w:spacing w:after="0"/>
              <w:rPr>
                <w:sz w:val="19"/>
                <w:szCs w:val="19"/>
                <w:color w:val="auto"/>
              </w:rPr>
            </w:pPr>
          </w:p>
        </w:tc>
        <w:tc>
          <w:tcPr>
            <w:tcW w:w="3080" w:type="dxa"/>
            <w:vAlign w:val="bottom"/>
            <w:tcBorders>
              <w:bottom w:val="single" w:sz="8" w:color="8E939F"/>
            </w:tcBorders>
            <w:gridSpan w:val="2"/>
          </w:tcPr>
          <w:p>
            <w:pPr>
              <w:jc w:val="right"/>
              <w:ind w:right="139"/>
              <w:spacing w:after="0"/>
              <w:rPr>
                <w:sz w:val="20"/>
                <w:szCs w:val="20"/>
                <w:color w:val="auto"/>
              </w:rPr>
            </w:pPr>
            <w:r>
              <w:rPr>
                <w:rFonts w:ascii="Arial" w:cs="Arial" w:eastAsia="Arial" w:hAnsi="Arial"/>
                <w:sz w:val="16"/>
                <w:szCs w:val="16"/>
                <w:b w:val="1"/>
                <w:bCs w:val="1"/>
                <w:color w:val="243782"/>
              </w:rPr>
              <w:t>Three months ended September 30,</w:t>
            </w:r>
          </w:p>
        </w:tc>
        <w:tc>
          <w:tcPr>
            <w:tcW w:w="3000" w:type="dxa"/>
            <w:vAlign w:val="bottom"/>
            <w:tcBorders>
              <w:bottom w:val="single" w:sz="8" w:color="8E939F"/>
            </w:tcBorders>
            <w:gridSpan w:val="2"/>
          </w:tcPr>
          <w:p>
            <w:pPr>
              <w:jc w:val="right"/>
              <w:ind w:right="99"/>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440" w:type="dxa"/>
            <w:vAlign w:val="bottom"/>
            <w:shd w:val="clear" w:color="auto" w:fill="F3F3F9"/>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shd w:val="clear" w:color="auto" w:fill="F3F3F9"/>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8E939F"/>
            </w:tcBorders>
          </w:tcPr>
          <w:p>
            <w:pPr>
              <w:spacing w:after="0"/>
              <w:rPr>
                <w:sz w:val="20"/>
                <w:szCs w:val="20"/>
                <w:color w:val="auto"/>
              </w:rPr>
            </w:pPr>
          </w:p>
        </w:tc>
        <w:tc>
          <w:tcPr>
            <w:tcW w:w="1440" w:type="dxa"/>
            <w:vAlign w:val="bottom"/>
            <w:tcBorders>
              <w:bottom w:val="single" w:sz="8" w:color="8E939F"/>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640" w:type="dxa"/>
            <w:vAlign w:val="bottom"/>
            <w:tcBorders>
              <w:bottom w:val="single" w:sz="8" w:color="8E939F"/>
            </w:tcBorders>
          </w:tcPr>
          <w:p>
            <w:pPr>
              <w:jc w:val="right"/>
              <w:ind w:right="559"/>
              <w:spacing w:after="0"/>
              <w:rPr>
                <w:sz w:val="20"/>
                <w:szCs w:val="20"/>
                <w:color w:val="auto"/>
              </w:rPr>
            </w:pPr>
            <w:r>
              <w:rPr>
                <w:rFonts w:ascii="Arial" w:cs="Arial" w:eastAsia="Arial" w:hAnsi="Arial"/>
                <w:sz w:val="16"/>
                <w:szCs w:val="16"/>
                <w:b w:val="1"/>
                <w:bCs w:val="1"/>
                <w:color w:val="243782"/>
              </w:rPr>
              <w:t>2025</w:t>
            </w:r>
          </w:p>
        </w:tc>
        <w:tc>
          <w:tcPr>
            <w:tcW w:w="1440" w:type="dxa"/>
            <w:vAlign w:val="bottom"/>
            <w:tcBorders>
              <w:bottom w:val="single" w:sz="8" w:color="8E939F"/>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6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Interest income and other financial income</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234</w:t>
            </w:r>
          </w:p>
        </w:tc>
        <w:tc>
          <w:tcPr>
            <w:tcW w:w="164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321</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704</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960</w:t>
            </w:r>
          </w:p>
        </w:tc>
        <w:tc>
          <w:tcPr>
            <w:tcW w:w="0" w:type="dxa"/>
            <w:vAlign w:val="bottom"/>
          </w:tcPr>
          <w:p>
            <w:pPr>
              <w:spacing w:after="0"/>
              <w:rPr>
                <w:sz w:val="1"/>
                <w:szCs w:val="1"/>
                <w:color w:val="auto"/>
              </w:rPr>
            </w:pPr>
          </w:p>
        </w:tc>
      </w:tr>
      <w:tr>
        <w:trPr>
          <w:trHeight w:val="254"/>
        </w:trPr>
        <w:tc>
          <w:tcPr>
            <w:tcW w:w="516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56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Financial expenses:</w:t>
            </w:r>
          </w:p>
        </w:tc>
        <w:tc>
          <w:tcPr>
            <w:tcW w:w="1440" w:type="dxa"/>
            <w:vAlign w:val="bottom"/>
            <w:tcBorders>
              <w:bottom w:val="single" w:sz="8" w:color="8E939F"/>
            </w:tcBorders>
            <w:shd w:val="clear" w:color="auto" w:fill="F3F3F9"/>
          </w:tcPr>
          <w:p>
            <w:pPr>
              <w:spacing w:after="0"/>
              <w:rPr>
                <w:sz w:val="21"/>
                <w:szCs w:val="21"/>
                <w:color w:val="auto"/>
              </w:rPr>
            </w:pPr>
          </w:p>
        </w:tc>
        <w:tc>
          <w:tcPr>
            <w:tcW w:w="1640" w:type="dxa"/>
            <w:vAlign w:val="bottom"/>
            <w:tcBorders>
              <w:bottom w:val="single" w:sz="8" w:color="8E939F"/>
            </w:tcBorders>
            <w:shd w:val="clear" w:color="auto" w:fill="F3F3F9"/>
          </w:tcPr>
          <w:p>
            <w:pPr>
              <w:spacing w:after="0"/>
              <w:rPr>
                <w:sz w:val="21"/>
                <w:szCs w:val="21"/>
                <w:color w:val="auto"/>
              </w:rPr>
            </w:pPr>
          </w:p>
        </w:tc>
        <w:tc>
          <w:tcPr>
            <w:tcW w:w="1440" w:type="dxa"/>
            <w:vAlign w:val="bottom"/>
            <w:tcBorders>
              <w:bottom w:val="single" w:sz="8" w:color="8E939F"/>
            </w:tcBorders>
            <w:shd w:val="clear" w:color="auto" w:fill="F3F3F9"/>
          </w:tcPr>
          <w:p>
            <w:pPr>
              <w:spacing w:after="0"/>
              <w:rPr>
                <w:sz w:val="21"/>
                <w:szCs w:val="21"/>
                <w:color w:val="auto"/>
              </w:rPr>
            </w:pPr>
          </w:p>
        </w:tc>
        <w:tc>
          <w:tcPr>
            <w:tcW w:w="1560" w:type="dxa"/>
            <w:vAlign w:val="bottom"/>
            <w:tcBorders>
              <w:bottom w:val="single" w:sz="8" w:color="8E939F"/>
            </w:tcBorders>
            <w:shd w:val="clear" w:color="auto" w:fill="F3F3F9"/>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 expense and other financial expenses</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366</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257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1,090</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 on lease liabilities</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26</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20</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Write-down/(reversals of write-downs) of financial assets</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Net interest expense on employee benefits provisions</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50</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46</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149</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53"/>
        </w:trPr>
        <w:tc>
          <w:tcPr>
            <w:tcW w:w="51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Total Financial expenses</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444</w:t>
            </w:r>
          </w:p>
        </w:tc>
        <w:tc>
          <w:tcPr>
            <w:tcW w:w="164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325</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1,311</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1,018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expenses/(income) from derivative financial instruments</w:t>
            </w:r>
          </w:p>
        </w:tc>
        <w:tc>
          <w:tcPr>
            <w:tcW w:w="144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(9)</w:t>
            </w:r>
          </w:p>
        </w:tc>
        <w:tc>
          <w:tcPr>
            <w:tcW w:w="1640" w:type="dxa"/>
            <w:vAlign w:val="bottom"/>
            <w:vMerge w:val="restart"/>
          </w:tcPr>
          <w:p>
            <w:pPr>
              <w:jc w:val="right"/>
              <w:ind w:right="39"/>
              <w:spacing w:after="0"/>
              <w:rPr>
                <w:sz w:val="20"/>
                <w:szCs w:val="20"/>
                <w:color w:val="auto"/>
              </w:rPr>
            </w:pPr>
            <w:r>
              <w:rPr>
                <w:rFonts w:ascii="Arial" w:cs="Arial" w:eastAsia="Arial" w:hAnsi="Arial"/>
                <w:sz w:val="16"/>
                <w:szCs w:val="16"/>
                <w:color w:val="auto"/>
              </w:rPr>
              <w:t>(10)</w:t>
            </w:r>
          </w:p>
        </w:tc>
        <w:tc>
          <w:tcPr>
            <w:tcW w:w="144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(54)</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20"/>
        </w:trPr>
        <w:tc>
          <w:tcPr>
            <w:tcW w:w="5160" w:type="dxa"/>
            <w:vAlign w:val="bottom"/>
            <w:vMerge w:val="restart"/>
          </w:tcPr>
          <w:p>
            <w:pPr>
              <w:ind w:left="20"/>
              <w:spacing w:after="0"/>
              <w:rPr>
                <w:sz w:val="20"/>
                <w:szCs w:val="20"/>
                <w:color w:val="auto"/>
              </w:rPr>
            </w:pPr>
            <w:r>
              <w:rPr>
                <w:rFonts w:ascii="Arial" w:cs="Arial" w:eastAsia="Arial" w:hAnsi="Arial"/>
                <w:sz w:val="16"/>
                <w:szCs w:val="16"/>
                <w:color w:val="auto"/>
              </w:rPr>
              <w:t>and exchange rate differences</w:t>
            </w:r>
          </w:p>
        </w:tc>
        <w:tc>
          <w:tcPr>
            <w:tcW w:w="1440" w:type="dxa"/>
            <w:vAlign w:val="bottom"/>
            <w:vMerge w:val="continue"/>
            <w:shd w:val="clear" w:color="auto" w:fill="F3F3F9"/>
          </w:tcPr>
          <w:p>
            <w:pPr>
              <w:spacing w:after="0"/>
              <w:rPr>
                <w:sz w:val="10"/>
                <w:szCs w:val="10"/>
                <w:color w:val="auto"/>
              </w:rPr>
            </w:pPr>
          </w:p>
        </w:tc>
        <w:tc>
          <w:tcPr>
            <w:tcW w:w="1640" w:type="dxa"/>
            <w:vAlign w:val="bottom"/>
            <w:vMerge w:val="continue"/>
          </w:tcPr>
          <w:p>
            <w:pPr>
              <w:spacing w:after="0"/>
              <w:rPr>
                <w:sz w:val="10"/>
                <w:szCs w:val="10"/>
                <w:color w:val="auto"/>
              </w:rPr>
            </w:pPr>
          </w:p>
        </w:tc>
        <w:tc>
          <w:tcPr>
            <w:tcW w:w="1440" w:type="dxa"/>
            <w:vAlign w:val="bottom"/>
            <w:vMerge w:val="continue"/>
            <w:shd w:val="clear" w:color="auto" w:fill="F3F3F9"/>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1440" w:type="dxa"/>
            <w:vAlign w:val="bottom"/>
            <w:tcBorders>
              <w:bottom w:val="single" w:sz="8" w:color="F3F3F9"/>
            </w:tcBorders>
            <w:shd w:val="clear" w:color="auto" w:fill="F3F3F9"/>
          </w:tcPr>
          <w:p>
            <w:pPr>
              <w:spacing w:after="0"/>
              <w:rPr>
                <w:sz w:val="10"/>
                <w:szCs w:val="10"/>
                <w:color w:val="auto"/>
              </w:rPr>
            </w:pPr>
          </w:p>
        </w:tc>
        <w:tc>
          <w:tcPr>
            <w:tcW w:w="1640" w:type="dxa"/>
            <w:vAlign w:val="bottom"/>
          </w:tcPr>
          <w:p>
            <w:pPr>
              <w:spacing w:after="0"/>
              <w:rPr>
                <w:sz w:val="10"/>
                <w:szCs w:val="10"/>
                <w:color w:val="auto"/>
              </w:rPr>
            </w:pPr>
          </w:p>
        </w:tc>
        <w:tc>
          <w:tcPr>
            <w:tcW w:w="1440" w:type="dxa"/>
            <w:vAlign w:val="bottom"/>
            <w:tcBorders>
              <w:bottom w:val="single" w:sz="8" w:color="F3F3F9"/>
            </w:tcBorders>
            <w:shd w:val="clear" w:color="auto" w:fill="F3F3F9"/>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8E939F"/>
              <w:bottom w:val="single" w:sz="8" w:color="8E939F"/>
            </w:tcBorders>
          </w:tcPr>
          <w:p>
            <w:pPr>
              <w:spacing w:after="0"/>
              <w:rPr>
                <w:sz w:val="21"/>
                <w:szCs w:val="21"/>
                <w:color w:val="auto"/>
              </w:rPr>
            </w:pPr>
          </w:p>
        </w:tc>
        <w:tc>
          <w:tcPr>
            <w:tcW w:w="1440" w:type="dxa"/>
            <w:vAlign w:val="bottom"/>
            <w:tcBorders>
              <w:top w:val="single" w:sz="8" w:color="8E939F"/>
              <w:bottom w:val="single" w:sz="8" w:color="8E939F"/>
            </w:tcBorders>
            <w:shd w:val="clear" w:color="auto" w:fill="F3F3F9"/>
          </w:tcPr>
          <w:p>
            <w:pPr>
              <w:spacing w:after="0"/>
              <w:rPr>
                <w:sz w:val="21"/>
                <w:szCs w:val="21"/>
                <w:color w:val="auto"/>
              </w:rPr>
            </w:pPr>
          </w:p>
        </w:tc>
        <w:tc>
          <w:tcPr>
            <w:tcW w:w="1640" w:type="dxa"/>
            <w:vAlign w:val="bottom"/>
            <w:tcBorders>
              <w:top w:val="single" w:sz="8" w:color="8E939F"/>
              <w:bottom w:val="single" w:sz="8" w:color="8E939F"/>
            </w:tcBorders>
          </w:tcPr>
          <w:p>
            <w:pPr>
              <w:spacing w:after="0"/>
              <w:rPr>
                <w:sz w:val="21"/>
                <w:szCs w:val="21"/>
                <w:color w:val="auto"/>
              </w:rPr>
            </w:pPr>
          </w:p>
        </w:tc>
        <w:tc>
          <w:tcPr>
            <w:tcW w:w="1440" w:type="dxa"/>
            <w:vAlign w:val="bottom"/>
            <w:tcBorders>
              <w:top w:val="single" w:sz="8" w:color="8E939F"/>
              <w:bottom w:val="single" w:sz="8" w:color="8E939F"/>
            </w:tcBorders>
            <w:shd w:val="clear" w:color="auto" w:fill="F3F3F9"/>
          </w:tcPr>
          <w:p>
            <w:pPr>
              <w:spacing w:after="0"/>
              <w:rPr>
                <w:sz w:val="21"/>
                <w:szCs w:val="21"/>
                <w:color w:val="auto"/>
              </w:rPr>
            </w:pPr>
          </w:p>
        </w:tc>
        <w:tc>
          <w:tcPr>
            <w:tcW w:w="156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Total Financial expenses and Net expenses from derivative</w:t>
            </w:r>
          </w:p>
        </w:tc>
        <w:tc>
          <w:tcPr>
            <w:tcW w:w="1440" w:type="dxa"/>
            <w:vAlign w:val="bottom"/>
            <w:shd w:val="clear" w:color="auto" w:fill="E6E7F4"/>
          </w:tcPr>
          <w:p>
            <w:pPr>
              <w:spacing w:after="0"/>
              <w:rPr>
                <w:sz w:val="18"/>
                <w:szCs w:val="18"/>
                <w:color w:val="auto"/>
              </w:rPr>
            </w:pPr>
          </w:p>
        </w:tc>
        <w:tc>
          <w:tcPr>
            <w:tcW w:w="1640" w:type="dxa"/>
            <w:vAlign w:val="bottom"/>
            <w:shd w:val="clear" w:color="auto" w:fill="E6E7F4"/>
          </w:tcPr>
          <w:p>
            <w:pPr>
              <w:spacing w:after="0"/>
              <w:rPr>
                <w:sz w:val="18"/>
                <w:szCs w:val="18"/>
                <w:color w:val="auto"/>
              </w:rPr>
            </w:pPr>
          </w:p>
        </w:tc>
        <w:tc>
          <w:tcPr>
            <w:tcW w:w="1440" w:type="dxa"/>
            <w:vAlign w:val="bottom"/>
            <w:shd w:val="clear" w:color="auto" w:fill="E6E7F4"/>
          </w:tcPr>
          <w:p>
            <w:pPr>
              <w:spacing w:after="0"/>
              <w:rPr>
                <w:sz w:val="18"/>
                <w:szCs w:val="18"/>
                <w:color w:val="auto"/>
              </w:rPr>
            </w:pPr>
          </w:p>
        </w:tc>
        <w:tc>
          <w:tcPr>
            <w:tcW w:w="1560" w:type="dxa"/>
            <w:vAlign w:val="bottom"/>
            <w:shd w:val="clear" w:color="auto" w:fill="E6E7F4"/>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financial instruments and exchange rate differences</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435</w:t>
            </w:r>
          </w:p>
        </w:tc>
        <w:tc>
          <w:tcPr>
            <w:tcW w:w="164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315</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1,257</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1,114</w:t>
            </w:r>
          </w:p>
        </w:tc>
        <w:tc>
          <w:tcPr>
            <w:tcW w:w="0" w:type="dxa"/>
            <w:vAlign w:val="bottom"/>
          </w:tcPr>
          <w:p>
            <w:pPr>
              <w:spacing w:after="0"/>
              <w:rPr>
                <w:sz w:val="1"/>
                <w:szCs w:val="1"/>
                <w:color w:val="auto"/>
              </w:rPr>
            </w:pPr>
          </w:p>
        </w:tc>
      </w:tr>
      <w:tr>
        <w:trPr>
          <w:trHeight w:val="254"/>
        </w:trPr>
        <w:tc>
          <w:tcPr>
            <w:tcW w:w="516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640" w:type="dxa"/>
            <w:vAlign w:val="bottom"/>
            <w:tcBorders>
              <w:bottom w:val="single" w:sz="8" w:color="8E939F"/>
            </w:tcBorders>
          </w:tcPr>
          <w:p>
            <w:pPr>
              <w:spacing w:after="0"/>
              <w:rPr>
                <w:sz w:val="22"/>
                <w:szCs w:val="22"/>
                <w:color w:val="auto"/>
              </w:rPr>
            </w:pPr>
          </w:p>
        </w:tc>
        <w:tc>
          <w:tcPr>
            <w:tcW w:w="1440" w:type="dxa"/>
            <w:vAlign w:val="bottom"/>
            <w:tcBorders>
              <w:bottom w:val="single" w:sz="8" w:color="8E939F"/>
            </w:tcBorders>
          </w:tcPr>
          <w:p>
            <w:pPr>
              <w:spacing w:after="0"/>
              <w:rPr>
                <w:sz w:val="22"/>
                <w:szCs w:val="22"/>
                <w:color w:val="auto"/>
              </w:rPr>
            </w:pPr>
          </w:p>
        </w:tc>
        <w:tc>
          <w:tcPr>
            <w:tcW w:w="1560" w:type="dxa"/>
            <w:vAlign w:val="bottom"/>
            <w:tcBorders>
              <w:bottom w:val="single" w:sz="8" w:color="8E939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Net financial expenses/(income)</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201</w:t>
            </w:r>
          </w:p>
        </w:tc>
        <w:tc>
          <w:tcPr>
            <w:tcW w:w="164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(6)</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553</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154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For the three months ended September 30, 2026, Net financial expenses were €201 million compared to a Net financial income of €6 million in the corresponding period in 2025, primarily due to the impact of discounting on warranty provisions, reflecting the increase in contractual warranty provisions following the change in estimate accounted for in 2025, as well as an increase in interest rates, lower capitalized interest and lower interest income from liquidity investments.</w:t>
      </w:r>
    </w:p>
    <w:p>
      <w:pPr>
        <w:spacing w:after="0" w:line="176" w:lineRule="exact"/>
        <w:rPr>
          <w:sz w:val="20"/>
          <w:szCs w:val="20"/>
          <w:color w:val="auto"/>
        </w:rPr>
      </w:pPr>
    </w:p>
    <w:p>
      <w:pPr>
        <w:ind w:right="80"/>
        <w:spacing w:after="0" w:line="306" w:lineRule="auto"/>
        <w:rPr>
          <w:sz w:val="20"/>
          <w:szCs w:val="20"/>
          <w:color w:val="auto"/>
        </w:rPr>
      </w:pPr>
      <w:r>
        <w:rPr>
          <w:rFonts w:ascii="Arial" w:cs="Arial" w:eastAsia="Arial" w:hAnsi="Arial"/>
          <w:sz w:val="18"/>
          <w:szCs w:val="18"/>
          <w:color w:val="auto"/>
        </w:rPr>
        <w:t>For the nine months ended September 30, 2026, Net financial expenses were €553 million, compared with €154 million in the corresponding period in 2025. The increase primarily reflected lower interest income from liquidity investments due to both reduced liquidity levels and a decline in short-term market rates, the impact of discounting on warranty provisions, reflecting the increase in the contractual warranty provisions following the change in estimate accounted for in 2025 and lower capitalized interest, partially offset by the non-recurrence of €138 million of expenses related to the termination of commodity derivative contracts in 2025.</w:t>
      </w:r>
    </w:p>
    <w:p>
      <w:pPr>
        <w:spacing w:after="0" w:line="179" w:lineRule="exact"/>
        <w:rPr>
          <w:sz w:val="20"/>
          <w:szCs w:val="20"/>
          <w:color w:val="auto"/>
        </w:rPr>
      </w:pPr>
    </w:p>
    <w:p>
      <w:pPr>
        <w:ind w:right="280"/>
        <w:spacing w:after="0" w:line="309" w:lineRule="auto"/>
        <w:rPr>
          <w:sz w:val="20"/>
          <w:szCs w:val="20"/>
          <w:color w:val="auto"/>
        </w:rPr>
      </w:pPr>
      <w:r>
        <w:rPr>
          <w:rFonts w:ascii="Arial" w:cs="Arial" w:eastAsia="Arial" w:hAnsi="Arial"/>
          <w:sz w:val="18"/>
          <w:szCs w:val="18"/>
          <w:color w:val="auto"/>
        </w:rPr>
        <w:t>Net financial expenses for the nine months ended September 30, 2026 included €50 million of losses (€81 million of losses for the nine months ended September 30, 2025) on the net monetary position of entities whose functional currency is the currency of hyperinflationary economies, relating to the Argentine Peso and to the Turkish Lira. The decrease primarily reflects the disposal of Stellantis Türkiye that occurred in April 2025.</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5. Tax expense/(benefit)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Tax expense/(benefit)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19"/>
                <w:szCs w:val="19"/>
                <w:color w:val="auto"/>
              </w:rPr>
            </w:pPr>
          </w:p>
        </w:tc>
        <w:tc>
          <w:tcPr>
            <w:tcW w:w="3080" w:type="dxa"/>
            <w:vAlign w:val="bottom"/>
            <w:tcBorders>
              <w:bottom w:val="single" w:sz="8" w:color="8E939F"/>
            </w:tcBorders>
            <w:gridSpan w:val="3"/>
          </w:tcPr>
          <w:p>
            <w:pPr>
              <w:jc w:val="right"/>
              <w:ind w:right="139"/>
              <w:spacing w:after="0"/>
              <w:rPr>
                <w:sz w:val="20"/>
                <w:szCs w:val="20"/>
                <w:color w:val="auto"/>
              </w:rPr>
            </w:pPr>
            <w:r>
              <w:rPr>
                <w:rFonts w:ascii="Arial" w:cs="Arial" w:eastAsia="Arial" w:hAnsi="Arial"/>
                <w:sz w:val="16"/>
                <w:szCs w:val="16"/>
                <w:b w:val="1"/>
                <w:bCs w:val="1"/>
                <w:color w:val="243782"/>
              </w:rPr>
              <w:t>Three months ended September 30,</w:t>
            </w:r>
          </w:p>
        </w:tc>
        <w:tc>
          <w:tcPr>
            <w:tcW w:w="3000" w:type="dxa"/>
            <w:vAlign w:val="bottom"/>
            <w:tcBorders>
              <w:bottom w:val="single" w:sz="8" w:color="8E939F"/>
            </w:tcBorders>
            <w:gridSpan w:val="2"/>
          </w:tcPr>
          <w:p>
            <w:pPr>
              <w:jc w:val="right"/>
              <w:ind w:right="99"/>
              <w:spacing w:after="0"/>
              <w:rPr>
                <w:sz w:val="20"/>
                <w:szCs w:val="20"/>
                <w:color w:val="auto"/>
              </w:rPr>
            </w:pPr>
            <w:r>
              <w:rPr>
                <w:rFonts w:ascii="Arial" w:cs="Arial" w:eastAsia="Arial" w:hAnsi="Arial"/>
                <w:sz w:val="16"/>
                <w:szCs w:val="16"/>
                <w:b w:val="1"/>
                <w:bCs w:val="1"/>
                <w:color w:val="243782"/>
              </w:rPr>
              <w:t>Nine months ended September 30,</w:t>
            </w:r>
          </w:p>
        </w:tc>
      </w:tr>
      <w:tr>
        <w:trPr>
          <w:trHeight w:val="205"/>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20" w:type="dxa"/>
            <w:vAlign w:val="bottom"/>
            <w:shd w:val="clear" w:color="auto" w:fill="F3F3F9"/>
          </w:tcPr>
          <w:p>
            <w:pPr>
              <w:spacing w:after="0"/>
              <w:rPr>
                <w:sz w:val="17"/>
                <w:szCs w:val="17"/>
                <w:color w:val="auto"/>
              </w:rPr>
            </w:pPr>
          </w:p>
        </w:tc>
        <w:tc>
          <w:tcPr>
            <w:tcW w:w="420" w:type="dxa"/>
            <w:vAlign w:val="bottom"/>
            <w:shd w:val="clear" w:color="auto" w:fill="F3F3F9"/>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shd w:val="clear" w:color="auto" w:fill="F3F3F9"/>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5160" w:type="dxa"/>
            <w:vAlign w:val="bottom"/>
            <w:tcBorders>
              <w:bottom w:val="single" w:sz="8" w:color="8E939F"/>
            </w:tcBorders>
          </w:tcPr>
          <w:p>
            <w:pPr>
              <w:spacing w:after="0"/>
              <w:rPr>
                <w:sz w:val="20"/>
                <w:szCs w:val="20"/>
                <w:color w:val="auto"/>
              </w:rPr>
            </w:pPr>
          </w:p>
        </w:tc>
        <w:tc>
          <w:tcPr>
            <w:tcW w:w="1020" w:type="dxa"/>
            <w:vAlign w:val="bottom"/>
            <w:tcBorders>
              <w:bottom w:val="single" w:sz="8" w:color="8E939F"/>
            </w:tcBorders>
            <w:shd w:val="clear" w:color="auto" w:fill="F3F3F9"/>
          </w:tcPr>
          <w:p>
            <w:pPr>
              <w:jc w:val="right"/>
              <w:ind w:right="39"/>
              <w:spacing w:after="0"/>
              <w:rPr>
                <w:sz w:val="20"/>
                <w:szCs w:val="20"/>
                <w:color w:val="auto"/>
              </w:rPr>
            </w:pPr>
            <w:r>
              <w:rPr>
                <w:rFonts w:ascii="Arial" w:cs="Arial" w:eastAsia="Arial" w:hAnsi="Arial"/>
                <w:sz w:val="16"/>
                <w:szCs w:val="16"/>
                <w:b w:val="1"/>
                <w:bCs w:val="1"/>
                <w:color w:val="243782"/>
              </w:rPr>
              <w:t>2026</w:t>
            </w:r>
          </w:p>
        </w:tc>
        <w:tc>
          <w:tcPr>
            <w:tcW w:w="420" w:type="dxa"/>
            <w:vAlign w:val="bottom"/>
            <w:tcBorders>
              <w:bottom w:val="single" w:sz="8" w:color="8E939F"/>
            </w:tcBorders>
            <w:shd w:val="clear" w:color="auto" w:fill="F3F3F9"/>
          </w:tcPr>
          <w:p>
            <w:pPr>
              <w:spacing w:after="0"/>
              <w:rPr>
                <w:sz w:val="20"/>
                <w:szCs w:val="20"/>
                <w:color w:val="auto"/>
              </w:rPr>
            </w:pPr>
          </w:p>
        </w:tc>
        <w:tc>
          <w:tcPr>
            <w:tcW w:w="1640" w:type="dxa"/>
            <w:vAlign w:val="bottom"/>
            <w:tcBorders>
              <w:bottom w:val="single" w:sz="8" w:color="8E939F"/>
            </w:tcBorders>
          </w:tcPr>
          <w:p>
            <w:pPr>
              <w:jc w:val="right"/>
              <w:ind w:right="559"/>
              <w:spacing w:after="0"/>
              <w:rPr>
                <w:sz w:val="20"/>
                <w:szCs w:val="20"/>
                <w:color w:val="auto"/>
              </w:rPr>
            </w:pPr>
            <w:r>
              <w:rPr>
                <w:rFonts w:ascii="Arial" w:cs="Arial" w:eastAsia="Arial" w:hAnsi="Arial"/>
                <w:sz w:val="16"/>
                <w:szCs w:val="16"/>
                <w:b w:val="1"/>
                <w:bCs w:val="1"/>
                <w:color w:val="243782"/>
              </w:rPr>
              <w:t>2025</w:t>
            </w:r>
          </w:p>
        </w:tc>
        <w:tc>
          <w:tcPr>
            <w:tcW w:w="1440" w:type="dxa"/>
            <w:vAlign w:val="bottom"/>
            <w:tcBorders>
              <w:bottom w:val="single" w:sz="8" w:color="8E939F"/>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6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b w:val="1"/>
                <w:bCs w:val="1"/>
                <w:color w:val="243782"/>
              </w:rPr>
              <w:t>2025</w:t>
            </w:r>
          </w:p>
        </w:tc>
      </w:tr>
      <w:tr>
        <w:trPr>
          <w:trHeight w:val="247"/>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tax expense/(benefit)</w:t>
            </w:r>
          </w:p>
        </w:tc>
        <w:tc>
          <w:tcPr>
            <w:tcW w:w="1020" w:type="dxa"/>
            <w:vAlign w:val="bottom"/>
            <w:tcBorders>
              <w:bottom w:val="single" w:sz="8" w:color="8E939F"/>
            </w:tcBorders>
            <w:shd w:val="clear" w:color="auto" w:fill="F3F3F9"/>
          </w:tcPr>
          <w:p>
            <w:pPr>
              <w:spacing w:after="0"/>
              <w:rPr>
                <w:sz w:val="21"/>
                <w:szCs w:val="21"/>
                <w:color w:val="auto"/>
              </w:rPr>
            </w:pPr>
          </w:p>
        </w:tc>
        <w:tc>
          <w:tcPr>
            <w:tcW w:w="420" w:type="dxa"/>
            <w:vAlign w:val="bottom"/>
            <w:tcBorders>
              <w:bottom w:val="single" w:sz="8" w:color="8E939F"/>
            </w:tcBorders>
            <w:shd w:val="clear" w:color="auto" w:fill="F3F3F9"/>
          </w:tcPr>
          <w:p>
            <w:pPr>
              <w:jc w:val="center"/>
              <w:ind w:left="19"/>
              <w:spacing w:after="0"/>
              <w:rPr>
                <w:sz w:val="20"/>
                <w:szCs w:val="20"/>
                <w:color w:val="auto"/>
              </w:rPr>
            </w:pPr>
            <w:r>
              <w:rPr>
                <w:rFonts w:ascii="Arial" w:cs="Arial" w:eastAsia="Arial" w:hAnsi="Arial"/>
                <w:sz w:val="16"/>
                <w:szCs w:val="16"/>
                <w:color w:val="auto"/>
                <w:w w:val="98"/>
              </w:rPr>
              <w:t>(18)</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277</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443</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584</w:t>
            </w: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Deferred tax expense/(benefit)</w:t>
            </w:r>
          </w:p>
        </w:tc>
        <w:tc>
          <w:tcPr>
            <w:tcW w:w="1020" w:type="dxa"/>
            <w:vAlign w:val="bottom"/>
            <w:tcBorders>
              <w:bottom w:val="single" w:sz="8" w:color="8E939F"/>
            </w:tcBorders>
            <w:shd w:val="clear" w:color="auto" w:fill="F3F3F9"/>
          </w:tcPr>
          <w:p>
            <w:pPr>
              <w:spacing w:after="0"/>
              <w:rPr>
                <w:sz w:val="21"/>
                <w:szCs w:val="21"/>
                <w:color w:val="auto"/>
              </w:rPr>
            </w:pPr>
          </w:p>
        </w:tc>
        <w:tc>
          <w:tcPr>
            <w:tcW w:w="420" w:type="dxa"/>
            <w:vAlign w:val="bottom"/>
            <w:tcBorders>
              <w:bottom w:val="single" w:sz="8" w:color="8E939F"/>
            </w:tcBorders>
            <w:shd w:val="clear" w:color="auto" w:fill="F3F3F9"/>
          </w:tcPr>
          <w:p>
            <w:pPr>
              <w:jc w:val="center"/>
              <w:ind w:left="19"/>
              <w:spacing w:after="0"/>
              <w:rPr>
                <w:sz w:val="20"/>
                <w:szCs w:val="20"/>
                <w:color w:val="auto"/>
              </w:rPr>
            </w:pPr>
            <w:r>
              <w:rPr>
                <w:rFonts w:ascii="Arial" w:cs="Arial" w:eastAsia="Arial" w:hAnsi="Arial"/>
                <w:sz w:val="16"/>
                <w:szCs w:val="16"/>
                <w:color w:val="auto"/>
                <w:w w:val="98"/>
              </w:rPr>
              <w:t>(95)</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(1,542)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(74)</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(2,412)</w:t>
            </w: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Tax expense/(benefit) relating to prior periods</w:t>
            </w:r>
          </w:p>
        </w:tc>
        <w:tc>
          <w:tcPr>
            <w:tcW w:w="1020" w:type="dxa"/>
            <w:vAlign w:val="bottom"/>
            <w:tcBorders>
              <w:bottom w:val="single" w:sz="8" w:color="8E939F"/>
            </w:tcBorders>
            <w:shd w:val="clear" w:color="auto" w:fill="F3F3F9"/>
          </w:tcPr>
          <w:p>
            <w:pPr>
              <w:spacing w:after="0"/>
              <w:rPr>
                <w:sz w:val="21"/>
                <w:szCs w:val="21"/>
                <w:color w:val="auto"/>
              </w:rPr>
            </w:pPr>
          </w:p>
        </w:tc>
        <w:tc>
          <w:tcPr>
            <w:tcW w:w="420" w:type="dxa"/>
            <w:vAlign w:val="bottom"/>
            <w:tcBorders>
              <w:bottom w:val="single" w:sz="8" w:color="8E939F"/>
            </w:tcBorders>
            <w:shd w:val="clear" w:color="auto" w:fill="F3F3F9"/>
          </w:tcPr>
          <w:p>
            <w:pPr>
              <w:jc w:val="center"/>
              <w:ind w:left="39"/>
              <w:spacing w:after="0"/>
              <w:rPr>
                <w:sz w:val="20"/>
                <w:szCs w:val="20"/>
                <w:color w:val="auto"/>
              </w:rPr>
            </w:pPr>
            <w:r>
              <w:rPr>
                <w:rFonts w:ascii="Arial" w:cs="Arial" w:eastAsia="Arial" w:hAnsi="Arial"/>
                <w:sz w:val="16"/>
                <w:szCs w:val="16"/>
                <w:color w:val="auto"/>
              </w:rPr>
              <w:t>34</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102</w:t>
            </w:r>
          </w:p>
        </w:tc>
        <w:tc>
          <w:tcPr>
            <w:tcW w:w="14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(80)</w:t>
            </w:r>
          </w:p>
        </w:tc>
        <w:tc>
          <w:tcPr>
            <w:tcW w:w="15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51</w:t>
            </w:r>
          </w:p>
        </w:tc>
      </w:tr>
      <w:tr>
        <w:trPr>
          <w:trHeight w:val="253"/>
        </w:trPr>
        <w:tc>
          <w:tcPr>
            <w:tcW w:w="6180" w:type="dxa"/>
            <w:vAlign w:val="bottom"/>
            <w:tcBorders>
              <w:bottom w:val="single" w:sz="8" w:color="8E939F"/>
            </w:tcBorders>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Total Tax expense/(benefit)</w:t>
            </w:r>
          </w:p>
        </w:tc>
        <w:tc>
          <w:tcPr>
            <w:tcW w:w="420" w:type="dxa"/>
            <w:vAlign w:val="bottom"/>
            <w:tcBorders>
              <w:bottom w:val="single" w:sz="8" w:color="8E939F"/>
            </w:tcBorders>
            <w:shd w:val="clear" w:color="auto" w:fill="E6E7F4"/>
          </w:tcPr>
          <w:p>
            <w:pPr>
              <w:jc w:val="center"/>
              <w:ind w:left="19"/>
              <w:spacing w:after="0"/>
              <w:rPr>
                <w:sz w:val="20"/>
                <w:szCs w:val="20"/>
                <w:color w:val="auto"/>
              </w:rPr>
            </w:pPr>
            <w:r>
              <w:rPr>
                <w:rFonts w:ascii="Arial" w:cs="Arial" w:eastAsia="Arial" w:hAnsi="Arial"/>
                <w:sz w:val="16"/>
                <w:szCs w:val="16"/>
                <w:b w:val="1"/>
                <w:bCs w:val="1"/>
                <w:color w:val="243782"/>
                <w:w w:val="98"/>
              </w:rPr>
              <w:t>(79)</w:t>
            </w:r>
          </w:p>
        </w:tc>
        <w:tc>
          <w:tcPr>
            <w:tcW w:w="164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(1,163)</w:t>
            </w:r>
          </w:p>
        </w:tc>
        <w:tc>
          <w:tcPr>
            <w:tcW w:w="14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289</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(1,777)</w:t>
            </w:r>
          </w:p>
        </w:tc>
      </w:tr>
    </w:tbl>
    <w:p>
      <w:pPr>
        <w:spacing w:after="0" w:line="319"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A tax benefit of €79 million was recognized for the three months ended September 30, 2026, compared with a tax benefit of €1,163 million for the corresponding period in 2025. The three-month variance primarily reflected significantly larger pre-tax losses in the third quarter of 2025 than in the third quarter of 2026. For the nine months ended September 30, 2026, the Company recognized tax expense of €289 million, compared with a tax benefit of €1,777 million in the corresponding prior-year period. The nine-month variance primarily reflected the Company’s transition from a pre-tax loss in 2025 to pre-tax income in 2026.</w:t>
      </w:r>
    </w:p>
    <w:p>
      <w:pPr>
        <w:spacing w:after="0" w:line="179" w:lineRule="exact"/>
        <w:rPr>
          <w:sz w:val="20"/>
          <w:szCs w:val="20"/>
          <w:color w:val="auto"/>
        </w:rPr>
      </w:pPr>
    </w:p>
    <w:p>
      <w:pPr>
        <w:ind w:right="20"/>
        <w:spacing w:after="0" w:line="304" w:lineRule="auto"/>
        <w:rPr>
          <w:sz w:val="20"/>
          <w:szCs w:val="20"/>
          <w:color w:val="auto"/>
        </w:rPr>
      </w:pPr>
      <w:r>
        <w:rPr>
          <w:rFonts w:ascii="Arial" w:cs="Arial" w:eastAsia="Arial" w:hAnsi="Arial"/>
          <w:sz w:val="18"/>
          <w:szCs w:val="18"/>
          <w:color w:val="auto"/>
        </w:rPr>
        <w:t>The Company has assessed the impact of the Pillar Two tax rules on its operations. Many countries, including the Netherlands, where the Company is tax resident, enacted these rules in 2024. As a result, the Pillar Two rules are effective for Stellantis from January 1, 2024. For these Interim Condensed Consolidated Financial Statements, the impact of Pillar Two is immaterial and relates to the Company’s operations in countries where the Pillar Two transitional safe harbor does not apply and the Pillar Two effective rate is below 15 percent. The Company has applied the mandatory exception to recognizing and disclosing information about deferred tax assets and liabilities arising from Pillar Two income taxes.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6. Goodwill and intangible assets with indefinite useful lives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with indefinite useful lives at September 30, 2026 and at December 31, 2025 are summarized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228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4"/>
        </w:trPr>
        <w:tc>
          <w:tcPr>
            <w:tcW w:w="6560" w:type="dxa"/>
            <w:vAlign w:val="bottom"/>
            <w:tcBorders>
              <w:bottom w:val="single" w:sz="8" w:color="8E939F"/>
            </w:tcBorders>
          </w:tcPr>
          <w:p>
            <w:pPr>
              <w:spacing w:after="0"/>
              <w:rPr>
                <w:sz w:val="20"/>
                <w:szCs w:val="20"/>
                <w:color w:val="auto"/>
              </w:rPr>
            </w:pPr>
          </w:p>
        </w:tc>
        <w:tc>
          <w:tcPr>
            <w:tcW w:w="2280" w:type="dxa"/>
            <w:vAlign w:val="bottom"/>
            <w:tcBorders>
              <w:bottom w:val="single" w:sz="8" w:color="143A84"/>
            </w:tcBorders>
          </w:tcPr>
          <w:p>
            <w:pPr>
              <w:jc w:val="right"/>
              <w:ind w:right="199"/>
              <w:spacing w:after="0"/>
              <w:rPr>
                <w:sz w:val="20"/>
                <w:szCs w:val="20"/>
                <w:color w:val="auto"/>
              </w:rPr>
            </w:pPr>
            <w:r>
              <w:rPr>
                <w:rFonts w:ascii="Arial" w:cs="Arial" w:eastAsia="Arial" w:hAnsi="Arial"/>
                <w:sz w:val="16"/>
                <w:szCs w:val="16"/>
                <w:b w:val="1"/>
                <w:bCs w:val="1"/>
                <w:color w:val="243782"/>
              </w:rPr>
              <w:t>At September 30, 2026</w:t>
            </w:r>
          </w:p>
        </w:tc>
        <w:tc>
          <w:tcPr>
            <w:tcW w:w="2380" w:type="dxa"/>
            <w:vAlign w:val="bottom"/>
            <w:tcBorders>
              <w:bottom w:val="single" w:sz="8" w:color="143A84"/>
            </w:tcBorders>
          </w:tcPr>
          <w:p>
            <w:pPr>
              <w:jc w:val="right"/>
              <w:ind w:right="239"/>
              <w:spacing w:after="0"/>
              <w:rPr>
                <w:sz w:val="20"/>
                <w:szCs w:val="20"/>
                <w:color w:val="auto"/>
              </w:rPr>
            </w:pPr>
            <w:r>
              <w:rPr>
                <w:rFonts w:ascii="Arial" w:cs="Arial" w:eastAsia="Arial" w:hAnsi="Arial"/>
                <w:sz w:val="16"/>
                <w:szCs w:val="16"/>
                <w:b w:val="1"/>
                <w:bCs w:val="1"/>
                <w:color w:val="243782"/>
              </w:rPr>
              <w:t>At December 31, 2025</w:t>
            </w:r>
          </w:p>
        </w:tc>
      </w:tr>
      <w:tr>
        <w:trPr>
          <w:trHeight w:val="247"/>
        </w:trPr>
        <w:tc>
          <w:tcPr>
            <w:tcW w:w="65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Goodwill</w:t>
            </w:r>
          </w:p>
        </w:tc>
        <w:tc>
          <w:tcPr>
            <w:tcW w:w="22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14,461</w:t>
            </w:r>
          </w:p>
        </w:tc>
        <w:tc>
          <w:tcPr>
            <w:tcW w:w="2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14,009</w:t>
            </w:r>
          </w:p>
        </w:tc>
      </w:tr>
      <w:tr>
        <w:trPr>
          <w:trHeight w:val="250"/>
        </w:trPr>
        <w:tc>
          <w:tcPr>
            <w:tcW w:w="65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intangible assets with indefinite useful lives</w:t>
            </w:r>
          </w:p>
        </w:tc>
        <w:tc>
          <w:tcPr>
            <w:tcW w:w="22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15,554</w:t>
            </w:r>
          </w:p>
        </w:tc>
        <w:tc>
          <w:tcPr>
            <w:tcW w:w="2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15,167</w:t>
            </w:r>
          </w:p>
        </w:tc>
      </w:tr>
      <w:tr>
        <w:trPr>
          <w:trHeight w:val="253"/>
        </w:trPr>
        <w:tc>
          <w:tcPr>
            <w:tcW w:w="65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Goodwill and intangible assets with indefinite useful lives</w:t>
            </w:r>
          </w:p>
        </w:tc>
        <w:tc>
          <w:tcPr>
            <w:tcW w:w="22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30,015</w:t>
            </w:r>
          </w:p>
        </w:tc>
        <w:tc>
          <w:tcPr>
            <w:tcW w:w="23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29,176</w:t>
            </w:r>
          </w:p>
        </w:tc>
      </w:tr>
    </w:tbl>
    <w:p>
      <w:pPr>
        <w:spacing w:after="0" w:line="319"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At September 30, 2026, Goodwill amounted to €14,461 million, with a gross value of €15,099 million and accumulated impairment losses of €638 million.</w:t>
      </w:r>
    </w:p>
    <w:p>
      <w:pPr>
        <w:spacing w:after="0" w:line="153"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At December 31, 2025, Goodwill amounted to €14,009 million, with a gross value of €14,647 million and accumulated impairment losses of €638 million.</w:t>
      </w:r>
    </w:p>
    <w:p>
      <w:pPr>
        <w:spacing w:after="0" w:line="153" w:lineRule="exact"/>
        <w:rPr>
          <w:sz w:val="20"/>
          <w:szCs w:val="20"/>
          <w:color w:val="auto"/>
        </w:rPr>
      </w:pPr>
    </w:p>
    <w:p>
      <w:pPr>
        <w:ind w:right="460"/>
        <w:spacing w:after="0" w:line="334" w:lineRule="auto"/>
        <w:rPr>
          <w:sz w:val="20"/>
          <w:szCs w:val="20"/>
          <w:color w:val="auto"/>
        </w:rPr>
      </w:pPr>
      <w:r>
        <w:rPr>
          <w:rFonts w:ascii="Arial" w:cs="Arial" w:eastAsia="Arial" w:hAnsi="Arial"/>
          <w:sz w:val="18"/>
          <w:szCs w:val="18"/>
          <w:color w:val="auto"/>
        </w:rPr>
        <w:t>The increase in Goodwill and Other intangible assets with indefinite useful lives during the nine months ended September 30, 2026 was primarily related to currency translation impacts driven by the strengthening of the Brazilian Real and U.S. Dollar against the Euro.</w:t>
      </w:r>
    </w:p>
    <w:p>
      <w:pPr>
        <w:sectPr>
          <w:pgSz w:w="11900" w:h="16838" w:orient="portrait"/>
          <w:cols w:equalWidth="0" w:num="1">
            <w:col w:w="11240"/>
          </w:cols>
          <w:pgMar w:left="320" w:top="1440"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7. Investments accounted for using equity method</w:t>
      </w:r>
    </w:p>
    <w:p>
      <w:pPr>
        <w:spacing w:after="0" w:line="252"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During the three months ended September 30, 2026, the Company recognized an impairment loss of €118 million within Share of profit/(loss) of equity method investments, resulting in the full impairment of its investment in Leasys SAS (“Leasys”), a joint venture focused on pan-European, multi-brand long-term operational leasing activities. The impairment loss, which was recognized within Other activities, reflected management’s updated assessment of the recoverable amount of the investment at September 30, 2026, following continued deterioration in market conditions, including pressure on residual values, lower expected disposal proceeds, decreased revenue and reduced expectations for the future profitability of the leasing portfolio.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8. Other assets and prepaid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prepaid expenses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spacing w:after="0"/>
              <w:rPr>
                <w:sz w:val="19"/>
                <w:szCs w:val="19"/>
                <w:color w:val="auto"/>
              </w:rPr>
            </w:pPr>
          </w:p>
        </w:tc>
        <w:tc>
          <w:tcPr>
            <w:tcW w:w="2760" w:type="dxa"/>
            <w:vAlign w:val="bottom"/>
            <w:tcBorders>
              <w:bottom w:val="single" w:sz="8" w:color="8E939F"/>
            </w:tcBorders>
            <w:gridSpan w:val="3"/>
          </w:tcPr>
          <w:p>
            <w:pPr>
              <w:ind w:left="920"/>
              <w:spacing w:after="0"/>
              <w:rPr>
                <w:sz w:val="20"/>
                <w:szCs w:val="20"/>
                <w:color w:val="auto"/>
              </w:rPr>
            </w:pPr>
            <w:r>
              <w:rPr>
                <w:rFonts w:ascii="Arial" w:cs="Arial" w:eastAsia="Arial" w:hAnsi="Arial"/>
                <w:sz w:val="16"/>
                <w:szCs w:val="16"/>
                <w:b w:val="1"/>
                <w:bCs w:val="1"/>
                <w:color w:val="243782"/>
              </w:rPr>
              <w:t>At September 30, 2026</w:t>
            </w:r>
          </w:p>
        </w:tc>
        <w:tc>
          <w:tcPr>
            <w:tcW w:w="820" w:type="dxa"/>
            <w:vAlign w:val="bottom"/>
            <w:tcBorders>
              <w:bottom w:val="single" w:sz="8" w:color="8E939F"/>
            </w:tcBorders>
          </w:tcPr>
          <w:p>
            <w:pPr>
              <w:spacing w:after="0"/>
              <w:rPr>
                <w:sz w:val="19"/>
                <w:szCs w:val="19"/>
                <w:color w:val="auto"/>
              </w:rPr>
            </w:pPr>
          </w:p>
        </w:tc>
        <w:tc>
          <w:tcPr>
            <w:tcW w:w="2880" w:type="dxa"/>
            <w:vAlign w:val="bottom"/>
            <w:tcBorders>
              <w:bottom w:val="single" w:sz="8" w:color="8E939F"/>
            </w:tcBorders>
            <w:gridSpan w:val="2"/>
          </w:tcPr>
          <w:p>
            <w:pPr>
              <w:jc w:val="right"/>
              <w:ind w:right="40"/>
              <w:spacing w:after="0"/>
              <w:rPr>
                <w:sz w:val="20"/>
                <w:szCs w:val="20"/>
                <w:color w:val="auto"/>
              </w:rPr>
            </w:pPr>
            <w:r>
              <w:rPr>
                <w:rFonts w:ascii="Arial" w:cs="Arial" w:eastAsia="Arial" w:hAnsi="Arial"/>
                <w:sz w:val="16"/>
                <w:szCs w:val="16"/>
                <w:b w:val="1"/>
                <w:bCs w:val="1"/>
                <w:color w:val="243782"/>
              </w:rPr>
              <w:t>At December 31, 2025</w:t>
            </w:r>
          </w:p>
        </w:tc>
        <w:tc>
          <w:tcPr>
            <w:tcW w:w="840" w:type="dxa"/>
            <w:vAlign w:val="bottom"/>
            <w:tcBorders>
              <w:bottom w:val="single" w:sz="8" w:color="8E939F"/>
            </w:tcBorders>
          </w:tcPr>
          <w:p>
            <w:pPr>
              <w:spacing w:after="0"/>
              <w:rPr>
                <w:sz w:val="19"/>
                <w:szCs w:val="19"/>
                <w:color w:val="auto"/>
              </w:rPr>
            </w:pPr>
          </w:p>
        </w:tc>
      </w:tr>
      <w:tr>
        <w:trPr>
          <w:trHeight w:val="208"/>
        </w:trPr>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4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3940" w:type="dxa"/>
            <w:vAlign w:val="bottom"/>
            <w:tcBorders>
              <w:bottom w:val="single" w:sz="8" w:color="143A84"/>
            </w:tcBorders>
          </w:tcPr>
          <w:p>
            <w:pPr>
              <w:spacing w:after="0"/>
              <w:rPr>
                <w:sz w:val="20"/>
                <w:szCs w:val="20"/>
                <w:color w:val="auto"/>
              </w:rPr>
            </w:pPr>
          </w:p>
        </w:tc>
        <w:tc>
          <w:tcPr>
            <w:tcW w:w="1040" w:type="dxa"/>
            <w:vAlign w:val="bottom"/>
            <w:tcBorders>
              <w:bottom w:val="single" w:sz="8" w:color="143A84"/>
            </w:tcBorders>
            <w:shd w:val="clear" w:color="auto" w:fill="F3F3F9"/>
          </w:tcPr>
          <w:p>
            <w:pPr>
              <w:jc w:val="right"/>
              <w:ind w:right="160"/>
              <w:spacing w:after="0"/>
              <w:rPr>
                <w:sz w:val="20"/>
                <w:szCs w:val="20"/>
                <w:color w:val="auto"/>
              </w:rPr>
            </w:pPr>
            <w:r>
              <w:rPr>
                <w:rFonts w:ascii="Arial" w:cs="Arial" w:eastAsia="Arial" w:hAnsi="Arial"/>
                <w:sz w:val="14"/>
                <w:szCs w:val="14"/>
                <w:b w:val="1"/>
                <w:bCs w:val="1"/>
                <w:color w:val="243782"/>
              </w:rPr>
              <w:t>Current</w:t>
            </w:r>
          </w:p>
        </w:tc>
        <w:tc>
          <w:tcPr>
            <w:tcW w:w="1460" w:type="dxa"/>
            <w:vAlign w:val="bottom"/>
            <w:tcBorders>
              <w:bottom w:val="single" w:sz="8" w:color="143A84"/>
            </w:tcBorders>
            <w:shd w:val="clear" w:color="auto" w:fill="F3F3F9"/>
          </w:tcPr>
          <w:p>
            <w:pPr>
              <w:jc w:val="right"/>
              <w:ind w:right="220"/>
              <w:spacing w:after="0"/>
              <w:rPr>
                <w:sz w:val="20"/>
                <w:szCs w:val="20"/>
                <w:color w:val="auto"/>
              </w:rPr>
            </w:pPr>
            <w:r>
              <w:rPr>
                <w:rFonts w:ascii="Arial" w:cs="Arial" w:eastAsia="Arial" w:hAnsi="Arial"/>
                <w:sz w:val="14"/>
                <w:szCs w:val="14"/>
                <w:b w:val="1"/>
                <w:bCs w:val="1"/>
                <w:color w:val="243782"/>
              </w:rPr>
              <w:t>Non-current</w:t>
            </w:r>
          </w:p>
        </w:tc>
        <w:tc>
          <w:tcPr>
            <w:tcW w:w="260" w:type="dxa"/>
            <w:vAlign w:val="bottom"/>
            <w:tcBorders>
              <w:bottom w:val="single" w:sz="8" w:color="143A84"/>
            </w:tcBorders>
            <w:shd w:val="clear" w:color="auto" w:fill="E6E7F4"/>
          </w:tcPr>
          <w:p>
            <w:pPr>
              <w:spacing w:after="0"/>
              <w:rPr>
                <w:sz w:val="20"/>
                <w:szCs w:val="20"/>
                <w:color w:val="auto"/>
              </w:rPr>
            </w:pPr>
          </w:p>
        </w:tc>
        <w:tc>
          <w:tcPr>
            <w:tcW w:w="820" w:type="dxa"/>
            <w:vAlign w:val="bottom"/>
            <w:tcBorders>
              <w:bottom w:val="single" w:sz="8" w:color="143A84"/>
            </w:tcBorders>
            <w:shd w:val="clear" w:color="auto" w:fill="E6E7F4"/>
          </w:tcPr>
          <w:p>
            <w:pPr>
              <w:jc w:val="right"/>
              <w:ind w:right="280"/>
              <w:spacing w:after="0"/>
              <w:rPr>
                <w:sz w:val="20"/>
                <w:szCs w:val="20"/>
                <w:color w:val="auto"/>
              </w:rPr>
            </w:pPr>
            <w:r>
              <w:rPr>
                <w:rFonts w:ascii="Arial" w:cs="Arial" w:eastAsia="Arial" w:hAnsi="Arial"/>
                <w:sz w:val="14"/>
                <w:szCs w:val="14"/>
                <w:b w:val="1"/>
                <w:bCs w:val="1"/>
                <w:color w:val="243782"/>
              </w:rPr>
              <w:t>Total</w:t>
            </w:r>
          </w:p>
        </w:tc>
        <w:tc>
          <w:tcPr>
            <w:tcW w:w="1320" w:type="dxa"/>
            <w:vAlign w:val="bottom"/>
            <w:tcBorders>
              <w:bottom w:val="single" w:sz="8" w:color="143A84"/>
            </w:tcBorders>
          </w:tcPr>
          <w:p>
            <w:pPr>
              <w:jc w:val="right"/>
              <w:ind w:right="320"/>
              <w:spacing w:after="0"/>
              <w:rPr>
                <w:sz w:val="20"/>
                <w:szCs w:val="20"/>
                <w:color w:val="auto"/>
              </w:rPr>
            </w:pPr>
            <w:r>
              <w:rPr>
                <w:rFonts w:ascii="Arial" w:cs="Arial" w:eastAsia="Arial" w:hAnsi="Arial"/>
                <w:sz w:val="14"/>
                <w:szCs w:val="14"/>
                <w:b w:val="1"/>
                <w:bCs w:val="1"/>
                <w:color w:val="243782"/>
              </w:rPr>
              <w:t>Current</w:t>
            </w:r>
          </w:p>
        </w:tc>
        <w:tc>
          <w:tcPr>
            <w:tcW w:w="1560" w:type="dxa"/>
            <w:vAlign w:val="bottom"/>
            <w:tcBorders>
              <w:bottom w:val="single" w:sz="8" w:color="143A84"/>
            </w:tcBorders>
          </w:tcPr>
          <w:p>
            <w:pPr>
              <w:jc w:val="right"/>
              <w:ind w:right="480"/>
              <w:spacing w:after="0"/>
              <w:rPr>
                <w:sz w:val="20"/>
                <w:szCs w:val="20"/>
                <w:color w:val="auto"/>
              </w:rPr>
            </w:pPr>
            <w:r>
              <w:rPr>
                <w:rFonts w:ascii="Arial" w:cs="Arial" w:eastAsia="Arial" w:hAnsi="Arial"/>
                <w:sz w:val="14"/>
                <w:szCs w:val="14"/>
                <w:b w:val="1"/>
                <w:bCs w:val="1"/>
                <w:color w:val="243782"/>
              </w:rPr>
              <w:t>Non-current</w:t>
            </w:r>
          </w:p>
        </w:tc>
        <w:tc>
          <w:tcPr>
            <w:tcW w:w="840" w:type="dxa"/>
            <w:vAlign w:val="bottom"/>
            <w:tcBorders>
              <w:bottom w:val="single" w:sz="8" w:color="143A84"/>
            </w:tcBorders>
          </w:tcPr>
          <w:p>
            <w:pPr>
              <w:jc w:val="right"/>
              <w:ind w:right="300"/>
              <w:spacing w:after="0"/>
              <w:rPr>
                <w:sz w:val="20"/>
                <w:szCs w:val="20"/>
                <w:color w:val="auto"/>
              </w:rPr>
            </w:pPr>
            <w:r>
              <w:rPr>
                <w:rFonts w:ascii="Arial" w:cs="Arial" w:eastAsia="Arial" w:hAnsi="Arial"/>
                <w:sz w:val="14"/>
                <w:szCs w:val="14"/>
                <w:b w:val="1"/>
                <w:bCs w:val="1"/>
                <w:color w:val="243782"/>
              </w:rPr>
              <w:t>Total</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Receivables from financing activities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9,129</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11,617</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20,746</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7,867</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7,864</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15,731</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receivables and other assets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3,865</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1,391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5,256</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3,052</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884</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3,936</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Indirect tax receivables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3,636</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914</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4,550</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3,266</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958</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4,224</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Defined benefit plans asset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956</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956</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967</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967</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Derivatives operating assets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457</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531</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349</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57</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406</w:t>
            </w:r>
          </w:p>
        </w:tc>
      </w:tr>
      <w:tr>
        <w:trPr>
          <w:trHeight w:val="250"/>
        </w:trPr>
        <w:tc>
          <w:tcPr>
            <w:tcW w:w="39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Prepaid expenses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1,392</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473</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1,865</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1,236</w:t>
            </w:r>
          </w:p>
        </w:tc>
        <w:tc>
          <w:tcPr>
            <w:tcW w:w="1560" w:type="dxa"/>
            <w:vAlign w:val="bottom"/>
            <w:tcBorders>
              <w:bottom w:val="single" w:sz="8" w:color="8E939F"/>
            </w:tcBorders>
          </w:tcPr>
          <w:p>
            <w:pPr>
              <w:jc w:val="right"/>
              <w:ind w:right="360"/>
              <w:spacing w:after="0"/>
              <w:rPr>
                <w:sz w:val="20"/>
                <w:szCs w:val="20"/>
                <w:color w:val="auto"/>
              </w:rPr>
            </w:pPr>
            <w:r>
              <w:rPr>
                <w:rFonts w:ascii="Arial" w:cs="Arial" w:eastAsia="Arial" w:hAnsi="Arial"/>
                <w:sz w:val="16"/>
                <w:szCs w:val="16"/>
                <w:color w:val="auto"/>
              </w:rPr>
              <w:t>395</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1,631</w:t>
            </w:r>
          </w:p>
        </w:tc>
      </w:tr>
      <w:tr>
        <w:trPr>
          <w:trHeight w:val="253"/>
        </w:trPr>
        <w:tc>
          <w:tcPr>
            <w:tcW w:w="39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other assets and prepaid expenses</w:t>
            </w:r>
          </w:p>
        </w:tc>
        <w:tc>
          <w:tcPr>
            <w:tcW w:w="10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18,479</w:t>
            </w:r>
          </w:p>
        </w:tc>
        <w:tc>
          <w:tcPr>
            <w:tcW w:w="1460" w:type="dxa"/>
            <w:vAlign w:val="bottom"/>
            <w:tcBorders>
              <w:bottom w:val="single" w:sz="8" w:color="8E939F"/>
            </w:tcBorders>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15,425</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33,904</w:t>
            </w:r>
          </w:p>
        </w:tc>
        <w:tc>
          <w:tcPr>
            <w:tcW w:w="1320" w:type="dxa"/>
            <w:vAlign w:val="bottom"/>
            <w:tcBorders>
              <w:bottom w:val="single" w:sz="8" w:color="8E939F"/>
            </w:tcBorders>
            <w:shd w:val="clear" w:color="auto" w:fill="E6E7F4"/>
          </w:tcPr>
          <w:p>
            <w:pPr>
              <w:jc w:val="right"/>
              <w:ind w:right="120"/>
              <w:spacing w:after="0"/>
              <w:rPr>
                <w:sz w:val="20"/>
                <w:szCs w:val="20"/>
                <w:color w:val="auto"/>
              </w:rPr>
            </w:pPr>
            <w:r>
              <w:rPr>
                <w:rFonts w:ascii="Arial" w:cs="Arial" w:eastAsia="Arial" w:hAnsi="Arial"/>
                <w:sz w:val="16"/>
                <w:szCs w:val="16"/>
                <w:b w:val="1"/>
                <w:bCs w:val="1"/>
                <w:color w:val="243782"/>
              </w:rPr>
              <w:t>15,770</w:t>
            </w:r>
          </w:p>
        </w:tc>
        <w:tc>
          <w:tcPr>
            <w:tcW w:w="1560" w:type="dxa"/>
            <w:vAlign w:val="bottom"/>
            <w:tcBorders>
              <w:bottom w:val="single" w:sz="8" w:color="8E939F"/>
            </w:tcBorders>
            <w:shd w:val="clear" w:color="auto" w:fill="E6E7F4"/>
          </w:tcPr>
          <w:p>
            <w:pPr>
              <w:jc w:val="right"/>
              <w:ind w:right="360"/>
              <w:spacing w:after="0"/>
              <w:rPr>
                <w:sz w:val="20"/>
                <w:szCs w:val="20"/>
                <w:color w:val="auto"/>
              </w:rPr>
            </w:pPr>
            <w:r>
              <w:rPr>
                <w:rFonts w:ascii="Arial" w:cs="Arial" w:eastAsia="Arial" w:hAnsi="Arial"/>
                <w:sz w:val="16"/>
                <w:szCs w:val="16"/>
                <w:b w:val="1"/>
                <w:bCs w:val="1"/>
                <w:color w:val="243782"/>
              </w:rPr>
              <w:t>11,125</w:t>
            </w: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26,895</w:t>
            </w:r>
          </w:p>
        </w:tc>
      </w:tr>
    </w:tbl>
    <w:p>
      <w:pPr>
        <w:spacing w:after="0" w:line="319" w:lineRule="exact"/>
        <w:rPr>
          <w:sz w:val="20"/>
          <w:szCs w:val="20"/>
          <w:color w:val="auto"/>
        </w:rPr>
      </w:pPr>
    </w:p>
    <w:p>
      <w:pPr>
        <w:ind w:right="460"/>
        <w:spacing w:after="0" w:line="334" w:lineRule="auto"/>
        <w:rPr>
          <w:sz w:val="20"/>
          <w:szCs w:val="20"/>
          <w:color w:val="auto"/>
        </w:rPr>
      </w:pPr>
      <w:r>
        <w:rPr>
          <w:rFonts w:ascii="Arial" w:cs="Arial" w:eastAsia="Arial" w:hAnsi="Arial"/>
          <w:sz w:val="18"/>
          <w:szCs w:val="18"/>
          <w:color w:val="auto"/>
        </w:rPr>
        <w:t>At September 30, 2026, Receivables from financing activities amounted to €20,746 million (€15,731 million at December 31, 2025). The increase is primarily due to growth in financing activities in SFS U.S.</w:t>
      </w:r>
    </w:p>
    <w:p>
      <w:pPr>
        <w:spacing w:after="0" w:line="153"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At September 30, 2026, Other receivables and other assets amounted to €5,256 million (€3,936 million at December 31, 2025). The increase reflects various movements in other receivables across the regions.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Transfer of financial assets</w:t>
      </w:r>
    </w:p>
    <w:p>
      <w:pPr>
        <w:spacing w:after="0" w:line="264" w:lineRule="exact"/>
        <w:rPr>
          <w:sz w:val="20"/>
          <w:szCs w:val="20"/>
          <w:color w:val="auto"/>
        </w:rPr>
      </w:pPr>
    </w:p>
    <w:p>
      <w:pPr>
        <w:ind w:right="340"/>
        <w:spacing w:after="0" w:line="314" w:lineRule="auto"/>
        <w:rPr>
          <w:sz w:val="20"/>
          <w:szCs w:val="20"/>
          <w:color w:val="auto"/>
        </w:rPr>
      </w:pPr>
      <w:r>
        <w:rPr>
          <w:rFonts w:ascii="Arial" w:cs="Arial" w:eastAsia="Arial" w:hAnsi="Arial"/>
          <w:sz w:val="18"/>
          <w:szCs w:val="18"/>
          <w:color w:val="auto"/>
        </w:rPr>
        <w:t xml:space="preserve">At September 30, 2026, the Company had receivables due after that date which had been transferred without recourse and which were derecognized in accordance with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amounting to €15,475 million (€16,074 million at December 31, 2025), of which 69 percent (69 percent at December 31, 2025) is mainly due from the sales network, were transferred to financing companies in partnership with Santander, BNP Paribas, Banco BBVA Argentina S.A. and Crédit Agricole.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9. Financial assets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Borders>
              <w:bottom w:val="single" w:sz="8" w:color="8E939F"/>
            </w:tcBorders>
            <w:gridSpan w:val="3"/>
          </w:tcPr>
          <w:p>
            <w:pPr>
              <w:ind w:left="940"/>
              <w:spacing w:after="0"/>
              <w:rPr>
                <w:sz w:val="20"/>
                <w:szCs w:val="20"/>
                <w:color w:val="auto"/>
              </w:rPr>
            </w:pPr>
            <w:r>
              <w:rPr>
                <w:rFonts w:ascii="Arial" w:cs="Arial" w:eastAsia="Arial" w:hAnsi="Arial"/>
                <w:sz w:val="16"/>
                <w:szCs w:val="16"/>
                <w:b w:val="1"/>
                <w:bCs w:val="1"/>
                <w:color w:val="243782"/>
              </w:rPr>
              <w:t>At September 30, 2026</w:t>
            </w:r>
          </w:p>
        </w:tc>
        <w:tc>
          <w:tcPr>
            <w:tcW w:w="820" w:type="dxa"/>
            <w:vAlign w:val="bottom"/>
            <w:tcBorders>
              <w:bottom w:val="single" w:sz="8" w:color="8E939F"/>
            </w:tcBorders>
          </w:tcPr>
          <w:p>
            <w:pPr>
              <w:spacing w:after="0"/>
              <w:rPr>
                <w:sz w:val="19"/>
                <w:szCs w:val="19"/>
                <w:color w:val="auto"/>
              </w:rPr>
            </w:pPr>
          </w:p>
        </w:tc>
        <w:tc>
          <w:tcPr>
            <w:tcW w:w="2860" w:type="dxa"/>
            <w:vAlign w:val="bottom"/>
            <w:tcBorders>
              <w:bottom w:val="single" w:sz="8" w:color="8E939F"/>
            </w:tcBorders>
            <w:gridSpan w:val="2"/>
          </w:tcPr>
          <w:p>
            <w:pPr>
              <w:jc w:val="right"/>
              <w:ind w:right="40"/>
              <w:spacing w:after="0"/>
              <w:rPr>
                <w:sz w:val="20"/>
                <w:szCs w:val="20"/>
                <w:color w:val="auto"/>
              </w:rPr>
            </w:pPr>
            <w:r>
              <w:rPr>
                <w:rFonts w:ascii="Arial" w:cs="Arial" w:eastAsia="Arial" w:hAnsi="Arial"/>
                <w:sz w:val="16"/>
                <w:szCs w:val="16"/>
                <w:b w:val="1"/>
                <w:bCs w:val="1"/>
                <w:color w:val="243782"/>
              </w:rPr>
              <w:t>At December 31, 2025</w:t>
            </w:r>
          </w:p>
        </w:tc>
        <w:tc>
          <w:tcPr>
            <w:tcW w:w="840" w:type="dxa"/>
            <w:vAlign w:val="bottom"/>
            <w:tcBorders>
              <w:bottom w:val="single" w:sz="8" w:color="8E939F"/>
            </w:tcBorders>
          </w:tcPr>
          <w:p>
            <w:pPr>
              <w:spacing w:after="0"/>
              <w:rPr>
                <w:sz w:val="19"/>
                <w:szCs w:val="19"/>
                <w:color w:val="auto"/>
              </w:rPr>
            </w:pPr>
          </w:p>
        </w:tc>
      </w:tr>
      <w:tr>
        <w:trPr>
          <w:trHeight w:val="208"/>
        </w:trPr>
        <w:tc>
          <w:tcPr>
            <w:tcW w:w="39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w:t>
            </w:r>
          </w:p>
        </w:tc>
        <w:tc>
          <w:tcPr>
            <w:tcW w:w="106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3860" w:type="dxa"/>
            <w:vAlign w:val="bottom"/>
            <w:tcBorders>
              <w:bottom w:val="single" w:sz="8" w:color="143A84"/>
            </w:tcBorders>
          </w:tcPr>
          <w:p>
            <w:pPr>
              <w:spacing w:after="0"/>
              <w:rPr>
                <w:sz w:val="20"/>
                <w:szCs w:val="20"/>
                <w:color w:val="auto"/>
              </w:rPr>
            </w:pPr>
          </w:p>
        </w:tc>
        <w:tc>
          <w:tcPr>
            <w:tcW w:w="80" w:type="dxa"/>
            <w:vAlign w:val="bottom"/>
            <w:tcBorders>
              <w:bottom w:val="single" w:sz="8" w:color="143A84"/>
            </w:tcBorders>
          </w:tcPr>
          <w:p>
            <w:pPr>
              <w:spacing w:after="0"/>
              <w:rPr>
                <w:sz w:val="20"/>
                <w:szCs w:val="20"/>
                <w:color w:val="auto"/>
              </w:rPr>
            </w:pPr>
          </w:p>
        </w:tc>
        <w:tc>
          <w:tcPr>
            <w:tcW w:w="1060" w:type="dxa"/>
            <w:vAlign w:val="bottom"/>
            <w:tcBorders>
              <w:bottom w:val="single" w:sz="8" w:color="143A84"/>
            </w:tcBorders>
            <w:shd w:val="clear" w:color="auto" w:fill="F3F3F9"/>
          </w:tcPr>
          <w:p>
            <w:pPr>
              <w:jc w:val="right"/>
              <w:ind w:right="180"/>
              <w:spacing w:after="0"/>
              <w:rPr>
                <w:sz w:val="20"/>
                <w:szCs w:val="20"/>
                <w:color w:val="auto"/>
              </w:rPr>
            </w:pPr>
            <w:r>
              <w:rPr>
                <w:rFonts w:ascii="Arial" w:cs="Arial" w:eastAsia="Arial" w:hAnsi="Arial"/>
                <w:sz w:val="14"/>
                <w:szCs w:val="14"/>
                <w:b w:val="1"/>
                <w:bCs w:val="1"/>
                <w:color w:val="243782"/>
              </w:rPr>
              <w:t>Current</w:t>
            </w:r>
          </w:p>
        </w:tc>
        <w:tc>
          <w:tcPr>
            <w:tcW w:w="1460" w:type="dxa"/>
            <w:vAlign w:val="bottom"/>
            <w:tcBorders>
              <w:bottom w:val="single" w:sz="8" w:color="143A84"/>
            </w:tcBorders>
            <w:shd w:val="clear" w:color="auto" w:fill="F3F3F9"/>
          </w:tcPr>
          <w:p>
            <w:pPr>
              <w:jc w:val="right"/>
              <w:ind w:right="220"/>
              <w:spacing w:after="0"/>
              <w:rPr>
                <w:sz w:val="20"/>
                <w:szCs w:val="20"/>
                <w:color w:val="auto"/>
              </w:rPr>
            </w:pPr>
            <w:r>
              <w:rPr>
                <w:rFonts w:ascii="Arial" w:cs="Arial" w:eastAsia="Arial" w:hAnsi="Arial"/>
                <w:sz w:val="14"/>
                <w:szCs w:val="14"/>
                <w:b w:val="1"/>
                <w:bCs w:val="1"/>
                <w:color w:val="243782"/>
              </w:rPr>
              <w:t>Non-current</w:t>
            </w:r>
          </w:p>
        </w:tc>
        <w:tc>
          <w:tcPr>
            <w:tcW w:w="260" w:type="dxa"/>
            <w:vAlign w:val="bottom"/>
            <w:tcBorders>
              <w:bottom w:val="single" w:sz="8" w:color="143A84"/>
            </w:tcBorders>
            <w:shd w:val="clear" w:color="auto" w:fill="E6E7F4"/>
          </w:tcPr>
          <w:p>
            <w:pPr>
              <w:spacing w:after="0"/>
              <w:rPr>
                <w:sz w:val="20"/>
                <w:szCs w:val="20"/>
                <w:color w:val="auto"/>
              </w:rPr>
            </w:pPr>
          </w:p>
        </w:tc>
        <w:tc>
          <w:tcPr>
            <w:tcW w:w="820" w:type="dxa"/>
            <w:vAlign w:val="bottom"/>
            <w:tcBorders>
              <w:bottom w:val="single" w:sz="8" w:color="143A84"/>
            </w:tcBorders>
            <w:shd w:val="clear" w:color="auto" w:fill="E6E7F4"/>
          </w:tcPr>
          <w:p>
            <w:pPr>
              <w:jc w:val="right"/>
              <w:ind w:right="300"/>
              <w:spacing w:after="0"/>
              <w:rPr>
                <w:sz w:val="20"/>
                <w:szCs w:val="20"/>
                <w:color w:val="auto"/>
              </w:rPr>
            </w:pPr>
            <w:r>
              <w:rPr>
                <w:rFonts w:ascii="Arial" w:cs="Arial" w:eastAsia="Arial" w:hAnsi="Arial"/>
                <w:sz w:val="14"/>
                <w:szCs w:val="14"/>
                <w:b w:val="1"/>
                <w:bCs w:val="1"/>
                <w:color w:val="243782"/>
              </w:rPr>
              <w:t>Total</w:t>
            </w:r>
          </w:p>
        </w:tc>
        <w:tc>
          <w:tcPr>
            <w:tcW w:w="1300" w:type="dxa"/>
            <w:vAlign w:val="bottom"/>
            <w:tcBorders>
              <w:bottom w:val="single" w:sz="8" w:color="143A84"/>
            </w:tcBorders>
          </w:tcPr>
          <w:p>
            <w:pPr>
              <w:jc w:val="right"/>
              <w:ind w:right="320"/>
              <w:spacing w:after="0"/>
              <w:rPr>
                <w:sz w:val="20"/>
                <w:szCs w:val="20"/>
                <w:color w:val="auto"/>
              </w:rPr>
            </w:pPr>
            <w:r>
              <w:rPr>
                <w:rFonts w:ascii="Arial" w:cs="Arial" w:eastAsia="Arial" w:hAnsi="Arial"/>
                <w:sz w:val="14"/>
                <w:szCs w:val="14"/>
                <w:b w:val="1"/>
                <w:bCs w:val="1"/>
                <w:color w:val="243782"/>
              </w:rPr>
              <w:t>Current</w:t>
            </w:r>
          </w:p>
        </w:tc>
        <w:tc>
          <w:tcPr>
            <w:tcW w:w="1560" w:type="dxa"/>
            <w:vAlign w:val="bottom"/>
            <w:tcBorders>
              <w:bottom w:val="single" w:sz="8" w:color="143A84"/>
            </w:tcBorders>
          </w:tcPr>
          <w:p>
            <w:pPr>
              <w:jc w:val="right"/>
              <w:ind w:right="460"/>
              <w:spacing w:after="0"/>
              <w:rPr>
                <w:sz w:val="20"/>
                <w:szCs w:val="20"/>
                <w:color w:val="auto"/>
              </w:rPr>
            </w:pPr>
            <w:r>
              <w:rPr>
                <w:rFonts w:ascii="Arial" w:cs="Arial" w:eastAsia="Arial" w:hAnsi="Arial"/>
                <w:sz w:val="14"/>
                <w:szCs w:val="14"/>
                <w:b w:val="1"/>
                <w:bCs w:val="1"/>
                <w:color w:val="243782"/>
              </w:rPr>
              <w:t>Non-current</w:t>
            </w:r>
          </w:p>
        </w:tc>
        <w:tc>
          <w:tcPr>
            <w:tcW w:w="840" w:type="dxa"/>
            <w:vAlign w:val="bottom"/>
            <w:tcBorders>
              <w:bottom w:val="single" w:sz="8" w:color="143A84"/>
            </w:tcBorders>
          </w:tcPr>
          <w:p>
            <w:pPr>
              <w:jc w:val="right"/>
              <w:ind w:right="300"/>
              <w:spacing w:after="0"/>
              <w:rPr>
                <w:sz w:val="20"/>
                <w:szCs w:val="20"/>
                <w:color w:val="auto"/>
              </w:rPr>
            </w:pPr>
            <w:r>
              <w:rPr>
                <w:rFonts w:ascii="Arial" w:cs="Arial" w:eastAsia="Arial" w:hAnsi="Arial"/>
                <w:sz w:val="14"/>
                <w:szCs w:val="14"/>
                <w:b w:val="1"/>
                <w:bCs w:val="1"/>
                <w:color w:val="243782"/>
              </w:rPr>
              <w:t>Total</w:t>
            </w:r>
          </w:p>
        </w:tc>
      </w:tr>
      <w:tr>
        <w:trPr>
          <w:trHeight w:val="250"/>
        </w:trPr>
        <w:tc>
          <w:tcPr>
            <w:tcW w:w="3860" w:type="dxa"/>
            <w:vAlign w:val="bottom"/>
            <w:tcBorders>
              <w:bottom w:val="single" w:sz="8" w:color="143A84"/>
            </w:tcBorders>
          </w:tcPr>
          <w:p>
            <w:pPr>
              <w:ind w:left="20"/>
              <w:spacing w:after="0"/>
              <w:rPr>
                <w:sz w:val="20"/>
                <w:szCs w:val="20"/>
                <w:color w:val="auto"/>
              </w:rPr>
            </w:pPr>
            <w:r>
              <w:rPr>
                <w:rFonts w:ascii="Arial" w:cs="Arial" w:eastAsia="Arial" w:hAnsi="Arial"/>
                <w:sz w:val="16"/>
                <w:szCs w:val="16"/>
                <w:color w:val="auto"/>
              </w:rPr>
              <w:t>Derivative financial assets</w:t>
            </w:r>
          </w:p>
        </w:tc>
        <w:tc>
          <w:tcPr>
            <w:tcW w:w="8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67</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131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198</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45</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259</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Financial securities measured at fair value through</w:t>
            </w:r>
          </w:p>
        </w:tc>
        <w:tc>
          <w:tcPr>
            <w:tcW w:w="106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39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586</w:t>
            </w:r>
          </w:p>
        </w:tc>
        <w:tc>
          <w:tcPr>
            <w:tcW w:w="260" w:type="dxa"/>
            <w:vAlign w:val="bottom"/>
            <w:tcBorders>
              <w:bottom w:val="single" w:sz="8" w:color="8E939F"/>
            </w:tcBorders>
            <w:shd w:val="clear" w:color="auto" w:fill="E6E7F4"/>
          </w:tcPr>
          <w:p>
            <w:pPr>
              <w:spacing w:after="0"/>
              <w:rPr>
                <w:sz w:val="20"/>
                <w:szCs w:val="20"/>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586</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62</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335</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397</w:t>
            </w: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Financial securities measured at fair value through</w:t>
            </w:r>
          </w:p>
        </w:tc>
        <w:tc>
          <w:tcPr>
            <w:tcW w:w="106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39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profit or loss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512</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958</w:t>
            </w:r>
          </w:p>
        </w:tc>
        <w:tc>
          <w:tcPr>
            <w:tcW w:w="260" w:type="dxa"/>
            <w:vAlign w:val="bottom"/>
            <w:tcBorders>
              <w:bottom w:val="single" w:sz="8" w:color="8E939F"/>
            </w:tcBorders>
            <w:shd w:val="clear" w:color="auto" w:fill="E6E7F4"/>
          </w:tcPr>
          <w:p>
            <w:pPr>
              <w:spacing w:after="0"/>
              <w:rPr>
                <w:sz w:val="20"/>
                <w:szCs w:val="20"/>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1,470</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562</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903</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1,465</w:t>
            </w:r>
          </w:p>
        </w:tc>
      </w:tr>
      <w:tr>
        <w:trPr>
          <w:trHeight w:val="250"/>
        </w:trPr>
        <w:tc>
          <w:tcPr>
            <w:tcW w:w="39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Financial securities measured at amortized cost</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145</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2,587</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2,732</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553</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134</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687</w:t>
            </w:r>
          </w:p>
        </w:tc>
      </w:tr>
      <w:tr>
        <w:trPr>
          <w:trHeight w:val="257"/>
        </w:trPr>
        <w:tc>
          <w:tcPr>
            <w:tcW w:w="39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Financial receivables</w:t>
            </w:r>
            <w:r>
              <w:rPr>
                <w:rFonts w:ascii="Arial" w:cs="Arial" w:eastAsia="Arial" w:hAnsi="Arial"/>
                <w:sz w:val="21"/>
                <w:szCs w:val="21"/>
                <w:color w:val="auto"/>
                <w:vertAlign w:val="superscript"/>
              </w:rPr>
              <w:t>(1)</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1,025</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168</w:t>
            </w:r>
          </w:p>
        </w:tc>
        <w:tc>
          <w:tcPr>
            <w:tcW w:w="260" w:type="dxa"/>
            <w:vAlign w:val="bottom"/>
            <w:tcBorders>
              <w:bottom w:val="single" w:sz="8" w:color="8E939F"/>
            </w:tcBorders>
            <w:shd w:val="clear" w:color="auto" w:fill="E6E7F4"/>
          </w:tcPr>
          <w:p>
            <w:pPr>
              <w:spacing w:after="0"/>
              <w:rPr>
                <w:sz w:val="22"/>
                <w:szCs w:val="22"/>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1,193</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763</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145</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908</w:t>
            </w:r>
          </w:p>
        </w:tc>
      </w:tr>
      <w:tr>
        <w:trPr>
          <w:trHeight w:val="250"/>
        </w:trPr>
        <w:tc>
          <w:tcPr>
            <w:tcW w:w="39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Collateral deposits</w:t>
            </w:r>
            <w:r>
              <w:rPr>
                <w:rFonts w:ascii="Arial" w:cs="Arial" w:eastAsia="Arial" w:hAnsi="Arial"/>
                <w:sz w:val="21"/>
                <w:szCs w:val="21"/>
                <w:color w:val="auto"/>
                <w:vertAlign w:val="superscript"/>
              </w:rPr>
              <w:t>(2)</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w:t>
            </w:r>
          </w:p>
        </w:tc>
        <w:tc>
          <w:tcPr>
            <w:tcW w:w="13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2</w:t>
            </w:r>
          </w:p>
        </w:tc>
        <w:tc>
          <w:tcPr>
            <w:tcW w:w="1560" w:type="dxa"/>
            <w:vAlign w:val="bottom"/>
            <w:tcBorders>
              <w:bottom w:val="single" w:sz="8" w:color="8E939F"/>
            </w:tcBorders>
          </w:tcPr>
          <w:p>
            <w:pPr>
              <w:jc w:val="right"/>
              <w:ind w:right="340"/>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20</w:t>
            </w:r>
          </w:p>
        </w:tc>
      </w:tr>
      <w:tr>
        <w:trPr>
          <w:trHeight w:val="246"/>
        </w:trPr>
        <w:tc>
          <w:tcPr>
            <w:tcW w:w="3940" w:type="dxa"/>
            <w:vAlign w:val="bottom"/>
            <w:tcBorders>
              <w:bottom w:val="single" w:sz="8" w:color="8E939F"/>
            </w:tcBorders>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Total Other financial assets</w:t>
            </w:r>
          </w:p>
        </w:tc>
        <w:tc>
          <w:tcPr>
            <w:tcW w:w="10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1,749</w:t>
            </w:r>
          </w:p>
        </w:tc>
        <w:tc>
          <w:tcPr>
            <w:tcW w:w="1460" w:type="dxa"/>
            <w:vAlign w:val="bottom"/>
            <w:tcBorders>
              <w:bottom w:val="single" w:sz="8" w:color="8E939F"/>
            </w:tcBorders>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4,451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6,200</w:t>
            </w:r>
          </w:p>
        </w:tc>
        <w:tc>
          <w:tcPr>
            <w:tcW w:w="1300" w:type="dxa"/>
            <w:vAlign w:val="bottom"/>
            <w:tcBorders>
              <w:bottom w:val="single" w:sz="8" w:color="8E939F"/>
            </w:tcBorders>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1,987</w:t>
            </w:r>
          </w:p>
        </w:tc>
        <w:tc>
          <w:tcPr>
            <w:tcW w:w="1560" w:type="dxa"/>
            <w:vAlign w:val="bottom"/>
            <w:tcBorders>
              <w:bottom w:val="single" w:sz="8" w:color="8E939F"/>
            </w:tcBorders>
            <w:shd w:val="clear" w:color="auto" w:fill="E6E7F4"/>
          </w:tcPr>
          <w:p>
            <w:pPr>
              <w:jc w:val="right"/>
              <w:ind w:right="340"/>
              <w:spacing w:after="0"/>
              <w:rPr>
                <w:sz w:val="20"/>
                <w:szCs w:val="20"/>
                <w:color w:val="auto"/>
              </w:rPr>
            </w:pPr>
            <w:r>
              <w:rPr>
                <w:rFonts w:ascii="Arial" w:cs="Arial" w:eastAsia="Arial" w:hAnsi="Arial"/>
                <w:sz w:val="16"/>
                <w:szCs w:val="16"/>
                <w:b w:val="1"/>
                <w:bCs w:val="1"/>
                <w:color w:val="243782"/>
              </w:rPr>
              <w:t>1,794</w:t>
            </w: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3,781</w:t>
            </w:r>
          </w:p>
        </w:tc>
      </w:tr>
    </w:tbl>
    <w:p>
      <w:pPr>
        <w:spacing w:after="0" w:line="193"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Measured at amortized cost</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Collateral deposits are held in connection with derivative transactions and debt obligations</w:t>
      </w:r>
    </w:p>
    <w:p>
      <w:pPr>
        <w:spacing w:after="0" w:line="234"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auto"/>
        </w:rPr>
        <w:t xml:space="preserve">The increase in Financial securities measured at fair value through other comprehensive income was partially driven by the change to recognize the investment in Archer at fair value through other comprehensive income in June 2026. Refer to Note 2, </w:t>
      </w:r>
      <w:r>
        <w:rPr>
          <w:rFonts w:ascii="Arial" w:cs="Arial" w:eastAsia="Arial" w:hAnsi="Arial"/>
          <w:sz w:val="18"/>
          <w:szCs w:val="18"/>
          <w:i w:val="1"/>
          <w:iCs w:val="1"/>
          <w:color w:val="auto"/>
        </w:rPr>
        <w:t>Scope of consolidation</w:t>
      </w:r>
      <w:r>
        <w:rPr>
          <w:rFonts w:ascii="Arial" w:cs="Arial" w:eastAsia="Arial" w:hAnsi="Arial"/>
          <w:sz w:val="18"/>
          <w:szCs w:val="18"/>
          <w:color w:val="auto"/>
        </w:rPr>
        <w:t xml:space="preserve">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Financial securities measured at amortized cost is driven by investments in sovereign bonds as part of liquidity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10. Inventories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2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243782"/>
              </w:rPr>
              <w:t>At September 30, 2026</w:t>
            </w:r>
          </w:p>
        </w:tc>
        <w:tc>
          <w:tcPr>
            <w:tcW w:w="23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243782"/>
              </w:rPr>
              <w:t>At December 31, 2025</w:t>
            </w:r>
          </w:p>
        </w:tc>
        <w:tc>
          <w:tcPr>
            <w:tcW w:w="0" w:type="dxa"/>
            <w:vAlign w:val="bottom"/>
          </w:tcPr>
          <w:p>
            <w:pPr>
              <w:spacing w:after="0"/>
              <w:rPr>
                <w:sz w:val="1"/>
                <w:szCs w:val="1"/>
                <w:color w:val="auto"/>
              </w:rPr>
            </w:pPr>
          </w:p>
        </w:tc>
      </w:tr>
      <w:tr>
        <w:trPr>
          <w:trHeight w:val="122"/>
        </w:trPr>
        <w:tc>
          <w:tcPr>
            <w:tcW w:w="656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560" w:type="dxa"/>
            <w:vAlign w:val="bottom"/>
            <w:tcBorders>
              <w:bottom w:val="single" w:sz="8" w:color="143A84"/>
            </w:tcBorders>
          </w:tcPr>
          <w:p>
            <w:pPr>
              <w:spacing w:after="0"/>
              <w:rPr>
                <w:sz w:val="10"/>
                <w:szCs w:val="10"/>
                <w:color w:val="auto"/>
              </w:rPr>
            </w:pPr>
          </w:p>
        </w:tc>
        <w:tc>
          <w:tcPr>
            <w:tcW w:w="2300" w:type="dxa"/>
            <w:vAlign w:val="bottom"/>
            <w:tcBorders>
              <w:bottom w:val="single" w:sz="8" w:color="143A84"/>
            </w:tcBorders>
          </w:tcPr>
          <w:p>
            <w:pPr>
              <w:spacing w:after="0"/>
              <w:rPr>
                <w:sz w:val="10"/>
                <w:szCs w:val="10"/>
                <w:color w:val="auto"/>
              </w:rPr>
            </w:pPr>
          </w:p>
        </w:tc>
        <w:tc>
          <w:tcPr>
            <w:tcW w:w="2380" w:type="dxa"/>
            <w:vAlign w:val="bottom"/>
            <w:tcBorders>
              <w:bottom w:val="single" w:sz="8" w:color="143A84"/>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Finished goods and goods for resale</w:t>
            </w:r>
          </w:p>
        </w:tc>
        <w:tc>
          <w:tcPr>
            <w:tcW w:w="2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14,346</w:t>
            </w:r>
          </w:p>
        </w:tc>
        <w:tc>
          <w:tcPr>
            <w:tcW w:w="2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12,161</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Work-in-progress, raw materials and manufacturing supplies</w:t>
            </w:r>
          </w:p>
        </w:tc>
        <w:tc>
          <w:tcPr>
            <w:tcW w:w="23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10,943</w:t>
            </w:r>
          </w:p>
        </w:tc>
        <w:tc>
          <w:tcPr>
            <w:tcW w:w="2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9,992</w:t>
            </w:r>
          </w:p>
        </w:tc>
        <w:tc>
          <w:tcPr>
            <w:tcW w:w="0" w:type="dxa"/>
            <w:vAlign w:val="bottom"/>
          </w:tcPr>
          <w:p>
            <w:pPr>
              <w:spacing w:after="0"/>
              <w:rPr>
                <w:sz w:val="1"/>
                <w:szCs w:val="1"/>
                <w:color w:val="auto"/>
              </w:rPr>
            </w:pPr>
          </w:p>
        </w:tc>
      </w:tr>
      <w:tr>
        <w:trPr>
          <w:trHeight w:val="253"/>
        </w:trPr>
        <w:tc>
          <w:tcPr>
            <w:tcW w:w="65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Inventories</w:t>
            </w:r>
          </w:p>
        </w:tc>
        <w:tc>
          <w:tcPr>
            <w:tcW w:w="23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25,289</w:t>
            </w:r>
          </w:p>
        </w:tc>
        <w:tc>
          <w:tcPr>
            <w:tcW w:w="23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22,153</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auto"/>
        </w:rPr>
        <w:t>The increase in inventories is primarily driven by new vehicle stock build-up in Enlarged Europe and South America to support fourth quarter shipment volumes and an increase in manufacturing inventory as compared to December 2025 when inventory levels were reduced reflecting the seasonal shut downs of certain facilities.</w:t>
      </w:r>
    </w:p>
    <w:p>
      <w:pPr>
        <w:spacing w:after="0" w:line="143" w:lineRule="exact"/>
        <w:rPr>
          <w:sz w:val="20"/>
          <w:szCs w:val="20"/>
          <w:color w:val="auto"/>
        </w:rPr>
      </w:pPr>
    </w:p>
    <w:p>
      <w:pPr>
        <w:ind w:right="8600" w:firstLine="8"/>
        <w:spacing w:after="0" w:line="546" w:lineRule="auto"/>
        <w:tabs>
          <w:tab w:leader="none" w:pos="290" w:val="left"/>
        </w:tabs>
        <w:numPr>
          <w:ilvl w:val="0"/>
          <w:numId w:val="59"/>
        </w:numPr>
        <w:rPr>
          <w:rFonts w:ascii="Arial" w:cs="Arial" w:eastAsia="Arial" w:hAnsi="Arial"/>
          <w:sz w:val="17"/>
          <w:szCs w:val="17"/>
          <w:b w:val="1"/>
          <w:bCs w:val="1"/>
          <w:color w:val="143A84"/>
        </w:rPr>
      </w:pPr>
      <w:r>
        <w:rPr>
          <w:rFonts w:ascii="Arial" w:cs="Arial" w:eastAsia="Arial" w:hAnsi="Arial"/>
          <w:sz w:val="17"/>
          <w:szCs w:val="17"/>
          <w:b w:val="1"/>
          <w:bCs w:val="1"/>
          <w:color w:val="143A84"/>
        </w:rPr>
        <w:t>Share-based compensation Long-Term Incentive Plan</w:t>
      </w:r>
    </w:p>
    <w:p>
      <w:pPr>
        <w:spacing w:after="0" w:line="2"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The Company operates annual Long-Term Incentive Plans (“LTIPs”) approved by shareholders, granting Performance Share Units (“PSUs”), Restricted Share Units (“RSUs”), and Performance Restricted Share Units (“PRSUs”) to eligible employees. PSU awards are typically split across three performance metrics: Total Shareholder Return (TSR), Adjusted operating income/(loss) (“AOI”), and either Electrification, Quality, or Compliance, each with independent payout scales. PSUs, RSUs and PRSUs have different vesting periods as summarized in the table below. Additionally, PRSUs vest subject to specific KPIs or multipliers. Fair values are determined using Monte Carlo simulations for TSR-based awards and for all other types of award, the fair values are determined using the Stellantis share price on the grant date, adjusted for expected dividends at a constant yield as these awards do not have the right to receive ordinary dividends prior to vesting.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grants awarded in 2026 is provided below.</w:t>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60" w:type="dxa"/>
            <w:vAlign w:val="bottom"/>
            <w:tcBorders>
              <w:right w:val="single" w:sz="8" w:color="CFD1D6"/>
            </w:tcBorders>
          </w:tcPr>
          <w:p>
            <w:pPr>
              <w:spacing w:after="0"/>
              <w:rPr>
                <w:sz w:val="19"/>
                <w:szCs w:val="19"/>
                <w:color w:val="auto"/>
              </w:rPr>
            </w:pPr>
          </w:p>
        </w:tc>
        <w:tc>
          <w:tcPr>
            <w:tcW w:w="1060" w:type="dxa"/>
            <w:vAlign w:val="bottom"/>
            <w:tcBorders>
              <w:top w:val="single" w:sz="8" w:color="CFD1D6"/>
              <w:bottom w:val="single" w:sz="8" w:color="E6E7F4"/>
            </w:tcBorders>
            <w:shd w:val="clear" w:color="auto" w:fill="E6E7F4"/>
          </w:tcPr>
          <w:p>
            <w:pPr>
              <w:spacing w:after="0"/>
              <w:rPr>
                <w:sz w:val="19"/>
                <w:szCs w:val="19"/>
                <w:color w:val="auto"/>
              </w:rPr>
            </w:pPr>
          </w:p>
        </w:tc>
        <w:tc>
          <w:tcPr>
            <w:tcW w:w="1640" w:type="dxa"/>
            <w:vAlign w:val="bottom"/>
            <w:tcBorders>
              <w:top w:val="single" w:sz="8" w:color="CFD1D6"/>
              <w:bottom w:val="single" w:sz="8" w:color="E6E7F4"/>
            </w:tcBorders>
            <w:shd w:val="clear" w:color="auto" w:fill="E6E7F4"/>
          </w:tcPr>
          <w:p>
            <w:pPr>
              <w:ind w:left="1220"/>
              <w:spacing w:after="0"/>
              <w:rPr>
                <w:sz w:val="20"/>
                <w:szCs w:val="20"/>
                <w:color w:val="auto"/>
              </w:rPr>
            </w:pPr>
            <w:r>
              <w:rPr>
                <w:rFonts w:ascii="Arial" w:cs="Arial" w:eastAsia="Arial" w:hAnsi="Arial"/>
                <w:sz w:val="13"/>
                <w:szCs w:val="13"/>
                <w:b w:val="1"/>
                <w:bCs w:val="1"/>
                <w:color w:val="243782"/>
              </w:rPr>
              <w:t>PSUs</w:t>
            </w:r>
          </w:p>
        </w:tc>
        <w:tc>
          <w:tcPr>
            <w:tcW w:w="1040" w:type="dxa"/>
            <w:vAlign w:val="bottom"/>
            <w:tcBorders>
              <w:top w:val="single" w:sz="8" w:color="CFD1D6"/>
              <w:bottom w:val="single" w:sz="8" w:color="E6E7F4"/>
            </w:tcBorders>
            <w:shd w:val="clear" w:color="auto" w:fill="E6E7F4"/>
          </w:tcPr>
          <w:p>
            <w:pPr>
              <w:spacing w:after="0"/>
              <w:rPr>
                <w:sz w:val="19"/>
                <w:szCs w:val="19"/>
                <w:color w:val="auto"/>
              </w:rPr>
            </w:pPr>
          </w:p>
        </w:tc>
        <w:tc>
          <w:tcPr>
            <w:tcW w:w="1160" w:type="dxa"/>
            <w:vAlign w:val="bottom"/>
            <w:tcBorders>
              <w:top w:val="single" w:sz="8" w:color="CFD1D6"/>
              <w:bottom w:val="single" w:sz="8" w:color="E6E7F4"/>
              <w:right w:val="single" w:sz="8" w:color="CFD1D6"/>
            </w:tcBorders>
            <w:shd w:val="clear" w:color="auto" w:fill="E6E7F4"/>
          </w:tcPr>
          <w:p>
            <w:pPr>
              <w:spacing w:after="0"/>
              <w:rPr>
                <w:sz w:val="19"/>
                <w:szCs w:val="19"/>
                <w:color w:val="auto"/>
              </w:rPr>
            </w:pPr>
          </w:p>
        </w:tc>
        <w:tc>
          <w:tcPr>
            <w:tcW w:w="900" w:type="dxa"/>
            <w:vAlign w:val="bottom"/>
            <w:tcBorders>
              <w:top w:val="single" w:sz="8" w:color="CFD1D6"/>
              <w:bottom w:val="single" w:sz="8" w:color="E6E7F4"/>
            </w:tcBorders>
            <w:shd w:val="clear" w:color="auto" w:fill="E6E7F4"/>
          </w:tcPr>
          <w:p>
            <w:pPr>
              <w:spacing w:after="0"/>
              <w:rPr>
                <w:sz w:val="19"/>
                <w:szCs w:val="19"/>
                <w:color w:val="auto"/>
              </w:rPr>
            </w:pPr>
          </w:p>
        </w:tc>
        <w:tc>
          <w:tcPr>
            <w:tcW w:w="1260" w:type="dxa"/>
            <w:vAlign w:val="bottom"/>
            <w:tcBorders>
              <w:top w:val="single" w:sz="8" w:color="CFD1D6"/>
              <w:bottom w:val="single" w:sz="8" w:color="E6E7F4"/>
              <w:right w:val="single" w:sz="8" w:color="CFD1D6"/>
            </w:tcBorders>
            <w:shd w:val="clear" w:color="auto" w:fill="E6E7F4"/>
          </w:tcPr>
          <w:p>
            <w:pPr>
              <w:spacing w:after="0"/>
              <w:rPr>
                <w:sz w:val="20"/>
                <w:szCs w:val="20"/>
                <w:color w:val="auto"/>
              </w:rPr>
            </w:pPr>
            <w:r>
              <w:rPr>
                <w:rFonts w:ascii="Arial" w:cs="Arial" w:eastAsia="Arial" w:hAnsi="Arial"/>
                <w:sz w:val="13"/>
                <w:szCs w:val="13"/>
                <w:b w:val="1"/>
                <w:bCs w:val="1"/>
                <w:color w:val="243782"/>
              </w:rPr>
              <w:t>RSUs</w:t>
            </w:r>
          </w:p>
        </w:tc>
        <w:tc>
          <w:tcPr>
            <w:tcW w:w="900" w:type="dxa"/>
            <w:vAlign w:val="bottom"/>
            <w:tcBorders>
              <w:top w:val="single" w:sz="8" w:color="CFD1D6"/>
              <w:bottom w:val="single" w:sz="8" w:color="E6E7F4"/>
            </w:tcBorders>
            <w:shd w:val="clear" w:color="auto" w:fill="E6E7F4"/>
          </w:tcPr>
          <w:p>
            <w:pPr>
              <w:spacing w:after="0"/>
              <w:rPr>
                <w:sz w:val="19"/>
                <w:szCs w:val="19"/>
                <w:color w:val="auto"/>
              </w:rPr>
            </w:pPr>
          </w:p>
        </w:tc>
        <w:tc>
          <w:tcPr>
            <w:tcW w:w="1060" w:type="dxa"/>
            <w:vAlign w:val="bottom"/>
            <w:tcBorders>
              <w:top w:val="single" w:sz="8" w:color="CFD1D6"/>
              <w:bottom w:val="single" w:sz="8" w:color="E6E7F4"/>
            </w:tcBorders>
            <w:shd w:val="clear" w:color="auto" w:fill="E6E7F4"/>
          </w:tcPr>
          <w:p>
            <w:pPr>
              <w:ind w:left="460"/>
              <w:spacing w:after="0"/>
              <w:rPr>
                <w:sz w:val="20"/>
                <w:szCs w:val="20"/>
                <w:color w:val="auto"/>
              </w:rPr>
            </w:pPr>
            <w:r>
              <w:rPr>
                <w:rFonts w:ascii="Arial" w:cs="Arial" w:eastAsia="Arial" w:hAnsi="Arial"/>
                <w:sz w:val="13"/>
                <w:szCs w:val="13"/>
                <w:b w:val="1"/>
                <w:bCs w:val="1"/>
                <w:color w:val="243782"/>
              </w:rPr>
              <w:t>PRSUs</w:t>
            </w:r>
          </w:p>
        </w:tc>
        <w:tc>
          <w:tcPr>
            <w:tcW w:w="1180" w:type="dxa"/>
            <w:vAlign w:val="bottom"/>
            <w:tcBorders>
              <w:top w:val="single" w:sz="8" w:color="CFD1D6"/>
              <w:bottom w:val="single" w:sz="8" w:color="E6E7F4"/>
              <w:right w:val="single" w:sz="8" w:color="CFD1D6"/>
            </w:tcBorders>
            <w:shd w:val="clear" w:color="auto" w:fill="E6E7F4"/>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60" w:type="dxa"/>
            <w:vAlign w:val="bottom"/>
            <w:tcBorders>
              <w:top w:val="single" w:sz="8" w:color="CFD1D6"/>
              <w:left w:val="single" w:sz="8" w:color="CFD1D6"/>
              <w:right w:val="single" w:sz="8" w:color="CFD1D6"/>
            </w:tcBorders>
            <w:shd w:val="clear" w:color="auto" w:fill="E6E7F4"/>
          </w:tcPr>
          <w:p>
            <w:pPr>
              <w:spacing w:after="0"/>
              <w:rPr>
                <w:sz w:val="14"/>
                <w:szCs w:val="14"/>
                <w:color w:val="auto"/>
              </w:rPr>
            </w:pPr>
          </w:p>
        </w:tc>
        <w:tc>
          <w:tcPr>
            <w:tcW w:w="1060" w:type="dxa"/>
            <w:vAlign w:val="bottom"/>
            <w:tcBorders>
              <w:top w:val="single" w:sz="8" w:color="CFD1D6"/>
            </w:tcBorders>
            <w:vMerge w:val="restart"/>
            <w:shd w:val="clear" w:color="auto" w:fill="E6E7F4"/>
          </w:tcPr>
          <w:p>
            <w:pPr>
              <w:jc w:val="center"/>
              <w:ind w:right="39"/>
              <w:spacing w:after="0"/>
              <w:rPr>
                <w:sz w:val="20"/>
                <w:szCs w:val="20"/>
                <w:color w:val="auto"/>
              </w:rPr>
            </w:pPr>
            <w:r>
              <w:rPr>
                <w:rFonts w:ascii="Arial" w:cs="Arial" w:eastAsia="Arial" w:hAnsi="Arial"/>
                <w:sz w:val="13"/>
                <w:szCs w:val="13"/>
                <w:b w:val="1"/>
                <w:bCs w:val="1"/>
                <w:color w:val="243782"/>
                <w:w w:val="96"/>
              </w:rPr>
              <w:t>PSUs Granted</w:t>
            </w:r>
          </w:p>
        </w:tc>
        <w:tc>
          <w:tcPr>
            <w:tcW w:w="1640" w:type="dxa"/>
            <w:vAlign w:val="bottom"/>
            <w:tcBorders>
              <w:top w:val="single" w:sz="8" w:color="CFD1D6"/>
            </w:tcBorders>
            <w:shd w:val="clear" w:color="auto" w:fill="E6E7F4"/>
          </w:tcPr>
          <w:p>
            <w:pPr>
              <w:spacing w:after="0"/>
              <w:rPr>
                <w:sz w:val="14"/>
                <w:szCs w:val="14"/>
                <w:color w:val="auto"/>
              </w:rPr>
            </w:pPr>
          </w:p>
        </w:tc>
        <w:tc>
          <w:tcPr>
            <w:tcW w:w="1040" w:type="dxa"/>
            <w:vAlign w:val="bottom"/>
            <w:tcBorders>
              <w:top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Metric Payout</w:t>
            </w:r>
          </w:p>
        </w:tc>
        <w:tc>
          <w:tcPr>
            <w:tcW w:w="1160" w:type="dxa"/>
            <w:vAlign w:val="bottom"/>
            <w:tcBorders>
              <w:top w:val="single" w:sz="8" w:color="CFD1D6"/>
              <w:right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5"/>
              </w:rPr>
              <w:t>Vesting period</w:t>
            </w:r>
          </w:p>
        </w:tc>
        <w:tc>
          <w:tcPr>
            <w:tcW w:w="900" w:type="dxa"/>
            <w:vAlign w:val="bottom"/>
            <w:tcBorders>
              <w:top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7"/>
              </w:rPr>
              <w:t>RSUs Granted</w:t>
            </w:r>
          </w:p>
        </w:tc>
        <w:tc>
          <w:tcPr>
            <w:tcW w:w="1260" w:type="dxa"/>
            <w:vAlign w:val="bottom"/>
            <w:tcBorders>
              <w:top w:val="single" w:sz="8" w:color="CFD1D6"/>
              <w:right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5"/>
              </w:rPr>
              <w:t>Vesting period</w:t>
            </w:r>
          </w:p>
        </w:tc>
        <w:tc>
          <w:tcPr>
            <w:tcW w:w="900" w:type="dxa"/>
            <w:vAlign w:val="bottom"/>
            <w:tcBorders>
              <w:top w:val="single" w:sz="8" w:color="CFD1D6"/>
            </w:tcBorders>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PRSUs</w:t>
            </w:r>
          </w:p>
        </w:tc>
        <w:tc>
          <w:tcPr>
            <w:tcW w:w="1060" w:type="dxa"/>
            <w:vAlign w:val="bottom"/>
            <w:tcBorders>
              <w:top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Metric Payout</w:t>
            </w:r>
          </w:p>
        </w:tc>
        <w:tc>
          <w:tcPr>
            <w:tcW w:w="1180" w:type="dxa"/>
            <w:vAlign w:val="bottom"/>
            <w:tcBorders>
              <w:top w:val="single" w:sz="8" w:color="CFD1D6"/>
              <w:right w:val="single" w:sz="8" w:color="CFD1D6"/>
            </w:tcBorders>
            <w:vMerge w:val="restart"/>
            <w:shd w:val="clear" w:color="auto" w:fill="E6E7F4"/>
          </w:tcPr>
          <w:p>
            <w:pPr>
              <w:jc w:val="center"/>
              <w:ind w:right="19"/>
              <w:spacing w:after="0"/>
              <w:rPr>
                <w:sz w:val="20"/>
                <w:szCs w:val="20"/>
                <w:color w:val="auto"/>
              </w:rPr>
            </w:pPr>
            <w:r>
              <w:rPr>
                <w:rFonts w:ascii="Arial" w:cs="Arial" w:eastAsia="Arial" w:hAnsi="Arial"/>
                <w:sz w:val="13"/>
                <w:szCs w:val="13"/>
                <w:b w:val="1"/>
                <w:bCs w:val="1"/>
                <w:color w:val="243782"/>
                <w:w w:val="95"/>
              </w:rPr>
              <w:t>Vesting period</w:t>
            </w:r>
          </w:p>
        </w:tc>
        <w:tc>
          <w:tcPr>
            <w:tcW w:w="0" w:type="dxa"/>
            <w:vAlign w:val="bottom"/>
          </w:tcPr>
          <w:p>
            <w:pPr>
              <w:spacing w:after="0"/>
              <w:rPr>
                <w:sz w:val="1"/>
                <w:szCs w:val="1"/>
                <w:color w:val="auto"/>
              </w:rPr>
            </w:pPr>
          </w:p>
        </w:tc>
      </w:tr>
      <w:tr>
        <w:trPr>
          <w:trHeight w:val="81"/>
        </w:trPr>
        <w:tc>
          <w:tcPr>
            <w:tcW w:w="1060" w:type="dxa"/>
            <w:vAlign w:val="bottom"/>
            <w:tcBorders>
              <w:left w:val="single" w:sz="8" w:color="CFD1D6"/>
              <w:right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LTIP Period</w:t>
            </w:r>
          </w:p>
        </w:tc>
        <w:tc>
          <w:tcPr>
            <w:tcW w:w="1060" w:type="dxa"/>
            <w:vAlign w:val="bottom"/>
            <w:vMerge w:val="continue"/>
            <w:shd w:val="clear" w:color="auto" w:fill="E6E7F4"/>
          </w:tcPr>
          <w:p>
            <w:pPr>
              <w:spacing w:after="0"/>
              <w:rPr>
                <w:sz w:val="7"/>
                <w:szCs w:val="7"/>
                <w:color w:val="auto"/>
              </w:rPr>
            </w:pPr>
          </w:p>
        </w:tc>
        <w:tc>
          <w:tcPr>
            <w:tcW w:w="1640" w:type="dxa"/>
            <w:vAlign w:val="bottom"/>
            <w:vMerge w:val="restart"/>
            <w:shd w:val="clear" w:color="auto" w:fill="E6E7F4"/>
          </w:tcPr>
          <w:p>
            <w:pPr>
              <w:jc w:val="center"/>
              <w:ind w:right="20"/>
              <w:spacing w:after="0"/>
              <w:rPr>
                <w:sz w:val="20"/>
                <w:szCs w:val="20"/>
                <w:color w:val="auto"/>
              </w:rPr>
            </w:pPr>
            <w:r>
              <w:rPr>
                <w:rFonts w:ascii="Arial" w:cs="Arial" w:eastAsia="Arial" w:hAnsi="Arial"/>
                <w:sz w:val="13"/>
                <w:szCs w:val="13"/>
                <w:b w:val="1"/>
                <w:bCs w:val="1"/>
                <w:color w:val="243782"/>
                <w:w w:val="96"/>
              </w:rPr>
              <w:t>Performance Metrics</w:t>
            </w:r>
          </w:p>
        </w:tc>
        <w:tc>
          <w:tcPr>
            <w:tcW w:w="1040" w:type="dxa"/>
            <w:vAlign w:val="bottom"/>
            <w:vMerge w:val="continue"/>
            <w:shd w:val="clear" w:color="auto" w:fill="E6E7F4"/>
          </w:tcPr>
          <w:p>
            <w:pPr>
              <w:spacing w:after="0"/>
              <w:rPr>
                <w:sz w:val="7"/>
                <w:szCs w:val="7"/>
                <w:color w:val="auto"/>
              </w:rPr>
            </w:pPr>
          </w:p>
        </w:tc>
        <w:tc>
          <w:tcPr>
            <w:tcW w:w="1160" w:type="dxa"/>
            <w:vAlign w:val="bottom"/>
            <w:tcBorders>
              <w:right w:val="single" w:sz="8" w:color="CFD1D6"/>
            </w:tcBorders>
            <w:vMerge w:val="continue"/>
            <w:shd w:val="clear" w:color="auto" w:fill="E6E7F4"/>
          </w:tcPr>
          <w:p>
            <w:pPr>
              <w:spacing w:after="0"/>
              <w:rPr>
                <w:sz w:val="7"/>
                <w:szCs w:val="7"/>
                <w:color w:val="auto"/>
              </w:rPr>
            </w:pPr>
          </w:p>
        </w:tc>
        <w:tc>
          <w:tcPr>
            <w:tcW w:w="900" w:type="dxa"/>
            <w:vAlign w:val="bottom"/>
            <w:vMerge w:val="continue"/>
            <w:shd w:val="clear" w:color="auto" w:fill="E6E7F4"/>
          </w:tcPr>
          <w:p>
            <w:pPr>
              <w:spacing w:after="0"/>
              <w:rPr>
                <w:sz w:val="7"/>
                <w:szCs w:val="7"/>
                <w:color w:val="auto"/>
              </w:rPr>
            </w:pPr>
          </w:p>
        </w:tc>
        <w:tc>
          <w:tcPr>
            <w:tcW w:w="1260" w:type="dxa"/>
            <w:vAlign w:val="bottom"/>
            <w:tcBorders>
              <w:right w:val="single" w:sz="8" w:color="CFD1D6"/>
            </w:tcBorders>
            <w:vMerge w:val="continue"/>
            <w:shd w:val="clear" w:color="auto" w:fill="E6E7F4"/>
          </w:tcPr>
          <w:p>
            <w:pPr>
              <w:spacing w:after="0"/>
              <w:rPr>
                <w:sz w:val="7"/>
                <w:szCs w:val="7"/>
                <w:color w:val="auto"/>
              </w:rPr>
            </w:pPr>
          </w:p>
        </w:tc>
        <w:tc>
          <w:tcPr>
            <w:tcW w:w="900" w:type="dxa"/>
            <w:vAlign w:val="bottom"/>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Granted</w:t>
            </w:r>
          </w:p>
        </w:tc>
        <w:tc>
          <w:tcPr>
            <w:tcW w:w="1060" w:type="dxa"/>
            <w:vAlign w:val="bottom"/>
            <w:vMerge w:val="continue"/>
            <w:shd w:val="clear" w:color="auto" w:fill="E6E7F4"/>
          </w:tcPr>
          <w:p>
            <w:pPr>
              <w:spacing w:after="0"/>
              <w:rPr>
                <w:sz w:val="7"/>
                <w:szCs w:val="7"/>
                <w:color w:val="auto"/>
              </w:rPr>
            </w:pPr>
          </w:p>
        </w:tc>
        <w:tc>
          <w:tcPr>
            <w:tcW w:w="1180" w:type="dxa"/>
            <w:vAlign w:val="bottom"/>
            <w:tcBorders>
              <w:right w:val="single" w:sz="8" w:color="CFD1D6"/>
            </w:tcBorders>
            <w:vMerge w:val="continue"/>
            <w:shd w:val="clear" w:color="auto" w:fill="E6E7F4"/>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CFD1D6"/>
              <w:right w:val="single" w:sz="8" w:color="CFD1D6"/>
            </w:tcBorders>
            <w:vMerge w:val="continue"/>
            <w:shd w:val="clear" w:color="auto" w:fill="E6E7F4"/>
          </w:tcPr>
          <w:p>
            <w:pPr>
              <w:spacing w:after="0"/>
              <w:rPr>
                <w:sz w:val="5"/>
                <w:szCs w:val="5"/>
                <w:color w:val="auto"/>
              </w:rPr>
            </w:pPr>
          </w:p>
        </w:tc>
        <w:tc>
          <w:tcPr>
            <w:tcW w:w="1060" w:type="dxa"/>
            <w:vAlign w:val="bottom"/>
            <w:vMerge w:val="restart"/>
            <w:shd w:val="clear" w:color="auto" w:fill="E6E7F4"/>
          </w:tcPr>
          <w:p>
            <w:pPr>
              <w:jc w:val="center"/>
              <w:ind w:right="59"/>
              <w:spacing w:after="0"/>
              <w:rPr>
                <w:sz w:val="20"/>
                <w:szCs w:val="20"/>
                <w:color w:val="auto"/>
              </w:rPr>
            </w:pPr>
            <w:r>
              <w:rPr>
                <w:rFonts w:ascii="Arial" w:cs="Arial" w:eastAsia="Arial" w:hAnsi="Arial"/>
                <w:sz w:val="13"/>
                <w:szCs w:val="13"/>
                <w:b w:val="1"/>
                <w:bCs w:val="1"/>
                <w:color w:val="243782"/>
                <w:w w:val="98"/>
              </w:rPr>
              <w:t>(millions)*</w:t>
            </w:r>
          </w:p>
        </w:tc>
        <w:tc>
          <w:tcPr>
            <w:tcW w:w="1640" w:type="dxa"/>
            <w:vAlign w:val="bottom"/>
            <w:vMerge w:val="continue"/>
            <w:shd w:val="clear" w:color="auto" w:fill="E6E7F4"/>
          </w:tcPr>
          <w:p>
            <w:pPr>
              <w:spacing w:after="0"/>
              <w:rPr>
                <w:sz w:val="5"/>
                <w:szCs w:val="5"/>
                <w:color w:val="auto"/>
              </w:rPr>
            </w:pPr>
          </w:p>
        </w:tc>
        <w:tc>
          <w:tcPr>
            <w:tcW w:w="1040" w:type="dxa"/>
            <w:vAlign w:val="bottom"/>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5"/>
              </w:rPr>
              <w:t>Range</w:t>
            </w:r>
          </w:p>
        </w:tc>
        <w:tc>
          <w:tcPr>
            <w:tcW w:w="1160" w:type="dxa"/>
            <w:vAlign w:val="bottom"/>
            <w:tcBorders>
              <w:right w:val="single" w:sz="8" w:color="CFD1D6"/>
            </w:tcBorders>
            <w:vMerge w:val="restart"/>
            <w:shd w:val="clear" w:color="auto" w:fill="E6E7F4"/>
          </w:tcPr>
          <w:p>
            <w:pPr>
              <w:jc w:val="center"/>
              <w:ind w:right="19"/>
              <w:spacing w:after="0"/>
              <w:rPr>
                <w:sz w:val="20"/>
                <w:szCs w:val="20"/>
                <w:color w:val="auto"/>
              </w:rPr>
            </w:pPr>
            <w:r>
              <w:rPr>
                <w:rFonts w:ascii="Arial" w:cs="Arial" w:eastAsia="Arial" w:hAnsi="Arial"/>
                <w:sz w:val="13"/>
                <w:szCs w:val="13"/>
                <w:b w:val="1"/>
                <w:bCs w:val="1"/>
                <w:color w:val="243782"/>
                <w:w w:val="96"/>
              </w:rPr>
              <w:t>Vesting Date</w:t>
            </w:r>
          </w:p>
        </w:tc>
        <w:tc>
          <w:tcPr>
            <w:tcW w:w="900" w:type="dxa"/>
            <w:vAlign w:val="bottom"/>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8"/>
              </w:rPr>
              <w:t>(millions)*</w:t>
            </w:r>
          </w:p>
        </w:tc>
        <w:tc>
          <w:tcPr>
            <w:tcW w:w="1260" w:type="dxa"/>
            <w:vAlign w:val="bottom"/>
            <w:tcBorders>
              <w:right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Vesting Date</w:t>
            </w:r>
          </w:p>
        </w:tc>
        <w:tc>
          <w:tcPr>
            <w:tcW w:w="900" w:type="dxa"/>
            <w:vAlign w:val="bottom"/>
            <w:vMerge w:val="continue"/>
            <w:shd w:val="clear" w:color="auto" w:fill="E6E7F4"/>
          </w:tcPr>
          <w:p>
            <w:pPr>
              <w:spacing w:after="0"/>
              <w:rPr>
                <w:sz w:val="5"/>
                <w:szCs w:val="5"/>
                <w:color w:val="auto"/>
              </w:rPr>
            </w:pPr>
          </w:p>
        </w:tc>
        <w:tc>
          <w:tcPr>
            <w:tcW w:w="1060" w:type="dxa"/>
            <w:vAlign w:val="bottom"/>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5"/>
              </w:rPr>
              <w:t>Range</w:t>
            </w:r>
          </w:p>
        </w:tc>
        <w:tc>
          <w:tcPr>
            <w:tcW w:w="1180" w:type="dxa"/>
            <w:vAlign w:val="bottom"/>
            <w:tcBorders>
              <w:right w:val="single" w:sz="8" w:color="CFD1D6"/>
            </w:tcBorders>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6"/>
              </w:rPr>
              <w:t>Vesting Date</w:t>
            </w:r>
          </w:p>
        </w:tc>
        <w:tc>
          <w:tcPr>
            <w:tcW w:w="0" w:type="dxa"/>
            <w:vAlign w:val="bottom"/>
          </w:tcPr>
          <w:p>
            <w:pPr>
              <w:spacing w:after="0"/>
              <w:rPr>
                <w:sz w:val="1"/>
                <w:szCs w:val="1"/>
                <w:color w:val="auto"/>
              </w:rPr>
            </w:pPr>
          </w:p>
        </w:tc>
      </w:tr>
      <w:tr>
        <w:trPr>
          <w:trHeight w:val="104"/>
        </w:trPr>
        <w:tc>
          <w:tcPr>
            <w:tcW w:w="1060" w:type="dxa"/>
            <w:vAlign w:val="bottom"/>
            <w:tcBorders>
              <w:left w:val="single" w:sz="8" w:color="CFD1D6"/>
              <w:right w:val="single" w:sz="8" w:color="CFD1D6"/>
            </w:tcBorders>
            <w:shd w:val="clear" w:color="auto" w:fill="E6E7F4"/>
          </w:tcPr>
          <w:p>
            <w:pPr>
              <w:spacing w:after="0"/>
              <w:rPr>
                <w:sz w:val="9"/>
                <w:szCs w:val="9"/>
                <w:color w:val="auto"/>
              </w:rPr>
            </w:pPr>
          </w:p>
        </w:tc>
        <w:tc>
          <w:tcPr>
            <w:tcW w:w="1060" w:type="dxa"/>
            <w:vAlign w:val="bottom"/>
            <w:vMerge w:val="continue"/>
            <w:shd w:val="clear" w:color="auto" w:fill="E6E7F4"/>
          </w:tcPr>
          <w:p>
            <w:pPr>
              <w:spacing w:after="0"/>
              <w:rPr>
                <w:sz w:val="9"/>
                <w:szCs w:val="9"/>
                <w:color w:val="auto"/>
              </w:rPr>
            </w:pPr>
          </w:p>
        </w:tc>
        <w:tc>
          <w:tcPr>
            <w:tcW w:w="1640" w:type="dxa"/>
            <w:vAlign w:val="bottom"/>
            <w:shd w:val="clear" w:color="auto" w:fill="E6E7F4"/>
          </w:tcPr>
          <w:p>
            <w:pPr>
              <w:spacing w:after="0"/>
              <w:rPr>
                <w:sz w:val="9"/>
                <w:szCs w:val="9"/>
                <w:color w:val="auto"/>
              </w:rPr>
            </w:pPr>
          </w:p>
        </w:tc>
        <w:tc>
          <w:tcPr>
            <w:tcW w:w="1040" w:type="dxa"/>
            <w:vAlign w:val="bottom"/>
            <w:vMerge w:val="continue"/>
            <w:shd w:val="clear" w:color="auto" w:fill="E6E7F4"/>
          </w:tcPr>
          <w:p>
            <w:pPr>
              <w:spacing w:after="0"/>
              <w:rPr>
                <w:sz w:val="9"/>
                <w:szCs w:val="9"/>
                <w:color w:val="auto"/>
              </w:rPr>
            </w:pPr>
          </w:p>
        </w:tc>
        <w:tc>
          <w:tcPr>
            <w:tcW w:w="1160" w:type="dxa"/>
            <w:vAlign w:val="bottom"/>
            <w:tcBorders>
              <w:right w:val="single" w:sz="8" w:color="CFD1D6"/>
            </w:tcBorders>
            <w:vMerge w:val="continue"/>
            <w:shd w:val="clear" w:color="auto" w:fill="E6E7F4"/>
          </w:tcPr>
          <w:p>
            <w:pPr>
              <w:spacing w:after="0"/>
              <w:rPr>
                <w:sz w:val="9"/>
                <w:szCs w:val="9"/>
                <w:color w:val="auto"/>
              </w:rPr>
            </w:pPr>
          </w:p>
        </w:tc>
        <w:tc>
          <w:tcPr>
            <w:tcW w:w="900" w:type="dxa"/>
            <w:vAlign w:val="bottom"/>
            <w:vMerge w:val="continue"/>
            <w:shd w:val="clear" w:color="auto" w:fill="E6E7F4"/>
          </w:tcPr>
          <w:p>
            <w:pPr>
              <w:spacing w:after="0"/>
              <w:rPr>
                <w:sz w:val="9"/>
                <w:szCs w:val="9"/>
                <w:color w:val="auto"/>
              </w:rPr>
            </w:pPr>
          </w:p>
        </w:tc>
        <w:tc>
          <w:tcPr>
            <w:tcW w:w="1260" w:type="dxa"/>
            <w:vAlign w:val="bottom"/>
            <w:tcBorders>
              <w:right w:val="single" w:sz="8" w:color="CFD1D6"/>
            </w:tcBorders>
            <w:vMerge w:val="continue"/>
            <w:shd w:val="clear" w:color="auto" w:fill="E6E7F4"/>
          </w:tcPr>
          <w:p>
            <w:pPr>
              <w:spacing w:after="0"/>
              <w:rPr>
                <w:sz w:val="9"/>
                <w:szCs w:val="9"/>
                <w:color w:val="auto"/>
              </w:rPr>
            </w:pPr>
          </w:p>
        </w:tc>
        <w:tc>
          <w:tcPr>
            <w:tcW w:w="900" w:type="dxa"/>
            <w:vAlign w:val="bottom"/>
            <w:vMerge w:val="restart"/>
            <w:shd w:val="clear" w:color="auto" w:fill="E6E7F4"/>
          </w:tcPr>
          <w:p>
            <w:pPr>
              <w:jc w:val="center"/>
              <w:spacing w:after="0"/>
              <w:rPr>
                <w:sz w:val="20"/>
                <w:szCs w:val="20"/>
                <w:color w:val="auto"/>
              </w:rPr>
            </w:pPr>
            <w:r>
              <w:rPr>
                <w:rFonts w:ascii="Arial" w:cs="Arial" w:eastAsia="Arial" w:hAnsi="Arial"/>
                <w:sz w:val="13"/>
                <w:szCs w:val="13"/>
                <w:b w:val="1"/>
                <w:bCs w:val="1"/>
                <w:color w:val="243782"/>
                <w:w w:val="98"/>
              </w:rPr>
              <w:t>(millions)*</w:t>
            </w:r>
          </w:p>
        </w:tc>
        <w:tc>
          <w:tcPr>
            <w:tcW w:w="1060" w:type="dxa"/>
            <w:vAlign w:val="bottom"/>
            <w:vMerge w:val="continue"/>
            <w:shd w:val="clear" w:color="auto" w:fill="E6E7F4"/>
          </w:tcPr>
          <w:p>
            <w:pPr>
              <w:spacing w:after="0"/>
              <w:rPr>
                <w:sz w:val="9"/>
                <w:szCs w:val="9"/>
                <w:color w:val="auto"/>
              </w:rPr>
            </w:pPr>
          </w:p>
        </w:tc>
        <w:tc>
          <w:tcPr>
            <w:tcW w:w="1180" w:type="dxa"/>
            <w:vAlign w:val="bottom"/>
            <w:tcBorders>
              <w:right w:val="single" w:sz="8" w:color="CFD1D6"/>
            </w:tcBorders>
            <w:vMerge w:val="continue"/>
            <w:shd w:val="clear" w:color="auto" w:fill="E6E7F4"/>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60" w:type="dxa"/>
            <w:vAlign w:val="bottom"/>
            <w:tcBorders>
              <w:left w:val="single" w:sz="8" w:color="CFD1D6"/>
              <w:bottom w:val="single" w:sz="8" w:color="E6E7F4"/>
              <w:right w:val="single" w:sz="8" w:color="CFD1D6"/>
            </w:tcBorders>
            <w:shd w:val="clear" w:color="auto" w:fill="E6E7F4"/>
          </w:tcPr>
          <w:p>
            <w:pPr>
              <w:spacing w:after="0"/>
              <w:rPr>
                <w:sz w:val="8"/>
                <w:szCs w:val="8"/>
                <w:color w:val="auto"/>
              </w:rPr>
            </w:pPr>
          </w:p>
        </w:tc>
        <w:tc>
          <w:tcPr>
            <w:tcW w:w="1060" w:type="dxa"/>
            <w:vAlign w:val="bottom"/>
            <w:tcBorders>
              <w:bottom w:val="single" w:sz="8" w:color="E6E7F4"/>
            </w:tcBorders>
            <w:shd w:val="clear" w:color="auto" w:fill="E6E7F4"/>
          </w:tcPr>
          <w:p>
            <w:pPr>
              <w:spacing w:after="0"/>
              <w:rPr>
                <w:sz w:val="8"/>
                <w:szCs w:val="8"/>
                <w:color w:val="auto"/>
              </w:rPr>
            </w:pPr>
          </w:p>
        </w:tc>
        <w:tc>
          <w:tcPr>
            <w:tcW w:w="1640" w:type="dxa"/>
            <w:vAlign w:val="bottom"/>
            <w:tcBorders>
              <w:bottom w:val="single" w:sz="8" w:color="E6E7F4"/>
            </w:tcBorders>
            <w:shd w:val="clear" w:color="auto" w:fill="E6E7F4"/>
          </w:tcPr>
          <w:p>
            <w:pPr>
              <w:spacing w:after="0"/>
              <w:rPr>
                <w:sz w:val="8"/>
                <w:szCs w:val="8"/>
                <w:color w:val="auto"/>
              </w:rPr>
            </w:pPr>
          </w:p>
        </w:tc>
        <w:tc>
          <w:tcPr>
            <w:tcW w:w="1040" w:type="dxa"/>
            <w:vAlign w:val="bottom"/>
            <w:tcBorders>
              <w:bottom w:val="single" w:sz="8" w:color="E6E7F4"/>
            </w:tcBorders>
            <w:shd w:val="clear" w:color="auto" w:fill="E6E7F4"/>
          </w:tcPr>
          <w:p>
            <w:pPr>
              <w:spacing w:after="0"/>
              <w:rPr>
                <w:sz w:val="8"/>
                <w:szCs w:val="8"/>
                <w:color w:val="auto"/>
              </w:rPr>
            </w:pPr>
          </w:p>
        </w:tc>
        <w:tc>
          <w:tcPr>
            <w:tcW w:w="1160" w:type="dxa"/>
            <w:vAlign w:val="bottom"/>
            <w:tcBorders>
              <w:bottom w:val="single" w:sz="8" w:color="E6E7F4"/>
              <w:right w:val="single" w:sz="8" w:color="CFD1D6"/>
            </w:tcBorders>
            <w:shd w:val="clear" w:color="auto" w:fill="E6E7F4"/>
          </w:tcPr>
          <w:p>
            <w:pPr>
              <w:spacing w:after="0"/>
              <w:rPr>
                <w:sz w:val="8"/>
                <w:szCs w:val="8"/>
                <w:color w:val="auto"/>
              </w:rPr>
            </w:pPr>
          </w:p>
        </w:tc>
        <w:tc>
          <w:tcPr>
            <w:tcW w:w="900" w:type="dxa"/>
            <w:vAlign w:val="bottom"/>
            <w:tcBorders>
              <w:bottom w:val="single" w:sz="8" w:color="E6E7F4"/>
            </w:tcBorders>
            <w:shd w:val="clear" w:color="auto" w:fill="E6E7F4"/>
          </w:tcPr>
          <w:p>
            <w:pPr>
              <w:spacing w:after="0"/>
              <w:rPr>
                <w:sz w:val="8"/>
                <w:szCs w:val="8"/>
                <w:color w:val="auto"/>
              </w:rPr>
            </w:pPr>
          </w:p>
        </w:tc>
        <w:tc>
          <w:tcPr>
            <w:tcW w:w="1260" w:type="dxa"/>
            <w:vAlign w:val="bottom"/>
            <w:tcBorders>
              <w:bottom w:val="single" w:sz="8" w:color="E6E7F4"/>
              <w:right w:val="single" w:sz="8" w:color="CFD1D6"/>
            </w:tcBorders>
            <w:shd w:val="clear" w:color="auto" w:fill="E6E7F4"/>
          </w:tcPr>
          <w:p>
            <w:pPr>
              <w:spacing w:after="0"/>
              <w:rPr>
                <w:sz w:val="8"/>
                <w:szCs w:val="8"/>
                <w:color w:val="auto"/>
              </w:rPr>
            </w:pPr>
          </w:p>
        </w:tc>
        <w:tc>
          <w:tcPr>
            <w:tcW w:w="900" w:type="dxa"/>
            <w:vAlign w:val="bottom"/>
            <w:tcBorders>
              <w:bottom w:val="single" w:sz="8" w:color="E6E7F4"/>
            </w:tcBorders>
            <w:vMerge w:val="continue"/>
            <w:shd w:val="clear" w:color="auto" w:fill="E6E7F4"/>
          </w:tcPr>
          <w:p>
            <w:pPr>
              <w:spacing w:after="0"/>
              <w:rPr>
                <w:sz w:val="8"/>
                <w:szCs w:val="8"/>
                <w:color w:val="auto"/>
              </w:rPr>
            </w:pPr>
          </w:p>
        </w:tc>
        <w:tc>
          <w:tcPr>
            <w:tcW w:w="1060" w:type="dxa"/>
            <w:vAlign w:val="bottom"/>
            <w:tcBorders>
              <w:bottom w:val="single" w:sz="8" w:color="E6E7F4"/>
            </w:tcBorders>
            <w:shd w:val="clear" w:color="auto" w:fill="E6E7F4"/>
          </w:tcPr>
          <w:p>
            <w:pPr>
              <w:spacing w:after="0"/>
              <w:rPr>
                <w:sz w:val="8"/>
                <w:szCs w:val="8"/>
                <w:color w:val="auto"/>
              </w:rPr>
            </w:pPr>
          </w:p>
        </w:tc>
        <w:tc>
          <w:tcPr>
            <w:tcW w:w="1180" w:type="dxa"/>
            <w:vAlign w:val="bottom"/>
            <w:tcBorders>
              <w:bottom w:val="single" w:sz="8" w:color="E6E7F4"/>
              <w:right w:val="single" w:sz="8" w:color="CFD1D6"/>
            </w:tcBorders>
            <w:shd w:val="clear" w:color="auto" w:fill="E6E7F4"/>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tcBorders>
              <w:top w:val="single" w:sz="8" w:color="CFD1D6"/>
            </w:tcBorders>
          </w:tcPr>
          <w:p>
            <w:pPr>
              <w:spacing w:after="0"/>
              <w:rPr>
                <w:sz w:val="14"/>
                <w:szCs w:val="14"/>
                <w:color w:val="auto"/>
              </w:rPr>
            </w:pPr>
          </w:p>
        </w:tc>
        <w:tc>
          <w:tcPr>
            <w:tcW w:w="1060" w:type="dxa"/>
            <w:vAlign w:val="bottom"/>
            <w:tcBorders>
              <w:top w:val="single" w:sz="8" w:color="CFD1D6"/>
            </w:tcBorders>
          </w:tcPr>
          <w:p>
            <w:pPr>
              <w:spacing w:after="0"/>
              <w:rPr>
                <w:sz w:val="14"/>
                <w:szCs w:val="14"/>
                <w:color w:val="auto"/>
              </w:rPr>
            </w:pPr>
          </w:p>
        </w:tc>
        <w:tc>
          <w:tcPr>
            <w:tcW w:w="1640" w:type="dxa"/>
            <w:vAlign w:val="bottom"/>
            <w:tcBorders>
              <w:top w:val="single" w:sz="8" w:color="CFD1D6"/>
            </w:tcBorders>
          </w:tcPr>
          <w:p>
            <w:pPr>
              <w:jc w:val="center"/>
              <w:ind w:right="40"/>
              <w:spacing w:after="0"/>
              <w:rPr>
                <w:sz w:val="20"/>
                <w:szCs w:val="20"/>
                <w:color w:val="auto"/>
              </w:rPr>
            </w:pPr>
            <w:r>
              <w:rPr>
                <w:rFonts w:ascii="Arial" w:cs="Arial" w:eastAsia="Arial" w:hAnsi="Arial"/>
                <w:sz w:val="12"/>
                <w:szCs w:val="12"/>
                <w:color w:val="auto"/>
                <w:w w:val="97"/>
              </w:rPr>
              <w:t>TSR (30%)</w:t>
            </w:r>
          </w:p>
        </w:tc>
        <w:tc>
          <w:tcPr>
            <w:tcW w:w="1040" w:type="dxa"/>
            <w:vAlign w:val="bottom"/>
            <w:tcBorders>
              <w:top w:val="single" w:sz="8" w:color="CFD1D6"/>
            </w:tcBorders>
          </w:tcPr>
          <w:p>
            <w:pPr>
              <w:spacing w:after="0"/>
              <w:rPr>
                <w:sz w:val="14"/>
                <w:szCs w:val="14"/>
                <w:color w:val="auto"/>
              </w:rPr>
            </w:pPr>
          </w:p>
        </w:tc>
        <w:tc>
          <w:tcPr>
            <w:tcW w:w="1160" w:type="dxa"/>
            <w:vAlign w:val="bottom"/>
            <w:tcBorders>
              <w:top w:val="single" w:sz="8" w:color="CFD1D6"/>
            </w:tcBorders>
            <w:vMerge w:val="restart"/>
          </w:tcPr>
          <w:p>
            <w:pPr>
              <w:jc w:val="center"/>
              <w:ind w:right="19"/>
              <w:spacing w:after="0"/>
              <w:rPr>
                <w:sz w:val="20"/>
                <w:szCs w:val="20"/>
                <w:color w:val="auto"/>
              </w:rPr>
            </w:pPr>
            <w:r>
              <w:rPr>
                <w:rFonts w:ascii="Arial" w:cs="Arial" w:eastAsia="Arial" w:hAnsi="Arial"/>
                <w:sz w:val="12"/>
                <w:szCs w:val="12"/>
                <w:color w:val="auto"/>
                <w:w w:val="97"/>
              </w:rPr>
              <w:t>2026-2028</w:t>
            </w:r>
          </w:p>
        </w:tc>
        <w:tc>
          <w:tcPr>
            <w:tcW w:w="900" w:type="dxa"/>
            <w:vAlign w:val="bottom"/>
            <w:tcBorders>
              <w:top w:val="single" w:sz="8" w:color="CFD1D6"/>
            </w:tcBorders>
          </w:tcPr>
          <w:p>
            <w:pPr>
              <w:spacing w:after="0"/>
              <w:rPr>
                <w:sz w:val="14"/>
                <w:szCs w:val="14"/>
                <w:color w:val="auto"/>
              </w:rPr>
            </w:pPr>
          </w:p>
        </w:tc>
        <w:tc>
          <w:tcPr>
            <w:tcW w:w="1260" w:type="dxa"/>
            <w:vAlign w:val="bottom"/>
            <w:tcBorders>
              <w:top w:val="single" w:sz="8" w:color="CFD1D6"/>
            </w:tcBorders>
            <w:vMerge w:val="restart"/>
          </w:tcPr>
          <w:p>
            <w:pPr>
              <w:jc w:val="center"/>
              <w:spacing w:after="0"/>
              <w:rPr>
                <w:sz w:val="20"/>
                <w:szCs w:val="20"/>
                <w:color w:val="auto"/>
              </w:rPr>
            </w:pPr>
            <w:r>
              <w:rPr>
                <w:rFonts w:ascii="Arial" w:cs="Arial" w:eastAsia="Arial" w:hAnsi="Arial"/>
                <w:sz w:val="12"/>
                <w:szCs w:val="12"/>
                <w:color w:val="auto"/>
                <w:w w:val="97"/>
              </w:rPr>
              <w:t>2026-2029</w:t>
            </w:r>
          </w:p>
        </w:tc>
        <w:tc>
          <w:tcPr>
            <w:tcW w:w="900" w:type="dxa"/>
            <w:vAlign w:val="bottom"/>
            <w:tcBorders>
              <w:top w:val="single" w:sz="8" w:color="CFD1D6"/>
            </w:tcBorders>
          </w:tcPr>
          <w:p>
            <w:pPr>
              <w:spacing w:after="0"/>
              <w:rPr>
                <w:sz w:val="14"/>
                <w:szCs w:val="14"/>
                <w:color w:val="auto"/>
              </w:rPr>
            </w:pPr>
          </w:p>
        </w:tc>
        <w:tc>
          <w:tcPr>
            <w:tcW w:w="1060" w:type="dxa"/>
            <w:vAlign w:val="bottom"/>
            <w:tcBorders>
              <w:top w:val="single" w:sz="8" w:color="CFD1D6"/>
            </w:tcBorders>
          </w:tcPr>
          <w:p>
            <w:pPr>
              <w:spacing w:after="0"/>
              <w:rPr>
                <w:sz w:val="14"/>
                <w:szCs w:val="14"/>
                <w:color w:val="auto"/>
              </w:rPr>
            </w:pPr>
          </w:p>
        </w:tc>
        <w:tc>
          <w:tcPr>
            <w:tcW w:w="1180" w:type="dxa"/>
            <w:vAlign w:val="bottom"/>
            <w:tcBorders>
              <w:top w:val="single" w:sz="8" w:color="CFD1D6"/>
            </w:tcBorders>
            <w:vMerge w:val="restart"/>
          </w:tcPr>
          <w:p>
            <w:pPr>
              <w:jc w:val="right"/>
              <w:ind w:right="279"/>
              <w:spacing w:after="0"/>
              <w:rPr>
                <w:sz w:val="20"/>
                <w:szCs w:val="20"/>
                <w:color w:val="auto"/>
              </w:rPr>
            </w:pPr>
            <w:r>
              <w:rPr>
                <w:rFonts w:ascii="Arial" w:cs="Arial" w:eastAsia="Arial" w:hAnsi="Arial"/>
                <w:sz w:val="12"/>
                <w:szCs w:val="12"/>
                <w:color w:val="auto"/>
              </w:rPr>
              <w:t>2026-2028</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right"/>
              <w:ind w:right="199"/>
              <w:spacing w:after="0"/>
              <w:rPr>
                <w:sz w:val="20"/>
                <w:szCs w:val="20"/>
                <w:color w:val="auto"/>
              </w:rPr>
            </w:pPr>
            <w:r>
              <w:rPr>
                <w:rFonts w:ascii="Arial" w:cs="Arial" w:eastAsia="Arial" w:hAnsi="Arial"/>
                <w:sz w:val="12"/>
                <w:szCs w:val="12"/>
                <w:color w:val="auto"/>
              </w:rPr>
              <w:t>2026-2028</w:t>
            </w:r>
          </w:p>
        </w:tc>
        <w:tc>
          <w:tcPr>
            <w:tcW w:w="1060" w:type="dxa"/>
            <w:vAlign w:val="bottom"/>
            <w:vMerge w:val="restart"/>
          </w:tcPr>
          <w:p>
            <w:pPr>
              <w:jc w:val="center"/>
              <w:ind w:right="59"/>
              <w:spacing w:after="0"/>
              <w:rPr>
                <w:sz w:val="20"/>
                <w:szCs w:val="20"/>
                <w:color w:val="auto"/>
              </w:rPr>
            </w:pPr>
            <w:r>
              <w:rPr>
                <w:rFonts w:ascii="Arial" w:cs="Arial" w:eastAsia="Arial" w:hAnsi="Arial"/>
                <w:sz w:val="12"/>
                <w:szCs w:val="12"/>
                <w:color w:val="auto"/>
                <w:w w:val="93"/>
              </w:rPr>
              <w:t>16.8</w:t>
            </w:r>
          </w:p>
        </w:tc>
        <w:tc>
          <w:tcPr>
            <w:tcW w:w="1640" w:type="dxa"/>
            <w:vAlign w:val="bottom"/>
            <w:vMerge w:val="restart"/>
          </w:tcPr>
          <w:p>
            <w:pPr>
              <w:jc w:val="center"/>
              <w:ind w:right="40"/>
              <w:spacing w:after="0"/>
              <w:rPr>
                <w:sz w:val="20"/>
                <w:szCs w:val="20"/>
                <w:color w:val="auto"/>
              </w:rPr>
            </w:pPr>
            <w:r>
              <w:rPr>
                <w:rFonts w:ascii="Arial" w:cs="Arial" w:eastAsia="Arial" w:hAnsi="Arial"/>
                <w:sz w:val="12"/>
                <w:szCs w:val="12"/>
                <w:color w:val="auto"/>
                <w:w w:val="96"/>
              </w:rPr>
              <w:t>AOI (40%)</w:t>
            </w:r>
          </w:p>
        </w:tc>
        <w:tc>
          <w:tcPr>
            <w:tcW w:w="1040" w:type="dxa"/>
            <w:vAlign w:val="bottom"/>
            <w:vMerge w:val="restart"/>
          </w:tcPr>
          <w:p>
            <w:pPr>
              <w:jc w:val="center"/>
              <w:spacing w:after="0"/>
              <w:rPr>
                <w:sz w:val="20"/>
                <w:szCs w:val="20"/>
                <w:color w:val="auto"/>
              </w:rPr>
            </w:pPr>
            <w:r>
              <w:rPr>
                <w:rFonts w:ascii="Arial" w:cs="Arial" w:eastAsia="Arial" w:hAnsi="Arial"/>
                <w:sz w:val="12"/>
                <w:szCs w:val="12"/>
                <w:color w:val="auto"/>
                <w:w w:val="96"/>
              </w:rPr>
              <w:t>0-200%</w:t>
            </w:r>
          </w:p>
        </w:tc>
        <w:tc>
          <w:tcPr>
            <w:tcW w:w="1160" w:type="dxa"/>
            <w:vAlign w:val="bottom"/>
            <w:vMerge w:val="continue"/>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w w:val="93"/>
              </w:rPr>
              <w:t>19.0</w:t>
            </w:r>
          </w:p>
        </w:tc>
        <w:tc>
          <w:tcPr>
            <w:tcW w:w="1260" w:type="dxa"/>
            <w:vAlign w:val="bottom"/>
            <w:vMerge w:val="continue"/>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color w:val="auto"/>
                <w:w w:val="95"/>
              </w:rPr>
              <w:t>0.0</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auto"/>
                <w:w w:val="96"/>
              </w:rPr>
              <w:t>0-150%</w:t>
            </w: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7"/>
              </w:rPr>
              <w:t>Dec 2028</w:t>
            </w:r>
          </w:p>
        </w:tc>
        <w:tc>
          <w:tcPr>
            <w:tcW w:w="900" w:type="dxa"/>
            <w:vAlign w:val="bottom"/>
            <w:vMerge w:val="continue"/>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2"/>
                <w:szCs w:val="12"/>
                <w:color w:val="auto"/>
                <w:w w:val="94"/>
              </w:rPr>
              <w:t>May 2029</w:t>
            </w:r>
          </w:p>
        </w:tc>
        <w:tc>
          <w:tcPr>
            <w:tcW w:w="9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80" w:type="dxa"/>
            <w:vAlign w:val="bottom"/>
            <w:vMerge w:val="restart"/>
          </w:tcPr>
          <w:p>
            <w:pPr>
              <w:jc w:val="center"/>
              <w:ind w:right="19"/>
              <w:spacing w:after="0"/>
              <w:rPr>
                <w:sz w:val="20"/>
                <w:szCs w:val="20"/>
                <w:color w:val="auto"/>
              </w:rPr>
            </w:pPr>
            <w:r>
              <w:rPr>
                <w:rFonts w:ascii="Arial" w:cs="Arial" w:eastAsia="Arial" w:hAnsi="Arial"/>
                <w:sz w:val="12"/>
                <w:szCs w:val="12"/>
                <w:color w:val="auto"/>
                <w:w w:val="99"/>
              </w:rPr>
              <w:t>Q2 2029</w:t>
            </w:r>
          </w:p>
        </w:tc>
        <w:tc>
          <w:tcPr>
            <w:tcW w:w="0" w:type="dxa"/>
            <w:vAlign w:val="bottom"/>
          </w:tcPr>
          <w:p>
            <w:pPr>
              <w:spacing w:after="0"/>
              <w:rPr>
                <w:sz w:val="1"/>
                <w:szCs w:val="1"/>
                <w:color w:val="auto"/>
              </w:rPr>
            </w:pPr>
          </w:p>
        </w:tc>
      </w:tr>
      <w:tr>
        <w:trPr>
          <w:trHeight w:val="71"/>
        </w:trPr>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40" w:type="dxa"/>
            <w:vAlign w:val="bottom"/>
            <w:vMerge w:val="restart"/>
          </w:tcPr>
          <w:p>
            <w:pPr>
              <w:jc w:val="center"/>
              <w:ind w:right="20"/>
              <w:spacing w:after="0"/>
              <w:rPr>
                <w:sz w:val="20"/>
                <w:szCs w:val="20"/>
                <w:color w:val="auto"/>
              </w:rPr>
            </w:pPr>
            <w:r>
              <w:rPr>
                <w:rFonts w:ascii="Arial" w:cs="Arial" w:eastAsia="Arial" w:hAnsi="Arial"/>
                <w:sz w:val="12"/>
                <w:szCs w:val="12"/>
                <w:color w:val="auto"/>
                <w:w w:val="98"/>
              </w:rPr>
              <w:t>Quality (30%)</w:t>
            </w:r>
          </w:p>
        </w:tc>
        <w:tc>
          <w:tcPr>
            <w:tcW w:w="10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60" w:type="dxa"/>
            <w:vAlign w:val="bottom"/>
            <w:tcBorders>
              <w:bottom w:val="single" w:sz="8" w:color="CFD1D6"/>
            </w:tcBorders>
          </w:tcPr>
          <w:p>
            <w:pPr>
              <w:spacing w:after="0"/>
              <w:rPr>
                <w:sz w:val="8"/>
                <w:szCs w:val="8"/>
                <w:color w:val="auto"/>
              </w:rPr>
            </w:pPr>
          </w:p>
        </w:tc>
        <w:tc>
          <w:tcPr>
            <w:tcW w:w="1060" w:type="dxa"/>
            <w:vAlign w:val="bottom"/>
            <w:tcBorders>
              <w:bottom w:val="single" w:sz="8" w:color="CFD1D6"/>
            </w:tcBorders>
          </w:tcPr>
          <w:p>
            <w:pPr>
              <w:spacing w:after="0"/>
              <w:rPr>
                <w:sz w:val="8"/>
                <w:szCs w:val="8"/>
                <w:color w:val="auto"/>
              </w:rPr>
            </w:pPr>
          </w:p>
        </w:tc>
        <w:tc>
          <w:tcPr>
            <w:tcW w:w="1640" w:type="dxa"/>
            <w:vAlign w:val="bottom"/>
            <w:tcBorders>
              <w:bottom w:val="single" w:sz="8" w:color="CFD1D6"/>
            </w:tcBorders>
            <w:vMerge w:val="continue"/>
          </w:tcPr>
          <w:p>
            <w:pPr>
              <w:spacing w:after="0"/>
              <w:rPr>
                <w:sz w:val="8"/>
                <w:szCs w:val="8"/>
                <w:color w:val="auto"/>
              </w:rPr>
            </w:pPr>
          </w:p>
        </w:tc>
        <w:tc>
          <w:tcPr>
            <w:tcW w:w="1040" w:type="dxa"/>
            <w:vAlign w:val="bottom"/>
            <w:tcBorders>
              <w:bottom w:val="single" w:sz="8" w:color="CFD1D6"/>
            </w:tcBorders>
          </w:tcPr>
          <w:p>
            <w:pPr>
              <w:spacing w:after="0"/>
              <w:rPr>
                <w:sz w:val="8"/>
                <w:szCs w:val="8"/>
                <w:color w:val="auto"/>
              </w:rPr>
            </w:pPr>
          </w:p>
        </w:tc>
        <w:tc>
          <w:tcPr>
            <w:tcW w:w="1160" w:type="dxa"/>
            <w:vAlign w:val="bottom"/>
            <w:tcBorders>
              <w:bottom w:val="single" w:sz="8" w:color="CFD1D6"/>
            </w:tcBorders>
          </w:tcPr>
          <w:p>
            <w:pPr>
              <w:spacing w:after="0"/>
              <w:rPr>
                <w:sz w:val="8"/>
                <w:szCs w:val="8"/>
                <w:color w:val="auto"/>
              </w:rPr>
            </w:pPr>
          </w:p>
        </w:tc>
        <w:tc>
          <w:tcPr>
            <w:tcW w:w="900" w:type="dxa"/>
            <w:vAlign w:val="bottom"/>
            <w:tcBorders>
              <w:bottom w:val="single" w:sz="8" w:color="CFD1D6"/>
            </w:tcBorders>
          </w:tcPr>
          <w:p>
            <w:pPr>
              <w:spacing w:after="0"/>
              <w:rPr>
                <w:sz w:val="8"/>
                <w:szCs w:val="8"/>
                <w:color w:val="auto"/>
              </w:rPr>
            </w:pPr>
          </w:p>
        </w:tc>
        <w:tc>
          <w:tcPr>
            <w:tcW w:w="1260" w:type="dxa"/>
            <w:vAlign w:val="bottom"/>
            <w:tcBorders>
              <w:bottom w:val="single" w:sz="8" w:color="CFD1D6"/>
            </w:tcBorders>
          </w:tcPr>
          <w:p>
            <w:pPr>
              <w:spacing w:after="0"/>
              <w:rPr>
                <w:sz w:val="8"/>
                <w:szCs w:val="8"/>
                <w:color w:val="auto"/>
              </w:rPr>
            </w:pPr>
          </w:p>
        </w:tc>
        <w:tc>
          <w:tcPr>
            <w:tcW w:w="900" w:type="dxa"/>
            <w:vAlign w:val="bottom"/>
            <w:tcBorders>
              <w:bottom w:val="single" w:sz="8" w:color="CFD1D6"/>
            </w:tcBorders>
          </w:tcPr>
          <w:p>
            <w:pPr>
              <w:spacing w:after="0"/>
              <w:rPr>
                <w:sz w:val="8"/>
                <w:szCs w:val="8"/>
                <w:color w:val="auto"/>
              </w:rPr>
            </w:pPr>
          </w:p>
        </w:tc>
        <w:tc>
          <w:tcPr>
            <w:tcW w:w="1060" w:type="dxa"/>
            <w:vAlign w:val="bottom"/>
            <w:tcBorders>
              <w:bottom w:val="single" w:sz="8" w:color="CFD1D6"/>
            </w:tcBorders>
          </w:tcPr>
          <w:p>
            <w:pPr>
              <w:spacing w:after="0"/>
              <w:rPr>
                <w:sz w:val="8"/>
                <w:szCs w:val="8"/>
                <w:color w:val="auto"/>
              </w:rPr>
            </w:pPr>
          </w:p>
        </w:tc>
        <w:tc>
          <w:tcPr>
            <w:tcW w:w="1180" w:type="dxa"/>
            <w:vAlign w:val="bottom"/>
            <w:tcBorders>
              <w:bottom w:val="single" w:sz="8" w:color="CFD1D6"/>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Includes amounts related to awards granted during the current year in respect of the prior-year plan. Presented based on the awards’ grant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Share-based payment expense</w:t>
      </w:r>
    </w:p>
    <w:p>
      <w:pPr>
        <w:spacing w:after="0" w:line="252"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Including previously granted awards, total expense of approximately €38 million and €106 million was recorded for the PSU, PRSU and RSU awards for the three months ended September 30, 2026 and the nine months ended September 30, 2026, respectively. Total expense of approximately €19 million and €51 million was recorded for the PSU, PRSU and RSU awards for the three months ended September 30, 2025 and the nine months ended September 30, 2025, respectively.</w:t>
      </w:r>
    </w:p>
    <w:p>
      <w:pPr>
        <w:spacing w:after="0" w:line="176"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auto"/>
        </w:rPr>
        <w:t>The total number of PSU, PRSU and RSU awards outstanding at September 30, 2026, was approximately 33.9 million, 0.5 million and 29.1 million shares,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12. Employee benefits liabilities</w:t>
      </w:r>
    </w:p>
    <w:p>
      <w:pPr>
        <w:spacing w:after="0" w:line="252" w:lineRule="exact"/>
        <w:rPr>
          <w:sz w:val="20"/>
          <w:szCs w:val="20"/>
          <w:color w:val="auto"/>
        </w:rPr>
      </w:pPr>
    </w:p>
    <w:p>
      <w:pPr>
        <w:ind w:right="960"/>
        <w:spacing w:after="0" w:line="334" w:lineRule="auto"/>
        <w:rPr>
          <w:sz w:val="20"/>
          <w:szCs w:val="20"/>
          <w:color w:val="auto"/>
        </w:rPr>
      </w:pPr>
      <w:r>
        <w:rPr>
          <w:rFonts w:ascii="Arial" w:cs="Arial" w:eastAsia="Arial" w:hAnsi="Arial"/>
          <w:sz w:val="18"/>
          <w:szCs w:val="18"/>
          <w:color w:val="auto"/>
        </w:rPr>
        <w:t>Employee benefits liabilities include provisions for both pension plans and health care, legal, severance indemnity and other post-employment benefits (“OPEB”) and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19"/>
                <w:szCs w:val="19"/>
                <w:color w:val="auto"/>
              </w:rPr>
            </w:pPr>
          </w:p>
        </w:tc>
        <w:tc>
          <w:tcPr>
            <w:tcW w:w="2780" w:type="dxa"/>
            <w:vAlign w:val="bottom"/>
            <w:tcBorders>
              <w:bottom w:val="single" w:sz="8" w:color="8E939F"/>
            </w:tcBorders>
            <w:gridSpan w:val="3"/>
          </w:tcPr>
          <w:p>
            <w:pPr>
              <w:ind w:left="940"/>
              <w:spacing w:after="0"/>
              <w:rPr>
                <w:sz w:val="20"/>
                <w:szCs w:val="20"/>
                <w:color w:val="auto"/>
              </w:rPr>
            </w:pPr>
            <w:r>
              <w:rPr>
                <w:rFonts w:ascii="Arial" w:cs="Arial" w:eastAsia="Arial" w:hAnsi="Arial"/>
                <w:sz w:val="16"/>
                <w:szCs w:val="16"/>
                <w:b w:val="1"/>
                <w:bCs w:val="1"/>
                <w:color w:val="243782"/>
              </w:rPr>
              <w:t>At September 30, 2026</w:t>
            </w:r>
          </w:p>
        </w:tc>
        <w:tc>
          <w:tcPr>
            <w:tcW w:w="820" w:type="dxa"/>
            <w:vAlign w:val="bottom"/>
            <w:tcBorders>
              <w:bottom w:val="single" w:sz="8" w:color="8E939F"/>
            </w:tcBorders>
          </w:tcPr>
          <w:p>
            <w:pPr>
              <w:spacing w:after="0"/>
              <w:rPr>
                <w:sz w:val="19"/>
                <w:szCs w:val="19"/>
                <w:color w:val="auto"/>
              </w:rPr>
            </w:pPr>
          </w:p>
        </w:tc>
        <w:tc>
          <w:tcPr>
            <w:tcW w:w="2880" w:type="dxa"/>
            <w:vAlign w:val="bottom"/>
            <w:tcBorders>
              <w:bottom w:val="single" w:sz="8" w:color="8E939F"/>
            </w:tcBorders>
            <w:gridSpan w:val="2"/>
          </w:tcPr>
          <w:p>
            <w:pPr>
              <w:jc w:val="right"/>
              <w:ind w:right="61"/>
              <w:spacing w:after="0"/>
              <w:rPr>
                <w:sz w:val="20"/>
                <w:szCs w:val="20"/>
                <w:color w:val="auto"/>
              </w:rPr>
            </w:pPr>
            <w:r>
              <w:rPr>
                <w:rFonts w:ascii="Arial" w:cs="Arial" w:eastAsia="Arial" w:hAnsi="Arial"/>
                <w:sz w:val="16"/>
                <w:szCs w:val="16"/>
                <w:b w:val="1"/>
                <w:bCs w:val="1"/>
                <w:color w:val="243782"/>
              </w:rPr>
              <w:t>At December 31, 2025</w:t>
            </w:r>
          </w:p>
        </w:tc>
        <w:tc>
          <w:tcPr>
            <w:tcW w:w="840" w:type="dxa"/>
            <w:vAlign w:val="bottom"/>
            <w:tcBorders>
              <w:bottom w:val="single" w:sz="8" w:color="8E939F"/>
            </w:tcBorders>
          </w:tcPr>
          <w:p>
            <w:pPr>
              <w:spacing w:after="0"/>
              <w:rPr>
                <w:sz w:val="19"/>
                <w:szCs w:val="19"/>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6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3860" w:type="dxa"/>
            <w:vAlign w:val="bottom"/>
            <w:tcBorders>
              <w:bottom w:val="single" w:sz="8" w:color="143A84"/>
            </w:tcBorders>
          </w:tcPr>
          <w:p>
            <w:pPr>
              <w:spacing w:after="0"/>
              <w:rPr>
                <w:sz w:val="20"/>
                <w:szCs w:val="20"/>
                <w:color w:val="auto"/>
              </w:rPr>
            </w:pPr>
          </w:p>
        </w:tc>
        <w:tc>
          <w:tcPr>
            <w:tcW w:w="1060" w:type="dxa"/>
            <w:vAlign w:val="bottom"/>
            <w:tcBorders>
              <w:bottom w:val="single" w:sz="8" w:color="143A84"/>
            </w:tcBorders>
            <w:shd w:val="clear" w:color="auto" w:fill="F3F3F9"/>
          </w:tcPr>
          <w:p>
            <w:pPr>
              <w:jc w:val="right"/>
              <w:ind w:right="180"/>
              <w:spacing w:after="0"/>
              <w:rPr>
                <w:sz w:val="20"/>
                <w:szCs w:val="20"/>
                <w:color w:val="auto"/>
              </w:rPr>
            </w:pPr>
            <w:r>
              <w:rPr>
                <w:rFonts w:ascii="Arial" w:cs="Arial" w:eastAsia="Arial" w:hAnsi="Arial"/>
                <w:sz w:val="14"/>
                <w:szCs w:val="14"/>
                <w:b w:val="1"/>
                <w:bCs w:val="1"/>
                <w:color w:val="243782"/>
              </w:rPr>
              <w:t>Current</w:t>
            </w:r>
          </w:p>
        </w:tc>
        <w:tc>
          <w:tcPr>
            <w:tcW w:w="1460" w:type="dxa"/>
            <w:vAlign w:val="bottom"/>
            <w:tcBorders>
              <w:bottom w:val="single" w:sz="8" w:color="143A84"/>
            </w:tcBorders>
            <w:shd w:val="clear" w:color="auto" w:fill="F3F3F9"/>
          </w:tcPr>
          <w:p>
            <w:pPr>
              <w:jc w:val="right"/>
              <w:ind w:right="221"/>
              <w:spacing w:after="0"/>
              <w:rPr>
                <w:sz w:val="20"/>
                <w:szCs w:val="20"/>
                <w:color w:val="auto"/>
              </w:rPr>
            </w:pPr>
            <w:r>
              <w:rPr>
                <w:rFonts w:ascii="Arial" w:cs="Arial" w:eastAsia="Arial" w:hAnsi="Arial"/>
                <w:sz w:val="14"/>
                <w:szCs w:val="14"/>
                <w:b w:val="1"/>
                <w:bCs w:val="1"/>
                <w:color w:val="243782"/>
              </w:rPr>
              <w:t>Non-current</w:t>
            </w:r>
          </w:p>
        </w:tc>
        <w:tc>
          <w:tcPr>
            <w:tcW w:w="260" w:type="dxa"/>
            <w:vAlign w:val="bottom"/>
            <w:tcBorders>
              <w:bottom w:val="single" w:sz="8" w:color="143A84"/>
            </w:tcBorders>
            <w:shd w:val="clear" w:color="auto" w:fill="E6E7F4"/>
          </w:tcPr>
          <w:p>
            <w:pPr>
              <w:spacing w:after="0"/>
              <w:rPr>
                <w:sz w:val="20"/>
                <w:szCs w:val="20"/>
                <w:color w:val="auto"/>
              </w:rPr>
            </w:pPr>
          </w:p>
        </w:tc>
        <w:tc>
          <w:tcPr>
            <w:tcW w:w="820" w:type="dxa"/>
            <w:vAlign w:val="bottom"/>
            <w:tcBorders>
              <w:bottom w:val="single" w:sz="8" w:color="143A84"/>
            </w:tcBorders>
            <w:shd w:val="clear" w:color="auto" w:fill="E6E7F4"/>
          </w:tcPr>
          <w:p>
            <w:pPr>
              <w:jc w:val="right"/>
              <w:ind w:right="301"/>
              <w:spacing w:after="0"/>
              <w:rPr>
                <w:sz w:val="20"/>
                <w:szCs w:val="20"/>
                <w:color w:val="auto"/>
              </w:rPr>
            </w:pPr>
            <w:r>
              <w:rPr>
                <w:rFonts w:ascii="Arial" w:cs="Arial" w:eastAsia="Arial" w:hAnsi="Arial"/>
                <w:sz w:val="14"/>
                <w:szCs w:val="14"/>
                <w:b w:val="1"/>
                <w:bCs w:val="1"/>
                <w:color w:val="243782"/>
              </w:rPr>
              <w:t>Total</w:t>
            </w:r>
          </w:p>
        </w:tc>
        <w:tc>
          <w:tcPr>
            <w:tcW w:w="1320" w:type="dxa"/>
            <w:vAlign w:val="bottom"/>
            <w:tcBorders>
              <w:bottom w:val="single" w:sz="8" w:color="143A84"/>
            </w:tcBorders>
          </w:tcPr>
          <w:p>
            <w:pPr>
              <w:jc w:val="right"/>
              <w:ind w:right="320"/>
              <w:spacing w:after="0"/>
              <w:rPr>
                <w:sz w:val="20"/>
                <w:szCs w:val="20"/>
                <w:color w:val="auto"/>
              </w:rPr>
            </w:pPr>
            <w:r>
              <w:rPr>
                <w:rFonts w:ascii="Arial" w:cs="Arial" w:eastAsia="Arial" w:hAnsi="Arial"/>
                <w:sz w:val="14"/>
                <w:szCs w:val="14"/>
                <w:b w:val="1"/>
                <w:bCs w:val="1"/>
                <w:color w:val="243782"/>
              </w:rPr>
              <w:t>Current</w:t>
            </w:r>
          </w:p>
        </w:tc>
        <w:tc>
          <w:tcPr>
            <w:tcW w:w="1560" w:type="dxa"/>
            <w:vAlign w:val="bottom"/>
            <w:tcBorders>
              <w:bottom w:val="single" w:sz="8" w:color="143A84"/>
            </w:tcBorders>
          </w:tcPr>
          <w:p>
            <w:pPr>
              <w:jc w:val="right"/>
              <w:ind w:right="481"/>
              <w:spacing w:after="0"/>
              <w:rPr>
                <w:sz w:val="20"/>
                <w:szCs w:val="20"/>
                <w:color w:val="auto"/>
              </w:rPr>
            </w:pPr>
            <w:r>
              <w:rPr>
                <w:rFonts w:ascii="Arial" w:cs="Arial" w:eastAsia="Arial" w:hAnsi="Arial"/>
                <w:sz w:val="14"/>
                <w:szCs w:val="14"/>
                <w:b w:val="1"/>
                <w:bCs w:val="1"/>
                <w:color w:val="243782"/>
              </w:rPr>
              <w:t>Non-current</w:t>
            </w:r>
          </w:p>
        </w:tc>
        <w:tc>
          <w:tcPr>
            <w:tcW w:w="840" w:type="dxa"/>
            <w:vAlign w:val="bottom"/>
            <w:tcBorders>
              <w:bottom w:val="single" w:sz="8" w:color="143A84"/>
            </w:tcBorders>
          </w:tcPr>
          <w:p>
            <w:pPr>
              <w:jc w:val="right"/>
              <w:ind w:right="301"/>
              <w:spacing w:after="0"/>
              <w:rPr>
                <w:sz w:val="20"/>
                <w:szCs w:val="20"/>
                <w:color w:val="auto"/>
              </w:rPr>
            </w:pPr>
            <w:r>
              <w:rPr>
                <w:rFonts w:ascii="Arial" w:cs="Arial" w:eastAsia="Arial" w:hAnsi="Arial"/>
                <w:sz w:val="14"/>
                <w:szCs w:val="14"/>
                <w:b w:val="1"/>
                <w:bCs w:val="1"/>
                <w:color w:val="243782"/>
              </w:rPr>
              <w:t>Total</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Pension benefits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w:t>
            </w:r>
          </w:p>
        </w:tc>
        <w:tc>
          <w:tcPr>
            <w:tcW w:w="1460" w:type="dxa"/>
            <w:vAlign w:val="bottom"/>
            <w:tcBorders>
              <w:bottom w:val="single" w:sz="8" w:color="8E939F"/>
            </w:tcBorders>
            <w:shd w:val="clear" w:color="auto" w:fill="F3F3F9"/>
          </w:tcPr>
          <w:p>
            <w:pPr>
              <w:jc w:val="right"/>
              <w:ind w:right="101"/>
              <w:spacing w:after="0"/>
              <w:rPr>
                <w:sz w:val="20"/>
                <w:szCs w:val="20"/>
                <w:color w:val="auto"/>
              </w:rPr>
            </w:pPr>
            <w:r>
              <w:rPr>
                <w:rFonts w:ascii="Arial" w:cs="Arial" w:eastAsia="Arial" w:hAnsi="Arial"/>
                <w:sz w:val="16"/>
                <w:szCs w:val="16"/>
                <w:color w:val="auto"/>
              </w:rPr>
              <w:t>1,852</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color w:val="auto"/>
              </w:rPr>
              <w:t>1,897</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36</w:t>
            </w:r>
          </w:p>
        </w:tc>
        <w:tc>
          <w:tcPr>
            <w:tcW w:w="1560" w:type="dxa"/>
            <w:vAlign w:val="bottom"/>
            <w:tcBorders>
              <w:bottom w:val="single" w:sz="8" w:color="8E939F"/>
            </w:tcBorders>
          </w:tcPr>
          <w:p>
            <w:pPr>
              <w:jc w:val="right"/>
              <w:ind w:right="341"/>
              <w:spacing w:after="0"/>
              <w:rPr>
                <w:sz w:val="20"/>
                <w:szCs w:val="20"/>
                <w:color w:val="auto"/>
              </w:rPr>
            </w:pPr>
            <w:r>
              <w:rPr>
                <w:rFonts w:ascii="Arial" w:cs="Arial" w:eastAsia="Arial" w:hAnsi="Arial"/>
                <w:sz w:val="16"/>
                <w:szCs w:val="16"/>
                <w:color w:val="auto"/>
              </w:rPr>
              <w:t>2,164</w:t>
            </w:r>
          </w:p>
        </w:tc>
        <w:tc>
          <w:tcPr>
            <w:tcW w:w="84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2,200</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Health care and life insurance plans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126</w:t>
            </w:r>
          </w:p>
        </w:tc>
        <w:tc>
          <w:tcPr>
            <w:tcW w:w="1460" w:type="dxa"/>
            <w:vAlign w:val="bottom"/>
            <w:tcBorders>
              <w:bottom w:val="single" w:sz="8" w:color="8E939F"/>
            </w:tcBorders>
            <w:shd w:val="clear" w:color="auto" w:fill="F3F3F9"/>
          </w:tcPr>
          <w:p>
            <w:pPr>
              <w:jc w:val="right"/>
              <w:ind w:right="101"/>
              <w:spacing w:after="0"/>
              <w:rPr>
                <w:sz w:val="20"/>
                <w:szCs w:val="20"/>
                <w:color w:val="auto"/>
              </w:rPr>
            </w:pPr>
            <w:r>
              <w:rPr>
                <w:rFonts w:ascii="Arial" w:cs="Arial" w:eastAsia="Arial" w:hAnsi="Arial"/>
                <w:sz w:val="16"/>
                <w:szCs w:val="16"/>
                <w:color w:val="auto"/>
              </w:rPr>
              <w:t>1,348</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color w:val="auto"/>
              </w:rPr>
              <w:t>1,474</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119</w:t>
            </w:r>
          </w:p>
        </w:tc>
        <w:tc>
          <w:tcPr>
            <w:tcW w:w="1560" w:type="dxa"/>
            <w:vAlign w:val="bottom"/>
            <w:tcBorders>
              <w:bottom w:val="single" w:sz="8" w:color="8E939F"/>
            </w:tcBorders>
          </w:tcPr>
          <w:p>
            <w:pPr>
              <w:jc w:val="right"/>
              <w:ind w:right="341"/>
              <w:spacing w:after="0"/>
              <w:rPr>
                <w:sz w:val="20"/>
                <w:szCs w:val="20"/>
                <w:color w:val="auto"/>
              </w:rPr>
            </w:pPr>
            <w:r>
              <w:rPr>
                <w:rFonts w:ascii="Arial" w:cs="Arial" w:eastAsia="Arial" w:hAnsi="Arial"/>
                <w:sz w:val="16"/>
                <w:szCs w:val="16"/>
                <w:color w:val="auto"/>
              </w:rPr>
              <w:t>1,397</w:t>
            </w:r>
          </w:p>
        </w:tc>
        <w:tc>
          <w:tcPr>
            <w:tcW w:w="84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1,516</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post-employment benefits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44</w:t>
            </w:r>
          </w:p>
        </w:tc>
        <w:tc>
          <w:tcPr>
            <w:tcW w:w="1460" w:type="dxa"/>
            <w:vAlign w:val="bottom"/>
            <w:tcBorders>
              <w:bottom w:val="single" w:sz="8" w:color="8E939F"/>
            </w:tcBorders>
            <w:shd w:val="clear" w:color="auto" w:fill="F3F3F9"/>
          </w:tcPr>
          <w:p>
            <w:pPr>
              <w:jc w:val="right"/>
              <w:ind w:right="101"/>
              <w:spacing w:after="0"/>
              <w:rPr>
                <w:sz w:val="20"/>
                <w:szCs w:val="20"/>
                <w:color w:val="auto"/>
              </w:rPr>
            </w:pPr>
            <w:r>
              <w:rPr>
                <w:rFonts w:ascii="Arial" w:cs="Arial" w:eastAsia="Arial" w:hAnsi="Arial"/>
                <w:sz w:val="16"/>
                <w:szCs w:val="16"/>
                <w:color w:val="auto"/>
              </w:rPr>
              <w:t>580</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color w:val="auto"/>
              </w:rPr>
              <w:t>624</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37</w:t>
            </w:r>
          </w:p>
        </w:tc>
        <w:tc>
          <w:tcPr>
            <w:tcW w:w="1560" w:type="dxa"/>
            <w:vAlign w:val="bottom"/>
            <w:tcBorders>
              <w:bottom w:val="single" w:sz="8" w:color="8E939F"/>
            </w:tcBorders>
          </w:tcPr>
          <w:p>
            <w:pPr>
              <w:jc w:val="right"/>
              <w:ind w:right="341"/>
              <w:spacing w:after="0"/>
              <w:rPr>
                <w:sz w:val="20"/>
                <w:szCs w:val="20"/>
                <w:color w:val="auto"/>
              </w:rPr>
            </w:pPr>
            <w:r>
              <w:rPr>
                <w:rFonts w:ascii="Arial" w:cs="Arial" w:eastAsia="Arial" w:hAnsi="Arial"/>
                <w:sz w:val="16"/>
                <w:szCs w:val="16"/>
                <w:color w:val="auto"/>
              </w:rPr>
              <w:t>578</w:t>
            </w:r>
          </w:p>
        </w:tc>
        <w:tc>
          <w:tcPr>
            <w:tcW w:w="84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615</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provisions for employees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347</w:t>
            </w:r>
          </w:p>
        </w:tc>
        <w:tc>
          <w:tcPr>
            <w:tcW w:w="1460" w:type="dxa"/>
            <w:vAlign w:val="bottom"/>
            <w:tcBorders>
              <w:bottom w:val="single" w:sz="8" w:color="8E939F"/>
            </w:tcBorders>
            <w:shd w:val="clear" w:color="auto" w:fill="F3F3F9"/>
          </w:tcPr>
          <w:p>
            <w:pPr>
              <w:jc w:val="right"/>
              <w:ind w:right="101"/>
              <w:spacing w:after="0"/>
              <w:rPr>
                <w:sz w:val="20"/>
                <w:szCs w:val="20"/>
                <w:color w:val="auto"/>
              </w:rPr>
            </w:pPr>
            <w:r>
              <w:rPr>
                <w:rFonts w:ascii="Arial" w:cs="Arial" w:eastAsia="Arial" w:hAnsi="Arial"/>
                <w:sz w:val="16"/>
                <w:szCs w:val="16"/>
                <w:color w:val="auto"/>
              </w:rPr>
              <w:t>661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color w:val="auto"/>
              </w:rPr>
              <w:t>1,008</w:t>
            </w:r>
          </w:p>
        </w:tc>
        <w:tc>
          <w:tcPr>
            <w:tcW w:w="1320" w:type="dxa"/>
            <w:vAlign w:val="bottom"/>
            <w:tcBorders>
              <w:bottom w:val="single" w:sz="8" w:color="8E939F"/>
            </w:tcBorders>
          </w:tcPr>
          <w:p>
            <w:pPr>
              <w:jc w:val="right"/>
              <w:ind w:right="120"/>
              <w:spacing w:after="0"/>
              <w:rPr>
                <w:sz w:val="20"/>
                <w:szCs w:val="20"/>
                <w:color w:val="auto"/>
              </w:rPr>
            </w:pPr>
            <w:r>
              <w:rPr>
                <w:rFonts w:ascii="Arial" w:cs="Arial" w:eastAsia="Arial" w:hAnsi="Arial"/>
                <w:sz w:val="16"/>
                <w:szCs w:val="16"/>
                <w:color w:val="auto"/>
              </w:rPr>
              <w:t>325</w:t>
            </w:r>
          </w:p>
        </w:tc>
        <w:tc>
          <w:tcPr>
            <w:tcW w:w="1560" w:type="dxa"/>
            <w:vAlign w:val="bottom"/>
            <w:tcBorders>
              <w:bottom w:val="single" w:sz="8" w:color="8E939F"/>
            </w:tcBorders>
          </w:tcPr>
          <w:p>
            <w:pPr>
              <w:jc w:val="right"/>
              <w:ind w:right="341"/>
              <w:spacing w:after="0"/>
              <w:rPr>
                <w:sz w:val="20"/>
                <w:szCs w:val="20"/>
                <w:color w:val="auto"/>
              </w:rPr>
            </w:pPr>
            <w:r>
              <w:rPr>
                <w:rFonts w:ascii="Arial" w:cs="Arial" w:eastAsia="Arial" w:hAnsi="Arial"/>
                <w:sz w:val="16"/>
                <w:szCs w:val="16"/>
                <w:color w:val="auto"/>
              </w:rPr>
              <w:t>656</w:t>
            </w:r>
          </w:p>
        </w:tc>
        <w:tc>
          <w:tcPr>
            <w:tcW w:w="84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981</w:t>
            </w:r>
          </w:p>
        </w:tc>
      </w:tr>
      <w:tr>
        <w:trPr>
          <w:trHeight w:val="253"/>
        </w:trPr>
        <w:tc>
          <w:tcPr>
            <w:tcW w:w="38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Employee benefits liabilities</w:t>
            </w:r>
          </w:p>
        </w:tc>
        <w:tc>
          <w:tcPr>
            <w:tcW w:w="10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562</w:t>
            </w:r>
          </w:p>
        </w:tc>
        <w:tc>
          <w:tcPr>
            <w:tcW w:w="1460" w:type="dxa"/>
            <w:vAlign w:val="bottom"/>
            <w:tcBorders>
              <w:bottom w:val="single" w:sz="8" w:color="8E939F"/>
            </w:tcBorders>
            <w:shd w:val="clear" w:color="auto" w:fill="E6E7F4"/>
          </w:tcPr>
          <w:p>
            <w:pPr>
              <w:jc w:val="right"/>
              <w:ind w:right="101"/>
              <w:spacing w:after="0"/>
              <w:rPr>
                <w:sz w:val="20"/>
                <w:szCs w:val="20"/>
                <w:color w:val="auto"/>
              </w:rPr>
            </w:pPr>
            <w:r>
              <w:rPr>
                <w:rFonts w:ascii="Arial" w:cs="Arial" w:eastAsia="Arial" w:hAnsi="Arial"/>
                <w:sz w:val="16"/>
                <w:szCs w:val="16"/>
                <w:b w:val="1"/>
                <w:bCs w:val="1"/>
                <w:color w:val="243782"/>
              </w:rPr>
              <w:t>4,441</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b w:val="1"/>
                <w:bCs w:val="1"/>
                <w:color w:val="243782"/>
              </w:rPr>
              <w:t>5,003</w:t>
            </w:r>
          </w:p>
        </w:tc>
        <w:tc>
          <w:tcPr>
            <w:tcW w:w="1320" w:type="dxa"/>
            <w:vAlign w:val="bottom"/>
            <w:tcBorders>
              <w:bottom w:val="single" w:sz="8" w:color="8E939F"/>
            </w:tcBorders>
            <w:shd w:val="clear" w:color="auto" w:fill="E6E7F4"/>
          </w:tcPr>
          <w:p>
            <w:pPr>
              <w:jc w:val="right"/>
              <w:ind w:right="120"/>
              <w:spacing w:after="0"/>
              <w:rPr>
                <w:sz w:val="20"/>
                <w:szCs w:val="20"/>
                <w:color w:val="auto"/>
              </w:rPr>
            </w:pPr>
            <w:r>
              <w:rPr>
                <w:rFonts w:ascii="Arial" w:cs="Arial" w:eastAsia="Arial" w:hAnsi="Arial"/>
                <w:sz w:val="16"/>
                <w:szCs w:val="16"/>
                <w:b w:val="1"/>
                <w:bCs w:val="1"/>
                <w:color w:val="243782"/>
              </w:rPr>
              <w:t>517</w:t>
            </w:r>
          </w:p>
        </w:tc>
        <w:tc>
          <w:tcPr>
            <w:tcW w:w="1560" w:type="dxa"/>
            <w:vAlign w:val="bottom"/>
            <w:tcBorders>
              <w:bottom w:val="single" w:sz="8" w:color="8E939F"/>
            </w:tcBorders>
            <w:shd w:val="clear" w:color="auto" w:fill="E6E7F4"/>
          </w:tcPr>
          <w:p>
            <w:pPr>
              <w:jc w:val="right"/>
              <w:ind w:right="341"/>
              <w:spacing w:after="0"/>
              <w:rPr>
                <w:sz w:val="20"/>
                <w:szCs w:val="20"/>
                <w:color w:val="auto"/>
              </w:rPr>
            </w:pPr>
            <w:r>
              <w:rPr>
                <w:rFonts w:ascii="Arial" w:cs="Arial" w:eastAsia="Arial" w:hAnsi="Arial"/>
                <w:sz w:val="16"/>
                <w:szCs w:val="16"/>
                <w:b w:val="1"/>
                <w:bCs w:val="1"/>
                <w:color w:val="243782"/>
              </w:rPr>
              <w:t>4,795</w:t>
            </w:r>
          </w:p>
        </w:tc>
        <w:tc>
          <w:tcPr>
            <w:tcW w:w="840" w:type="dxa"/>
            <w:vAlign w:val="bottom"/>
            <w:tcBorders>
              <w:bottom w:val="single" w:sz="8" w:color="8E939F"/>
            </w:tcBorders>
            <w:shd w:val="clear" w:color="auto" w:fill="E6E7F4"/>
          </w:tcPr>
          <w:p>
            <w:pPr>
              <w:jc w:val="right"/>
              <w:ind w:right="1"/>
              <w:spacing w:after="0"/>
              <w:rPr>
                <w:sz w:val="20"/>
                <w:szCs w:val="20"/>
                <w:color w:val="auto"/>
              </w:rPr>
            </w:pPr>
            <w:r>
              <w:rPr>
                <w:rFonts w:ascii="Arial" w:cs="Arial" w:eastAsia="Arial" w:hAnsi="Arial"/>
                <w:sz w:val="16"/>
                <w:szCs w:val="16"/>
                <w:b w:val="1"/>
                <w:bCs w:val="1"/>
                <w:color w:val="243782"/>
              </w:rPr>
              <w:t>5,312</w:t>
            </w:r>
          </w:p>
        </w:tc>
      </w:tr>
    </w:tbl>
    <w:p>
      <w:pPr>
        <w:spacing w:after="0" w:line="319" w:lineRule="exact"/>
        <w:rPr>
          <w:sz w:val="20"/>
          <w:szCs w:val="20"/>
          <w:color w:val="auto"/>
        </w:rPr>
      </w:pPr>
    </w:p>
    <w:p>
      <w:pPr>
        <w:ind w:right="220"/>
        <w:spacing w:after="0" w:line="315" w:lineRule="auto"/>
        <w:rPr>
          <w:sz w:val="20"/>
          <w:szCs w:val="20"/>
          <w:color w:val="auto"/>
        </w:rPr>
      </w:pPr>
      <w:r>
        <w:rPr>
          <w:rFonts w:ascii="Arial" w:cs="Arial" w:eastAsia="Arial" w:hAnsi="Arial"/>
          <w:sz w:val="18"/>
          <w:szCs w:val="18"/>
          <w:color w:val="auto"/>
        </w:rPr>
        <w:t>At September 30, 2026, the U.S. and Canada pension plans, representing the largest portion of the Company’s pension benefits, were remeasured resulting in a decrease in the net liability of approximately €1,052 million due to changes in the discount rate, partially offset by approximately €378 million of asset returns below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curtailment losses were recognized during the nine months ended September 30, 2026 and 2025.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Pension and OPEB costs included in the Interim Condensed Consolidated Income Statement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220" w:type="dxa"/>
            <w:vAlign w:val="bottom"/>
          </w:tcPr>
          <w:p>
            <w:pPr>
              <w:spacing w:after="0"/>
              <w:rPr>
                <w:sz w:val="19"/>
                <w:szCs w:val="19"/>
                <w:color w:val="auto"/>
              </w:rPr>
            </w:pPr>
          </w:p>
        </w:tc>
        <w:tc>
          <w:tcPr>
            <w:tcW w:w="2020" w:type="dxa"/>
            <w:vAlign w:val="bottom"/>
            <w:tcBorders>
              <w:bottom w:val="single" w:sz="8" w:color="8E939F"/>
            </w:tcBorders>
          </w:tcPr>
          <w:p>
            <w:pPr>
              <w:spacing w:after="0"/>
              <w:rPr>
                <w:sz w:val="19"/>
                <w:szCs w:val="19"/>
                <w:color w:val="auto"/>
              </w:rPr>
            </w:pPr>
          </w:p>
        </w:tc>
        <w:tc>
          <w:tcPr>
            <w:tcW w:w="3660" w:type="dxa"/>
            <w:vAlign w:val="bottom"/>
            <w:tcBorders>
              <w:bottom w:val="single" w:sz="8" w:color="8E939F"/>
            </w:tcBorders>
            <w:gridSpan w:val="2"/>
          </w:tcPr>
          <w:p>
            <w:pPr>
              <w:jc w:val="right"/>
              <w:ind w:right="739"/>
              <w:spacing w:after="0"/>
              <w:rPr>
                <w:sz w:val="20"/>
                <w:szCs w:val="20"/>
                <w:color w:val="auto"/>
              </w:rPr>
            </w:pPr>
            <w:r>
              <w:rPr>
                <w:rFonts w:ascii="Arial" w:cs="Arial" w:eastAsia="Arial" w:hAnsi="Arial"/>
                <w:sz w:val="16"/>
                <w:szCs w:val="16"/>
                <w:b w:val="1"/>
                <w:bCs w:val="1"/>
                <w:color w:val="243782"/>
              </w:rPr>
              <w:t>Three months ended September 30,</w:t>
            </w:r>
          </w:p>
        </w:tc>
        <w:tc>
          <w:tcPr>
            <w:tcW w:w="1300" w:type="dxa"/>
            <w:vAlign w:val="bottom"/>
            <w:tcBorders>
              <w:bottom w:val="single" w:sz="8" w:color="8E939F"/>
            </w:tcBorders>
          </w:tcPr>
          <w:p>
            <w:pPr>
              <w:spacing w:after="0"/>
              <w:rPr>
                <w:sz w:val="19"/>
                <w:szCs w:val="19"/>
                <w:color w:val="auto"/>
              </w:rPr>
            </w:pPr>
          </w:p>
        </w:tc>
      </w:tr>
      <w:tr>
        <w:trPr>
          <w:trHeight w:val="208"/>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2020" w:type="dxa"/>
            <w:vAlign w:val="bottom"/>
            <w:shd w:val="clear" w:color="auto" w:fill="F3F3F9"/>
          </w:tcPr>
          <w:p>
            <w:pPr>
              <w:spacing w:after="0"/>
              <w:rPr>
                <w:sz w:val="18"/>
                <w:szCs w:val="18"/>
                <w:color w:val="auto"/>
              </w:rPr>
            </w:pPr>
          </w:p>
        </w:tc>
        <w:tc>
          <w:tcPr>
            <w:tcW w:w="1420" w:type="dxa"/>
            <w:vAlign w:val="bottom"/>
            <w:shd w:val="clear" w:color="auto" w:fill="F3F3F9"/>
          </w:tcPr>
          <w:p>
            <w:pPr>
              <w:spacing w:after="0"/>
              <w:rPr>
                <w:sz w:val="18"/>
                <w:szCs w:val="18"/>
                <w:color w:val="auto"/>
              </w:rPr>
            </w:pP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220" w:type="dxa"/>
            <w:vAlign w:val="bottom"/>
            <w:tcBorders>
              <w:bottom w:val="single" w:sz="8" w:color="143A84"/>
            </w:tcBorders>
          </w:tcPr>
          <w:p>
            <w:pPr>
              <w:spacing w:after="0"/>
              <w:rPr>
                <w:sz w:val="20"/>
                <w:szCs w:val="20"/>
                <w:color w:val="auto"/>
              </w:rPr>
            </w:pPr>
          </w:p>
        </w:tc>
        <w:tc>
          <w:tcPr>
            <w:tcW w:w="2020" w:type="dxa"/>
            <w:vAlign w:val="bottom"/>
            <w:tcBorders>
              <w:bottom w:val="single" w:sz="8" w:color="143A84"/>
            </w:tcBorders>
            <w:shd w:val="clear" w:color="auto" w:fill="F3F3F9"/>
          </w:tcPr>
          <w:p>
            <w:pPr>
              <w:jc w:val="right"/>
              <w:ind w:right="39"/>
              <w:spacing w:after="0"/>
              <w:rPr>
                <w:sz w:val="20"/>
                <w:szCs w:val="20"/>
                <w:color w:val="auto"/>
              </w:rPr>
            </w:pPr>
            <w:r>
              <w:rPr>
                <w:rFonts w:ascii="Arial" w:cs="Arial" w:eastAsia="Arial" w:hAnsi="Arial"/>
                <w:sz w:val="16"/>
                <w:szCs w:val="16"/>
                <w:b w:val="1"/>
                <w:bCs w:val="1"/>
                <w:color w:val="243782"/>
              </w:rPr>
              <w:t>2026</w:t>
            </w:r>
          </w:p>
        </w:tc>
        <w:tc>
          <w:tcPr>
            <w:tcW w:w="1420" w:type="dxa"/>
            <w:vAlign w:val="bottom"/>
            <w:tcBorders>
              <w:bottom w:val="single" w:sz="8" w:color="143A84"/>
            </w:tcBorders>
            <w:shd w:val="clear" w:color="auto" w:fill="F3F3F9"/>
          </w:tcPr>
          <w:p>
            <w:pPr>
              <w:spacing w:after="0"/>
              <w:rPr>
                <w:sz w:val="20"/>
                <w:szCs w:val="20"/>
                <w:color w:val="auto"/>
              </w:rPr>
            </w:pPr>
          </w:p>
        </w:tc>
        <w:tc>
          <w:tcPr>
            <w:tcW w:w="2240" w:type="dxa"/>
            <w:vAlign w:val="bottom"/>
            <w:tcBorders>
              <w:bottom w:val="single" w:sz="8" w:color="143A84"/>
            </w:tcBorders>
          </w:tcPr>
          <w:p>
            <w:pPr>
              <w:jc w:val="right"/>
              <w:ind w:right="159"/>
              <w:spacing w:after="0"/>
              <w:rPr>
                <w:sz w:val="20"/>
                <w:szCs w:val="20"/>
                <w:color w:val="auto"/>
              </w:rPr>
            </w:pPr>
            <w:r>
              <w:rPr>
                <w:rFonts w:ascii="Arial" w:cs="Arial" w:eastAsia="Arial" w:hAnsi="Arial"/>
                <w:sz w:val="16"/>
                <w:szCs w:val="16"/>
                <w:b w:val="1"/>
                <w:bCs w:val="1"/>
                <w:color w:val="243782"/>
              </w:rPr>
              <w:t>2025</w:t>
            </w:r>
          </w:p>
        </w:tc>
        <w:tc>
          <w:tcPr>
            <w:tcW w:w="1300" w:type="dxa"/>
            <w:vAlign w:val="bottom"/>
            <w:tcBorders>
              <w:bottom w:val="single" w:sz="8" w:color="143A84"/>
            </w:tcBorders>
          </w:tcPr>
          <w:p>
            <w:pPr>
              <w:spacing w:after="0"/>
              <w:rPr>
                <w:sz w:val="20"/>
                <w:szCs w:val="20"/>
                <w:color w:val="auto"/>
              </w:rPr>
            </w:pPr>
          </w:p>
        </w:tc>
      </w:tr>
      <w:tr>
        <w:trPr>
          <w:trHeight w:val="250"/>
        </w:trPr>
        <w:tc>
          <w:tcPr>
            <w:tcW w:w="4220" w:type="dxa"/>
            <w:vAlign w:val="bottom"/>
            <w:tcBorders>
              <w:bottom w:val="single" w:sz="8" w:color="8E939F"/>
            </w:tcBorders>
          </w:tcPr>
          <w:p>
            <w:pPr>
              <w:spacing w:after="0"/>
              <w:rPr>
                <w:sz w:val="21"/>
                <w:szCs w:val="21"/>
                <w:color w:val="auto"/>
              </w:rPr>
            </w:pPr>
          </w:p>
        </w:tc>
        <w:tc>
          <w:tcPr>
            <w:tcW w:w="2020" w:type="dxa"/>
            <w:vAlign w:val="bottom"/>
            <w:tcBorders>
              <w:bottom w:val="single" w:sz="8" w:color="8E939F"/>
            </w:tcBorders>
            <w:shd w:val="clear" w:color="auto" w:fill="F3F3F9"/>
          </w:tcPr>
          <w:p>
            <w:pPr>
              <w:jc w:val="right"/>
              <w:ind w:right="779"/>
              <w:spacing w:after="0"/>
              <w:rPr>
                <w:sz w:val="20"/>
                <w:szCs w:val="20"/>
                <w:color w:val="auto"/>
              </w:rPr>
            </w:pPr>
            <w:r>
              <w:rPr>
                <w:rFonts w:ascii="Arial" w:cs="Arial" w:eastAsia="Arial" w:hAnsi="Arial"/>
                <w:sz w:val="16"/>
                <w:szCs w:val="16"/>
                <w:b w:val="1"/>
                <w:bCs w:val="1"/>
                <w:color w:val="243782"/>
              </w:rPr>
              <w:t>Pension</w:t>
            </w:r>
          </w:p>
        </w:tc>
        <w:tc>
          <w:tcPr>
            <w:tcW w:w="1420" w:type="dxa"/>
            <w:vAlign w:val="bottom"/>
            <w:tcBorders>
              <w:bottom w:val="single" w:sz="8" w:color="8E939F"/>
            </w:tcBorders>
            <w:shd w:val="clear" w:color="auto" w:fill="F3F3F9"/>
          </w:tcPr>
          <w:p>
            <w:pPr>
              <w:jc w:val="right"/>
              <w:ind w:right="519"/>
              <w:spacing w:after="0"/>
              <w:rPr>
                <w:sz w:val="20"/>
                <w:szCs w:val="20"/>
                <w:color w:val="auto"/>
              </w:rPr>
            </w:pPr>
            <w:r>
              <w:rPr>
                <w:rFonts w:ascii="Arial" w:cs="Arial" w:eastAsia="Arial" w:hAnsi="Arial"/>
                <w:sz w:val="16"/>
                <w:szCs w:val="16"/>
                <w:b w:val="1"/>
                <w:bCs w:val="1"/>
                <w:color w:val="243782"/>
              </w:rPr>
              <w:t>OPEB</w:t>
            </w:r>
          </w:p>
        </w:tc>
        <w:tc>
          <w:tcPr>
            <w:tcW w:w="2240" w:type="dxa"/>
            <w:vAlign w:val="bottom"/>
            <w:tcBorders>
              <w:bottom w:val="single" w:sz="8" w:color="8E939F"/>
            </w:tcBorders>
          </w:tcPr>
          <w:p>
            <w:pPr>
              <w:jc w:val="right"/>
              <w:ind w:right="899"/>
              <w:spacing w:after="0"/>
              <w:rPr>
                <w:sz w:val="20"/>
                <w:szCs w:val="20"/>
                <w:color w:val="auto"/>
              </w:rPr>
            </w:pPr>
            <w:r>
              <w:rPr>
                <w:rFonts w:ascii="Arial" w:cs="Arial" w:eastAsia="Arial" w:hAnsi="Arial"/>
                <w:sz w:val="16"/>
                <w:szCs w:val="16"/>
                <w:b w:val="1"/>
                <w:bCs w:val="1"/>
                <w:color w:val="243782"/>
              </w:rPr>
              <w:t>Pension</w:t>
            </w:r>
          </w:p>
        </w:tc>
        <w:tc>
          <w:tcPr>
            <w:tcW w:w="1300" w:type="dxa"/>
            <w:vAlign w:val="bottom"/>
            <w:tcBorders>
              <w:bottom w:val="single" w:sz="8" w:color="8E939F"/>
            </w:tcBorders>
          </w:tcPr>
          <w:p>
            <w:pPr>
              <w:jc w:val="right"/>
              <w:ind w:right="519"/>
              <w:spacing w:after="0"/>
              <w:rPr>
                <w:sz w:val="20"/>
                <w:szCs w:val="20"/>
                <w:color w:val="auto"/>
              </w:rPr>
            </w:pPr>
            <w:r>
              <w:rPr>
                <w:rFonts w:ascii="Arial" w:cs="Arial" w:eastAsia="Arial" w:hAnsi="Arial"/>
                <w:sz w:val="16"/>
                <w:szCs w:val="16"/>
                <w:b w:val="1"/>
                <w:bCs w:val="1"/>
                <w:color w:val="243782"/>
              </w:rPr>
              <w:t>OPEB</w:t>
            </w:r>
          </w:p>
        </w:tc>
      </w:tr>
      <w:tr>
        <w:trPr>
          <w:trHeight w:val="247"/>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service cost</w:t>
            </w:r>
          </w:p>
        </w:tc>
        <w:tc>
          <w:tcPr>
            <w:tcW w:w="2020" w:type="dxa"/>
            <w:vAlign w:val="bottom"/>
            <w:tcBorders>
              <w:bottom w:val="single" w:sz="8" w:color="8E939F"/>
            </w:tcBorders>
            <w:shd w:val="clear" w:color="auto" w:fill="F3F3F9"/>
          </w:tcPr>
          <w:p>
            <w:pPr>
              <w:jc w:val="right"/>
              <w:ind w:right="339"/>
              <w:spacing w:after="0"/>
              <w:rPr>
                <w:sz w:val="20"/>
                <w:szCs w:val="20"/>
                <w:color w:val="auto"/>
              </w:rPr>
            </w:pPr>
            <w:r>
              <w:rPr>
                <w:rFonts w:ascii="Arial" w:cs="Arial" w:eastAsia="Arial" w:hAnsi="Arial"/>
                <w:sz w:val="16"/>
                <w:szCs w:val="16"/>
                <w:color w:val="auto"/>
              </w:rPr>
              <w:t>25</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w:t>
            </w:r>
          </w:p>
        </w:tc>
        <w:tc>
          <w:tcPr>
            <w:tcW w:w="224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color w:val="auto"/>
              </w:rPr>
              <w:t>19</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w:t>
            </w:r>
          </w:p>
        </w:tc>
      </w:tr>
      <w:tr>
        <w:trPr>
          <w:trHeight w:val="250"/>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 expense</w:t>
            </w:r>
          </w:p>
        </w:tc>
        <w:tc>
          <w:tcPr>
            <w:tcW w:w="2020" w:type="dxa"/>
            <w:vAlign w:val="bottom"/>
            <w:tcBorders>
              <w:bottom w:val="single" w:sz="8" w:color="8E939F"/>
            </w:tcBorders>
            <w:shd w:val="clear" w:color="auto" w:fill="F3F3F9"/>
          </w:tcPr>
          <w:p>
            <w:pPr>
              <w:jc w:val="right"/>
              <w:ind w:right="339"/>
              <w:spacing w:after="0"/>
              <w:rPr>
                <w:sz w:val="20"/>
                <w:szCs w:val="20"/>
                <w:color w:val="auto"/>
              </w:rPr>
            </w:pPr>
            <w:r>
              <w:rPr>
                <w:rFonts w:ascii="Arial" w:cs="Arial" w:eastAsia="Arial" w:hAnsi="Arial"/>
                <w:sz w:val="16"/>
                <w:szCs w:val="16"/>
                <w:color w:val="auto"/>
              </w:rPr>
              <w:t>245</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31</w:t>
            </w:r>
          </w:p>
        </w:tc>
        <w:tc>
          <w:tcPr>
            <w:tcW w:w="224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color w:val="auto"/>
              </w:rPr>
              <w:t>243</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29</w:t>
            </w:r>
          </w:p>
        </w:tc>
      </w:tr>
      <w:tr>
        <w:trPr>
          <w:trHeight w:val="250"/>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Interest/(income)</w:t>
            </w:r>
          </w:p>
        </w:tc>
        <w:tc>
          <w:tcPr>
            <w:tcW w:w="2020" w:type="dxa"/>
            <w:vAlign w:val="bottom"/>
            <w:tcBorders>
              <w:bottom w:val="single" w:sz="8" w:color="8E939F"/>
            </w:tcBorders>
            <w:shd w:val="clear" w:color="auto" w:fill="F3F3F9"/>
          </w:tcPr>
          <w:p>
            <w:pPr>
              <w:jc w:val="right"/>
              <w:ind w:right="299"/>
              <w:spacing w:after="0"/>
              <w:rPr>
                <w:sz w:val="20"/>
                <w:szCs w:val="20"/>
                <w:color w:val="auto"/>
              </w:rPr>
            </w:pPr>
            <w:r>
              <w:rPr>
                <w:rFonts w:ascii="Arial" w:cs="Arial" w:eastAsia="Arial" w:hAnsi="Arial"/>
                <w:sz w:val="16"/>
                <w:szCs w:val="16"/>
                <w:color w:val="auto"/>
              </w:rPr>
              <w:t>(223)</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2240" w:type="dxa"/>
            <w:vAlign w:val="bottom"/>
            <w:tcBorders>
              <w:bottom w:val="single" w:sz="8" w:color="8E939F"/>
            </w:tcBorders>
          </w:tcPr>
          <w:p>
            <w:pPr>
              <w:jc w:val="right"/>
              <w:ind w:right="399"/>
              <w:spacing w:after="0"/>
              <w:rPr>
                <w:sz w:val="20"/>
                <w:szCs w:val="20"/>
                <w:color w:val="auto"/>
              </w:rPr>
            </w:pPr>
            <w:r>
              <w:rPr>
                <w:rFonts w:ascii="Arial" w:cs="Arial" w:eastAsia="Arial" w:hAnsi="Arial"/>
                <w:sz w:val="16"/>
                <w:szCs w:val="16"/>
                <w:color w:val="auto"/>
              </w:rPr>
              <w:t>(218)</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administrative costs</w:t>
            </w:r>
          </w:p>
        </w:tc>
        <w:tc>
          <w:tcPr>
            <w:tcW w:w="2020" w:type="dxa"/>
            <w:vAlign w:val="bottom"/>
            <w:tcBorders>
              <w:bottom w:val="single" w:sz="8" w:color="8E939F"/>
            </w:tcBorders>
            <w:shd w:val="clear" w:color="auto" w:fill="F3F3F9"/>
          </w:tcPr>
          <w:p>
            <w:pPr>
              <w:jc w:val="right"/>
              <w:ind w:right="339"/>
              <w:spacing w:after="0"/>
              <w:rPr>
                <w:sz w:val="20"/>
                <w:szCs w:val="20"/>
                <w:color w:val="auto"/>
              </w:rPr>
            </w:pPr>
            <w:r>
              <w:rPr>
                <w:rFonts w:ascii="Arial" w:cs="Arial" w:eastAsia="Arial" w:hAnsi="Arial"/>
                <w:sz w:val="16"/>
                <w:szCs w:val="16"/>
                <w:color w:val="auto"/>
              </w:rPr>
              <w:t>19</w:t>
            </w:r>
          </w:p>
        </w:tc>
        <w:tc>
          <w:tcPr>
            <w:tcW w:w="14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224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color w:val="auto"/>
              </w:rPr>
              <w:t>21</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w:t>
            </w:r>
          </w:p>
        </w:tc>
      </w:tr>
      <w:tr>
        <w:trPr>
          <w:trHeight w:val="257"/>
        </w:trPr>
        <w:tc>
          <w:tcPr>
            <w:tcW w:w="422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Total</w:t>
            </w:r>
          </w:p>
        </w:tc>
        <w:tc>
          <w:tcPr>
            <w:tcW w:w="2020" w:type="dxa"/>
            <w:vAlign w:val="bottom"/>
            <w:shd w:val="clear" w:color="auto" w:fill="E6E7F4"/>
          </w:tcPr>
          <w:p>
            <w:pPr>
              <w:jc w:val="right"/>
              <w:ind w:right="339"/>
              <w:spacing w:after="0"/>
              <w:rPr>
                <w:sz w:val="20"/>
                <w:szCs w:val="20"/>
                <w:color w:val="auto"/>
              </w:rPr>
            </w:pPr>
            <w:r>
              <w:rPr>
                <w:rFonts w:ascii="Arial" w:cs="Arial" w:eastAsia="Arial" w:hAnsi="Arial"/>
                <w:sz w:val="16"/>
                <w:szCs w:val="16"/>
                <w:b w:val="1"/>
                <w:bCs w:val="1"/>
                <w:color w:val="243782"/>
              </w:rPr>
              <w:t>66</w:t>
            </w:r>
          </w:p>
        </w:tc>
        <w:tc>
          <w:tcPr>
            <w:tcW w:w="142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38</w:t>
            </w:r>
          </w:p>
        </w:tc>
        <w:tc>
          <w:tcPr>
            <w:tcW w:w="2240" w:type="dxa"/>
            <w:vAlign w:val="bottom"/>
            <w:shd w:val="clear" w:color="auto" w:fill="E6E7F4"/>
          </w:tcPr>
          <w:p>
            <w:pPr>
              <w:jc w:val="right"/>
              <w:ind w:right="459"/>
              <w:spacing w:after="0"/>
              <w:rPr>
                <w:sz w:val="20"/>
                <w:szCs w:val="20"/>
                <w:color w:val="auto"/>
              </w:rPr>
            </w:pPr>
            <w:r>
              <w:rPr>
                <w:rFonts w:ascii="Arial" w:cs="Arial" w:eastAsia="Arial" w:hAnsi="Arial"/>
                <w:sz w:val="16"/>
                <w:szCs w:val="16"/>
                <w:b w:val="1"/>
                <w:bCs w:val="1"/>
                <w:color w:val="243782"/>
              </w:rPr>
              <w:t>65</w:t>
            </w:r>
          </w:p>
        </w:tc>
        <w:tc>
          <w:tcPr>
            <w:tcW w:w="130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40</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1440" w:right="319" w:bottom="144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220" w:type="dxa"/>
            <w:vAlign w:val="bottom"/>
          </w:tcPr>
          <w:p>
            <w:pPr>
              <w:spacing w:after="0"/>
              <w:rPr>
                <w:sz w:val="19"/>
                <w:szCs w:val="19"/>
                <w:color w:val="auto"/>
              </w:rPr>
            </w:pPr>
          </w:p>
        </w:tc>
        <w:tc>
          <w:tcPr>
            <w:tcW w:w="2040" w:type="dxa"/>
            <w:vAlign w:val="bottom"/>
            <w:tcBorders>
              <w:bottom w:val="single" w:sz="8" w:color="8E939F"/>
            </w:tcBorders>
          </w:tcPr>
          <w:p>
            <w:pPr>
              <w:spacing w:after="0"/>
              <w:rPr>
                <w:sz w:val="19"/>
                <w:szCs w:val="19"/>
                <w:color w:val="auto"/>
              </w:rPr>
            </w:pPr>
          </w:p>
        </w:tc>
        <w:tc>
          <w:tcPr>
            <w:tcW w:w="3640" w:type="dxa"/>
            <w:vAlign w:val="bottom"/>
            <w:tcBorders>
              <w:bottom w:val="single" w:sz="8" w:color="8E939F"/>
            </w:tcBorders>
            <w:gridSpan w:val="2"/>
          </w:tcPr>
          <w:p>
            <w:pPr>
              <w:jc w:val="right"/>
              <w:ind w:right="779"/>
              <w:spacing w:after="0"/>
              <w:rPr>
                <w:sz w:val="20"/>
                <w:szCs w:val="20"/>
                <w:color w:val="auto"/>
              </w:rPr>
            </w:pPr>
            <w:r>
              <w:rPr>
                <w:rFonts w:ascii="Arial" w:cs="Arial" w:eastAsia="Arial" w:hAnsi="Arial"/>
                <w:sz w:val="16"/>
                <w:szCs w:val="16"/>
                <w:b w:val="1"/>
                <w:bCs w:val="1"/>
                <w:color w:val="243782"/>
              </w:rPr>
              <w:t>Nine months ended September 30,</w:t>
            </w:r>
          </w:p>
        </w:tc>
        <w:tc>
          <w:tcPr>
            <w:tcW w:w="1300" w:type="dxa"/>
            <w:vAlign w:val="bottom"/>
            <w:tcBorders>
              <w:bottom w:val="single" w:sz="8" w:color="8E939F"/>
            </w:tcBorders>
          </w:tcPr>
          <w:p>
            <w:pPr>
              <w:spacing w:after="0"/>
              <w:rPr>
                <w:sz w:val="19"/>
                <w:szCs w:val="19"/>
                <w:color w:val="auto"/>
              </w:rPr>
            </w:pPr>
          </w:p>
        </w:tc>
      </w:tr>
      <w:tr>
        <w:trPr>
          <w:trHeight w:val="208"/>
        </w:trPr>
        <w:tc>
          <w:tcPr>
            <w:tcW w:w="422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2040" w:type="dxa"/>
            <w:vAlign w:val="bottom"/>
            <w:shd w:val="clear" w:color="auto" w:fill="F3F3F9"/>
          </w:tcPr>
          <w:p>
            <w:pPr>
              <w:spacing w:after="0"/>
              <w:rPr>
                <w:sz w:val="18"/>
                <w:szCs w:val="18"/>
                <w:color w:val="auto"/>
              </w:rPr>
            </w:pPr>
          </w:p>
        </w:tc>
        <w:tc>
          <w:tcPr>
            <w:tcW w:w="1400" w:type="dxa"/>
            <w:vAlign w:val="bottom"/>
            <w:shd w:val="clear" w:color="auto" w:fill="F3F3F9"/>
          </w:tcPr>
          <w:p>
            <w:pPr>
              <w:spacing w:after="0"/>
              <w:rPr>
                <w:sz w:val="18"/>
                <w:szCs w:val="18"/>
                <w:color w:val="auto"/>
              </w:rPr>
            </w:pP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220" w:type="dxa"/>
            <w:vAlign w:val="bottom"/>
            <w:tcBorders>
              <w:bottom w:val="single" w:sz="8" w:color="143A84"/>
            </w:tcBorders>
          </w:tcPr>
          <w:p>
            <w:pPr>
              <w:spacing w:after="0"/>
              <w:rPr>
                <w:sz w:val="20"/>
                <w:szCs w:val="20"/>
                <w:color w:val="auto"/>
              </w:rPr>
            </w:pPr>
          </w:p>
        </w:tc>
        <w:tc>
          <w:tcPr>
            <w:tcW w:w="2040" w:type="dxa"/>
            <w:vAlign w:val="bottom"/>
            <w:tcBorders>
              <w:bottom w:val="single" w:sz="8" w:color="143A84"/>
            </w:tcBorders>
            <w:shd w:val="clear" w:color="auto" w:fill="F3F3F9"/>
          </w:tcPr>
          <w:p>
            <w:pPr>
              <w:jc w:val="right"/>
              <w:ind w:right="59"/>
              <w:spacing w:after="0"/>
              <w:rPr>
                <w:sz w:val="20"/>
                <w:szCs w:val="20"/>
                <w:color w:val="auto"/>
              </w:rPr>
            </w:pPr>
            <w:r>
              <w:rPr>
                <w:rFonts w:ascii="Arial" w:cs="Arial" w:eastAsia="Arial" w:hAnsi="Arial"/>
                <w:sz w:val="16"/>
                <w:szCs w:val="16"/>
                <w:b w:val="1"/>
                <w:bCs w:val="1"/>
                <w:color w:val="243782"/>
              </w:rPr>
              <w:t>2026</w:t>
            </w:r>
          </w:p>
        </w:tc>
        <w:tc>
          <w:tcPr>
            <w:tcW w:w="1400" w:type="dxa"/>
            <w:vAlign w:val="bottom"/>
            <w:tcBorders>
              <w:bottom w:val="single" w:sz="8" w:color="143A84"/>
            </w:tcBorders>
            <w:shd w:val="clear" w:color="auto" w:fill="F3F3F9"/>
          </w:tcPr>
          <w:p>
            <w:pPr>
              <w:spacing w:after="0"/>
              <w:rPr>
                <w:sz w:val="20"/>
                <w:szCs w:val="20"/>
                <w:color w:val="auto"/>
              </w:rPr>
            </w:pPr>
          </w:p>
        </w:tc>
        <w:tc>
          <w:tcPr>
            <w:tcW w:w="2240" w:type="dxa"/>
            <w:vAlign w:val="bottom"/>
            <w:tcBorders>
              <w:bottom w:val="single" w:sz="8" w:color="143A84"/>
            </w:tcBorders>
          </w:tcPr>
          <w:p>
            <w:pPr>
              <w:jc w:val="right"/>
              <w:ind w:right="159"/>
              <w:spacing w:after="0"/>
              <w:rPr>
                <w:sz w:val="20"/>
                <w:szCs w:val="20"/>
                <w:color w:val="auto"/>
              </w:rPr>
            </w:pPr>
            <w:r>
              <w:rPr>
                <w:rFonts w:ascii="Arial" w:cs="Arial" w:eastAsia="Arial" w:hAnsi="Arial"/>
                <w:sz w:val="16"/>
                <w:szCs w:val="16"/>
                <w:b w:val="1"/>
                <w:bCs w:val="1"/>
                <w:color w:val="243782"/>
              </w:rPr>
              <w:t>2025</w:t>
            </w:r>
          </w:p>
        </w:tc>
        <w:tc>
          <w:tcPr>
            <w:tcW w:w="1300" w:type="dxa"/>
            <w:vAlign w:val="bottom"/>
            <w:tcBorders>
              <w:bottom w:val="single" w:sz="8" w:color="143A84"/>
            </w:tcBorders>
          </w:tcPr>
          <w:p>
            <w:pPr>
              <w:spacing w:after="0"/>
              <w:rPr>
                <w:sz w:val="20"/>
                <w:szCs w:val="20"/>
                <w:color w:val="auto"/>
              </w:rPr>
            </w:pPr>
          </w:p>
        </w:tc>
      </w:tr>
      <w:tr>
        <w:trPr>
          <w:trHeight w:val="250"/>
        </w:trPr>
        <w:tc>
          <w:tcPr>
            <w:tcW w:w="4220" w:type="dxa"/>
            <w:vAlign w:val="bottom"/>
            <w:tcBorders>
              <w:bottom w:val="single" w:sz="8" w:color="8E939F"/>
            </w:tcBorders>
          </w:tcPr>
          <w:p>
            <w:pPr>
              <w:spacing w:after="0"/>
              <w:rPr>
                <w:sz w:val="21"/>
                <w:szCs w:val="21"/>
                <w:color w:val="auto"/>
              </w:rPr>
            </w:pPr>
          </w:p>
        </w:tc>
        <w:tc>
          <w:tcPr>
            <w:tcW w:w="2040" w:type="dxa"/>
            <w:vAlign w:val="bottom"/>
            <w:tcBorders>
              <w:bottom w:val="single" w:sz="8" w:color="8E939F"/>
            </w:tcBorders>
            <w:shd w:val="clear" w:color="auto" w:fill="F3F3F9"/>
          </w:tcPr>
          <w:p>
            <w:pPr>
              <w:jc w:val="right"/>
              <w:ind w:right="799"/>
              <w:spacing w:after="0"/>
              <w:rPr>
                <w:sz w:val="20"/>
                <w:szCs w:val="20"/>
                <w:color w:val="auto"/>
              </w:rPr>
            </w:pPr>
            <w:r>
              <w:rPr>
                <w:rFonts w:ascii="Arial" w:cs="Arial" w:eastAsia="Arial" w:hAnsi="Arial"/>
                <w:sz w:val="16"/>
                <w:szCs w:val="16"/>
                <w:b w:val="1"/>
                <w:bCs w:val="1"/>
                <w:color w:val="243782"/>
              </w:rPr>
              <w:t>Pension</w:t>
            </w:r>
          </w:p>
        </w:tc>
        <w:tc>
          <w:tcPr>
            <w:tcW w:w="1400" w:type="dxa"/>
            <w:vAlign w:val="bottom"/>
            <w:tcBorders>
              <w:bottom w:val="single" w:sz="8" w:color="8E939F"/>
            </w:tcBorders>
            <w:shd w:val="clear" w:color="auto" w:fill="F3F3F9"/>
          </w:tcPr>
          <w:p>
            <w:pPr>
              <w:jc w:val="right"/>
              <w:ind w:right="519"/>
              <w:spacing w:after="0"/>
              <w:rPr>
                <w:sz w:val="20"/>
                <w:szCs w:val="20"/>
                <w:color w:val="auto"/>
              </w:rPr>
            </w:pPr>
            <w:r>
              <w:rPr>
                <w:rFonts w:ascii="Arial" w:cs="Arial" w:eastAsia="Arial" w:hAnsi="Arial"/>
                <w:sz w:val="16"/>
                <w:szCs w:val="16"/>
                <w:b w:val="1"/>
                <w:bCs w:val="1"/>
                <w:color w:val="243782"/>
              </w:rPr>
              <w:t>OPEB</w:t>
            </w:r>
          </w:p>
        </w:tc>
        <w:tc>
          <w:tcPr>
            <w:tcW w:w="2240" w:type="dxa"/>
            <w:vAlign w:val="bottom"/>
            <w:tcBorders>
              <w:bottom w:val="single" w:sz="8" w:color="8E939F"/>
            </w:tcBorders>
          </w:tcPr>
          <w:p>
            <w:pPr>
              <w:jc w:val="right"/>
              <w:ind w:right="899"/>
              <w:spacing w:after="0"/>
              <w:rPr>
                <w:sz w:val="20"/>
                <w:szCs w:val="20"/>
                <w:color w:val="auto"/>
              </w:rPr>
            </w:pPr>
            <w:r>
              <w:rPr>
                <w:rFonts w:ascii="Arial" w:cs="Arial" w:eastAsia="Arial" w:hAnsi="Arial"/>
                <w:sz w:val="16"/>
                <w:szCs w:val="16"/>
                <w:b w:val="1"/>
                <w:bCs w:val="1"/>
                <w:color w:val="243782"/>
              </w:rPr>
              <w:t>Pension</w:t>
            </w:r>
          </w:p>
        </w:tc>
        <w:tc>
          <w:tcPr>
            <w:tcW w:w="1300" w:type="dxa"/>
            <w:vAlign w:val="bottom"/>
            <w:tcBorders>
              <w:bottom w:val="single" w:sz="8" w:color="8E939F"/>
            </w:tcBorders>
          </w:tcPr>
          <w:p>
            <w:pPr>
              <w:jc w:val="right"/>
              <w:ind w:right="519"/>
              <w:spacing w:after="0"/>
              <w:rPr>
                <w:sz w:val="20"/>
                <w:szCs w:val="20"/>
                <w:color w:val="auto"/>
              </w:rPr>
            </w:pPr>
            <w:r>
              <w:rPr>
                <w:rFonts w:ascii="Arial" w:cs="Arial" w:eastAsia="Arial" w:hAnsi="Arial"/>
                <w:sz w:val="16"/>
                <w:szCs w:val="16"/>
                <w:b w:val="1"/>
                <w:bCs w:val="1"/>
                <w:color w:val="243782"/>
              </w:rPr>
              <w:t>OPEB</w:t>
            </w:r>
          </w:p>
        </w:tc>
      </w:tr>
      <w:tr>
        <w:trPr>
          <w:trHeight w:val="247"/>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Current service cost</w:t>
            </w:r>
          </w:p>
        </w:tc>
        <w:tc>
          <w:tcPr>
            <w:tcW w:w="2040" w:type="dxa"/>
            <w:vAlign w:val="bottom"/>
            <w:tcBorders>
              <w:bottom w:val="single" w:sz="8" w:color="8E939F"/>
            </w:tcBorders>
            <w:shd w:val="clear" w:color="auto" w:fill="F3F3F9"/>
          </w:tcPr>
          <w:p>
            <w:pPr>
              <w:jc w:val="right"/>
              <w:ind w:right="359"/>
              <w:spacing w:after="0"/>
              <w:rPr>
                <w:sz w:val="20"/>
                <w:szCs w:val="20"/>
                <w:color w:val="auto"/>
              </w:rPr>
            </w:pPr>
            <w:r>
              <w:rPr>
                <w:rFonts w:ascii="Arial" w:cs="Arial" w:eastAsia="Arial" w:hAnsi="Arial"/>
                <w:sz w:val="16"/>
                <w:szCs w:val="16"/>
                <w:color w:val="auto"/>
              </w:rPr>
              <w:t>79</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38</w:t>
            </w:r>
          </w:p>
        </w:tc>
        <w:tc>
          <w:tcPr>
            <w:tcW w:w="224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color w:val="auto"/>
              </w:rPr>
              <w:t>82</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45</w:t>
            </w:r>
          </w:p>
        </w:tc>
      </w:tr>
      <w:tr>
        <w:trPr>
          <w:trHeight w:val="250"/>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 expense</w:t>
            </w:r>
          </w:p>
        </w:tc>
        <w:tc>
          <w:tcPr>
            <w:tcW w:w="2040" w:type="dxa"/>
            <w:vAlign w:val="bottom"/>
            <w:tcBorders>
              <w:bottom w:val="single" w:sz="8" w:color="8E939F"/>
            </w:tcBorders>
            <w:shd w:val="clear" w:color="auto" w:fill="F3F3F9"/>
          </w:tcPr>
          <w:p>
            <w:pPr>
              <w:jc w:val="right"/>
              <w:ind w:right="359"/>
              <w:spacing w:after="0"/>
              <w:rPr>
                <w:sz w:val="20"/>
                <w:szCs w:val="20"/>
                <w:color w:val="auto"/>
              </w:rPr>
            </w:pPr>
            <w:r>
              <w:rPr>
                <w:rFonts w:ascii="Arial" w:cs="Arial" w:eastAsia="Arial" w:hAnsi="Arial"/>
                <w:sz w:val="16"/>
                <w:szCs w:val="16"/>
                <w:color w:val="auto"/>
              </w:rPr>
              <w:t>768</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90</w:t>
            </w:r>
          </w:p>
        </w:tc>
        <w:tc>
          <w:tcPr>
            <w:tcW w:w="2240" w:type="dxa"/>
            <w:vAlign w:val="bottom"/>
            <w:tcBorders>
              <w:bottom w:val="single" w:sz="8" w:color="8E939F"/>
            </w:tcBorders>
          </w:tcPr>
          <w:p>
            <w:pPr>
              <w:jc w:val="right"/>
              <w:ind w:right="459"/>
              <w:spacing w:after="0"/>
              <w:rPr>
                <w:sz w:val="20"/>
                <w:szCs w:val="20"/>
                <w:color w:val="auto"/>
              </w:rPr>
            </w:pPr>
            <w:r>
              <w:rPr>
                <w:rFonts w:ascii="Arial" w:cs="Arial" w:eastAsia="Arial" w:hAnsi="Arial"/>
                <w:sz w:val="16"/>
                <w:szCs w:val="16"/>
                <w:color w:val="auto"/>
              </w:rPr>
              <w:t>805</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91</w:t>
            </w:r>
          </w:p>
        </w:tc>
      </w:tr>
      <w:tr>
        <w:trPr>
          <w:trHeight w:val="250"/>
        </w:trPr>
        <w:tc>
          <w:tcPr>
            <w:tcW w:w="42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Interest/(income)</w:t>
            </w:r>
          </w:p>
        </w:tc>
        <w:tc>
          <w:tcPr>
            <w:tcW w:w="2040" w:type="dxa"/>
            <w:vAlign w:val="bottom"/>
            <w:tcBorders>
              <w:bottom w:val="single" w:sz="8" w:color="8E939F"/>
            </w:tcBorders>
            <w:shd w:val="clear" w:color="auto" w:fill="F3F3F9"/>
          </w:tcPr>
          <w:p>
            <w:pPr>
              <w:jc w:val="right"/>
              <w:ind w:right="319"/>
              <w:spacing w:after="0"/>
              <w:rPr>
                <w:sz w:val="20"/>
                <w:szCs w:val="20"/>
                <w:color w:val="auto"/>
              </w:rPr>
            </w:pPr>
            <w:r>
              <w:rPr>
                <w:rFonts w:ascii="Arial" w:cs="Arial" w:eastAsia="Arial" w:hAnsi="Arial"/>
                <w:sz w:val="16"/>
                <w:szCs w:val="16"/>
                <w:color w:val="auto"/>
              </w:rPr>
              <w:t>(711)</w:t>
            </w:r>
          </w:p>
        </w:tc>
        <w:tc>
          <w:tcPr>
            <w:tcW w:w="14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(8)</w:t>
            </w:r>
          </w:p>
        </w:tc>
        <w:tc>
          <w:tcPr>
            <w:tcW w:w="2240" w:type="dxa"/>
            <w:vAlign w:val="bottom"/>
            <w:tcBorders>
              <w:bottom w:val="single" w:sz="8" w:color="8E939F"/>
            </w:tcBorders>
          </w:tcPr>
          <w:p>
            <w:pPr>
              <w:jc w:val="right"/>
              <w:ind w:right="399"/>
              <w:spacing w:after="0"/>
              <w:rPr>
                <w:sz w:val="20"/>
                <w:szCs w:val="20"/>
                <w:color w:val="auto"/>
              </w:rPr>
            </w:pPr>
            <w:r>
              <w:rPr>
                <w:rFonts w:ascii="Arial" w:cs="Arial" w:eastAsia="Arial" w:hAnsi="Arial"/>
                <w:sz w:val="16"/>
                <w:szCs w:val="16"/>
                <w:color w:val="auto"/>
              </w:rPr>
              <w:t>(738)</w:t>
            </w:r>
          </w:p>
        </w:tc>
        <w:tc>
          <w:tcPr>
            <w:tcW w:w="130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w:t>
            </w:r>
          </w:p>
        </w:tc>
      </w:tr>
      <w:tr>
        <w:trPr>
          <w:trHeight w:val="249"/>
        </w:trPr>
        <w:tc>
          <w:tcPr>
            <w:tcW w:w="4220" w:type="dxa"/>
            <w:vAlign w:val="bottom"/>
          </w:tcPr>
          <w:p>
            <w:pPr>
              <w:ind w:left="20"/>
              <w:spacing w:after="0"/>
              <w:rPr>
                <w:sz w:val="20"/>
                <w:szCs w:val="20"/>
                <w:color w:val="auto"/>
              </w:rPr>
            </w:pPr>
            <w:r>
              <w:rPr>
                <w:rFonts w:ascii="Arial" w:cs="Arial" w:eastAsia="Arial" w:hAnsi="Arial"/>
                <w:sz w:val="16"/>
                <w:szCs w:val="16"/>
                <w:color w:val="auto"/>
              </w:rPr>
              <w:t>Other administrative costs</w:t>
            </w:r>
          </w:p>
        </w:tc>
        <w:tc>
          <w:tcPr>
            <w:tcW w:w="2040" w:type="dxa"/>
            <w:vAlign w:val="bottom"/>
            <w:shd w:val="clear" w:color="auto" w:fill="F3F3F9"/>
          </w:tcPr>
          <w:p>
            <w:pPr>
              <w:jc w:val="right"/>
              <w:ind w:right="359"/>
              <w:spacing w:after="0"/>
              <w:rPr>
                <w:sz w:val="20"/>
                <w:szCs w:val="20"/>
                <w:color w:val="auto"/>
              </w:rPr>
            </w:pPr>
            <w:r>
              <w:rPr>
                <w:rFonts w:ascii="Arial" w:cs="Arial" w:eastAsia="Arial" w:hAnsi="Arial"/>
                <w:sz w:val="16"/>
                <w:szCs w:val="16"/>
                <w:color w:val="auto"/>
              </w:rPr>
              <w:t>58</w:t>
            </w:r>
          </w:p>
        </w:tc>
        <w:tc>
          <w:tcPr>
            <w:tcW w:w="1400" w:type="dxa"/>
            <w:vAlign w:val="bottom"/>
            <w:shd w:val="clear" w:color="auto" w:fill="F3F3F9"/>
          </w:tcPr>
          <w:p>
            <w:pPr>
              <w:jc w:val="right"/>
              <w:spacing w:after="0"/>
              <w:rPr>
                <w:sz w:val="20"/>
                <w:szCs w:val="20"/>
                <w:color w:val="auto"/>
              </w:rPr>
            </w:pPr>
            <w:r>
              <w:rPr>
                <w:rFonts w:ascii="Arial" w:cs="Arial" w:eastAsia="Arial" w:hAnsi="Arial"/>
                <w:sz w:val="16"/>
                <w:szCs w:val="16"/>
                <w:color w:val="auto"/>
              </w:rPr>
              <w:t>2</w:t>
            </w:r>
          </w:p>
        </w:tc>
        <w:tc>
          <w:tcPr>
            <w:tcW w:w="2240" w:type="dxa"/>
            <w:vAlign w:val="bottom"/>
          </w:tcPr>
          <w:p>
            <w:pPr>
              <w:jc w:val="right"/>
              <w:ind w:right="459"/>
              <w:spacing w:after="0"/>
              <w:rPr>
                <w:sz w:val="20"/>
                <w:szCs w:val="20"/>
                <w:color w:val="auto"/>
              </w:rPr>
            </w:pPr>
            <w:r>
              <w:rPr>
                <w:rFonts w:ascii="Arial" w:cs="Arial" w:eastAsia="Arial" w:hAnsi="Arial"/>
                <w:sz w:val="16"/>
                <w:szCs w:val="16"/>
                <w:color w:val="auto"/>
              </w:rPr>
              <w:t>64</w:t>
            </w: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422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Total</w:t>
            </w:r>
          </w:p>
        </w:tc>
        <w:tc>
          <w:tcPr>
            <w:tcW w:w="2040" w:type="dxa"/>
            <w:vAlign w:val="bottom"/>
            <w:shd w:val="clear" w:color="auto" w:fill="E6E7F4"/>
          </w:tcPr>
          <w:p>
            <w:pPr>
              <w:jc w:val="right"/>
              <w:ind w:right="359"/>
              <w:spacing w:after="0"/>
              <w:rPr>
                <w:sz w:val="20"/>
                <w:szCs w:val="20"/>
                <w:color w:val="auto"/>
              </w:rPr>
            </w:pPr>
            <w:r>
              <w:rPr>
                <w:rFonts w:ascii="Arial" w:cs="Arial" w:eastAsia="Arial" w:hAnsi="Arial"/>
                <w:sz w:val="16"/>
                <w:szCs w:val="16"/>
                <w:b w:val="1"/>
                <w:bCs w:val="1"/>
                <w:color w:val="243782"/>
              </w:rPr>
              <w:t>194</w:t>
            </w:r>
          </w:p>
        </w:tc>
        <w:tc>
          <w:tcPr>
            <w:tcW w:w="140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122</w:t>
            </w:r>
          </w:p>
        </w:tc>
        <w:tc>
          <w:tcPr>
            <w:tcW w:w="2240" w:type="dxa"/>
            <w:vAlign w:val="bottom"/>
            <w:shd w:val="clear" w:color="auto" w:fill="E6E7F4"/>
          </w:tcPr>
          <w:p>
            <w:pPr>
              <w:jc w:val="right"/>
              <w:ind w:right="459"/>
              <w:spacing w:after="0"/>
              <w:rPr>
                <w:sz w:val="20"/>
                <w:szCs w:val="20"/>
                <w:color w:val="auto"/>
              </w:rPr>
            </w:pPr>
            <w:r>
              <w:rPr>
                <w:rFonts w:ascii="Arial" w:cs="Arial" w:eastAsia="Arial" w:hAnsi="Arial"/>
                <w:sz w:val="16"/>
                <w:szCs w:val="16"/>
                <w:b w:val="1"/>
                <w:bCs w:val="1"/>
                <w:color w:val="243782"/>
              </w:rPr>
              <w:t>213</w:t>
            </w:r>
          </w:p>
        </w:tc>
        <w:tc>
          <w:tcPr>
            <w:tcW w:w="130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131</w:t>
            </w:r>
          </w:p>
        </w:tc>
      </w:tr>
    </w:tbl>
    <w:p>
      <w:pPr>
        <w:spacing w:after="0" w:line="319"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Total contributions and direct benefit payments of €41 million were made to the pension plans in North America and Enlarged Europe during the nine months ended September 30,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13. Provisions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20" w:type="dxa"/>
            <w:vAlign w:val="bottom"/>
          </w:tcPr>
          <w:p>
            <w:pPr>
              <w:spacing w:after="0"/>
              <w:rPr>
                <w:sz w:val="19"/>
                <w:szCs w:val="19"/>
                <w:color w:val="auto"/>
              </w:rPr>
            </w:pPr>
          </w:p>
        </w:tc>
        <w:tc>
          <w:tcPr>
            <w:tcW w:w="2760" w:type="dxa"/>
            <w:vAlign w:val="bottom"/>
            <w:tcBorders>
              <w:bottom w:val="single" w:sz="8" w:color="8E939F"/>
            </w:tcBorders>
            <w:gridSpan w:val="3"/>
          </w:tcPr>
          <w:p>
            <w:pPr>
              <w:ind w:left="940"/>
              <w:spacing w:after="0"/>
              <w:rPr>
                <w:sz w:val="20"/>
                <w:szCs w:val="20"/>
                <w:color w:val="auto"/>
              </w:rPr>
            </w:pPr>
            <w:r>
              <w:rPr>
                <w:rFonts w:ascii="Arial" w:cs="Arial" w:eastAsia="Arial" w:hAnsi="Arial"/>
                <w:sz w:val="16"/>
                <w:szCs w:val="16"/>
                <w:b w:val="1"/>
                <w:bCs w:val="1"/>
                <w:color w:val="243782"/>
              </w:rPr>
              <w:t>At September 30, 2026</w:t>
            </w:r>
          </w:p>
        </w:tc>
        <w:tc>
          <w:tcPr>
            <w:tcW w:w="840" w:type="dxa"/>
            <w:vAlign w:val="bottom"/>
            <w:tcBorders>
              <w:bottom w:val="single" w:sz="8" w:color="8E939F"/>
            </w:tcBorders>
          </w:tcPr>
          <w:p>
            <w:pPr>
              <w:spacing w:after="0"/>
              <w:rPr>
                <w:sz w:val="19"/>
                <w:szCs w:val="19"/>
                <w:color w:val="auto"/>
              </w:rPr>
            </w:pPr>
          </w:p>
        </w:tc>
        <w:tc>
          <w:tcPr>
            <w:tcW w:w="2860" w:type="dxa"/>
            <w:vAlign w:val="bottom"/>
            <w:tcBorders>
              <w:bottom w:val="single" w:sz="8" w:color="8E939F"/>
            </w:tcBorders>
            <w:gridSpan w:val="2"/>
          </w:tcPr>
          <w:p>
            <w:pPr>
              <w:jc w:val="right"/>
              <w:ind w:right="39"/>
              <w:spacing w:after="0"/>
              <w:rPr>
                <w:sz w:val="20"/>
                <w:szCs w:val="20"/>
                <w:color w:val="auto"/>
              </w:rPr>
            </w:pPr>
            <w:r>
              <w:rPr>
                <w:rFonts w:ascii="Arial" w:cs="Arial" w:eastAsia="Arial" w:hAnsi="Arial"/>
                <w:sz w:val="16"/>
                <w:szCs w:val="16"/>
                <w:b w:val="1"/>
                <w:bCs w:val="1"/>
                <w:color w:val="243782"/>
              </w:rPr>
              <w:t>At December 31, 2025</w:t>
            </w:r>
          </w:p>
        </w:tc>
        <w:tc>
          <w:tcPr>
            <w:tcW w:w="860" w:type="dxa"/>
            <w:vAlign w:val="bottom"/>
            <w:tcBorders>
              <w:bottom w:val="single" w:sz="8" w:color="8E939F"/>
            </w:tcBorders>
          </w:tcPr>
          <w:p>
            <w:pPr>
              <w:spacing w:after="0"/>
              <w:rPr>
                <w:sz w:val="19"/>
                <w:szCs w:val="19"/>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6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40" w:type="dxa"/>
            <w:vAlign w:val="bottom"/>
            <w:shd w:val="clear" w:color="auto" w:fill="E6E7F4"/>
          </w:tcPr>
          <w:p>
            <w:pPr>
              <w:spacing w:after="0"/>
              <w:rPr>
                <w:sz w:val="18"/>
                <w:szCs w:val="18"/>
                <w:color w:val="auto"/>
              </w:rPr>
            </w:pPr>
          </w:p>
        </w:tc>
        <w:tc>
          <w:tcPr>
            <w:tcW w:w="840" w:type="dxa"/>
            <w:vAlign w:val="bottom"/>
            <w:shd w:val="clear" w:color="auto" w:fill="E6E7F4"/>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920" w:type="dxa"/>
            <w:vAlign w:val="bottom"/>
            <w:tcBorders>
              <w:bottom w:val="single" w:sz="8" w:color="143A84"/>
            </w:tcBorders>
          </w:tcPr>
          <w:p>
            <w:pPr>
              <w:spacing w:after="0"/>
              <w:rPr>
                <w:sz w:val="20"/>
                <w:szCs w:val="20"/>
                <w:color w:val="auto"/>
              </w:rPr>
            </w:pPr>
          </w:p>
        </w:tc>
        <w:tc>
          <w:tcPr>
            <w:tcW w:w="1060" w:type="dxa"/>
            <w:vAlign w:val="bottom"/>
            <w:tcBorders>
              <w:bottom w:val="single" w:sz="8" w:color="143A84"/>
            </w:tcBorders>
            <w:shd w:val="clear" w:color="auto" w:fill="F3F3F9"/>
          </w:tcPr>
          <w:p>
            <w:pPr>
              <w:jc w:val="right"/>
              <w:ind w:right="139"/>
              <w:spacing w:after="0"/>
              <w:rPr>
                <w:sz w:val="20"/>
                <w:szCs w:val="20"/>
                <w:color w:val="auto"/>
              </w:rPr>
            </w:pPr>
            <w:r>
              <w:rPr>
                <w:rFonts w:ascii="Arial" w:cs="Arial" w:eastAsia="Arial" w:hAnsi="Arial"/>
                <w:sz w:val="16"/>
                <w:szCs w:val="16"/>
                <w:b w:val="1"/>
                <w:bCs w:val="1"/>
                <w:color w:val="243782"/>
              </w:rPr>
              <w:t>Current</w:t>
            </w:r>
          </w:p>
        </w:tc>
        <w:tc>
          <w:tcPr>
            <w:tcW w:w="1460" w:type="dxa"/>
            <w:vAlign w:val="bottom"/>
            <w:tcBorders>
              <w:bottom w:val="single" w:sz="8" w:color="143A84"/>
            </w:tcBorders>
            <w:shd w:val="clear" w:color="auto" w:fill="F3F3F9"/>
          </w:tcPr>
          <w:p>
            <w:pPr>
              <w:jc w:val="right"/>
              <w:ind w:right="179"/>
              <w:spacing w:after="0"/>
              <w:rPr>
                <w:sz w:val="20"/>
                <w:szCs w:val="20"/>
                <w:color w:val="auto"/>
              </w:rPr>
            </w:pPr>
            <w:r>
              <w:rPr>
                <w:rFonts w:ascii="Arial" w:cs="Arial" w:eastAsia="Arial" w:hAnsi="Arial"/>
                <w:sz w:val="16"/>
                <w:szCs w:val="16"/>
                <w:b w:val="1"/>
                <w:bCs w:val="1"/>
                <w:color w:val="243782"/>
              </w:rPr>
              <w:t>Non-current</w:t>
            </w:r>
          </w:p>
        </w:tc>
        <w:tc>
          <w:tcPr>
            <w:tcW w:w="240" w:type="dxa"/>
            <w:vAlign w:val="bottom"/>
            <w:tcBorders>
              <w:bottom w:val="single" w:sz="8" w:color="143A84"/>
            </w:tcBorders>
            <w:shd w:val="clear" w:color="auto" w:fill="E6E7F4"/>
          </w:tcPr>
          <w:p>
            <w:pPr>
              <w:spacing w:after="0"/>
              <w:rPr>
                <w:sz w:val="20"/>
                <w:szCs w:val="20"/>
                <w:color w:val="auto"/>
              </w:rPr>
            </w:pPr>
          </w:p>
        </w:tc>
        <w:tc>
          <w:tcPr>
            <w:tcW w:w="840" w:type="dxa"/>
            <w:vAlign w:val="bottom"/>
            <w:tcBorders>
              <w:bottom w:val="single" w:sz="8" w:color="143A84"/>
            </w:tcBorders>
            <w:shd w:val="clear" w:color="auto" w:fill="E6E7F4"/>
          </w:tcPr>
          <w:p>
            <w:pPr>
              <w:jc w:val="right"/>
              <w:ind w:right="279"/>
              <w:spacing w:after="0"/>
              <w:rPr>
                <w:sz w:val="20"/>
                <w:szCs w:val="20"/>
                <w:color w:val="auto"/>
              </w:rPr>
            </w:pPr>
            <w:r>
              <w:rPr>
                <w:rFonts w:ascii="Arial" w:cs="Arial" w:eastAsia="Arial" w:hAnsi="Arial"/>
                <w:sz w:val="16"/>
                <w:szCs w:val="16"/>
                <w:b w:val="1"/>
                <w:bCs w:val="1"/>
                <w:color w:val="243782"/>
              </w:rPr>
              <w:t>Total</w:t>
            </w:r>
          </w:p>
        </w:tc>
        <w:tc>
          <w:tcPr>
            <w:tcW w:w="1280" w:type="dxa"/>
            <w:vAlign w:val="bottom"/>
            <w:tcBorders>
              <w:bottom w:val="single" w:sz="8" w:color="143A84"/>
            </w:tcBorders>
          </w:tcPr>
          <w:p>
            <w:pPr>
              <w:jc w:val="right"/>
              <w:ind w:right="259"/>
              <w:spacing w:after="0"/>
              <w:rPr>
                <w:sz w:val="20"/>
                <w:szCs w:val="20"/>
                <w:color w:val="auto"/>
              </w:rPr>
            </w:pPr>
            <w:r>
              <w:rPr>
                <w:rFonts w:ascii="Arial" w:cs="Arial" w:eastAsia="Arial" w:hAnsi="Arial"/>
                <w:sz w:val="16"/>
                <w:szCs w:val="16"/>
                <w:b w:val="1"/>
                <w:bCs w:val="1"/>
                <w:color w:val="243782"/>
              </w:rPr>
              <w:t>Current</w:t>
            </w:r>
          </w:p>
        </w:tc>
        <w:tc>
          <w:tcPr>
            <w:tcW w:w="1580" w:type="dxa"/>
            <w:vAlign w:val="bottom"/>
            <w:tcBorders>
              <w:bottom w:val="single" w:sz="8" w:color="143A84"/>
            </w:tcBorders>
          </w:tcPr>
          <w:p>
            <w:pPr>
              <w:jc w:val="right"/>
              <w:ind w:right="399"/>
              <w:spacing w:after="0"/>
              <w:rPr>
                <w:sz w:val="20"/>
                <w:szCs w:val="20"/>
                <w:color w:val="auto"/>
              </w:rPr>
            </w:pPr>
            <w:r>
              <w:rPr>
                <w:rFonts w:ascii="Arial" w:cs="Arial" w:eastAsia="Arial" w:hAnsi="Arial"/>
                <w:sz w:val="16"/>
                <w:szCs w:val="16"/>
                <w:b w:val="1"/>
                <w:bCs w:val="1"/>
                <w:color w:val="243782"/>
              </w:rPr>
              <w:t>Non-current</w:t>
            </w:r>
          </w:p>
        </w:tc>
        <w:tc>
          <w:tcPr>
            <w:tcW w:w="860" w:type="dxa"/>
            <w:vAlign w:val="bottom"/>
            <w:tcBorders>
              <w:bottom w:val="single" w:sz="8" w:color="143A84"/>
            </w:tcBorders>
          </w:tcPr>
          <w:p>
            <w:pPr>
              <w:jc w:val="right"/>
              <w:ind w:right="279"/>
              <w:spacing w:after="0"/>
              <w:rPr>
                <w:sz w:val="20"/>
                <w:szCs w:val="20"/>
                <w:color w:val="auto"/>
              </w:rPr>
            </w:pPr>
            <w:r>
              <w:rPr>
                <w:rFonts w:ascii="Arial" w:cs="Arial" w:eastAsia="Arial" w:hAnsi="Arial"/>
                <w:sz w:val="16"/>
                <w:szCs w:val="16"/>
                <w:b w:val="1"/>
                <w:bCs w:val="1"/>
                <w:color w:val="243782"/>
              </w:rPr>
              <w:t>Total</w:t>
            </w:r>
          </w:p>
        </w:tc>
      </w:tr>
      <w:tr>
        <w:trPr>
          <w:trHeight w:val="247"/>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Product warranty and recall campaigns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4,579</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8,899</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13,478</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4,562</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9,562</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14,124</w:t>
            </w:r>
          </w:p>
        </w:tc>
      </w:tr>
      <w:tr>
        <w:trPr>
          <w:trHeight w:val="250"/>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Sales incentives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5,922</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5,922</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5,321</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5,321</w:t>
            </w:r>
          </w:p>
        </w:tc>
      </w:tr>
      <w:tr>
        <w:trPr>
          <w:trHeight w:val="250"/>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Restructuring</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648</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358</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1,006</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637</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405</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1,042</w:t>
            </w:r>
          </w:p>
        </w:tc>
      </w:tr>
      <w:tr>
        <w:trPr>
          <w:trHeight w:val="250"/>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Legal proceedings and disputes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574</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487</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1,061</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379</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601</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980</w:t>
            </w:r>
          </w:p>
        </w:tc>
      </w:tr>
      <w:tr>
        <w:trPr>
          <w:trHeight w:val="250"/>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Commercial risks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3,011</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4,183</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7,194</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2,779</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6,002</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8,781</w:t>
            </w:r>
          </w:p>
        </w:tc>
      </w:tr>
      <w:tr>
        <w:trPr>
          <w:trHeight w:val="250"/>
        </w:trPr>
        <w:tc>
          <w:tcPr>
            <w:tcW w:w="392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risks</w:t>
            </w:r>
          </w:p>
        </w:tc>
        <w:tc>
          <w:tcPr>
            <w:tcW w:w="10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557</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1,571</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2,128</w:t>
            </w:r>
          </w:p>
        </w:tc>
        <w:tc>
          <w:tcPr>
            <w:tcW w:w="128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639</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2,026</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2,665</w:t>
            </w:r>
          </w:p>
        </w:tc>
      </w:tr>
      <w:tr>
        <w:trPr>
          <w:trHeight w:val="253"/>
        </w:trPr>
        <w:tc>
          <w:tcPr>
            <w:tcW w:w="39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Provisions</w:t>
            </w:r>
          </w:p>
        </w:tc>
        <w:tc>
          <w:tcPr>
            <w:tcW w:w="10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15,291</w:t>
            </w:r>
          </w:p>
        </w:tc>
        <w:tc>
          <w:tcPr>
            <w:tcW w:w="146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15,498</w:t>
            </w:r>
          </w:p>
        </w:tc>
        <w:tc>
          <w:tcPr>
            <w:tcW w:w="240" w:type="dxa"/>
            <w:vAlign w:val="bottom"/>
            <w:tcBorders>
              <w:bottom w:val="single" w:sz="8" w:color="8E939F"/>
            </w:tcBorders>
            <w:shd w:val="clear" w:color="auto" w:fill="E6E7F4"/>
          </w:tcPr>
          <w:p>
            <w:pPr>
              <w:spacing w:after="0"/>
              <w:rPr>
                <w:sz w:val="21"/>
                <w:szCs w:val="21"/>
                <w:color w:val="auto"/>
              </w:rPr>
            </w:pPr>
          </w:p>
        </w:tc>
        <w:tc>
          <w:tcPr>
            <w:tcW w:w="8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30,789</w:t>
            </w:r>
          </w:p>
        </w:tc>
        <w:tc>
          <w:tcPr>
            <w:tcW w:w="128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14,317</w:t>
            </w:r>
          </w:p>
        </w:tc>
        <w:tc>
          <w:tcPr>
            <w:tcW w:w="1580" w:type="dxa"/>
            <w:vAlign w:val="bottom"/>
            <w:tcBorders>
              <w:bottom w:val="single" w:sz="8" w:color="8E939F"/>
            </w:tcBorders>
            <w:shd w:val="clear" w:color="auto" w:fill="E6E7F4"/>
          </w:tcPr>
          <w:p>
            <w:pPr>
              <w:jc w:val="right"/>
              <w:ind w:right="339"/>
              <w:spacing w:after="0"/>
              <w:rPr>
                <w:sz w:val="20"/>
                <w:szCs w:val="20"/>
                <w:color w:val="auto"/>
              </w:rPr>
            </w:pPr>
            <w:r>
              <w:rPr>
                <w:rFonts w:ascii="Arial" w:cs="Arial" w:eastAsia="Arial" w:hAnsi="Arial"/>
                <w:sz w:val="16"/>
                <w:szCs w:val="16"/>
                <w:b w:val="1"/>
                <w:bCs w:val="1"/>
                <w:color w:val="243782"/>
              </w:rPr>
              <w:t>18,596</w:t>
            </w:r>
          </w:p>
        </w:tc>
        <w:tc>
          <w:tcPr>
            <w:tcW w:w="8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32,913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of €548 million and €923 million were recognized for the nine months ended September 30, 2026 and 2025,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related to lower workforce reductions mainly in Enlarged Europe.</w:t>
      </w:r>
    </w:p>
    <w:p>
      <w:pPr>
        <w:spacing w:after="0" w:line="171"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The decrease in the Commercial risks provision is primarily due to (i) €1.1 billion of cash payments related to charges recorded in the second half of 2025, (ii) approximately €315 million reduction in regulatory provisions in the U.S. due to revision in the estimated cost of contractual obligations, and (iii) reversal of the U.S. greenhouse gas (”GHG”) provision of €350 million as further explained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2026, the U.S. Environmental Protection Agency finalized actions to rescind the 2009 GHG Endangerment Finding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Clean Air Act. The Endangerment Finding had previously provided the legal basis for federal regulation of GHG emissions from motor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vehicles. As a result of this regulatory development, during the nine months ended September 30, 2026, Stellantis recognized a gain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€66 million within Cost of revenues which was excluded from AOI. The net gain consisted of an impairment of GHG-related Other intangible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assets of €284 million and the reversal of the related GHG provision of €350 million, as mentioned above.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14. Debt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19"/>
                <w:szCs w:val="19"/>
                <w:color w:val="auto"/>
              </w:rPr>
            </w:pPr>
          </w:p>
        </w:tc>
        <w:tc>
          <w:tcPr>
            <w:tcW w:w="2760" w:type="dxa"/>
            <w:vAlign w:val="bottom"/>
            <w:tcBorders>
              <w:bottom w:val="single" w:sz="8" w:color="8E939F"/>
            </w:tcBorders>
            <w:gridSpan w:val="3"/>
          </w:tcPr>
          <w:p>
            <w:pPr>
              <w:ind w:left="920"/>
              <w:spacing w:after="0"/>
              <w:rPr>
                <w:sz w:val="20"/>
                <w:szCs w:val="20"/>
                <w:color w:val="auto"/>
              </w:rPr>
            </w:pPr>
            <w:r>
              <w:rPr>
                <w:rFonts w:ascii="Arial" w:cs="Arial" w:eastAsia="Arial" w:hAnsi="Arial"/>
                <w:sz w:val="16"/>
                <w:szCs w:val="16"/>
                <w:b w:val="1"/>
                <w:bCs w:val="1"/>
                <w:color w:val="243782"/>
              </w:rPr>
              <w:t>At September 30, 2026</w:t>
            </w:r>
          </w:p>
        </w:tc>
        <w:tc>
          <w:tcPr>
            <w:tcW w:w="820" w:type="dxa"/>
            <w:vAlign w:val="bottom"/>
            <w:tcBorders>
              <w:bottom w:val="single" w:sz="8" w:color="8E939F"/>
            </w:tcBorders>
          </w:tcPr>
          <w:p>
            <w:pPr>
              <w:spacing w:after="0"/>
              <w:rPr>
                <w:sz w:val="19"/>
                <w:szCs w:val="19"/>
                <w:color w:val="auto"/>
              </w:rPr>
            </w:pPr>
          </w:p>
        </w:tc>
        <w:tc>
          <w:tcPr>
            <w:tcW w:w="2880" w:type="dxa"/>
            <w:vAlign w:val="bottom"/>
            <w:tcBorders>
              <w:bottom w:val="single" w:sz="8" w:color="8E939F"/>
            </w:tcBorders>
            <w:gridSpan w:val="2"/>
          </w:tcPr>
          <w:p>
            <w:pPr>
              <w:jc w:val="right"/>
              <w:ind w:right="39"/>
              <w:spacing w:after="0"/>
              <w:rPr>
                <w:sz w:val="20"/>
                <w:szCs w:val="20"/>
                <w:color w:val="auto"/>
              </w:rPr>
            </w:pPr>
            <w:r>
              <w:rPr>
                <w:rFonts w:ascii="Arial" w:cs="Arial" w:eastAsia="Arial" w:hAnsi="Arial"/>
                <w:sz w:val="16"/>
                <w:szCs w:val="16"/>
                <w:b w:val="1"/>
                <w:bCs w:val="1"/>
                <w:color w:val="243782"/>
              </w:rPr>
              <w:t>At December 31, 2025</w:t>
            </w:r>
          </w:p>
        </w:tc>
        <w:tc>
          <w:tcPr>
            <w:tcW w:w="860" w:type="dxa"/>
            <w:vAlign w:val="bottom"/>
            <w:tcBorders>
              <w:bottom w:val="single" w:sz="8" w:color="8E939F"/>
            </w:tcBorders>
          </w:tcPr>
          <w:p>
            <w:pPr>
              <w:spacing w:after="0"/>
              <w:rPr>
                <w:sz w:val="19"/>
                <w:szCs w:val="19"/>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40" w:type="dxa"/>
            <w:vAlign w:val="bottom"/>
            <w:shd w:val="clear" w:color="auto" w:fill="F3F3F9"/>
          </w:tcPr>
          <w:p>
            <w:pPr>
              <w:spacing w:after="0"/>
              <w:rPr>
                <w:sz w:val="18"/>
                <w:szCs w:val="18"/>
                <w:color w:val="auto"/>
              </w:rPr>
            </w:pPr>
          </w:p>
        </w:tc>
        <w:tc>
          <w:tcPr>
            <w:tcW w:w="1460" w:type="dxa"/>
            <w:vAlign w:val="bottom"/>
            <w:shd w:val="clear" w:color="auto" w:fill="F3F3F9"/>
          </w:tcPr>
          <w:p>
            <w:pPr>
              <w:spacing w:after="0"/>
              <w:rPr>
                <w:sz w:val="18"/>
                <w:szCs w:val="18"/>
                <w:color w:val="auto"/>
              </w:rPr>
            </w:pPr>
          </w:p>
        </w:tc>
        <w:tc>
          <w:tcPr>
            <w:tcW w:w="260" w:type="dxa"/>
            <w:vAlign w:val="bottom"/>
            <w:shd w:val="clear" w:color="auto" w:fill="E6E7F4"/>
          </w:tcPr>
          <w:p>
            <w:pPr>
              <w:spacing w:after="0"/>
              <w:rPr>
                <w:sz w:val="18"/>
                <w:szCs w:val="18"/>
                <w:color w:val="auto"/>
              </w:rPr>
            </w:pPr>
          </w:p>
        </w:tc>
        <w:tc>
          <w:tcPr>
            <w:tcW w:w="820" w:type="dxa"/>
            <w:vAlign w:val="bottom"/>
            <w:shd w:val="clear" w:color="auto" w:fill="E6E7F4"/>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860" w:type="dxa"/>
            <w:vAlign w:val="bottom"/>
            <w:tcBorders>
              <w:bottom w:val="single" w:sz="8" w:color="143A84"/>
            </w:tcBorders>
          </w:tcPr>
          <w:p>
            <w:pPr>
              <w:spacing w:after="0"/>
              <w:rPr>
                <w:sz w:val="20"/>
                <w:szCs w:val="20"/>
                <w:color w:val="auto"/>
              </w:rPr>
            </w:pPr>
          </w:p>
        </w:tc>
        <w:tc>
          <w:tcPr>
            <w:tcW w:w="1040" w:type="dxa"/>
            <w:vAlign w:val="bottom"/>
            <w:tcBorders>
              <w:bottom w:val="single" w:sz="8" w:color="143A84"/>
            </w:tcBorders>
            <w:shd w:val="clear" w:color="auto" w:fill="F3F3F9"/>
          </w:tcPr>
          <w:p>
            <w:pPr>
              <w:jc w:val="right"/>
              <w:ind w:right="139"/>
              <w:spacing w:after="0"/>
              <w:rPr>
                <w:sz w:val="20"/>
                <w:szCs w:val="20"/>
                <w:color w:val="auto"/>
              </w:rPr>
            </w:pPr>
            <w:r>
              <w:rPr>
                <w:rFonts w:ascii="Arial" w:cs="Arial" w:eastAsia="Arial" w:hAnsi="Arial"/>
                <w:sz w:val="16"/>
                <w:szCs w:val="16"/>
                <w:b w:val="1"/>
                <w:bCs w:val="1"/>
                <w:color w:val="243782"/>
              </w:rPr>
              <w:t>Current</w:t>
            </w:r>
          </w:p>
        </w:tc>
        <w:tc>
          <w:tcPr>
            <w:tcW w:w="1460" w:type="dxa"/>
            <w:vAlign w:val="bottom"/>
            <w:tcBorders>
              <w:bottom w:val="single" w:sz="8" w:color="143A84"/>
            </w:tcBorders>
            <w:shd w:val="clear" w:color="auto" w:fill="F3F3F9"/>
          </w:tcPr>
          <w:p>
            <w:pPr>
              <w:jc w:val="right"/>
              <w:ind w:right="159"/>
              <w:spacing w:after="0"/>
              <w:rPr>
                <w:sz w:val="20"/>
                <w:szCs w:val="20"/>
                <w:color w:val="auto"/>
              </w:rPr>
            </w:pPr>
            <w:r>
              <w:rPr>
                <w:rFonts w:ascii="Arial" w:cs="Arial" w:eastAsia="Arial" w:hAnsi="Arial"/>
                <w:sz w:val="16"/>
                <w:szCs w:val="16"/>
                <w:b w:val="1"/>
                <w:bCs w:val="1"/>
                <w:color w:val="243782"/>
              </w:rPr>
              <w:t>Non-current</w:t>
            </w:r>
          </w:p>
        </w:tc>
        <w:tc>
          <w:tcPr>
            <w:tcW w:w="260" w:type="dxa"/>
            <w:vAlign w:val="bottom"/>
            <w:tcBorders>
              <w:bottom w:val="single" w:sz="8" w:color="143A84"/>
            </w:tcBorders>
            <w:shd w:val="clear" w:color="auto" w:fill="E6E7F4"/>
          </w:tcPr>
          <w:p>
            <w:pPr>
              <w:spacing w:after="0"/>
              <w:rPr>
                <w:sz w:val="20"/>
                <w:szCs w:val="20"/>
                <w:color w:val="auto"/>
              </w:rPr>
            </w:pPr>
          </w:p>
        </w:tc>
        <w:tc>
          <w:tcPr>
            <w:tcW w:w="820" w:type="dxa"/>
            <w:vAlign w:val="bottom"/>
            <w:tcBorders>
              <w:bottom w:val="single" w:sz="8" w:color="143A84"/>
            </w:tcBorders>
            <w:shd w:val="clear" w:color="auto" w:fill="E6E7F4"/>
          </w:tcPr>
          <w:p>
            <w:pPr>
              <w:jc w:val="right"/>
              <w:ind w:right="259"/>
              <w:spacing w:after="0"/>
              <w:rPr>
                <w:sz w:val="20"/>
                <w:szCs w:val="20"/>
                <w:color w:val="auto"/>
              </w:rPr>
            </w:pPr>
            <w:r>
              <w:rPr>
                <w:rFonts w:ascii="Arial" w:cs="Arial" w:eastAsia="Arial" w:hAnsi="Arial"/>
                <w:sz w:val="16"/>
                <w:szCs w:val="16"/>
                <w:b w:val="1"/>
                <w:bCs w:val="1"/>
                <w:color w:val="243782"/>
              </w:rPr>
              <w:t>Total</w:t>
            </w:r>
          </w:p>
        </w:tc>
        <w:tc>
          <w:tcPr>
            <w:tcW w:w="1300" w:type="dxa"/>
            <w:vAlign w:val="bottom"/>
            <w:tcBorders>
              <w:bottom w:val="single" w:sz="8" w:color="143A84"/>
            </w:tcBorders>
          </w:tcPr>
          <w:p>
            <w:pPr>
              <w:jc w:val="right"/>
              <w:ind w:right="259"/>
              <w:spacing w:after="0"/>
              <w:rPr>
                <w:sz w:val="20"/>
                <w:szCs w:val="20"/>
                <w:color w:val="auto"/>
              </w:rPr>
            </w:pPr>
            <w:r>
              <w:rPr>
                <w:rFonts w:ascii="Arial" w:cs="Arial" w:eastAsia="Arial" w:hAnsi="Arial"/>
                <w:sz w:val="16"/>
                <w:szCs w:val="16"/>
                <w:b w:val="1"/>
                <w:bCs w:val="1"/>
                <w:color w:val="243782"/>
              </w:rPr>
              <w:t>Current</w:t>
            </w:r>
          </w:p>
        </w:tc>
        <w:tc>
          <w:tcPr>
            <w:tcW w:w="1580" w:type="dxa"/>
            <w:vAlign w:val="bottom"/>
            <w:tcBorders>
              <w:bottom w:val="single" w:sz="8" w:color="143A84"/>
            </w:tcBorders>
          </w:tcPr>
          <w:p>
            <w:pPr>
              <w:jc w:val="right"/>
              <w:ind w:right="419"/>
              <w:spacing w:after="0"/>
              <w:rPr>
                <w:sz w:val="20"/>
                <w:szCs w:val="20"/>
                <w:color w:val="auto"/>
              </w:rPr>
            </w:pPr>
            <w:r>
              <w:rPr>
                <w:rFonts w:ascii="Arial" w:cs="Arial" w:eastAsia="Arial" w:hAnsi="Arial"/>
                <w:sz w:val="16"/>
                <w:szCs w:val="16"/>
                <w:b w:val="1"/>
                <w:bCs w:val="1"/>
                <w:color w:val="243782"/>
              </w:rPr>
              <w:t>Non-current</w:t>
            </w:r>
          </w:p>
        </w:tc>
        <w:tc>
          <w:tcPr>
            <w:tcW w:w="860" w:type="dxa"/>
            <w:vAlign w:val="bottom"/>
            <w:tcBorders>
              <w:bottom w:val="single" w:sz="8" w:color="143A84"/>
            </w:tcBorders>
          </w:tcPr>
          <w:p>
            <w:pPr>
              <w:jc w:val="right"/>
              <w:ind w:right="279"/>
              <w:spacing w:after="0"/>
              <w:rPr>
                <w:sz w:val="20"/>
                <w:szCs w:val="20"/>
                <w:color w:val="auto"/>
              </w:rPr>
            </w:pPr>
            <w:r>
              <w:rPr>
                <w:rFonts w:ascii="Arial" w:cs="Arial" w:eastAsia="Arial" w:hAnsi="Arial"/>
                <w:sz w:val="16"/>
                <w:szCs w:val="16"/>
                <w:b w:val="1"/>
                <w:bCs w:val="1"/>
                <w:color w:val="243782"/>
              </w:rPr>
              <w:t>Total</w:t>
            </w:r>
          </w:p>
        </w:tc>
      </w:tr>
      <w:tr>
        <w:trPr>
          <w:trHeight w:val="247"/>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Notes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2,450</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24,686</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27,136</w:t>
            </w:r>
          </w:p>
        </w:tc>
        <w:tc>
          <w:tcPr>
            <w:tcW w:w="13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2,945</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20,256</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23,201</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Borrowings from banks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1,377</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739</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2,116</w:t>
            </w:r>
          </w:p>
        </w:tc>
        <w:tc>
          <w:tcPr>
            <w:tcW w:w="13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1,311</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649</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1,960</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Asset-backed financing</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9,222</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10,644</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19,866</w:t>
            </w:r>
          </w:p>
        </w:tc>
        <w:tc>
          <w:tcPr>
            <w:tcW w:w="13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7,247</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8,232</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15,479</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Lease liabilities</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906</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1,734</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2,640</w:t>
            </w:r>
          </w:p>
        </w:tc>
        <w:tc>
          <w:tcPr>
            <w:tcW w:w="13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818</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1,636</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2,454</w:t>
            </w:r>
          </w:p>
        </w:tc>
      </w:tr>
      <w:tr>
        <w:trPr>
          <w:trHeight w:val="250"/>
        </w:trPr>
        <w:tc>
          <w:tcPr>
            <w:tcW w:w="3860" w:type="dxa"/>
            <w:vAlign w:val="bottom"/>
            <w:tcBorders>
              <w:bottom w:val="single" w:sz="8" w:color="8E939F"/>
            </w:tcBorders>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2,266</w:t>
            </w:r>
          </w:p>
        </w:tc>
        <w:tc>
          <w:tcPr>
            <w:tcW w:w="146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1,975</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4,241</w:t>
            </w:r>
          </w:p>
        </w:tc>
        <w:tc>
          <w:tcPr>
            <w:tcW w:w="130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1,800</w:t>
            </w:r>
          </w:p>
        </w:tc>
        <w:tc>
          <w:tcPr>
            <w:tcW w:w="1580" w:type="dxa"/>
            <w:vAlign w:val="bottom"/>
            <w:tcBorders>
              <w:bottom w:val="single" w:sz="8" w:color="8E939F"/>
            </w:tcBorders>
          </w:tcPr>
          <w:p>
            <w:pPr>
              <w:jc w:val="right"/>
              <w:ind w:right="339"/>
              <w:spacing w:after="0"/>
              <w:rPr>
                <w:sz w:val="20"/>
                <w:szCs w:val="20"/>
                <w:color w:val="auto"/>
              </w:rPr>
            </w:pPr>
            <w:r>
              <w:rPr>
                <w:rFonts w:ascii="Arial" w:cs="Arial" w:eastAsia="Arial" w:hAnsi="Arial"/>
                <w:sz w:val="16"/>
                <w:szCs w:val="16"/>
                <w:color w:val="auto"/>
              </w:rPr>
              <w:t>1,053</w:t>
            </w:r>
          </w:p>
        </w:tc>
        <w:tc>
          <w:tcPr>
            <w:tcW w:w="8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2,853</w:t>
            </w:r>
          </w:p>
        </w:tc>
      </w:tr>
      <w:tr>
        <w:trPr>
          <w:trHeight w:val="253"/>
        </w:trPr>
        <w:tc>
          <w:tcPr>
            <w:tcW w:w="386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Debt</w:t>
            </w:r>
          </w:p>
        </w:tc>
        <w:tc>
          <w:tcPr>
            <w:tcW w:w="10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16,221</w:t>
            </w:r>
          </w:p>
        </w:tc>
        <w:tc>
          <w:tcPr>
            <w:tcW w:w="146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39,778</w:t>
            </w:r>
          </w:p>
        </w:tc>
        <w:tc>
          <w:tcPr>
            <w:tcW w:w="260" w:type="dxa"/>
            <w:vAlign w:val="bottom"/>
            <w:tcBorders>
              <w:bottom w:val="single" w:sz="8" w:color="8E939F"/>
            </w:tcBorders>
            <w:shd w:val="clear" w:color="auto" w:fill="E6E7F4"/>
          </w:tcPr>
          <w:p>
            <w:pPr>
              <w:spacing w:after="0"/>
              <w:rPr>
                <w:sz w:val="21"/>
                <w:szCs w:val="21"/>
                <w:color w:val="auto"/>
              </w:rPr>
            </w:pPr>
          </w:p>
        </w:tc>
        <w:tc>
          <w:tcPr>
            <w:tcW w:w="8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55,999</w:t>
            </w:r>
          </w:p>
        </w:tc>
        <w:tc>
          <w:tcPr>
            <w:tcW w:w="1300" w:type="dxa"/>
            <w:vAlign w:val="bottom"/>
            <w:tcBorders>
              <w:bottom w:val="single" w:sz="8" w:color="8E939F"/>
            </w:tcBorders>
            <w:shd w:val="clear" w:color="auto" w:fill="E6E7F4"/>
          </w:tcPr>
          <w:p>
            <w:pPr>
              <w:jc w:val="right"/>
              <w:ind w:right="79"/>
              <w:spacing w:after="0"/>
              <w:rPr>
                <w:sz w:val="20"/>
                <w:szCs w:val="20"/>
                <w:color w:val="auto"/>
              </w:rPr>
            </w:pPr>
            <w:r>
              <w:rPr>
                <w:rFonts w:ascii="Arial" w:cs="Arial" w:eastAsia="Arial" w:hAnsi="Arial"/>
                <w:sz w:val="16"/>
                <w:szCs w:val="16"/>
                <w:b w:val="1"/>
                <w:bCs w:val="1"/>
                <w:color w:val="243782"/>
              </w:rPr>
              <w:t>14,121</w:t>
            </w:r>
          </w:p>
        </w:tc>
        <w:tc>
          <w:tcPr>
            <w:tcW w:w="1580" w:type="dxa"/>
            <w:vAlign w:val="bottom"/>
            <w:tcBorders>
              <w:bottom w:val="single" w:sz="8" w:color="8E939F"/>
            </w:tcBorders>
            <w:shd w:val="clear" w:color="auto" w:fill="E6E7F4"/>
          </w:tcPr>
          <w:p>
            <w:pPr>
              <w:jc w:val="right"/>
              <w:ind w:right="339"/>
              <w:spacing w:after="0"/>
              <w:rPr>
                <w:sz w:val="20"/>
                <w:szCs w:val="20"/>
                <w:color w:val="auto"/>
              </w:rPr>
            </w:pPr>
            <w:r>
              <w:rPr>
                <w:rFonts w:ascii="Arial" w:cs="Arial" w:eastAsia="Arial" w:hAnsi="Arial"/>
                <w:sz w:val="16"/>
                <w:szCs w:val="16"/>
                <w:b w:val="1"/>
                <w:bCs w:val="1"/>
                <w:color w:val="243782"/>
              </w:rPr>
              <w:t>31,826</w:t>
            </w:r>
          </w:p>
        </w:tc>
        <w:tc>
          <w:tcPr>
            <w:tcW w:w="8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45,947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Notes issued and repaid</w:t>
      </w:r>
    </w:p>
    <w:p>
      <w:pPr>
        <w:spacing w:after="0" w:line="252" w:lineRule="exact"/>
        <w:rPr>
          <w:sz w:val="20"/>
          <w:szCs w:val="20"/>
          <w:color w:val="auto"/>
        </w:rPr>
      </w:pPr>
    </w:p>
    <w:p>
      <w:pPr>
        <w:jc w:val="both"/>
        <w:ind w:right="80"/>
        <w:spacing w:after="0" w:line="334" w:lineRule="auto"/>
        <w:rPr>
          <w:sz w:val="20"/>
          <w:szCs w:val="20"/>
          <w:color w:val="auto"/>
        </w:rPr>
      </w:pPr>
      <w:r>
        <w:rPr>
          <w:rFonts w:ascii="Arial" w:cs="Arial" w:eastAsia="Arial" w:hAnsi="Arial"/>
          <w:sz w:val="18"/>
          <w:szCs w:val="18"/>
          <w:color w:val="auto"/>
        </w:rPr>
        <w:t>In January and May 2026, respectively, the Company repaid at maturity, a €1,250 million note issued by FCA N.V. and a €1,000 million note issued by Peugeot S.A. each originally issued in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June 2026, SFS U.S. issued two bonds:</w:t>
      </w:r>
    </w:p>
    <w:p>
      <w:pPr>
        <w:spacing w:after="0" w:line="266"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18"/>
          <w:szCs w:val="18"/>
          <w:color w:val="143A84"/>
        </w:rPr>
      </w:pPr>
      <w:r>
        <w:rPr>
          <w:rFonts w:ascii="Arial" w:cs="Arial" w:eastAsia="Arial" w:hAnsi="Arial"/>
          <w:sz w:val="18"/>
          <w:szCs w:val="18"/>
          <w:color w:val="auto"/>
        </w:rPr>
        <w:t>a USD bond with principal amount of $1,500 million with an interest rate of 5.4 percent which matures in June 2029; and</w:t>
      </w:r>
    </w:p>
    <w:p>
      <w:pPr>
        <w:spacing w:after="0" w:line="171" w:lineRule="exact"/>
        <w:rPr>
          <w:rFonts w:ascii="Arial" w:cs="Arial" w:eastAsia="Arial" w:hAnsi="Arial"/>
          <w:sz w:val="18"/>
          <w:szCs w:val="18"/>
          <w:color w:val="143A84"/>
        </w:rPr>
      </w:pPr>
    </w:p>
    <w:p>
      <w:pPr>
        <w:ind w:left="120" w:hanging="112"/>
        <w:spacing w:after="0"/>
        <w:tabs>
          <w:tab w:leader="none" w:pos="120" w:val="left"/>
        </w:tabs>
        <w:numPr>
          <w:ilvl w:val="0"/>
          <w:numId w:val="60"/>
        </w:numPr>
        <w:rPr>
          <w:rFonts w:ascii="Arial" w:cs="Arial" w:eastAsia="Arial" w:hAnsi="Arial"/>
          <w:sz w:val="18"/>
          <w:szCs w:val="18"/>
          <w:color w:val="143A84"/>
        </w:rPr>
      </w:pPr>
      <w:r>
        <w:rPr>
          <w:rFonts w:ascii="Arial" w:cs="Arial" w:eastAsia="Arial" w:hAnsi="Arial"/>
          <w:sz w:val="18"/>
          <w:szCs w:val="18"/>
          <w:color w:val="auto"/>
        </w:rPr>
        <w:t>a USD bond with principal amount of $1,000 million with an interest rate of 5.8 percent which matures in June 2031.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June 2026, the Company issued two bonds under its Euro Medium Term Notes Programme (“EMTN”):</w:t>
      </w:r>
    </w:p>
    <w:p>
      <w:pPr>
        <w:spacing w:after="0" w:line="306"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18"/>
          <w:szCs w:val="18"/>
          <w:color w:val="143A84"/>
        </w:rPr>
      </w:pPr>
      <w:r>
        <w:rPr>
          <w:rFonts w:ascii="Arial" w:cs="Arial" w:eastAsia="Arial" w:hAnsi="Arial"/>
          <w:sz w:val="18"/>
          <w:szCs w:val="18"/>
          <w:color w:val="auto"/>
        </w:rPr>
        <w:t>a EUR bond with principal amount of €750 million with an interest rate of 4.5 percent which matures in January 2033; and</w:t>
      </w:r>
    </w:p>
    <w:p>
      <w:pPr>
        <w:spacing w:after="0" w:line="157" w:lineRule="exact"/>
        <w:rPr>
          <w:rFonts w:ascii="Arial" w:cs="Arial" w:eastAsia="Arial" w:hAnsi="Arial"/>
          <w:sz w:val="18"/>
          <w:szCs w:val="18"/>
          <w:color w:val="143A84"/>
        </w:rPr>
      </w:pPr>
    </w:p>
    <w:p>
      <w:pPr>
        <w:ind w:left="120" w:hanging="112"/>
        <w:spacing w:after="0"/>
        <w:tabs>
          <w:tab w:leader="none" w:pos="120" w:val="left"/>
        </w:tabs>
        <w:numPr>
          <w:ilvl w:val="0"/>
          <w:numId w:val="61"/>
        </w:numPr>
        <w:rPr>
          <w:rFonts w:ascii="Arial" w:cs="Arial" w:eastAsia="Arial" w:hAnsi="Arial"/>
          <w:sz w:val="18"/>
          <w:szCs w:val="18"/>
          <w:color w:val="143A84"/>
        </w:rPr>
      </w:pPr>
      <w:r>
        <w:rPr>
          <w:rFonts w:ascii="Arial" w:cs="Arial" w:eastAsia="Arial" w:hAnsi="Arial"/>
          <w:sz w:val="18"/>
          <w:szCs w:val="18"/>
          <w:color w:val="auto"/>
        </w:rPr>
        <w:t>a EUR bond with principal amount of €500 million with an interest rate of 5.1 percent which matures in January 2037.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2026, Stellantis Finance U.S. Inc. issued two bonds unconditionally guaranteed by Stellantis N.V.:</w:t>
      </w:r>
    </w:p>
    <w:p>
      <w:pPr>
        <w:spacing w:after="0" w:line="266"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18"/>
          <w:szCs w:val="18"/>
          <w:color w:val="143A84"/>
        </w:rPr>
      </w:pPr>
      <w:r>
        <w:rPr>
          <w:rFonts w:ascii="Arial" w:cs="Arial" w:eastAsia="Arial" w:hAnsi="Arial"/>
          <w:sz w:val="18"/>
          <w:szCs w:val="18"/>
          <w:color w:val="auto"/>
        </w:rPr>
        <w:t>a USD bond with principal amount of $1,250 million with an interest rate of 6.8 percent which matures in September 2031; and</w:t>
      </w:r>
    </w:p>
    <w:p>
      <w:pPr>
        <w:spacing w:after="0" w:line="265" w:lineRule="exact"/>
        <w:rPr>
          <w:rFonts w:ascii="Arial" w:cs="Arial" w:eastAsia="Arial" w:hAnsi="Arial"/>
          <w:sz w:val="18"/>
          <w:szCs w:val="18"/>
          <w:color w:val="143A84"/>
        </w:rPr>
      </w:pPr>
    </w:p>
    <w:p>
      <w:pPr>
        <w:ind w:left="120" w:hanging="112"/>
        <w:spacing w:after="0"/>
        <w:tabs>
          <w:tab w:leader="none" w:pos="120" w:val="left"/>
        </w:tabs>
        <w:numPr>
          <w:ilvl w:val="0"/>
          <w:numId w:val="62"/>
        </w:numPr>
        <w:rPr>
          <w:rFonts w:ascii="Arial" w:cs="Arial" w:eastAsia="Arial" w:hAnsi="Arial"/>
          <w:sz w:val="18"/>
          <w:szCs w:val="18"/>
          <w:color w:val="143A84"/>
        </w:rPr>
      </w:pPr>
      <w:r>
        <w:rPr>
          <w:rFonts w:ascii="Arial" w:cs="Arial" w:eastAsia="Arial" w:hAnsi="Arial"/>
          <w:sz w:val="18"/>
          <w:szCs w:val="18"/>
          <w:color w:val="auto"/>
        </w:rPr>
        <w:t>a USD bond with principal amount of $1,250 million with an interest rate of 7.4 percent which matures in September 2036.</w:t>
      </w:r>
    </w:p>
    <w:p>
      <w:pPr>
        <w:spacing w:after="0" w:line="266"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In September 2026, SFS U.S. issued a USD bond with principal amount of $1,000 million with an interest rate of 6.40 percent which matures in September 2029.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Undrawn committed credit lines</w:t>
      </w:r>
    </w:p>
    <w:p>
      <w:pPr>
        <w:spacing w:after="0" w:line="252" w:lineRule="exact"/>
        <w:rPr>
          <w:sz w:val="20"/>
          <w:szCs w:val="20"/>
          <w:color w:val="auto"/>
        </w:rPr>
      </w:pPr>
    </w:p>
    <w:p>
      <w:pPr>
        <w:ind w:right="320"/>
        <w:spacing w:after="0" w:line="334" w:lineRule="auto"/>
        <w:rPr>
          <w:sz w:val="20"/>
          <w:szCs w:val="20"/>
          <w:color w:val="auto"/>
        </w:rPr>
      </w:pPr>
      <w:r>
        <w:rPr>
          <w:rFonts w:ascii="Arial" w:cs="Arial" w:eastAsia="Arial" w:hAnsi="Arial"/>
          <w:sz w:val="18"/>
          <w:szCs w:val="18"/>
          <w:color w:val="auto"/>
        </w:rPr>
        <w:t>Stellantis N.V. has a syndicated revolving credit facility of €12.0 billion, structured in two tranches. The amount utilized under these credit lines was nil on September 30, 2026.</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80"/>
          </w:cols>
          <w:pgMar w:left="320" w:top="1440" w:right="39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40"/>
        <w:spacing w:after="0" w:line="309" w:lineRule="auto"/>
        <w:rPr>
          <w:sz w:val="20"/>
          <w:szCs w:val="20"/>
          <w:color w:val="auto"/>
        </w:rPr>
      </w:pPr>
      <w:r>
        <w:rPr>
          <w:rFonts w:ascii="Arial" w:cs="Arial" w:eastAsia="Arial" w:hAnsi="Arial"/>
          <w:sz w:val="18"/>
          <w:szCs w:val="18"/>
          <w:color w:val="auto"/>
        </w:rPr>
        <w:t>In December 2025, SFS U.S. established a privately placed Commercial Paper (“CP”) program available up to a maximum of €1.9 billion ($2.2 billion). No CP was issued under the program in December 2025. Issuances under the CP program commenced in March 2026. At September 30, 2026, €0.4 billion ($0.5 billion) notes were outstanding under the CP program. These amounts are reported within the line item Other debt.</w:t>
      </w:r>
    </w:p>
    <w:p>
      <w:pPr>
        <w:spacing w:after="0" w:line="176" w:lineRule="exact"/>
        <w:rPr>
          <w:sz w:val="20"/>
          <w:szCs w:val="20"/>
          <w:color w:val="auto"/>
        </w:rPr>
      </w:pPr>
    </w:p>
    <w:p>
      <w:pPr>
        <w:ind w:right="40"/>
        <w:spacing w:after="0" w:line="310" w:lineRule="auto"/>
        <w:rPr>
          <w:sz w:val="20"/>
          <w:szCs w:val="20"/>
          <w:color w:val="auto"/>
        </w:rPr>
      </w:pPr>
      <w:r>
        <w:rPr>
          <w:rFonts w:ascii="Arial" w:cs="Arial" w:eastAsia="Arial" w:hAnsi="Arial"/>
          <w:sz w:val="18"/>
          <w:szCs w:val="18"/>
          <w:color w:val="auto"/>
        </w:rPr>
        <w:t>In connection with the establishment of the CP program, the €0.9 billion ($1 billion) committed USD credit facility originally signed by SFS U.S. in March 2024 was amended and refinanced (the "SFS RCF"). The amended SFS RCF is structured in two tranches: €1.1 billion ($1.3 billion), with a 364-day tenor, and €0.9 billion ($1 billion), with a three-year tenor, with each tranche benefiting from two further extension options, each of one year exercisable on the first and second anniversary of the amendment signing date. At September 30, 2026, the amount available under the amended SFS RCF, net of €0.4 billion of CP outstanding, was €1.5 billion ($1.7 billion).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Borrowings from banks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borrowings from banks is mainly due to issuance of new debt mainly in financial services companies.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Asset-backed financing</w:t>
      </w:r>
    </w:p>
    <w:p>
      <w:pPr>
        <w:spacing w:after="0" w:line="252" w:lineRule="exact"/>
        <w:rPr>
          <w:sz w:val="20"/>
          <w:szCs w:val="20"/>
          <w:color w:val="auto"/>
        </w:rPr>
      </w:pPr>
    </w:p>
    <w:p>
      <w:pPr>
        <w:ind w:right="220"/>
        <w:spacing w:after="0" w:line="309" w:lineRule="auto"/>
        <w:rPr>
          <w:sz w:val="20"/>
          <w:szCs w:val="20"/>
          <w:color w:val="auto"/>
        </w:rPr>
      </w:pPr>
      <w:r>
        <w:rPr>
          <w:rFonts w:ascii="Arial" w:cs="Arial" w:eastAsia="Arial" w:hAnsi="Arial"/>
          <w:sz w:val="18"/>
          <w:szCs w:val="18"/>
          <w:color w:val="auto"/>
        </w:rPr>
        <w:t>Asset-backed financing primarily represented financing received by SFS U.S. through USD denominated securitization programs and amounted to €18,807 million at September 30, 2026, (€14,759 million at December 31, 2025) that will be settled through the collection of a portfolio of receivables which originate from consumers and dealers. The increase in asset-backed financing at September 30, 2026 was primarily due to securitizations made to fund the increase in the SFS U.S. portfolio.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43A84"/>
        </w:rPr>
        <w:t>Warehouse credit facilities</w:t>
      </w:r>
    </w:p>
    <w:p>
      <w:pPr>
        <w:spacing w:after="0" w:line="252"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There are three revolving warehouse credit facilities used to finance loan originations by SFS U.S, with updates to two of the credit facilities during 2026.</w:t>
      </w:r>
    </w:p>
    <w:p>
      <w:pPr>
        <w:spacing w:after="0" w:line="153"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In January 2026, SFS U.S.’s revolving credit floorplan facility (Stellantis Financial Floorplan Master Auto Owner Trust 2024-1) capacity was increased from €1.1 billion ($1.3 billion) to €1.8 billion ($2.0 billion) with the addition of 3 new lenders. Draw downs from the facility will bear an interest rate based on the lender’s asset-backed commercial paper cost of funds or Secured Overnight Financing Rate (“SOFR”), plus a spread. Borrowings are used to support the Company’s commercial floorplan lending business with floor plan receivables providing collateral. At September 30, 2026, €1.0 billion ($1.1 billion) was outstanding under this facility.</w:t>
      </w:r>
    </w:p>
    <w:p>
      <w:pPr>
        <w:spacing w:after="0" w:line="179" w:lineRule="exact"/>
        <w:rPr>
          <w:sz w:val="20"/>
          <w:szCs w:val="20"/>
          <w:color w:val="auto"/>
        </w:rPr>
      </w:pPr>
    </w:p>
    <w:p>
      <w:pPr>
        <w:ind w:right="320"/>
        <w:spacing w:after="0" w:line="314" w:lineRule="auto"/>
        <w:rPr>
          <w:sz w:val="20"/>
          <w:szCs w:val="20"/>
          <w:color w:val="auto"/>
        </w:rPr>
      </w:pPr>
      <w:r>
        <w:rPr>
          <w:rFonts w:ascii="Arial" w:cs="Arial" w:eastAsia="Arial" w:hAnsi="Arial"/>
          <w:sz w:val="18"/>
          <w:szCs w:val="18"/>
          <w:color w:val="auto"/>
        </w:rPr>
        <w:t>In July 2026, SFS Funding, LLC, our primary syndicated, secured warehouse facility size increased from €7.0 billion ($8.0 billion) to €10.6 billion ($12.0 billion). In connection with this upsizing, the number of participating banks increased from 12 to 16. There were no material changes to the transaction documents and the Scheduled Termination Date of the warehouse credit facility was extended to July 2028. The facility bears interest based on the lender’s asset-backed commercial paper cost of funds or SOFR plus a spread.</w:t>
      </w:r>
    </w:p>
    <w:p>
      <w:pPr>
        <w:spacing w:after="0" w:line="172"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auto"/>
        </w:rPr>
        <w:t>SFS U.S. uses interest rate derivatives in order to reduce the interest rate risk of certain warehouse credit facilities where the underlying receivables carry fixed rates of interest and borrowings are based on the floating rate SOFR and CP indices.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color w:val="auto"/>
        </w:rPr>
        <w:t>The Company believes that the credit facilities will continue to be renewed or replaced, and that it will be able to secure additional sources of financing on satisfactory terms; however, there can be no assurance that it will be able to do so. In the event that the Company is unable to renew its facilities, the receivables pledged of €9.1 billion ($10.3 billion) at September 30, 2026 would amortize over time to pay down the warehouse credit facilities; however, the Company would not be able to finance new receivables without alternative sources of funding. These amounts are reported within the line item Asset-backed financing within Debt.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143A84"/>
        </w:rPr>
        <w:t>ABS USD Term Notes</w:t>
      </w:r>
    </w:p>
    <w:p>
      <w:pPr>
        <w:spacing w:after="0" w:line="252" w:lineRule="exact"/>
        <w:rPr>
          <w:sz w:val="20"/>
          <w:szCs w:val="20"/>
          <w:color w:val="auto"/>
        </w:rPr>
      </w:pPr>
    </w:p>
    <w:p>
      <w:pPr>
        <w:ind w:right="180"/>
        <w:spacing w:after="0" w:line="315" w:lineRule="auto"/>
        <w:rPr>
          <w:sz w:val="20"/>
          <w:szCs w:val="20"/>
          <w:color w:val="auto"/>
        </w:rPr>
      </w:pPr>
      <w:r>
        <w:rPr>
          <w:rFonts w:ascii="Arial" w:cs="Arial" w:eastAsia="Arial" w:hAnsi="Arial"/>
          <w:sz w:val="18"/>
          <w:szCs w:val="18"/>
          <w:color w:val="auto"/>
        </w:rPr>
        <w:t>ABS USD Term Notes are issued in the U.S. by SFS U.S. for various classes ranging from Class A to Class E Notes. These notes are sequentially paid with Class A Notes paid first. The range of interest rates depends on the level of risk of loss and is determined by investor interest in each class of the notes. These amounts are reported within the line item Asset-backed financing within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January 2026, SFS U.S., through SFS Auto Receivables Securitization Trust 2026-1, issued six classes of ABS Term Notes totaling</w:t>
      </w:r>
    </w:p>
    <w:p>
      <w:pPr>
        <w:spacing w:after="0" w:line="50"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€1.3 billion ($1.5 billion) in aggregate. One class of notes bears interest at fixed and floating rates, with the remainder bearing interest rates at fixed rates. The ABS Term Notes are secured by a pool of prime retail loans.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 April 2026, SFS U.S., through First Investors Auto Owner Trust 2026-1, issued six classes of ABS Term Notes totaling €440 million</w:t>
      </w:r>
    </w:p>
    <w:p>
      <w:pPr>
        <w:spacing w:after="0" w:line="50"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($500 million) in aggregate. The notes issued in each class bear a fixed rate. The ABS Term Notes are secured by a pool of near prime retail loans.</w:t>
      </w:r>
    </w:p>
    <w:p>
      <w:pPr>
        <w:spacing w:after="0" w:line="153" w:lineRule="exact"/>
        <w:rPr>
          <w:sz w:val="20"/>
          <w:szCs w:val="20"/>
          <w:color w:val="auto"/>
        </w:rPr>
      </w:pPr>
    </w:p>
    <w:p>
      <w:pPr>
        <w:ind w:right="460"/>
        <w:spacing w:after="0" w:line="315" w:lineRule="auto"/>
        <w:rPr>
          <w:sz w:val="20"/>
          <w:szCs w:val="20"/>
          <w:color w:val="auto"/>
        </w:rPr>
      </w:pPr>
      <w:r>
        <w:rPr>
          <w:rFonts w:ascii="Arial" w:cs="Arial" w:eastAsia="Arial" w:hAnsi="Arial"/>
          <w:sz w:val="18"/>
          <w:szCs w:val="18"/>
          <w:color w:val="auto"/>
        </w:rPr>
        <w:t>In May 2026, SFS U.S., through Stellantis Financial Underwritten Enhanced Lease Trust 2026-A, issued six classes of ABS Term Notes totaling €1.6 billion ($1.8 billion) in aggregate. One class of notes bears interest at fixed and floating rates, with the remainder bearing interest at fixed rates. The ABS Term Notes are secured by a pool of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June 2026, SFS U.S., through SFS Auto Receivables Securitization Trust 2026-2, issued six classes of ABS Term Notes totaling</w:t>
      </w:r>
    </w:p>
    <w:p>
      <w:pPr>
        <w:spacing w:after="0" w:line="50" w:lineRule="exact"/>
        <w:rPr>
          <w:sz w:val="20"/>
          <w:szCs w:val="20"/>
          <w:color w:val="auto"/>
        </w:rPr>
      </w:pPr>
    </w:p>
    <w:p>
      <w:pPr>
        <w:ind w:right="440"/>
        <w:spacing w:after="0" w:line="334" w:lineRule="auto"/>
        <w:rPr>
          <w:sz w:val="20"/>
          <w:szCs w:val="20"/>
          <w:color w:val="auto"/>
        </w:rPr>
      </w:pPr>
      <w:r>
        <w:rPr>
          <w:rFonts w:ascii="Arial" w:cs="Arial" w:eastAsia="Arial" w:hAnsi="Arial"/>
          <w:sz w:val="18"/>
          <w:szCs w:val="18"/>
          <w:color w:val="auto"/>
        </w:rPr>
        <w:t>€1.1 billion ($1.3 billion) in aggregate. One class of notes bears interest at fixed and floating rates, with the remainder bearing interest at fixed rates. The ABS Term Notes are secured by a pool of prime retail loans.</w:t>
      </w:r>
    </w:p>
    <w:p>
      <w:pPr>
        <w:spacing w:after="0" w:line="153" w:lineRule="exact"/>
        <w:rPr>
          <w:sz w:val="20"/>
          <w:szCs w:val="20"/>
          <w:color w:val="auto"/>
        </w:rPr>
      </w:pPr>
    </w:p>
    <w:p>
      <w:pPr>
        <w:spacing w:after="0" w:line="315" w:lineRule="auto"/>
        <w:rPr>
          <w:sz w:val="20"/>
          <w:szCs w:val="20"/>
          <w:color w:val="auto"/>
        </w:rPr>
      </w:pPr>
      <w:r>
        <w:rPr>
          <w:rFonts w:ascii="Arial" w:cs="Arial" w:eastAsia="Arial" w:hAnsi="Arial"/>
          <w:sz w:val="18"/>
          <w:szCs w:val="18"/>
          <w:color w:val="auto"/>
        </w:rPr>
        <w:t>In July 2026, SFS U.S., through Stellantis Financial Underwritten Enhanced Lease Trust 2026-B, issued six classes of ABS Term Notes totaling €0.9 billion ($1.0 billion) in aggregate. One class of notes bears interest at fixed and floating rates, with the remainder bearing interest at fixed rates. The ABS Term Notes are secured by a pool of leases.</w:t>
      </w:r>
    </w:p>
    <w:p>
      <w:pPr>
        <w:spacing w:after="0" w:line="170"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In August 2026, SFS U.S., through Stellantis Financial Floorplan Master Auto Owner Trust, Series 2026-1, issued three classes of ABS Term Notes totaling €661 million ($750 million) in aggregate. The notes issued in each class bear a fixed rate. The ABS Term Notes are secured by a revolving pool of floorplan receivables.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143A84"/>
        </w:rPr>
        <w:t>ABS USD Term Loans</w:t>
      </w:r>
    </w:p>
    <w:p>
      <w:pPr>
        <w:spacing w:after="0" w:line="252" w:lineRule="exact"/>
        <w:rPr>
          <w:sz w:val="20"/>
          <w:szCs w:val="20"/>
          <w:color w:val="auto"/>
        </w:rPr>
      </w:pPr>
    </w:p>
    <w:p>
      <w:pPr>
        <w:ind w:right="160"/>
        <w:spacing w:after="0" w:line="306" w:lineRule="auto"/>
        <w:rPr>
          <w:sz w:val="20"/>
          <w:szCs w:val="20"/>
          <w:color w:val="auto"/>
        </w:rPr>
      </w:pPr>
      <w:r>
        <w:rPr>
          <w:rFonts w:ascii="Arial" w:cs="Arial" w:eastAsia="Arial" w:hAnsi="Arial"/>
          <w:sz w:val="18"/>
          <w:szCs w:val="18"/>
          <w:color w:val="auto"/>
        </w:rPr>
        <w:t>ABS USD Term Loans are bilateral agreements provided by various banks which advance term loan proceeds secured by a pool of either retail loan receivables or consumer leases. Two asset-backed term loans outstanding at September 30, 2026, with an aggregate balance of $0.8 billion (€0.7 billion) are secured by retail loan receivables with an aggregate balance of $1.2 billion (€1.1 billion). The remaining asset-backed term loan facility with a balance of $0.5 billion (€0.4 billion) at September 30, 2026, is secured by $0.8 billion (€0.7 billion) in consumer lease receivables. These amounts are reported within the line item Asset-backed financing within Debt.</w:t>
      </w:r>
    </w:p>
    <w:p>
      <w:pPr>
        <w:spacing w:after="0" w:line="179"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color w:val="auto"/>
        </w:rPr>
        <w:t>The terms governing the warehouse credit facilities and ABS Term Loans contain numerous covenants relating to the issuer’s business, the observance of certain financial covenants, the avoidance of certain levels of delinquency and credit loss experience and other matters. A breach of a covenant, if not cured within the time limits specified, could precipitate events of default that might result in the acceleration of the ABS Term Loan or warehouse credit facilities. The ABS Term Notes generally do not contain financial covenants or covenants related to delinquency experience or credit losses. SFS U.S. was not in default with respect to any financial and non-financial covenants governing these financing arrangements at September 30,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15. Other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19"/>
                <w:szCs w:val="19"/>
                <w:color w:val="auto"/>
              </w:rPr>
            </w:pPr>
          </w:p>
        </w:tc>
        <w:tc>
          <w:tcPr>
            <w:tcW w:w="2880" w:type="dxa"/>
            <w:vAlign w:val="bottom"/>
            <w:tcBorders>
              <w:bottom w:val="single" w:sz="8" w:color="8E939F"/>
            </w:tcBorders>
            <w:gridSpan w:val="3"/>
          </w:tcPr>
          <w:p>
            <w:pPr>
              <w:ind w:left="1020"/>
              <w:spacing w:after="0"/>
              <w:rPr>
                <w:sz w:val="20"/>
                <w:szCs w:val="20"/>
                <w:color w:val="auto"/>
              </w:rPr>
            </w:pPr>
            <w:r>
              <w:rPr>
                <w:rFonts w:ascii="Arial" w:cs="Arial" w:eastAsia="Arial" w:hAnsi="Arial"/>
                <w:sz w:val="16"/>
                <w:szCs w:val="16"/>
                <w:b w:val="1"/>
                <w:bCs w:val="1"/>
                <w:color w:val="243782"/>
              </w:rPr>
              <w:t>At September 30, 2026</w:t>
            </w:r>
          </w:p>
        </w:tc>
        <w:tc>
          <w:tcPr>
            <w:tcW w:w="900" w:type="dxa"/>
            <w:vAlign w:val="bottom"/>
            <w:tcBorders>
              <w:bottom w:val="single" w:sz="8" w:color="8E939F"/>
            </w:tcBorders>
          </w:tcPr>
          <w:p>
            <w:pPr>
              <w:spacing w:after="0"/>
              <w:rPr>
                <w:sz w:val="19"/>
                <w:szCs w:val="19"/>
                <w:color w:val="auto"/>
              </w:rPr>
            </w:pPr>
          </w:p>
        </w:tc>
        <w:tc>
          <w:tcPr>
            <w:tcW w:w="3000" w:type="dxa"/>
            <w:vAlign w:val="bottom"/>
            <w:tcBorders>
              <w:bottom w:val="single" w:sz="8" w:color="8E939F"/>
            </w:tcBorders>
            <w:gridSpan w:val="2"/>
          </w:tcPr>
          <w:p>
            <w:pPr>
              <w:jc w:val="right"/>
              <w:ind w:right="80"/>
              <w:spacing w:after="0"/>
              <w:rPr>
                <w:sz w:val="20"/>
                <w:szCs w:val="20"/>
                <w:color w:val="auto"/>
              </w:rPr>
            </w:pPr>
            <w:r>
              <w:rPr>
                <w:rFonts w:ascii="Arial" w:cs="Arial" w:eastAsia="Arial" w:hAnsi="Arial"/>
                <w:sz w:val="16"/>
                <w:szCs w:val="16"/>
                <w:b w:val="1"/>
                <w:bCs w:val="1"/>
                <w:color w:val="243782"/>
              </w:rPr>
              <w:t>At December 31, 2025</w:t>
            </w:r>
          </w:p>
        </w:tc>
        <w:tc>
          <w:tcPr>
            <w:tcW w:w="920" w:type="dxa"/>
            <w:vAlign w:val="bottom"/>
            <w:tcBorders>
              <w:bottom w:val="single" w:sz="8" w:color="8E939F"/>
            </w:tcBorders>
          </w:tcPr>
          <w:p>
            <w:pPr>
              <w:spacing w:after="0"/>
              <w:rPr>
                <w:sz w:val="19"/>
                <w:szCs w:val="19"/>
                <w:color w:val="auto"/>
              </w:rPr>
            </w:pPr>
          </w:p>
        </w:tc>
      </w:tr>
      <w:tr>
        <w:trPr>
          <w:trHeight w:val="208"/>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160" w:type="dxa"/>
            <w:vAlign w:val="bottom"/>
            <w:shd w:val="clear" w:color="auto" w:fill="F3F3F9"/>
          </w:tcPr>
          <w:p>
            <w:pPr>
              <w:spacing w:after="0"/>
              <w:rPr>
                <w:sz w:val="18"/>
                <w:szCs w:val="18"/>
                <w:color w:val="auto"/>
              </w:rPr>
            </w:pPr>
          </w:p>
        </w:tc>
        <w:tc>
          <w:tcPr>
            <w:tcW w:w="1420" w:type="dxa"/>
            <w:vAlign w:val="bottom"/>
            <w:shd w:val="clear" w:color="auto" w:fill="F3F3F9"/>
          </w:tcPr>
          <w:p>
            <w:pPr>
              <w:spacing w:after="0"/>
              <w:rPr>
                <w:sz w:val="18"/>
                <w:szCs w:val="18"/>
                <w:color w:val="auto"/>
              </w:rPr>
            </w:pPr>
          </w:p>
        </w:tc>
        <w:tc>
          <w:tcPr>
            <w:tcW w:w="300" w:type="dxa"/>
            <w:vAlign w:val="bottom"/>
            <w:shd w:val="clear" w:color="auto" w:fill="E6E7F4"/>
          </w:tcPr>
          <w:p>
            <w:pPr>
              <w:spacing w:after="0"/>
              <w:rPr>
                <w:sz w:val="18"/>
                <w:szCs w:val="18"/>
                <w:color w:val="auto"/>
              </w:rPr>
            </w:pPr>
          </w:p>
        </w:tc>
        <w:tc>
          <w:tcPr>
            <w:tcW w:w="900" w:type="dxa"/>
            <w:vAlign w:val="bottom"/>
            <w:shd w:val="clear" w:color="auto" w:fill="E6E7F4"/>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3540" w:type="dxa"/>
            <w:vAlign w:val="bottom"/>
            <w:tcBorders>
              <w:bottom w:val="single" w:sz="8" w:color="143A84"/>
            </w:tcBorders>
          </w:tcPr>
          <w:p>
            <w:pPr>
              <w:spacing w:after="0"/>
              <w:rPr>
                <w:sz w:val="20"/>
                <w:szCs w:val="20"/>
                <w:color w:val="auto"/>
              </w:rPr>
            </w:pPr>
          </w:p>
        </w:tc>
        <w:tc>
          <w:tcPr>
            <w:tcW w:w="1160" w:type="dxa"/>
            <w:vAlign w:val="bottom"/>
            <w:tcBorders>
              <w:bottom w:val="single" w:sz="8" w:color="143A84"/>
            </w:tcBorders>
            <w:shd w:val="clear" w:color="auto" w:fill="F3F3F9"/>
          </w:tcPr>
          <w:p>
            <w:pPr>
              <w:jc w:val="right"/>
              <w:ind w:right="240"/>
              <w:spacing w:after="0"/>
              <w:rPr>
                <w:sz w:val="20"/>
                <w:szCs w:val="20"/>
                <w:color w:val="auto"/>
              </w:rPr>
            </w:pPr>
            <w:r>
              <w:rPr>
                <w:rFonts w:ascii="Arial" w:cs="Arial" w:eastAsia="Arial" w:hAnsi="Arial"/>
                <w:sz w:val="14"/>
                <w:szCs w:val="14"/>
                <w:b w:val="1"/>
                <w:bCs w:val="1"/>
                <w:color w:val="243782"/>
              </w:rPr>
              <w:t>Current</w:t>
            </w:r>
          </w:p>
        </w:tc>
        <w:tc>
          <w:tcPr>
            <w:tcW w:w="1420" w:type="dxa"/>
            <w:vAlign w:val="bottom"/>
            <w:tcBorders>
              <w:bottom w:val="single" w:sz="8" w:color="143A84"/>
            </w:tcBorders>
            <w:shd w:val="clear" w:color="auto" w:fill="F3F3F9"/>
          </w:tcPr>
          <w:p>
            <w:pPr>
              <w:jc w:val="right"/>
              <w:ind w:right="200"/>
              <w:spacing w:after="0"/>
              <w:rPr>
                <w:sz w:val="20"/>
                <w:szCs w:val="20"/>
                <w:color w:val="auto"/>
              </w:rPr>
            </w:pPr>
            <w:r>
              <w:rPr>
                <w:rFonts w:ascii="Arial" w:cs="Arial" w:eastAsia="Arial" w:hAnsi="Arial"/>
                <w:sz w:val="14"/>
                <w:szCs w:val="14"/>
                <w:b w:val="1"/>
                <w:bCs w:val="1"/>
                <w:color w:val="243782"/>
              </w:rPr>
              <w:t>Non-current</w:t>
            </w:r>
          </w:p>
        </w:tc>
        <w:tc>
          <w:tcPr>
            <w:tcW w:w="300" w:type="dxa"/>
            <w:vAlign w:val="bottom"/>
            <w:tcBorders>
              <w:bottom w:val="single" w:sz="8" w:color="143A84"/>
            </w:tcBorders>
            <w:shd w:val="clear" w:color="auto" w:fill="E6E7F4"/>
          </w:tcPr>
          <w:p>
            <w:pPr>
              <w:spacing w:after="0"/>
              <w:rPr>
                <w:sz w:val="20"/>
                <w:szCs w:val="20"/>
                <w:color w:val="auto"/>
              </w:rPr>
            </w:pPr>
          </w:p>
        </w:tc>
        <w:tc>
          <w:tcPr>
            <w:tcW w:w="900" w:type="dxa"/>
            <w:vAlign w:val="bottom"/>
            <w:tcBorders>
              <w:bottom w:val="single" w:sz="8" w:color="143A84"/>
            </w:tcBorders>
            <w:shd w:val="clear" w:color="auto" w:fill="E6E7F4"/>
          </w:tcPr>
          <w:p>
            <w:pPr>
              <w:jc w:val="right"/>
              <w:ind w:right="360"/>
              <w:spacing w:after="0"/>
              <w:rPr>
                <w:sz w:val="20"/>
                <w:szCs w:val="20"/>
                <w:color w:val="auto"/>
              </w:rPr>
            </w:pPr>
            <w:r>
              <w:rPr>
                <w:rFonts w:ascii="Arial" w:cs="Arial" w:eastAsia="Arial" w:hAnsi="Arial"/>
                <w:sz w:val="14"/>
                <w:szCs w:val="14"/>
                <w:b w:val="1"/>
                <w:bCs w:val="1"/>
                <w:color w:val="243782"/>
              </w:rPr>
              <w:t>Total</w:t>
            </w:r>
          </w:p>
        </w:tc>
        <w:tc>
          <w:tcPr>
            <w:tcW w:w="1400" w:type="dxa"/>
            <w:vAlign w:val="bottom"/>
            <w:tcBorders>
              <w:bottom w:val="single" w:sz="8" w:color="143A84"/>
            </w:tcBorders>
          </w:tcPr>
          <w:p>
            <w:pPr>
              <w:jc w:val="right"/>
              <w:ind w:right="360"/>
              <w:spacing w:after="0"/>
              <w:rPr>
                <w:sz w:val="20"/>
                <w:szCs w:val="20"/>
                <w:color w:val="auto"/>
              </w:rPr>
            </w:pPr>
            <w:r>
              <w:rPr>
                <w:rFonts w:ascii="Arial" w:cs="Arial" w:eastAsia="Arial" w:hAnsi="Arial"/>
                <w:sz w:val="14"/>
                <w:szCs w:val="14"/>
                <w:b w:val="1"/>
                <w:bCs w:val="1"/>
                <w:color w:val="243782"/>
              </w:rPr>
              <w:t>Current</w:t>
            </w:r>
          </w:p>
        </w:tc>
        <w:tc>
          <w:tcPr>
            <w:tcW w:w="1600" w:type="dxa"/>
            <w:vAlign w:val="bottom"/>
            <w:tcBorders>
              <w:bottom w:val="single" w:sz="8" w:color="143A84"/>
            </w:tcBorders>
          </w:tcPr>
          <w:p>
            <w:pPr>
              <w:jc w:val="right"/>
              <w:ind w:right="520"/>
              <w:spacing w:after="0"/>
              <w:rPr>
                <w:sz w:val="20"/>
                <w:szCs w:val="20"/>
                <w:color w:val="auto"/>
              </w:rPr>
            </w:pPr>
            <w:r>
              <w:rPr>
                <w:rFonts w:ascii="Arial" w:cs="Arial" w:eastAsia="Arial" w:hAnsi="Arial"/>
                <w:sz w:val="14"/>
                <w:szCs w:val="14"/>
                <w:b w:val="1"/>
                <w:bCs w:val="1"/>
                <w:color w:val="243782"/>
              </w:rPr>
              <w:t>Non-current</w:t>
            </w:r>
          </w:p>
        </w:tc>
        <w:tc>
          <w:tcPr>
            <w:tcW w:w="920" w:type="dxa"/>
            <w:vAlign w:val="bottom"/>
            <w:tcBorders>
              <w:bottom w:val="single" w:sz="8" w:color="143A84"/>
            </w:tcBorders>
          </w:tcPr>
          <w:p>
            <w:pPr>
              <w:jc w:val="right"/>
              <w:ind w:right="360"/>
              <w:spacing w:after="0"/>
              <w:rPr>
                <w:sz w:val="20"/>
                <w:szCs w:val="20"/>
                <w:color w:val="auto"/>
              </w:rPr>
            </w:pPr>
            <w:r>
              <w:rPr>
                <w:rFonts w:ascii="Arial" w:cs="Arial" w:eastAsia="Arial" w:hAnsi="Arial"/>
                <w:sz w:val="14"/>
                <w:szCs w:val="14"/>
                <w:b w:val="1"/>
                <w:bCs w:val="1"/>
                <w:color w:val="243782"/>
              </w:rPr>
              <w:t>Total</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Payables for buy-back agreements</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6,678</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3,211</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9,889</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5,313</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2,576</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7,889</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Accrued expenses and deferred income</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6,663</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779</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7,442</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6,323</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789</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7,112</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Indirect taxes payables</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1,378</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1,383</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1,354</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7</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1,361</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Payables to personnel</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1,558</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1,560</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1,749</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1,751</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Social security payables</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542</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543</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472</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474</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Service contract liability</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792</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1,406</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2,198</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744</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1,444</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2,188</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Derivatives operating liabilities</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116</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138</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150</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27</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w:t>
            </w:r>
          </w:p>
        </w:tc>
      </w:tr>
      <w:tr>
        <w:trPr>
          <w:trHeight w:val="250"/>
        </w:trPr>
        <w:tc>
          <w:tcPr>
            <w:tcW w:w="35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3,548</w:t>
            </w:r>
          </w:p>
        </w:tc>
        <w:tc>
          <w:tcPr>
            <w:tcW w:w="142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color w:val="auto"/>
              </w:rPr>
              <w:t>561</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4,109</w:t>
            </w:r>
          </w:p>
        </w:tc>
        <w:tc>
          <w:tcPr>
            <w:tcW w:w="140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3,160</w:t>
            </w:r>
          </w:p>
        </w:tc>
        <w:tc>
          <w:tcPr>
            <w:tcW w:w="1600" w:type="dxa"/>
            <w:vAlign w:val="bottom"/>
            <w:tcBorders>
              <w:bottom w:val="single" w:sz="8" w:color="8E939F"/>
            </w:tcBorders>
          </w:tcPr>
          <w:p>
            <w:pPr>
              <w:jc w:val="right"/>
              <w:ind w:right="400"/>
              <w:spacing w:after="0"/>
              <w:rPr>
                <w:sz w:val="20"/>
                <w:szCs w:val="20"/>
                <w:color w:val="auto"/>
              </w:rPr>
            </w:pPr>
            <w:r>
              <w:rPr>
                <w:rFonts w:ascii="Arial" w:cs="Arial" w:eastAsia="Arial" w:hAnsi="Arial"/>
                <w:sz w:val="16"/>
                <w:szCs w:val="16"/>
                <w:color w:val="auto"/>
              </w:rPr>
              <w:t>628</w:t>
            </w:r>
          </w:p>
        </w:tc>
        <w:tc>
          <w:tcPr>
            <w:tcW w:w="92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3,788</w:t>
            </w:r>
          </w:p>
        </w:tc>
      </w:tr>
      <w:tr>
        <w:trPr>
          <w:trHeight w:val="253"/>
        </w:trPr>
        <w:tc>
          <w:tcPr>
            <w:tcW w:w="354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Other liabilities</w:t>
            </w:r>
          </w:p>
        </w:tc>
        <w:tc>
          <w:tcPr>
            <w:tcW w:w="11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21,275</w:t>
            </w:r>
          </w:p>
        </w:tc>
        <w:tc>
          <w:tcPr>
            <w:tcW w:w="1420" w:type="dxa"/>
            <w:vAlign w:val="bottom"/>
            <w:tcBorders>
              <w:bottom w:val="single" w:sz="8" w:color="8E939F"/>
            </w:tcBorders>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5,987</w:t>
            </w:r>
          </w:p>
        </w:tc>
        <w:tc>
          <w:tcPr>
            <w:tcW w:w="300" w:type="dxa"/>
            <w:vAlign w:val="bottom"/>
            <w:tcBorders>
              <w:bottom w:val="single" w:sz="8" w:color="8E939F"/>
            </w:tcBorders>
            <w:shd w:val="clear" w:color="auto" w:fill="E6E7F4"/>
          </w:tcPr>
          <w:p>
            <w:pPr>
              <w:spacing w:after="0"/>
              <w:rPr>
                <w:sz w:val="21"/>
                <w:szCs w:val="21"/>
                <w:color w:val="auto"/>
              </w:rPr>
            </w:pP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27,262</w:t>
            </w:r>
          </w:p>
        </w:tc>
        <w:tc>
          <w:tcPr>
            <w:tcW w:w="1400" w:type="dxa"/>
            <w:vAlign w:val="bottom"/>
            <w:tcBorders>
              <w:bottom w:val="single" w:sz="8" w:color="8E939F"/>
            </w:tcBorders>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19,265</w:t>
            </w:r>
          </w:p>
        </w:tc>
        <w:tc>
          <w:tcPr>
            <w:tcW w:w="1600" w:type="dxa"/>
            <w:vAlign w:val="bottom"/>
            <w:tcBorders>
              <w:bottom w:val="single" w:sz="8" w:color="8E939F"/>
            </w:tcBorders>
            <w:shd w:val="clear" w:color="auto" w:fill="E6E7F4"/>
          </w:tcPr>
          <w:p>
            <w:pPr>
              <w:jc w:val="right"/>
              <w:ind w:right="400"/>
              <w:spacing w:after="0"/>
              <w:rPr>
                <w:sz w:val="20"/>
                <w:szCs w:val="20"/>
                <w:color w:val="auto"/>
              </w:rPr>
            </w:pPr>
            <w:r>
              <w:rPr>
                <w:rFonts w:ascii="Arial" w:cs="Arial" w:eastAsia="Arial" w:hAnsi="Arial"/>
                <w:sz w:val="16"/>
                <w:szCs w:val="16"/>
                <w:b w:val="1"/>
                <w:bCs w:val="1"/>
                <w:color w:val="243782"/>
              </w:rPr>
              <w:t>5,475</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24,740</w:t>
            </w:r>
          </w:p>
        </w:tc>
      </w:tr>
    </w:tbl>
    <w:p>
      <w:pPr>
        <w:spacing w:after="0" w:line="305"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At September 30, 2026, Payables for buy-back agreements amounted to €9,889 million (€7,889 million at December 31, 2025). The increase is mainly due to higher volumes of buy-back agreements in Enlarged Europe.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16.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43A84"/>
        </w:rPr>
        <w:t>Assets and liabilities that are measured at fair value on a recurring basis</w:t>
      </w:r>
    </w:p>
    <w:p>
      <w:pPr>
        <w:spacing w:after="0" w:line="252"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auto"/>
        </w:rPr>
        <w:t>The following table shows the fair value hierarchy, based on observable and unobservable inputs, for financial assets and liabilities that are measured at fair value on a recurring basis at September 30, 2026 and 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8E939F"/>
            </w:tcBorders>
          </w:tcPr>
          <w:p>
            <w:pPr>
              <w:spacing w:after="0"/>
              <w:rPr>
                <w:sz w:val="19"/>
                <w:szCs w:val="19"/>
                <w:color w:val="auto"/>
              </w:rPr>
            </w:pPr>
          </w:p>
        </w:tc>
        <w:tc>
          <w:tcPr>
            <w:tcW w:w="2220" w:type="dxa"/>
            <w:vAlign w:val="bottom"/>
            <w:tcBorders>
              <w:bottom w:val="single" w:sz="8" w:color="8E939F"/>
            </w:tcBorders>
            <w:gridSpan w:val="2"/>
          </w:tcPr>
          <w:p>
            <w:pPr>
              <w:jc w:val="right"/>
              <w:ind w:right="159"/>
              <w:spacing w:after="0"/>
              <w:rPr>
                <w:sz w:val="20"/>
                <w:szCs w:val="20"/>
                <w:color w:val="auto"/>
              </w:rPr>
            </w:pPr>
            <w:r>
              <w:rPr>
                <w:rFonts w:ascii="Arial" w:cs="Arial" w:eastAsia="Arial" w:hAnsi="Arial"/>
                <w:sz w:val="16"/>
                <w:szCs w:val="16"/>
                <w:b w:val="1"/>
                <w:bCs w:val="1"/>
                <w:color w:val="243782"/>
              </w:rPr>
              <w:t>At September 30, 2026</w:t>
            </w:r>
          </w:p>
        </w:tc>
        <w:tc>
          <w:tcPr>
            <w:tcW w:w="920" w:type="dxa"/>
            <w:vAlign w:val="bottom"/>
            <w:tcBorders>
              <w:bottom w:val="single" w:sz="8" w:color="8E939F"/>
            </w:tcBorders>
          </w:tcPr>
          <w:p>
            <w:pPr>
              <w:spacing w:after="0"/>
              <w:rPr>
                <w:sz w:val="19"/>
                <w:szCs w:val="19"/>
                <w:color w:val="auto"/>
              </w:rPr>
            </w:pPr>
          </w:p>
        </w:tc>
        <w:tc>
          <w:tcPr>
            <w:tcW w:w="1140" w:type="dxa"/>
            <w:vAlign w:val="bottom"/>
            <w:tcBorders>
              <w:bottom w:val="single" w:sz="8" w:color="8E939F"/>
            </w:tcBorders>
          </w:tcPr>
          <w:p>
            <w:pPr>
              <w:spacing w:after="0"/>
              <w:rPr>
                <w:sz w:val="19"/>
                <w:szCs w:val="19"/>
                <w:color w:val="auto"/>
              </w:rPr>
            </w:pPr>
          </w:p>
        </w:tc>
        <w:tc>
          <w:tcPr>
            <w:tcW w:w="2140" w:type="dxa"/>
            <w:vAlign w:val="bottom"/>
            <w:tcBorders>
              <w:bottom w:val="single" w:sz="8" w:color="8E939F"/>
            </w:tcBorders>
            <w:gridSpan w:val="2"/>
          </w:tcPr>
          <w:p>
            <w:pPr>
              <w:jc w:val="right"/>
              <w:ind w:right="219"/>
              <w:spacing w:after="0"/>
              <w:rPr>
                <w:sz w:val="20"/>
                <w:szCs w:val="20"/>
                <w:color w:val="auto"/>
              </w:rPr>
            </w:pPr>
            <w:r>
              <w:rPr>
                <w:rFonts w:ascii="Arial" w:cs="Arial" w:eastAsia="Arial" w:hAnsi="Arial"/>
                <w:sz w:val="16"/>
                <w:szCs w:val="16"/>
                <w:b w:val="1"/>
                <w:bCs w:val="1"/>
                <w:color w:val="243782"/>
              </w:rPr>
              <w:t>At December 31, 2025</w:t>
            </w:r>
          </w:p>
        </w:tc>
        <w:tc>
          <w:tcPr>
            <w:tcW w:w="880" w:type="dxa"/>
            <w:vAlign w:val="bottom"/>
            <w:tcBorders>
              <w:bottom w:val="single" w:sz="8" w:color="8E939F"/>
            </w:tcBorders>
          </w:tcPr>
          <w:p>
            <w:pPr>
              <w:spacing w:after="0"/>
              <w:rPr>
                <w:sz w:val="19"/>
                <w:szCs w:val="19"/>
                <w:color w:val="auto"/>
              </w:rPr>
            </w:pPr>
          </w:p>
        </w:tc>
      </w:tr>
      <w:tr>
        <w:trPr>
          <w:trHeight w:val="208"/>
        </w:trPr>
        <w:tc>
          <w:tcPr>
            <w:tcW w:w="30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w:t>
            </w:r>
          </w:p>
        </w:tc>
        <w:tc>
          <w:tcPr>
            <w:tcW w:w="900" w:type="dxa"/>
            <w:vAlign w:val="bottom"/>
            <w:shd w:val="clear" w:color="auto" w:fill="F3F3F9"/>
          </w:tcPr>
          <w:p>
            <w:pPr>
              <w:spacing w:after="0"/>
              <w:rPr>
                <w:sz w:val="18"/>
                <w:szCs w:val="18"/>
                <w:color w:val="auto"/>
              </w:rPr>
            </w:pPr>
          </w:p>
        </w:tc>
        <w:tc>
          <w:tcPr>
            <w:tcW w:w="1040" w:type="dxa"/>
            <w:vAlign w:val="bottom"/>
            <w:shd w:val="clear" w:color="auto" w:fill="F3F3F9"/>
          </w:tcPr>
          <w:p>
            <w:pPr>
              <w:spacing w:after="0"/>
              <w:rPr>
                <w:sz w:val="18"/>
                <w:szCs w:val="18"/>
                <w:color w:val="auto"/>
              </w:rPr>
            </w:pPr>
          </w:p>
        </w:tc>
        <w:tc>
          <w:tcPr>
            <w:tcW w:w="1180" w:type="dxa"/>
            <w:vAlign w:val="bottom"/>
            <w:shd w:val="clear" w:color="auto" w:fill="F3F3F9"/>
          </w:tcPr>
          <w:p>
            <w:pPr>
              <w:spacing w:after="0"/>
              <w:rPr>
                <w:sz w:val="18"/>
                <w:szCs w:val="18"/>
                <w:color w:val="auto"/>
              </w:rPr>
            </w:pPr>
          </w:p>
        </w:tc>
        <w:tc>
          <w:tcPr>
            <w:tcW w:w="920" w:type="dxa"/>
            <w:vAlign w:val="bottom"/>
            <w:shd w:val="clear" w:color="auto" w:fill="E6E7F4"/>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20" w:type="dxa"/>
            <w:vAlign w:val="bottom"/>
            <w:tcBorders>
              <w:bottom w:val="single" w:sz="8" w:color="8E939F"/>
            </w:tcBorders>
          </w:tcPr>
          <w:p>
            <w:pPr>
              <w:spacing w:after="0"/>
              <w:rPr>
                <w:sz w:val="20"/>
                <w:szCs w:val="20"/>
                <w:color w:val="auto"/>
              </w:rPr>
            </w:pPr>
          </w:p>
        </w:tc>
        <w:tc>
          <w:tcPr>
            <w:tcW w:w="120" w:type="dxa"/>
            <w:vAlign w:val="bottom"/>
            <w:tcBorders>
              <w:bottom w:val="single" w:sz="8" w:color="143A84"/>
            </w:tcBorders>
          </w:tcPr>
          <w:p>
            <w:pPr>
              <w:spacing w:after="0"/>
              <w:rPr>
                <w:sz w:val="20"/>
                <w:szCs w:val="20"/>
                <w:color w:val="auto"/>
              </w:rPr>
            </w:pPr>
          </w:p>
        </w:tc>
        <w:tc>
          <w:tcPr>
            <w:tcW w:w="900" w:type="dxa"/>
            <w:vAlign w:val="bottom"/>
            <w:tcBorders>
              <w:bottom w:val="single" w:sz="8" w:color="143A84"/>
            </w:tcBorders>
            <w:shd w:val="clear" w:color="auto" w:fill="F3F3F9"/>
          </w:tcPr>
          <w:p>
            <w:pPr>
              <w:jc w:val="right"/>
              <w:ind w:right="79"/>
              <w:spacing w:after="0"/>
              <w:rPr>
                <w:sz w:val="20"/>
                <w:szCs w:val="20"/>
                <w:color w:val="auto"/>
              </w:rPr>
            </w:pPr>
            <w:r>
              <w:rPr>
                <w:rFonts w:ascii="Arial" w:cs="Arial" w:eastAsia="Arial" w:hAnsi="Arial"/>
                <w:sz w:val="16"/>
                <w:szCs w:val="16"/>
                <w:b w:val="1"/>
                <w:bCs w:val="1"/>
                <w:color w:val="243782"/>
              </w:rPr>
              <w:t>Level 1</w:t>
            </w:r>
          </w:p>
        </w:tc>
        <w:tc>
          <w:tcPr>
            <w:tcW w:w="1040" w:type="dxa"/>
            <w:vAlign w:val="bottom"/>
            <w:tcBorders>
              <w:bottom w:val="single" w:sz="8" w:color="143A84"/>
            </w:tcBorders>
            <w:shd w:val="clear" w:color="auto" w:fill="F3F3F9"/>
          </w:tcPr>
          <w:p>
            <w:pPr>
              <w:jc w:val="right"/>
              <w:ind w:right="79"/>
              <w:spacing w:after="0"/>
              <w:rPr>
                <w:sz w:val="20"/>
                <w:szCs w:val="20"/>
                <w:color w:val="auto"/>
              </w:rPr>
            </w:pPr>
            <w:r>
              <w:rPr>
                <w:rFonts w:ascii="Arial" w:cs="Arial" w:eastAsia="Arial" w:hAnsi="Arial"/>
                <w:sz w:val="16"/>
                <w:szCs w:val="16"/>
                <w:b w:val="1"/>
                <w:bCs w:val="1"/>
                <w:color w:val="243782"/>
              </w:rPr>
              <w:t>Level 2</w:t>
            </w:r>
          </w:p>
        </w:tc>
        <w:tc>
          <w:tcPr>
            <w:tcW w:w="1180" w:type="dxa"/>
            <w:vAlign w:val="bottom"/>
            <w:tcBorders>
              <w:bottom w:val="single" w:sz="8" w:color="143A84"/>
            </w:tcBorders>
            <w:shd w:val="clear" w:color="auto" w:fill="F3F3F9"/>
          </w:tcPr>
          <w:p>
            <w:pPr>
              <w:jc w:val="right"/>
              <w:ind w:right="219"/>
              <w:spacing w:after="0"/>
              <w:rPr>
                <w:sz w:val="20"/>
                <w:szCs w:val="20"/>
                <w:color w:val="auto"/>
              </w:rPr>
            </w:pPr>
            <w:r>
              <w:rPr>
                <w:rFonts w:ascii="Arial" w:cs="Arial" w:eastAsia="Arial" w:hAnsi="Arial"/>
                <w:sz w:val="16"/>
                <w:szCs w:val="16"/>
                <w:b w:val="1"/>
                <w:bCs w:val="1"/>
                <w:color w:val="243782"/>
              </w:rPr>
              <w:t>Level 3</w:t>
            </w:r>
          </w:p>
        </w:tc>
        <w:tc>
          <w:tcPr>
            <w:tcW w:w="920" w:type="dxa"/>
            <w:vAlign w:val="bottom"/>
            <w:tcBorders>
              <w:bottom w:val="single" w:sz="8" w:color="143A84"/>
            </w:tcBorders>
            <w:shd w:val="clear" w:color="auto" w:fill="E6E7F4"/>
          </w:tcPr>
          <w:p>
            <w:pPr>
              <w:jc w:val="right"/>
              <w:ind w:right="199"/>
              <w:spacing w:after="0"/>
              <w:rPr>
                <w:sz w:val="20"/>
                <w:szCs w:val="20"/>
                <w:color w:val="auto"/>
              </w:rPr>
            </w:pPr>
            <w:r>
              <w:rPr>
                <w:rFonts w:ascii="Arial" w:cs="Arial" w:eastAsia="Arial" w:hAnsi="Arial"/>
                <w:sz w:val="16"/>
                <w:szCs w:val="16"/>
                <w:b w:val="1"/>
                <w:bCs w:val="1"/>
                <w:color w:val="243782"/>
              </w:rPr>
              <w:t>Total</w:t>
            </w:r>
          </w:p>
        </w:tc>
        <w:tc>
          <w:tcPr>
            <w:tcW w:w="1140" w:type="dxa"/>
            <w:vAlign w:val="bottom"/>
            <w:tcBorders>
              <w:bottom w:val="single" w:sz="8" w:color="143A84"/>
            </w:tcBorders>
          </w:tcPr>
          <w:p>
            <w:pPr>
              <w:jc w:val="right"/>
              <w:ind w:right="199"/>
              <w:spacing w:after="0"/>
              <w:rPr>
                <w:sz w:val="20"/>
                <w:szCs w:val="20"/>
                <w:color w:val="auto"/>
              </w:rPr>
            </w:pPr>
            <w:r>
              <w:rPr>
                <w:rFonts w:ascii="Arial" w:cs="Arial" w:eastAsia="Arial" w:hAnsi="Arial"/>
                <w:sz w:val="16"/>
                <w:szCs w:val="16"/>
                <w:b w:val="1"/>
                <w:bCs w:val="1"/>
                <w:color w:val="243782"/>
              </w:rPr>
              <w:t>Level 1</w:t>
            </w:r>
          </w:p>
        </w:tc>
        <w:tc>
          <w:tcPr>
            <w:tcW w:w="1060" w:type="dxa"/>
            <w:vAlign w:val="bottom"/>
            <w:tcBorders>
              <w:bottom w:val="single" w:sz="8" w:color="143A84"/>
            </w:tcBorders>
          </w:tcPr>
          <w:p>
            <w:pPr>
              <w:jc w:val="right"/>
              <w:ind w:right="219"/>
              <w:spacing w:after="0"/>
              <w:rPr>
                <w:sz w:val="20"/>
                <w:szCs w:val="20"/>
                <w:color w:val="auto"/>
              </w:rPr>
            </w:pPr>
            <w:r>
              <w:rPr>
                <w:rFonts w:ascii="Arial" w:cs="Arial" w:eastAsia="Arial" w:hAnsi="Arial"/>
                <w:sz w:val="16"/>
                <w:szCs w:val="16"/>
                <w:b w:val="1"/>
                <w:bCs w:val="1"/>
                <w:color w:val="243782"/>
              </w:rPr>
              <w:t>Level 2</w:t>
            </w:r>
          </w:p>
        </w:tc>
        <w:tc>
          <w:tcPr>
            <w:tcW w:w="1080" w:type="dxa"/>
            <w:vAlign w:val="bottom"/>
            <w:tcBorders>
              <w:bottom w:val="single" w:sz="8" w:color="143A84"/>
            </w:tcBorders>
          </w:tcPr>
          <w:p>
            <w:pPr>
              <w:jc w:val="right"/>
              <w:ind w:right="279"/>
              <w:spacing w:after="0"/>
              <w:rPr>
                <w:sz w:val="20"/>
                <w:szCs w:val="20"/>
                <w:color w:val="auto"/>
              </w:rPr>
            </w:pPr>
            <w:r>
              <w:rPr>
                <w:rFonts w:ascii="Arial" w:cs="Arial" w:eastAsia="Arial" w:hAnsi="Arial"/>
                <w:sz w:val="16"/>
                <w:szCs w:val="16"/>
                <w:b w:val="1"/>
                <w:bCs w:val="1"/>
                <w:color w:val="243782"/>
              </w:rPr>
              <w:t>Level 3</w:t>
            </w:r>
          </w:p>
        </w:tc>
        <w:tc>
          <w:tcPr>
            <w:tcW w:w="880" w:type="dxa"/>
            <w:vAlign w:val="bottom"/>
            <w:tcBorders>
              <w:bottom w:val="single" w:sz="8" w:color="143A84"/>
            </w:tcBorders>
          </w:tcPr>
          <w:p>
            <w:pPr>
              <w:jc w:val="right"/>
              <w:ind w:right="199"/>
              <w:spacing w:after="0"/>
              <w:rPr>
                <w:sz w:val="20"/>
                <w:szCs w:val="20"/>
                <w:color w:val="auto"/>
              </w:rPr>
            </w:pPr>
            <w:r>
              <w:rPr>
                <w:rFonts w:ascii="Arial" w:cs="Arial" w:eastAsia="Arial" w:hAnsi="Arial"/>
                <w:sz w:val="16"/>
                <w:szCs w:val="16"/>
                <w:b w:val="1"/>
                <w:bCs w:val="1"/>
                <w:color w:val="243782"/>
              </w:rPr>
              <w:t>Total</w:t>
            </w:r>
          </w:p>
        </w:tc>
      </w:tr>
      <w:tr>
        <w:trPr>
          <w:trHeight w:val="21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Financial securities and equity</w:t>
            </w:r>
          </w:p>
        </w:tc>
        <w:tc>
          <w:tcPr>
            <w:tcW w:w="900" w:type="dxa"/>
            <w:vAlign w:val="bottom"/>
            <w:shd w:val="clear" w:color="auto" w:fill="F3F3F9"/>
          </w:tcPr>
          <w:p>
            <w:pPr>
              <w:spacing w:after="0"/>
              <w:rPr>
                <w:sz w:val="18"/>
                <w:szCs w:val="18"/>
                <w:color w:val="auto"/>
              </w:rPr>
            </w:pPr>
          </w:p>
        </w:tc>
        <w:tc>
          <w:tcPr>
            <w:tcW w:w="1040" w:type="dxa"/>
            <w:vAlign w:val="bottom"/>
            <w:shd w:val="clear" w:color="auto" w:fill="F3F3F9"/>
          </w:tcPr>
          <w:p>
            <w:pPr>
              <w:spacing w:after="0"/>
              <w:rPr>
                <w:sz w:val="18"/>
                <w:szCs w:val="18"/>
                <w:color w:val="auto"/>
              </w:rPr>
            </w:pPr>
          </w:p>
        </w:tc>
        <w:tc>
          <w:tcPr>
            <w:tcW w:w="1180" w:type="dxa"/>
            <w:vAlign w:val="bottom"/>
            <w:shd w:val="clear" w:color="auto" w:fill="F3F3F9"/>
          </w:tcPr>
          <w:p>
            <w:pPr>
              <w:spacing w:after="0"/>
              <w:rPr>
                <w:sz w:val="18"/>
                <w:szCs w:val="18"/>
                <w:color w:val="auto"/>
              </w:rPr>
            </w:pPr>
          </w:p>
        </w:tc>
        <w:tc>
          <w:tcPr>
            <w:tcW w:w="920" w:type="dxa"/>
            <w:vAlign w:val="bottom"/>
            <w:shd w:val="clear" w:color="auto" w:fill="E6E7F4"/>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instruments measured at FVOCI</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298</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288</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586</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108</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289</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397</w:t>
            </w: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Financial securities and equity</w:t>
            </w:r>
          </w:p>
        </w:tc>
        <w:tc>
          <w:tcPr>
            <w:tcW w:w="900" w:type="dxa"/>
            <w:vAlign w:val="bottom"/>
            <w:shd w:val="clear" w:color="auto" w:fill="F3F3F9"/>
          </w:tcPr>
          <w:p>
            <w:pPr>
              <w:spacing w:after="0"/>
              <w:rPr>
                <w:sz w:val="18"/>
                <w:szCs w:val="18"/>
                <w:color w:val="auto"/>
              </w:rPr>
            </w:pPr>
          </w:p>
        </w:tc>
        <w:tc>
          <w:tcPr>
            <w:tcW w:w="1040" w:type="dxa"/>
            <w:vAlign w:val="bottom"/>
            <w:shd w:val="clear" w:color="auto" w:fill="F3F3F9"/>
          </w:tcPr>
          <w:p>
            <w:pPr>
              <w:spacing w:after="0"/>
              <w:rPr>
                <w:sz w:val="18"/>
                <w:szCs w:val="18"/>
                <w:color w:val="auto"/>
              </w:rPr>
            </w:pPr>
          </w:p>
        </w:tc>
        <w:tc>
          <w:tcPr>
            <w:tcW w:w="1180" w:type="dxa"/>
            <w:vAlign w:val="bottom"/>
            <w:shd w:val="clear" w:color="auto" w:fill="F3F3F9"/>
          </w:tcPr>
          <w:p>
            <w:pPr>
              <w:spacing w:after="0"/>
              <w:rPr>
                <w:sz w:val="18"/>
                <w:szCs w:val="18"/>
                <w:color w:val="auto"/>
              </w:rPr>
            </w:pPr>
          </w:p>
        </w:tc>
        <w:tc>
          <w:tcPr>
            <w:tcW w:w="920" w:type="dxa"/>
            <w:vAlign w:val="bottom"/>
            <w:shd w:val="clear" w:color="auto" w:fill="E6E7F4"/>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instruments measured at FVPL</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1,178</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285</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1,470</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1,110</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351</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1,465</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Derivative financial assets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198</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303</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304</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Derivative operating assets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526</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5</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531</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397</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9</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406</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Collateral deposits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21</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21</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20</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Receivables from financing activities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29</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29</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3</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Trade receivables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16</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16</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Money market securities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9,633</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9,633</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13,191</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13,191</w:t>
            </w:r>
          </w:p>
        </w:tc>
      </w:tr>
      <w:tr>
        <w:trPr>
          <w:trHeight w:val="253"/>
        </w:trPr>
        <w:tc>
          <w:tcPr>
            <w:tcW w:w="3040" w:type="dxa"/>
            <w:vAlign w:val="bottom"/>
            <w:tcBorders>
              <w:bottom w:val="single" w:sz="8" w:color="8E939F"/>
            </w:tcBorders>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Total Assets</w:t>
            </w: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11,130</w:t>
            </w:r>
          </w:p>
        </w:tc>
        <w:tc>
          <w:tcPr>
            <w:tcW w:w="10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747</w:t>
            </w:r>
          </w:p>
        </w:tc>
        <w:tc>
          <w:tcPr>
            <w:tcW w:w="118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607</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12,484</w:t>
            </w:r>
          </w:p>
        </w:tc>
        <w:tc>
          <w:tcPr>
            <w:tcW w:w="114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14,429</w:t>
            </w:r>
          </w:p>
        </w:tc>
        <w:tc>
          <w:tcPr>
            <w:tcW w:w="1060" w:type="dxa"/>
            <w:vAlign w:val="bottom"/>
            <w:tcBorders>
              <w:bottom w:val="single" w:sz="8" w:color="8E939F"/>
            </w:tcBorders>
            <w:shd w:val="clear" w:color="auto" w:fill="E6E7F4"/>
          </w:tcPr>
          <w:p>
            <w:pPr>
              <w:jc w:val="right"/>
              <w:ind w:right="119"/>
              <w:spacing w:after="0"/>
              <w:rPr>
                <w:sz w:val="20"/>
                <w:szCs w:val="20"/>
                <w:color w:val="auto"/>
              </w:rPr>
            </w:pPr>
            <w:r>
              <w:rPr>
                <w:rFonts w:ascii="Arial" w:cs="Arial" w:eastAsia="Arial" w:hAnsi="Arial"/>
                <w:sz w:val="16"/>
                <w:szCs w:val="16"/>
                <w:b w:val="1"/>
                <w:bCs w:val="1"/>
                <w:color w:val="243782"/>
              </w:rPr>
              <w:t>708</w:t>
            </w:r>
          </w:p>
        </w:tc>
        <w:tc>
          <w:tcPr>
            <w:tcW w:w="1080" w:type="dxa"/>
            <w:vAlign w:val="bottom"/>
            <w:tcBorders>
              <w:bottom w:val="single" w:sz="8" w:color="8E939F"/>
            </w:tcBorders>
            <w:shd w:val="clear" w:color="auto" w:fill="E6E7F4"/>
          </w:tcPr>
          <w:p>
            <w:pPr>
              <w:jc w:val="right"/>
              <w:ind w:right="159"/>
              <w:spacing w:after="0"/>
              <w:rPr>
                <w:sz w:val="20"/>
                <w:szCs w:val="20"/>
                <w:color w:val="auto"/>
              </w:rPr>
            </w:pPr>
            <w:r>
              <w:rPr>
                <w:rFonts w:ascii="Arial" w:cs="Arial" w:eastAsia="Arial" w:hAnsi="Arial"/>
                <w:sz w:val="16"/>
                <w:szCs w:val="16"/>
                <w:b w:val="1"/>
                <w:bCs w:val="1"/>
                <w:color w:val="243782"/>
              </w:rPr>
              <w:t>653</w:t>
            </w:r>
          </w:p>
        </w:tc>
        <w:tc>
          <w:tcPr>
            <w:tcW w:w="8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15,790</w:t>
            </w:r>
          </w:p>
        </w:tc>
      </w:tr>
      <w:tr>
        <w:trPr>
          <w:trHeight w:val="247"/>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Derivative financial liabilities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60</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60</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36</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36</w:t>
            </w:r>
          </w:p>
        </w:tc>
      </w:tr>
      <w:tr>
        <w:trPr>
          <w:trHeight w:val="250"/>
        </w:trPr>
        <w:tc>
          <w:tcPr>
            <w:tcW w:w="3040" w:type="dxa"/>
            <w:vAlign w:val="bottom"/>
            <w:tcBorders>
              <w:bottom w:val="single" w:sz="8" w:color="8E939F"/>
            </w:tcBorders>
            <w:gridSpan w:val="2"/>
          </w:tcPr>
          <w:p>
            <w:pPr>
              <w:ind w:left="20"/>
              <w:spacing w:after="0"/>
              <w:rPr>
                <w:sz w:val="20"/>
                <w:szCs w:val="20"/>
                <w:color w:val="auto"/>
              </w:rPr>
            </w:pPr>
            <w:r>
              <w:rPr>
                <w:rFonts w:ascii="Arial" w:cs="Arial" w:eastAsia="Arial" w:hAnsi="Arial"/>
                <w:sz w:val="16"/>
                <w:szCs w:val="16"/>
                <w:color w:val="auto"/>
              </w:rPr>
              <w:t>Derivative operating liabilities</w:t>
            </w:r>
          </w:p>
        </w:tc>
        <w:tc>
          <w:tcPr>
            <w:tcW w:w="9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135</w:t>
            </w:r>
          </w:p>
        </w:tc>
        <w:tc>
          <w:tcPr>
            <w:tcW w:w="1180" w:type="dxa"/>
            <w:vAlign w:val="bottom"/>
            <w:tcBorders>
              <w:bottom w:val="single" w:sz="8" w:color="8E939F"/>
            </w:tcBorders>
            <w:shd w:val="clear" w:color="auto" w:fill="F3F3F9"/>
          </w:tcPr>
          <w:p>
            <w:pPr>
              <w:jc w:val="right"/>
              <w:ind w:right="99"/>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color w:val="auto"/>
              </w:rPr>
              <w:t>137</w:t>
            </w:r>
          </w:p>
        </w:tc>
        <w:tc>
          <w:tcPr>
            <w:tcW w:w="1140" w:type="dxa"/>
            <w:vAlign w:val="bottom"/>
            <w:tcBorders>
              <w:bottom w:val="single" w:sz="8" w:color="8E939F"/>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E939F"/>
            </w:tcBorders>
          </w:tcPr>
          <w:p>
            <w:pPr>
              <w:jc w:val="right"/>
              <w:ind w:right="119"/>
              <w:spacing w:after="0"/>
              <w:rPr>
                <w:sz w:val="20"/>
                <w:szCs w:val="20"/>
                <w:color w:val="auto"/>
              </w:rPr>
            </w:pPr>
            <w:r>
              <w:rPr>
                <w:rFonts w:ascii="Arial" w:cs="Arial" w:eastAsia="Arial" w:hAnsi="Arial"/>
                <w:sz w:val="16"/>
                <w:szCs w:val="16"/>
                <w:color w:val="auto"/>
              </w:rPr>
              <w:t>177</w:t>
            </w:r>
          </w:p>
        </w:tc>
        <w:tc>
          <w:tcPr>
            <w:tcW w:w="1080" w:type="dxa"/>
            <w:vAlign w:val="bottom"/>
            <w:tcBorders>
              <w:bottom w:val="single" w:sz="8" w:color="8E939F"/>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w:t>
            </w:r>
          </w:p>
        </w:tc>
      </w:tr>
      <w:tr>
        <w:trPr>
          <w:trHeight w:val="253"/>
        </w:trPr>
        <w:tc>
          <w:tcPr>
            <w:tcW w:w="3040" w:type="dxa"/>
            <w:vAlign w:val="bottom"/>
            <w:tcBorders>
              <w:bottom w:val="single" w:sz="8" w:color="8E939F"/>
            </w:tcBorders>
            <w:gridSpan w:val="2"/>
            <w:shd w:val="clear" w:color="auto" w:fill="E6E7F4"/>
          </w:tcPr>
          <w:p>
            <w:pPr>
              <w:ind w:left="20"/>
              <w:spacing w:after="0"/>
              <w:rPr>
                <w:sz w:val="20"/>
                <w:szCs w:val="20"/>
                <w:color w:val="auto"/>
              </w:rPr>
            </w:pPr>
            <w:r>
              <w:rPr>
                <w:rFonts w:ascii="Arial" w:cs="Arial" w:eastAsia="Arial" w:hAnsi="Arial"/>
                <w:sz w:val="16"/>
                <w:szCs w:val="16"/>
                <w:b w:val="1"/>
                <w:bCs w:val="1"/>
                <w:color w:val="243782"/>
              </w:rPr>
              <w:t>Total Liabilities</w:t>
            </w:r>
          </w:p>
        </w:tc>
        <w:tc>
          <w:tcPr>
            <w:tcW w:w="90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w:t>
            </w:r>
          </w:p>
        </w:tc>
        <w:tc>
          <w:tcPr>
            <w:tcW w:w="104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195</w:t>
            </w:r>
          </w:p>
        </w:tc>
        <w:tc>
          <w:tcPr>
            <w:tcW w:w="118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2</w:t>
            </w:r>
          </w:p>
        </w:tc>
        <w:tc>
          <w:tcPr>
            <w:tcW w:w="9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197</w:t>
            </w:r>
          </w:p>
        </w:tc>
        <w:tc>
          <w:tcPr>
            <w:tcW w:w="1140" w:type="dxa"/>
            <w:vAlign w:val="bottom"/>
            <w:tcBorders>
              <w:bottom w:val="single" w:sz="8" w:color="8E939F"/>
            </w:tcBorders>
            <w:shd w:val="clear" w:color="auto" w:fill="E6E7F4"/>
          </w:tcPr>
          <w:p>
            <w:pPr>
              <w:jc w:val="right"/>
              <w:ind w:right="99"/>
              <w:spacing w:after="0"/>
              <w:rPr>
                <w:sz w:val="20"/>
                <w:szCs w:val="20"/>
                <w:color w:val="auto"/>
              </w:rPr>
            </w:pPr>
            <w:r>
              <w:rPr>
                <w:rFonts w:ascii="Arial" w:cs="Arial" w:eastAsia="Arial" w:hAnsi="Arial"/>
                <w:sz w:val="16"/>
                <w:szCs w:val="16"/>
                <w:b w:val="1"/>
                <w:bCs w:val="1"/>
                <w:color w:val="243782"/>
              </w:rPr>
              <w:t>—</w:t>
            </w:r>
          </w:p>
        </w:tc>
        <w:tc>
          <w:tcPr>
            <w:tcW w:w="1060" w:type="dxa"/>
            <w:vAlign w:val="bottom"/>
            <w:tcBorders>
              <w:bottom w:val="single" w:sz="8" w:color="8E939F"/>
            </w:tcBorders>
            <w:shd w:val="clear" w:color="auto" w:fill="E6E7F4"/>
          </w:tcPr>
          <w:p>
            <w:pPr>
              <w:jc w:val="right"/>
              <w:ind w:right="119"/>
              <w:spacing w:after="0"/>
              <w:rPr>
                <w:sz w:val="20"/>
                <w:szCs w:val="20"/>
                <w:color w:val="auto"/>
              </w:rPr>
            </w:pPr>
            <w:r>
              <w:rPr>
                <w:rFonts w:ascii="Arial" w:cs="Arial" w:eastAsia="Arial" w:hAnsi="Arial"/>
                <w:sz w:val="16"/>
                <w:szCs w:val="16"/>
                <w:b w:val="1"/>
                <w:bCs w:val="1"/>
                <w:color w:val="243782"/>
              </w:rPr>
              <w:t>213</w:t>
            </w:r>
          </w:p>
        </w:tc>
        <w:tc>
          <w:tcPr>
            <w:tcW w:w="1080" w:type="dxa"/>
            <w:vAlign w:val="bottom"/>
            <w:tcBorders>
              <w:bottom w:val="single" w:sz="8" w:color="8E939F"/>
            </w:tcBorders>
            <w:shd w:val="clear" w:color="auto" w:fill="E6E7F4"/>
          </w:tcPr>
          <w:p>
            <w:pPr>
              <w:jc w:val="right"/>
              <w:ind w:right="159"/>
              <w:spacing w:after="0"/>
              <w:rPr>
                <w:sz w:val="20"/>
                <w:szCs w:val="20"/>
                <w:color w:val="auto"/>
              </w:rPr>
            </w:pPr>
            <w:r>
              <w:rPr>
                <w:rFonts w:ascii="Arial" w:cs="Arial" w:eastAsia="Arial" w:hAnsi="Arial"/>
                <w:sz w:val="16"/>
                <w:szCs w:val="16"/>
                <w:b w:val="1"/>
                <w:bCs w:val="1"/>
                <w:color w:val="243782"/>
              </w:rPr>
              <w:t>—</w:t>
            </w:r>
          </w:p>
        </w:tc>
        <w:tc>
          <w:tcPr>
            <w:tcW w:w="88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213</w:t>
            </w:r>
          </w:p>
        </w:tc>
      </w:tr>
    </w:tbl>
    <w:p>
      <w:pPr>
        <w:spacing w:after="0" w:line="319"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auto"/>
        </w:rPr>
        <w:t>The fair value of derivative financial assets and liabilities is measured by taking into consideration market parameters at the balance sheet date and using valuation techniques widely accepted in the financial business environment, as described below:</w:t>
      </w:r>
    </w:p>
    <w:p>
      <w:pPr>
        <w:spacing w:after="0" w:line="153" w:lineRule="exact"/>
        <w:rPr>
          <w:sz w:val="20"/>
          <w:szCs w:val="20"/>
          <w:color w:val="auto"/>
        </w:rPr>
      </w:pPr>
    </w:p>
    <w:p>
      <w:pPr>
        <w:ind w:left="160" w:right="120" w:hanging="152"/>
        <w:spacing w:after="0" w:line="368" w:lineRule="auto"/>
        <w:tabs>
          <w:tab w:leader="none" w:pos="121" w:val="left"/>
        </w:tabs>
        <w:numPr>
          <w:ilvl w:val="0"/>
          <w:numId w:val="63"/>
        </w:numPr>
        <w:rPr>
          <w:rFonts w:ascii="Arial" w:cs="Arial" w:eastAsia="Arial" w:hAnsi="Arial"/>
          <w:sz w:val="17"/>
          <w:szCs w:val="17"/>
          <w:color w:val="143A84"/>
        </w:rPr>
      </w:pPr>
      <w:r>
        <w:rPr>
          <w:rFonts w:ascii="Arial" w:cs="Arial" w:eastAsia="Arial" w:hAnsi="Arial"/>
          <w:sz w:val="17"/>
          <w:szCs w:val="17"/>
          <w:color w:val="auto"/>
        </w:rPr>
        <w:t>the fair value of forward contracts, swaps and options hedging currency risk is determined by using valuation techniques common in the financial markets and taking market parameters at the balance sheet date (in particular, exchange rates, interest rates and volatility rates);</w:t>
      </w:r>
    </w:p>
    <w:p>
      <w:pPr>
        <w:spacing w:after="0" w:line="21" w:lineRule="exact"/>
        <w:rPr>
          <w:rFonts w:ascii="Arial" w:cs="Arial" w:eastAsia="Arial" w:hAnsi="Arial"/>
          <w:sz w:val="17"/>
          <w:szCs w:val="17"/>
          <w:color w:val="143A84"/>
        </w:rPr>
      </w:pPr>
    </w:p>
    <w:p>
      <w:pPr>
        <w:ind w:left="160" w:right="180" w:hanging="152"/>
        <w:spacing w:after="0" w:line="334" w:lineRule="auto"/>
        <w:tabs>
          <w:tab w:leader="none" w:pos="121" w:val="left"/>
        </w:tabs>
        <w:numPr>
          <w:ilvl w:val="0"/>
          <w:numId w:val="63"/>
        </w:numPr>
        <w:rPr>
          <w:rFonts w:ascii="Arial" w:cs="Arial" w:eastAsia="Arial" w:hAnsi="Arial"/>
          <w:sz w:val="18"/>
          <w:szCs w:val="18"/>
          <w:color w:val="143A84"/>
        </w:rPr>
      </w:pPr>
      <w:r>
        <w:rPr>
          <w:rFonts w:ascii="Arial" w:cs="Arial" w:eastAsia="Arial" w:hAnsi="Arial"/>
          <w:sz w:val="18"/>
          <w:szCs w:val="18"/>
          <w:color w:val="auto"/>
        </w:rPr>
        <w:t>the fair value of interest rate swaps and forward rate agreements is determined by taking the prevailing interest rates at the balance sheet date and using the discounted expected cash flow method;</w:t>
      </w:r>
    </w:p>
    <w:p>
      <w:pPr>
        <w:spacing w:after="0" w:line="44" w:lineRule="exact"/>
        <w:rPr>
          <w:rFonts w:ascii="Arial" w:cs="Arial" w:eastAsia="Arial" w:hAnsi="Arial"/>
          <w:sz w:val="18"/>
          <w:szCs w:val="18"/>
          <w:color w:val="143A84"/>
        </w:rPr>
      </w:pPr>
    </w:p>
    <w:p>
      <w:pPr>
        <w:ind w:left="160" w:right="220" w:hanging="152"/>
        <w:spacing w:after="0" w:line="334" w:lineRule="auto"/>
        <w:tabs>
          <w:tab w:leader="none" w:pos="121" w:val="left"/>
        </w:tabs>
        <w:numPr>
          <w:ilvl w:val="0"/>
          <w:numId w:val="63"/>
        </w:numPr>
        <w:rPr>
          <w:rFonts w:ascii="Arial" w:cs="Arial" w:eastAsia="Arial" w:hAnsi="Arial"/>
          <w:sz w:val="18"/>
          <w:szCs w:val="18"/>
          <w:color w:val="143A84"/>
        </w:rPr>
      </w:pPr>
      <w:r>
        <w:rPr>
          <w:rFonts w:ascii="Arial" w:cs="Arial" w:eastAsia="Arial" w:hAnsi="Arial"/>
          <w:sz w:val="18"/>
          <w:szCs w:val="18"/>
          <w:color w:val="auto"/>
        </w:rPr>
        <w:t>the fair value of combined interest rate and currency swaps is determined using the exchange and interest rates prevailing at the balance sheet date and the discounted expected cash flow method; and</w:t>
      </w:r>
    </w:p>
    <w:p>
      <w:pPr>
        <w:spacing w:after="0" w:line="44" w:lineRule="exact"/>
        <w:rPr>
          <w:rFonts w:ascii="Arial" w:cs="Arial" w:eastAsia="Arial" w:hAnsi="Arial"/>
          <w:sz w:val="18"/>
          <w:szCs w:val="18"/>
          <w:color w:val="143A84"/>
        </w:rPr>
      </w:pPr>
    </w:p>
    <w:p>
      <w:pPr>
        <w:ind w:left="160" w:right="480" w:hanging="152"/>
        <w:spacing w:after="0" w:line="334" w:lineRule="auto"/>
        <w:tabs>
          <w:tab w:leader="none" w:pos="121" w:val="left"/>
        </w:tabs>
        <w:numPr>
          <w:ilvl w:val="0"/>
          <w:numId w:val="63"/>
        </w:numPr>
        <w:rPr>
          <w:rFonts w:ascii="Arial" w:cs="Arial" w:eastAsia="Arial" w:hAnsi="Arial"/>
          <w:sz w:val="18"/>
          <w:szCs w:val="18"/>
          <w:color w:val="143A84"/>
        </w:rPr>
      </w:pPr>
      <w:r>
        <w:rPr>
          <w:rFonts w:ascii="Arial" w:cs="Arial" w:eastAsia="Arial" w:hAnsi="Arial"/>
          <w:sz w:val="18"/>
          <w:szCs w:val="18"/>
          <w:color w:val="auto"/>
        </w:rPr>
        <w:t>the fair value of swaps and options hedging commodity price risk is determined by using valuation techniques common in the financial markets and taking market parameters at the balance sheet date (in particular, underlying prices, interest rates and volatility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money market securities is also based on available market quotations.</w:t>
      </w:r>
    </w:p>
    <w:p>
      <w:pPr>
        <w:spacing w:after="0" w:line="266" w:lineRule="exact"/>
        <w:rPr>
          <w:sz w:val="20"/>
          <w:szCs w:val="20"/>
          <w:color w:val="auto"/>
        </w:rPr>
      </w:pPr>
    </w:p>
    <w:p>
      <w:pPr>
        <w:ind w:right="140"/>
        <w:spacing w:after="0" w:line="314" w:lineRule="auto"/>
        <w:rPr>
          <w:sz w:val="20"/>
          <w:szCs w:val="20"/>
          <w:color w:val="auto"/>
        </w:rPr>
      </w:pPr>
      <w:r>
        <w:rPr>
          <w:rFonts w:ascii="Arial" w:cs="Arial" w:eastAsia="Arial" w:hAnsi="Arial"/>
          <w:sz w:val="18"/>
          <w:szCs w:val="18"/>
          <w:color w:val="auto"/>
        </w:rPr>
        <w:t>The fair value of Receivables from financing activities, which are classified in Level 3 of the fair value hierarchy, has been estimated using discounted cash flow models. The most significant inputs used in this measurement are market discount rates that reflect conditions applied in various reference markets on receivables with similar characteristics, adjusted in order to take into account the credit risk of the counterparties.</w:t>
      </w:r>
    </w:p>
    <w:p>
      <w:pPr>
        <w:spacing w:after="0" w:line="172" w:lineRule="exact"/>
        <w:rPr>
          <w:sz w:val="20"/>
          <w:szCs w:val="20"/>
          <w:color w:val="auto"/>
        </w:rPr>
      </w:pPr>
    </w:p>
    <w:p>
      <w:pPr>
        <w:ind w:right="460"/>
        <w:spacing w:after="0" w:line="315" w:lineRule="auto"/>
        <w:rPr>
          <w:sz w:val="20"/>
          <w:szCs w:val="20"/>
          <w:color w:val="auto"/>
        </w:rPr>
      </w:pPr>
      <w:r>
        <w:rPr>
          <w:rFonts w:ascii="Arial" w:cs="Arial" w:eastAsia="Arial" w:hAnsi="Arial"/>
          <w:sz w:val="18"/>
          <w:szCs w:val="18"/>
          <w:color w:val="auto"/>
        </w:rPr>
        <w:t>The fair values of Financial securities classified in level 3 are calculated using valuation techniques that incorporate inputs that are not directly observable in active markets. Therefore, the Company uses discounted cash flow models with the significant input being market discount rates along with the most recent financing rounds for certain investments.</w:t>
      </w:r>
    </w:p>
    <w:p>
      <w:pPr>
        <w:spacing w:after="0" w:line="170" w:lineRule="exact"/>
        <w:rPr>
          <w:sz w:val="20"/>
          <w:szCs w:val="20"/>
          <w:color w:val="auto"/>
        </w:rPr>
      </w:pPr>
    </w:p>
    <w:p>
      <w:pPr>
        <w:ind w:right="460"/>
        <w:spacing w:after="0" w:line="334" w:lineRule="auto"/>
        <w:rPr>
          <w:sz w:val="20"/>
          <w:szCs w:val="20"/>
          <w:color w:val="auto"/>
        </w:rPr>
      </w:pPr>
      <w:r>
        <w:rPr>
          <w:rFonts w:ascii="Arial" w:cs="Arial" w:eastAsia="Arial" w:hAnsi="Arial"/>
          <w:sz w:val="18"/>
          <w:szCs w:val="18"/>
          <w:color w:val="auto"/>
        </w:rPr>
        <w:t>The fair value of Other receivables is classified in Level 3 of the fair value hierarchy and has been estimated using discounted cash flow models. The most significant inputs used in this measurement are market discount rates.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For assets and liabilities recognized in the financial statements at fair value on a recurring basis, the Company determines whether transfers have occurred between levels in the hierarchy by re-assessing categorization at the end of each reporting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changes in items measured at fair value and classified within Level 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60" w:type="dxa"/>
            <w:vAlign w:val="bottom"/>
          </w:tcPr>
          <w:p>
            <w:pPr>
              <w:spacing w:after="0"/>
              <w:rPr>
                <w:sz w:val="19"/>
                <w:szCs w:val="19"/>
                <w:color w:val="auto"/>
              </w:rPr>
            </w:pPr>
          </w:p>
        </w:tc>
        <w:tc>
          <w:tcPr>
            <w:tcW w:w="40" w:type="dxa"/>
            <w:vAlign w:val="bottom"/>
            <w:tcBorders>
              <w:bottom w:val="single" w:sz="8" w:color="8E939F"/>
            </w:tcBorders>
          </w:tcPr>
          <w:p>
            <w:pPr>
              <w:spacing w:after="0"/>
              <w:rPr>
                <w:sz w:val="19"/>
                <w:szCs w:val="19"/>
                <w:color w:val="auto"/>
              </w:rPr>
            </w:pPr>
          </w:p>
        </w:tc>
        <w:tc>
          <w:tcPr>
            <w:tcW w:w="4520" w:type="dxa"/>
            <w:vAlign w:val="bottom"/>
            <w:tcBorders>
              <w:bottom w:val="single" w:sz="8" w:color="8E939F"/>
            </w:tcBorders>
            <w:gridSpan w:val="3"/>
          </w:tcPr>
          <w:p>
            <w:pPr>
              <w:jc w:val="right"/>
              <w:spacing w:after="0"/>
              <w:rPr>
                <w:sz w:val="20"/>
                <w:szCs w:val="20"/>
                <w:color w:val="auto"/>
              </w:rPr>
            </w:pPr>
            <w:r>
              <w:rPr>
                <w:rFonts w:ascii="Arial" w:cs="Arial" w:eastAsia="Arial" w:hAnsi="Arial"/>
                <w:sz w:val="16"/>
                <w:szCs w:val="16"/>
                <w:b w:val="1"/>
                <w:bCs w:val="1"/>
                <w:color w:val="243782"/>
              </w:rPr>
              <w:t>Three months ended September 30, 2026</w:t>
            </w:r>
          </w:p>
        </w:tc>
        <w:tc>
          <w:tcPr>
            <w:tcW w:w="1320" w:type="dxa"/>
            <w:vAlign w:val="bottom"/>
            <w:tcBorders>
              <w:bottom w:val="single" w:sz="8" w:color="8E939F"/>
            </w:tcBorders>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243782"/>
              </w:rPr>
              <w:t>Receivables from</w:t>
            </w:r>
          </w:p>
        </w:tc>
        <w:tc>
          <w:tcPr>
            <w:tcW w:w="1580" w:type="dxa"/>
            <w:vAlign w:val="bottom"/>
          </w:tcPr>
          <w:p>
            <w:pPr>
              <w:spacing w:after="0"/>
              <w:rPr>
                <w:sz w:val="20"/>
                <w:szCs w:val="20"/>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243782"/>
              </w:rPr>
              <w:t>Derivative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160" w:type="dxa"/>
            <w:vAlign w:val="bottom"/>
            <w:tcBorders>
              <w:bottom w:val="single" w:sz="8" w:color="143A84"/>
            </w:tcBorders>
          </w:tcPr>
          <w:p>
            <w:pPr>
              <w:spacing w:after="0"/>
              <w:rPr>
                <w:sz w:val="17"/>
                <w:szCs w:val="17"/>
                <w:color w:val="auto"/>
              </w:rPr>
            </w:pPr>
          </w:p>
        </w:tc>
        <w:tc>
          <w:tcPr>
            <w:tcW w:w="40" w:type="dxa"/>
            <w:vAlign w:val="bottom"/>
            <w:tcBorders>
              <w:bottom w:val="single" w:sz="8" w:color="143A84"/>
            </w:tcBorders>
          </w:tcPr>
          <w:p>
            <w:pPr>
              <w:spacing w:after="0"/>
              <w:rPr>
                <w:sz w:val="17"/>
                <w:szCs w:val="17"/>
                <w:color w:val="auto"/>
              </w:rPr>
            </w:pPr>
          </w:p>
        </w:tc>
        <w:tc>
          <w:tcPr>
            <w:tcW w:w="13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financing activities</w:t>
            </w:r>
          </w:p>
        </w:tc>
        <w:tc>
          <w:tcPr>
            <w:tcW w:w="1580" w:type="dxa"/>
            <w:vAlign w:val="bottom"/>
            <w:tcBorders>
              <w:bottom w:val="single" w:sz="8" w:color="143A84"/>
            </w:tcBorders>
          </w:tcPr>
          <w:p>
            <w:pPr>
              <w:jc w:val="right"/>
              <w:ind w:right="40"/>
              <w:spacing w:after="0"/>
              <w:rPr>
                <w:sz w:val="20"/>
                <w:szCs w:val="20"/>
                <w:color w:val="auto"/>
              </w:rPr>
            </w:pPr>
            <w:r>
              <w:rPr>
                <w:rFonts w:ascii="Arial" w:cs="Arial" w:eastAsia="Arial" w:hAnsi="Arial"/>
                <w:sz w:val="14"/>
                <w:szCs w:val="14"/>
                <w:b w:val="1"/>
                <w:bCs w:val="1"/>
                <w:color w:val="243782"/>
              </w:rPr>
              <w:t>Financial securities</w:t>
            </w:r>
          </w:p>
        </w:tc>
        <w:tc>
          <w:tcPr>
            <w:tcW w:w="1580" w:type="dxa"/>
            <w:vAlign w:val="bottom"/>
            <w:tcBorders>
              <w:bottom w:val="single" w:sz="8" w:color="143A84"/>
            </w:tcBorders>
          </w:tcPr>
          <w:p>
            <w:pPr>
              <w:jc w:val="center"/>
              <w:ind w:right="101"/>
              <w:spacing w:after="0"/>
              <w:rPr>
                <w:sz w:val="20"/>
                <w:szCs w:val="20"/>
                <w:color w:val="auto"/>
              </w:rPr>
            </w:pPr>
            <w:r>
              <w:rPr>
                <w:rFonts w:ascii="Arial" w:cs="Arial" w:eastAsia="Arial" w:hAnsi="Arial"/>
                <w:sz w:val="14"/>
                <w:szCs w:val="14"/>
                <w:b w:val="1"/>
                <w:bCs w:val="1"/>
                <w:color w:val="243782"/>
              </w:rPr>
              <w:t>assets/(liabilities)</w:t>
            </w:r>
          </w:p>
        </w:tc>
        <w:tc>
          <w:tcPr>
            <w:tcW w:w="132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Other receivables</w:t>
            </w:r>
          </w:p>
        </w:tc>
        <w:tc>
          <w:tcPr>
            <w:tcW w:w="20" w:type="dxa"/>
            <w:vAlign w:val="bottom"/>
          </w:tcPr>
          <w:p>
            <w:pPr>
              <w:spacing w:after="0"/>
              <w:rPr>
                <w:sz w:val="17"/>
                <w:szCs w:val="17"/>
                <w:color w:val="auto"/>
              </w:rPr>
            </w:pPr>
          </w:p>
        </w:tc>
      </w:tr>
      <w:tr>
        <w:trPr>
          <w:trHeight w:val="253"/>
        </w:trPr>
        <w:tc>
          <w:tcPr>
            <w:tcW w:w="51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At July 1</w:t>
            </w:r>
          </w:p>
        </w:tc>
        <w:tc>
          <w:tcPr>
            <w:tcW w:w="1400" w:type="dxa"/>
            <w:vAlign w:val="bottom"/>
            <w:tcBorders>
              <w:bottom w:val="single" w:sz="8" w:color="8E939F"/>
            </w:tcBorders>
            <w:gridSpan w:val="2"/>
            <w:shd w:val="clear" w:color="auto" w:fill="F3F3F9"/>
          </w:tcPr>
          <w:p>
            <w:pPr>
              <w:jc w:val="right"/>
              <w:ind w:right="2"/>
              <w:spacing w:after="0"/>
              <w:rPr>
                <w:sz w:val="20"/>
                <w:szCs w:val="20"/>
                <w:color w:val="auto"/>
              </w:rPr>
            </w:pPr>
            <w:r>
              <w:rPr>
                <w:rFonts w:ascii="Arial" w:cs="Arial" w:eastAsia="Arial" w:hAnsi="Arial"/>
                <w:sz w:val="16"/>
                <w:szCs w:val="16"/>
                <w:b w:val="1"/>
                <w:bCs w:val="1"/>
                <w:color w:val="243782"/>
              </w:rPr>
              <w:t>2</w:t>
            </w:r>
          </w:p>
        </w:tc>
        <w:tc>
          <w:tcPr>
            <w:tcW w:w="158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b w:val="1"/>
                <w:bCs w:val="1"/>
                <w:color w:val="243782"/>
              </w:rPr>
              <w:t>595</w:t>
            </w:r>
          </w:p>
        </w:tc>
        <w:tc>
          <w:tcPr>
            <w:tcW w:w="1580" w:type="dxa"/>
            <w:vAlign w:val="bottom"/>
            <w:tcBorders>
              <w:bottom w:val="single" w:sz="8" w:color="8E939F"/>
            </w:tcBorders>
            <w:shd w:val="clear" w:color="auto" w:fill="F3F3F9"/>
          </w:tcPr>
          <w:p>
            <w:pPr>
              <w:jc w:val="right"/>
              <w:ind w:right="181"/>
              <w:spacing w:after="0"/>
              <w:rPr>
                <w:sz w:val="20"/>
                <w:szCs w:val="20"/>
                <w:color w:val="auto"/>
              </w:rPr>
            </w:pPr>
            <w:r>
              <w:rPr>
                <w:rFonts w:ascii="Arial" w:cs="Arial" w:eastAsia="Arial" w:hAnsi="Arial"/>
                <w:sz w:val="16"/>
                <w:szCs w:val="16"/>
                <w:b w:val="1"/>
                <w:bCs w:val="1"/>
                <w:color w:val="243782"/>
              </w:rPr>
              <w:t>—</w:t>
            </w:r>
          </w:p>
        </w:tc>
        <w:tc>
          <w:tcPr>
            <w:tcW w:w="1320" w:type="dxa"/>
            <w:vAlign w:val="bottom"/>
            <w:tcBorders>
              <w:bottom w:val="single" w:sz="8" w:color="8E939F"/>
            </w:tcBorders>
            <w:shd w:val="clear" w:color="auto" w:fill="F3F3F9"/>
          </w:tcPr>
          <w:p>
            <w:pPr>
              <w:ind w:left="1080"/>
              <w:spacing w:after="0"/>
              <w:rPr>
                <w:sz w:val="20"/>
                <w:szCs w:val="20"/>
                <w:color w:val="auto"/>
              </w:rPr>
            </w:pPr>
            <w:r>
              <w:rPr>
                <w:rFonts w:ascii="Arial" w:cs="Arial" w:eastAsia="Arial" w:hAnsi="Arial"/>
                <w:sz w:val="16"/>
                <w:szCs w:val="16"/>
                <w:b w:val="1"/>
                <w:bCs w:val="1"/>
                <w:color w:val="243782"/>
              </w:rPr>
              <w:t>—</w:t>
            </w:r>
          </w:p>
        </w:tc>
        <w:tc>
          <w:tcPr>
            <w:tcW w:w="20" w:type="dxa"/>
            <w:vAlign w:val="bottom"/>
          </w:tcPr>
          <w:p>
            <w:pPr>
              <w:spacing w:after="0"/>
              <w:rPr>
                <w:sz w:val="21"/>
                <w:szCs w:val="21"/>
                <w:color w:val="auto"/>
              </w:rPr>
            </w:pPr>
          </w:p>
        </w:tc>
      </w:tr>
      <w:tr>
        <w:trPr>
          <w:trHeight w:val="247"/>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Consolidated Income Statement</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Other comprehensive income/(loss)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Issues/(Settlements)</w:t>
            </w:r>
          </w:p>
        </w:tc>
        <w:tc>
          <w:tcPr>
            <w:tcW w:w="1400" w:type="dxa"/>
            <w:vAlign w:val="bottom"/>
            <w:tcBorders>
              <w:bottom w:val="single" w:sz="8" w:color="8E939F"/>
            </w:tcBorders>
            <w:gridSpan w:val="2"/>
          </w:tcPr>
          <w:p>
            <w:pPr>
              <w:jc w:val="right"/>
              <w:ind w:right="2"/>
              <w:spacing w:after="0"/>
              <w:rPr>
                <w:sz w:val="20"/>
                <w:szCs w:val="20"/>
                <w:color w:val="auto"/>
              </w:rPr>
            </w:pPr>
            <w:r>
              <w:rPr>
                <w:rFonts w:ascii="Arial" w:cs="Arial" w:eastAsia="Arial" w:hAnsi="Arial"/>
                <w:sz w:val="16"/>
                <w:szCs w:val="16"/>
                <w:color w:val="auto"/>
              </w:rPr>
              <w:t>27</w:t>
            </w:r>
          </w:p>
        </w:tc>
        <w:tc>
          <w:tcPr>
            <w:tcW w:w="158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Purchases/(Sales)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(16)</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7"/>
        </w:trPr>
        <w:tc>
          <w:tcPr>
            <w:tcW w:w="516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At September 30</w:t>
            </w:r>
          </w:p>
        </w:tc>
        <w:tc>
          <w:tcPr>
            <w:tcW w:w="1400" w:type="dxa"/>
            <w:vAlign w:val="bottom"/>
            <w:gridSpan w:val="2"/>
            <w:shd w:val="clear" w:color="auto" w:fill="E6E7F4"/>
          </w:tcPr>
          <w:p>
            <w:pPr>
              <w:jc w:val="right"/>
              <w:ind w:right="2"/>
              <w:spacing w:after="0"/>
              <w:rPr>
                <w:sz w:val="20"/>
                <w:szCs w:val="20"/>
                <w:color w:val="auto"/>
              </w:rPr>
            </w:pPr>
            <w:r>
              <w:rPr>
                <w:rFonts w:ascii="Arial" w:cs="Arial" w:eastAsia="Arial" w:hAnsi="Arial"/>
                <w:sz w:val="16"/>
                <w:szCs w:val="16"/>
                <w:b w:val="1"/>
                <w:bCs w:val="1"/>
                <w:color w:val="243782"/>
              </w:rPr>
              <w:t>29</w:t>
            </w:r>
          </w:p>
        </w:tc>
        <w:tc>
          <w:tcPr>
            <w:tcW w:w="1580" w:type="dxa"/>
            <w:vAlign w:val="bottom"/>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573</w:t>
            </w:r>
          </w:p>
        </w:tc>
        <w:tc>
          <w:tcPr>
            <w:tcW w:w="1580" w:type="dxa"/>
            <w:vAlign w:val="bottom"/>
            <w:shd w:val="clear" w:color="auto" w:fill="E6E7F4"/>
          </w:tcPr>
          <w:p>
            <w:pPr>
              <w:jc w:val="right"/>
              <w:ind w:right="181"/>
              <w:spacing w:after="0"/>
              <w:rPr>
                <w:sz w:val="20"/>
                <w:szCs w:val="20"/>
                <w:color w:val="auto"/>
              </w:rPr>
            </w:pPr>
            <w:r>
              <w:rPr>
                <w:rFonts w:ascii="Arial" w:cs="Arial" w:eastAsia="Arial" w:hAnsi="Arial"/>
                <w:sz w:val="16"/>
                <w:szCs w:val="16"/>
                <w:b w:val="1"/>
                <w:bCs w:val="1"/>
                <w:color w:val="243782"/>
              </w:rPr>
              <w:t>3</w:t>
            </w:r>
          </w:p>
        </w:tc>
        <w:tc>
          <w:tcPr>
            <w:tcW w:w="1320" w:type="dxa"/>
            <w:vAlign w:val="bottom"/>
            <w:shd w:val="clear" w:color="auto" w:fill="E6E7F4"/>
          </w:tcPr>
          <w:p>
            <w:pPr>
              <w:ind w:left="1080"/>
              <w:spacing w:after="0"/>
              <w:rPr>
                <w:sz w:val="20"/>
                <w:szCs w:val="20"/>
                <w:color w:val="auto"/>
              </w:rPr>
            </w:pPr>
            <w:r>
              <w:rPr>
                <w:rFonts w:ascii="Arial" w:cs="Arial" w:eastAsia="Arial" w:hAnsi="Arial"/>
                <w:sz w:val="16"/>
                <w:szCs w:val="16"/>
                <w:b w:val="1"/>
                <w:bCs w:val="1"/>
                <w:color w:val="243782"/>
              </w:rPr>
              <w:t>—</w:t>
            </w:r>
          </w:p>
        </w:tc>
        <w:tc>
          <w:tcPr>
            <w:tcW w:w="20" w:type="dxa"/>
            <w:vAlign w:val="bottom"/>
          </w:tcPr>
          <w:p>
            <w:pPr>
              <w:spacing w:after="0"/>
              <w:rPr>
                <w:sz w:val="22"/>
                <w:szCs w:val="22"/>
                <w:color w:val="auto"/>
              </w:rPr>
            </w:pPr>
          </w:p>
        </w:tc>
      </w:tr>
      <w:tr>
        <w:trPr>
          <w:trHeight w:val="493"/>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Borders>
              <w:bottom w:val="single" w:sz="8" w:color="8E939F"/>
            </w:tcBorders>
          </w:tcPr>
          <w:p>
            <w:pPr>
              <w:spacing w:after="0"/>
              <w:rPr>
                <w:sz w:val="24"/>
                <w:szCs w:val="24"/>
                <w:color w:val="auto"/>
              </w:rPr>
            </w:pPr>
          </w:p>
        </w:tc>
        <w:tc>
          <w:tcPr>
            <w:tcW w:w="316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b w:val="1"/>
                <w:bCs w:val="1"/>
                <w:color w:val="243782"/>
              </w:rPr>
              <w:t>Three months ended September 30, 2025</w:t>
            </w:r>
          </w:p>
        </w:tc>
        <w:tc>
          <w:tcPr>
            <w:tcW w:w="1320" w:type="dxa"/>
            <w:vAlign w:val="bottom"/>
            <w:tcBorders>
              <w:bottom w:val="single" w:sz="8" w:color="8E939F"/>
            </w:tcBorders>
          </w:tcPr>
          <w:p>
            <w:pPr>
              <w:spacing w:after="0"/>
              <w:rPr>
                <w:sz w:val="24"/>
                <w:szCs w:val="24"/>
                <w:color w:val="auto"/>
              </w:rPr>
            </w:pPr>
          </w:p>
        </w:tc>
        <w:tc>
          <w:tcPr>
            <w:tcW w:w="20" w:type="dxa"/>
            <w:vAlign w:val="bottom"/>
            <w:tcBorders>
              <w:bottom w:val="single" w:sz="8" w:color="8E939F"/>
            </w:tcBorders>
          </w:tcPr>
          <w:p>
            <w:pPr>
              <w:spacing w:after="0"/>
              <w:rPr>
                <w:sz w:val="24"/>
                <w:szCs w:val="24"/>
                <w:color w:val="auto"/>
              </w:rPr>
            </w:pPr>
          </w:p>
        </w:tc>
      </w:tr>
      <w:tr>
        <w:trPr>
          <w:trHeight w:val="234"/>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243782"/>
              </w:rPr>
              <w:t>Receivables from</w:t>
            </w:r>
          </w:p>
        </w:tc>
        <w:tc>
          <w:tcPr>
            <w:tcW w:w="1580" w:type="dxa"/>
            <w:vAlign w:val="bottom"/>
          </w:tcPr>
          <w:p>
            <w:pPr>
              <w:spacing w:after="0"/>
              <w:rPr>
                <w:sz w:val="20"/>
                <w:szCs w:val="20"/>
                <w:color w:val="auto"/>
              </w:rPr>
            </w:pPr>
          </w:p>
        </w:tc>
        <w:tc>
          <w:tcPr>
            <w:tcW w:w="1580" w:type="dxa"/>
            <w:vAlign w:val="bottom"/>
          </w:tcPr>
          <w:p>
            <w:pPr>
              <w:jc w:val="right"/>
              <w:ind w:right="421"/>
              <w:spacing w:after="0"/>
              <w:rPr>
                <w:sz w:val="20"/>
                <w:szCs w:val="20"/>
                <w:color w:val="auto"/>
              </w:rPr>
            </w:pPr>
            <w:r>
              <w:rPr>
                <w:rFonts w:ascii="Arial" w:cs="Arial" w:eastAsia="Arial" w:hAnsi="Arial"/>
                <w:sz w:val="14"/>
                <w:szCs w:val="14"/>
                <w:b w:val="1"/>
                <w:bCs w:val="1"/>
                <w:color w:val="243782"/>
              </w:rPr>
              <w:t>Derivative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160" w:type="dxa"/>
            <w:vAlign w:val="bottom"/>
            <w:tcBorders>
              <w:bottom w:val="single" w:sz="8" w:color="143A84"/>
            </w:tcBorders>
          </w:tcPr>
          <w:p>
            <w:pPr>
              <w:spacing w:after="0"/>
              <w:rPr>
                <w:sz w:val="17"/>
                <w:szCs w:val="17"/>
                <w:color w:val="auto"/>
              </w:rPr>
            </w:pPr>
          </w:p>
        </w:tc>
        <w:tc>
          <w:tcPr>
            <w:tcW w:w="40" w:type="dxa"/>
            <w:vAlign w:val="bottom"/>
            <w:tcBorders>
              <w:bottom w:val="single" w:sz="8" w:color="143A84"/>
            </w:tcBorders>
          </w:tcPr>
          <w:p>
            <w:pPr>
              <w:spacing w:after="0"/>
              <w:rPr>
                <w:sz w:val="17"/>
                <w:szCs w:val="17"/>
                <w:color w:val="auto"/>
              </w:rPr>
            </w:pPr>
          </w:p>
        </w:tc>
        <w:tc>
          <w:tcPr>
            <w:tcW w:w="136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243782"/>
              </w:rPr>
              <w:t>financing activities</w:t>
            </w:r>
          </w:p>
        </w:tc>
        <w:tc>
          <w:tcPr>
            <w:tcW w:w="1580" w:type="dxa"/>
            <w:vAlign w:val="bottom"/>
            <w:tcBorders>
              <w:bottom w:val="single" w:sz="8" w:color="143A84"/>
            </w:tcBorders>
          </w:tcPr>
          <w:p>
            <w:pPr>
              <w:jc w:val="right"/>
              <w:ind w:right="20"/>
              <w:spacing w:after="0"/>
              <w:rPr>
                <w:sz w:val="20"/>
                <w:szCs w:val="20"/>
                <w:color w:val="auto"/>
              </w:rPr>
            </w:pPr>
            <w:r>
              <w:rPr>
                <w:rFonts w:ascii="Arial" w:cs="Arial" w:eastAsia="Arial" w:hAnsi="Arial"/>
                <w:sz w:val="14"/>
                <w:szCs w:val="14"/>
                <w:b w:val="1"/>
                <w:bCs w:val="1"/>
                <w:color w:val="243782"/>
              </w:rPr>
              <w:t>Financial securities</w:t>
            </w:r>
          </w:p>
        </w:tc>
        <w:tc>
          <w:tcPr>
            <w:tcW w:w="1580" w:type="dxa"/>
            <w:vAlign w:val="bottom"/>
            <w:tcBorders>
              <w:bottom w:val="single" w:sz="8" w:color="143A84"/>
            </w:tcBorders>
          </w:tcPr>
          <w:p>
            <w:pPr>
              <w:jc w:val="right"/>
              <w:ind w:right="161"/>
              <w:spacing w:after="0"/>
              <w:rPr>
                <w:sz w:val="20"/>
                <w:szCs w:val="20"/>
                <w:color w:val="auto"/>
              </w:rPr>
            </w:pPr>
            <w:r>
              <w:rPr>
                <w:rFonts w:ascii="Arial" w:cs="Arial" w:eastAsia="Arial" w:hAnsi="Arial"/>
                <w:sz w:val="14"/>
                <w:szCs w:val="14"/>
                <w:b w:val="1"/>
                <w:bCs w:val="1"/>
                <w:color w:val="243782"/>
              </w:rPr>
              <w:t>assets/(liabilities)</w:t>
            </w:r>
          </w:p>
        </w:tc>
        <w:tc>
          <w:tcPr>
            <w:tcW w:w="1320" w:type="dxa"/>
            <w:vAlign w:val="bottom"/>
            <w:tcBorders>
              <w:bottom w:val="single" w:sz="8" w:color="143A84"/>
            </w:tcBorders>
          </w:tcPr>
          <w:p>
            <w:pPr>
              <w:ind w:left="40"/>
              <w:spacing w:after="0"/>
              <w:rPr>
                <w:sz w:val="20"/>
                <w:szCs w:val="20"/>
                <w:color w:val="auto"/>
              </w:rPr>
            </w:pPr>
            <w:r>
              <w:rPr>
                <w:rFonts w:ascii="Arial" w:cs="Arial" w:eastAsia="Arial" w:hAnsi="Arial"/>
                <w:sz w:val="14"/>
                <w:szCs w:val="14"/>
                <w:b w:val="1"/>
                <w:bCs w:val="1"/>
                <w:color w:val="243782"/>
              </w:rPr>
              <w:t>Other receivables</w:t>
            </w:r>
          </w:p>
        </w:tc>
        <w:tc>
          <w:tcPr>
            <w:tcW w:w="20" w:type="dxa"/>
            <w:vAlign w:val="bottom"/>
            <w:tcBorders>
              <w:bottom w:val="single" w:sz="8" w:color="143A84"/>
            </w:tcBorders>
          </w:tcPr>
          <w:p>
            <w:pPr>
              <w:spacing w:after="0"/>
              <w:rPr>
                <w:sz w:val="17"/>
                <w:szCs w:val="17"/>
                <w:color w:val="auto"/>
              </w:rPr>
            </w:pPr>
          </w:p>
        </w:tc>
      </w:tr>
      <w:tr>
        <w:trPr>
          <w:trHeight w:val="253"/>
        </w:trPr>
        <w:tc>
          <w:tcPr>
            <w:tcW w:w="51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At July 1</w:t>
            </w:r>
          </w:p>
        </w:tc>
        <w:tc>
          <w:tcPr>
            <w:tcW w:w="1400" w:type="dxa"/>
            <w:vAlign w:val="bottom"/>
            <w:tcBorders>
              <w:bottom w:val="single" w:sz="8" w:color="8E939F"/>
            </w:tcBorders>
            <w:gridSpan w:val="2"/>
            <w:shd w:val="clear" w:color="auto" w:fill="F3F3F9"/>
          </w:tcPr>
          <w:p>
            <w:pPr>
              <w:jc w:val="right"/>
              <w:spacing w:after="0"/>
              <w:rPr>
                <w:sz w:val="20"/>
                <w:szCs w:val="20"/>
                <w:color w:val="auto"/>
              </w:rPr>
            </w:pPr>
            <w:r>
              <w:rPr>
                <w:rFonts w:ascii="Arial" w:cs="Arial" w:eastAsia="Arial" w:hAnsi="Arial"/>
                <w:sz w:val="16"/>
                <w:szCs w:val="16"/>
                <w:b w:val="1"/>
                <w:bCs w:val="1"/>
                <w:color w:val="243782"/>
              </w:rPr>
              <w:t>109</w:t>
            </w:r>
          </w:p>
        </w:tc>
        <w:tc>
          <w:tcPr>
            <w:tcW w:w="1580" w:type="dxa"/>
            <w:vAlign w:val="bottom"/>
            <w:tcBorders>
              <w:bottom w:val="single" w:sz="8" w:color="8E939F"/>
            </w:tcBorders>
            <w:shd w:val="clear" w:color="auto" w:fill="F3F3F9"/>
          </w:tcPr>
          <w:p>
            <w:pPr>
              <w:jc w:val="right"/>
              <w:ind w:right="60"/>
              <w:spacing w:after="0"/>
              <w:rPr>
                <w:sz w:val="20"/>
                <w:szCs w:val="20"/>
                <w:color w:val="auto"/>
              </w:rPr>
            </w:pPr>
            <w:r>
              <w:rPr>
                <w:rFonts w:ascii="Arial" w:cs="Arial" w:eastAsia="Arial" w:hAnsi="Arial"/>
                <w:sz w:val="16"/>
                <w:szCs w:val="16"/>
                <w:b w:val="1"/>
                <w:bCs w:val="1"/>
                <w:color w:val="243782"/>
              </w:rPr>
              <w:t>908</w:t>
            </w:r>
          </w:p>
        </w:tc>
        <w:tc>
          <w:tcPr>
            <w:tcW w:w="1580" w:type="dxa"/>
            <w:vAlign w:val="bottom"/>
            <w:tcBorders>
              <w:bottom w:val="single" w:sz="8" w:color="8E939F"/>
            </w:tcBorders>
            <w:shd w:val="clear" w:color="auto" w:fill="F3F3F9"/>
          </w:tcPr>
          <w:p>
            <w:pPr>
              <w:jc w:val="right"/>
              <w:ind w:right="141"/>
              <w:spacing w:after="0"/>
              <w:rPr>
                <w:sz w:val="20"/>
                <w:szCs w:val="20"/>
                <w:color w:val="auto"/>
              </w:rPr>
            </w:pPr>
            <w:r>
              <w:rPr>
                <w:rFonts w:ascii="Arial" w:cs="Arial" w:eastAsia="Arial" w:hAnsi="Arial"/>
                <w:sz w:val="16"/>
                <w:szCs w:val="16"/>
                <w:b w:val="1"/>
                <w:bCs w:val="1"/>
                <w:color w:val="243782"/>
              </w:rPr>
              <w:t>1</w:t>
            </w:r>
          </w:p>
        </w:tc>
        <w:tc>
          <w:tcPr>
            <w:tcW w:w="1320" w:type="dxa"/>
            <w:vAlign w:val="bottom"/>
            <w:tcBorders>
              <w:bottom w:val="single" w:sz="8" w:color="8E939F"/>
            </w:tcBorders>
            <w:shd w:val="clear" w:color="auto" w:fill="F3F3F9"/>
          </w:tcPr>
          <w:p>
            <w:pPr>
              <w:ind w:left="1120"/>
              <w:spacing w:after="0"/>
              <w:rPr>
                <w:sz w:val="20"/>
                <w:szCs w:val="20"/>
                <w:color w:val="auto"/>
              </w:rPr>
            </w:pPr>
            <w:r>
              <w:rPr>
                <w:rFonts w:ascii="Arial" w:cs="Arial" w:eastAsia="Arial" w:hAnsi="Arial"/>
                <w:sz w:val="16"/>
                <w:szCs w:val="16"/>
                <w:b w:val="1"/>
                <w:bCs w:val="1"/>
                <w:color w:val="243782"/>
              </w:rPr>
              <w:t>—</w:t>
            </w:r>
          </w:p>
        </w:tc>
        <w:tc>
          <w:tcPr>
            <w:tcW w:w="20" w:type="dxa"/>
            <w:vAlign w:val="bottom"/>
            <w:tcBorders>
              <w:bottom w:val="single" w:sz="8" w:color="8E939F"/>
            </w:tcBorders>
            <w:shd w:val="clear" w:color="auto" w:fill="F3F3F9"/>
          </w:tcPr>
          <w:p>
            <w:pPr>
              <w:spacing w:after="0"/>
              <w:rPr>
                <w:sz w:val="21"/>
                <w:szCs w:val="21"/>
                <w:color w:val="auto"/>
              </w:rPr>
            </w:pPr>
          </w:p>
        </w:tc>
      </w:tr>
      <w:tr>
        <w:trPr>
          <w:trHeight w:val="247"/>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Consolidated Income Statement</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20"/>
              <w:spacing w:after="0"/>
              <w:rPr>
                <w:sz w:val="20"/>
                <w:szCs w:val="20"/>
                <w:color w:val="auto"/>
              </w:rPr>
            </w:pPr>
            <w:r>
              <w:rPr>
                <w:rFonts w:ascii="Arial" w:cs="Arial" w:eastAsia="Arial" w:hAnsi="Arial"/>
                <w:sz w:val="16"/>
                <w:szCs w:val="16"/>
                <w:color w:val="auto"/>
              </w:rPr>
              <w:t>(104)</w:t>
            </w:r>
          </w:p>
        </w:tc>
        <w:tc>
          <w:tcPr>
            <w:tcW w:w="158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E939F"/>
            </w:tcBorders>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Other comprehensive income/(loss)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20"/>
              <w:spacing w:after="0"/>
              <w:rPr>
                <w:sz w:val="20"/>
                <w:szCs w:val="20"/>
                <w:color w:val="auto"/>
              </w:rPr>
            </w:pPr>
            <w:r>
              <w:rPr>
                <w:rFonts w:ascii="Arial" w:cs="Arial" w:eastAsia="Arial" w:hAnsi="Arial"/>
                <w:sz w:val="16"/>
                <w:szCs w:val="16"/>
                <w:color w:val="auto"/>
              </w:rPr>
              <w:t>(35)</w:t>
            </w:r>
          </w:p>
        </w:tc>
        <w:tc>
          <w:tcPr>
            <w:tcW w:w="158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8E939F"/>
            </w:tcBorders>
          </w:tcPr>
          <w:p>
            <w:pPr>
              <w:ind w:left="1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E939F"/>
            </w:tcBorders>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Issues/(Settlements)</w:t>
            </w:r>
          </w:p>
        </w:tc>
        <w:tc>
          <w:tcPr>
            <w:tcW w:w="140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color w:val="auto"/>
              </w:rPr>
              <w:t>68</w:t>
            </w:r>
          </w:p>
        </w:tc>
        <w:tc>
          <w:tcPr>
            <w:tcW w:w="1580" w:type="dxa"/>
            <w:vAlign w:val="bottom"/>
            <w:tcBorders>
              <w:bottom w:val="single" w:sz="8" w:color="8E939F"/>
            </w:tcBorders>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E939F"/>
            </w:tcBorders>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Purchases/(Sales)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20"/>
              <w:spacing w:after="0"/>
              <w:rPr>
                <w:sz w:val="20"/>
                <w:szCs w:val="20"/>
                <w:color w:val="auto"/>
              </w:rPr>
            </w:pPr>
            <w:r>
              <w:rPr>
                <w:rFonts w:ascii="Arial" w:cs="Arial" w:eastAsia="Arial" w:hAnsi="Arial"/>
                <w:sz w:val="16"/>
                <w:szCs w:val="16"/>
                <w:color w:val="auto"/>
              </w:rPr>
              <w:t>(37)</w:t>
            </w:r>
          </w:p>
        </w:tc>
        <w:tc>
          <w:tcPr>
            <w:tcW w:w="158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E939F"/>
            </w:tcBorders>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Transfers (from)/to level 3</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8E939F"/>
            </w:tcBorders>
          </w:tcPr>
          <w:p>
            <w:pPr>
              <w:ind w:left="1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8E939F"/>
            </w:tcBorders>
          </w:tcPr>
          <w:p>
            <w:pPr>
              <w:spacing w:after="0"/>
              <w:rPr>
                <w:sz w:val="21"/>
                <w:szCs w:val="21"/>
                <w:color w:val="auto"/>
              </w:rPr>
            </w:pPr>
          </w:p>
        </w:tc>
      </w:tr>
      <w:tr>
        <w:trPr>
          <w:trHeight w:val="256"/>
        </w:trPr>
        <w:tc>
          <w:tcPr>
            <w:tcW w:w="516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At September 30</w:t>
            </w:r>
          </w:p>
        </w:tc>
        <w:tc>
          <w:tcPr>
            <w:tcW w:w="1400" w:type="dxa"/>
            <w:vAlign w:val="bottom"/>
            <w:gridSpan w:val="2"/>
            <w:shd w:val="clear" w:color="auto" w:fill="E6E7F4"/>
          </w:tcPr>
          <w:p>
            <w:pPr>
              <w:jc w:val="right"/>
              <w:spacing w:after="0"/>
              <w:rPr>
                <w:sz w:val="20"/>
                <w:szCs w:val="20"/>
                <w:color w:val="auto"/>
              </w:rPr>
            </w:pPr>
            <w:r>
              <w:rPr>
                <w:rFonts w:ascii="Arial" w:cs="Arial" w:eastAsia="Arial" w:hAnsi="Arial"/>
                <w:sz w:val="16"/>
                <w:szCs w:val="16"/>
                <w:b w:val="1"/>
                <w:bCs w:val="1"/>
                <w:color w:val="243782"/>
              </w:rPr>
              <w:t>177</w:t>
            </w:r>
          </w:p>
        </w:tc>
        <w:tc>
          <w:tcPr>
            <w:tcW w:w="1580" w:type="dxa"/>
            <w:vAlign w:val="bottom"/>
            <w:shd w:val="clear" w:color="auto" w:fill="E6E7F4"/>
          </w:tcPr>
          <w:p>
            <w:pPr>
              <w:jc w:val="right"/>
              <w:ind w:right="60"/>
              <w:spacing w:after="0"/>
              <w:rPr>
                <w:sz w:val="20"/>
                <w:szCs w:val="20"/>
                <w:color w:val="auto"/>
              </w:rPr>
            </w:pPr>
            <w:r>
              <w:rPr>
                <w:rFonts w:ascii="Arial" w:cs="Arial" w:eastAsia="Arial" w:hAnsi="Arial"/>
                <w:sz w:val="16"/>
                <w:szCs w:val="16"/>
                <w:b w:val="1"/>
                <w:bCs w:val="1"/>
                <w:color w:val="243782"/>
              </w:rPr>
              <w:t>732</w:t>
            </w:r>
          </w:p>
        </w:tc>
        <w:tc>
          <w:tcPr>
            <w:tcW w:w="1580" w:type="dxa"/>
            <w:vAlign w:val="bottom"/>
            <w:shd w:val="clear" w:color="auto" w:fill="E6E7F4"/>
          </w:tcPr>
          <w:p>
            <w:pPr>
              <w:jc w:val="right"/>
              <w:ind w:right="141"/>
              <w:spacing w:after="0"/>
              <w:rPr>
                <w:sz w:val="20"/>
                <w:szCs w:val="20"/>
                <w:color w:val="auto"/>
              </w:rPr>
            </w:pPr>
            <w:r>
              <w:rPr>
                <w:rFonts w:ascii="Arial" w:cs="Arial" w:eastAsia="Arial" w:hAnsi="Arial"/>
                <w:sz w:val="16"/>
                <w:szCs w:val="16"/>
                <w:b w:val="1"/>
                <w:bCs w:val="1"/>
                <w:color w:val="243782"/>
              </w:rPr>
              <w:t>5</w:t>
            </w:r>
          </w:p>
        </w:tc>
        <w:tc>
          <w:tcPr>
            <w:tcW w:w="1320" w:type="dxa"/>
            <w:vAlign w:val="bottom"/>
            <w:shd w:val="clear" w:color="auto" w:fill="E6E7F4"/>
          </w:tcPr>
          <w:p>
            <w:pPr>
              <w:ind w:left="1120"/>
              <w:spacing w:after="0"/>
              <w:rPr>
                <w:sz w:val="20"/>
                <w:szCs w:val="20"/>
                <w:color w:val="auto"/>
              </w:rPr>
            </w:pPr>
            <w:r>
              <w:rPr>
                <w:rFonts w:ascii="Arial" w:cs="Arial" w:eastAsia="Arial" w:hAnsi="Arial"/>
                <w:sz w:val="16"/>
                <w:szCs w:val="16"/>
                <w:b w:val="1"/>
                <w:bCs w:val="1"/>
                <w:color w:val="243782"/>
              </w:rPr>
              <w:t>—</w:t>
            </w:r>
          </w:p>
        </w:tc>
        <w:tc>
          <w:tcPr>
            <w:tcW w:w="20" w:type="dxa"/>
            <w:vAlign w:val="bottom"/>
            <w:shd w:val="clear" w:color="auto" w:fill="E6E7F4"/>
          </w:tcPr>
          <w:p>
            <w:pPr>
              <w:spacing w:after="0"/>
              <w:rPr>
                <w:sz w:val="22"/>
                <w:szCs w:val="22"/>
                <w:color w:val="auto"/>
              </w:rPr>
            </w:pPr>
          </w:p>
        </w:tc>
      </w:tr>
      <w:tr>
        <w:trPr>
          <w:trHeight w:val="588"/>
        </w:trPr>
        <w:tc>
          <w:tcPr>
            <w:tcW w:w="5160" w:type="dxa"/>
            <w:vAlign w:val="bottom"/>
          </w:tcPr>
          <w:p>
            <w:pPr>
              <w:spacing w:after="0"/>
              <w:rPr>
                <w:sz w:val="24"/>
                <w:szCs w:val="24"/>
                <w:color w:val="auto"/>
              </w:rPr>
            </w:pPr>
          </w:p>
        </w:tc>
        <w:tc>
          <w:tcPr>
            <w:tcW w:w="40" w:type="dxa"/>
            <w:vAlign w:val="bottom"/>
            <w:tcBorders>
              <w:bottom w:val="single" w:sz="8" w:color="8E939F"/>
            </w:tcBorders>
          </w:tcPr>
          <w:p>
            <w:pPr>
              <w:spacing w:after="0"/>
              <w:rPr>
                <w:sz w:val="24"/>
                <w:szCs w:val="24"/>
                <w:color w:val="auto"/>
              </w:rPr>
            </w:pPr>
          </w:p>
        </w:tc>
        <w:tc>
          <w:tcPr>
            <w:tcW w:w="1360" w:type="dxa"/>
            <w:vAlign w:val="bottom"/>
            <w:tcBorders>
              <w:bottom w:val="single" w:sz="8" w:color="8E939F"/>
            </w:tcBorders>
          </w:tcPr>
          <w:p>
            <w:pPr>
              <w:spacing w:after="0"/>
              <w:rPr>
                <w:sz w:val="24"/>
                <w:szCs w:val="24"/>
                <w:color w:val="auto"/>
              </w:rPr>
            </w:pPr>
          </w:p>
        </w:tc>
        <w:tc>
          <w:tcPr>
            <w:tcW w:w="3160" w:type="dxa"/>
            <w:vAlign w:val="bottom"/>
            <w:tcBorders>
              <w:bottom w:val="single" w:sz="8" w:color="8E939F"/>
            </w:tcBorders>
            <w:gridSpan w:val="2"/>
          </w:tcPr>
          <w:p>
            <w:pPr>
              <w:jc w:val="right"/>
              <w:ind w:right="1"/>
              <w:spacing w:after="0"/>
              <w:rPr>
                <w:sz w:val="20"/>
                <w:szCs w:val="20"/>
                <w:color w:val="auto"/>
              </w:rPr>
            </w:pPr>
            <w:r>
              <w:rPr>
                <w:rFonts w:ascii="Arial" w:cs="Arial" w:eastAsia="Arial" w:hAnsi="Arial"/>
                <w:sz w:val="16"/>
                <w:szCs w:val="16"/>
                <w:b w:val="1"/>
                <w:bCs w:val="1"/>
                <w:color w:val="243782"/>
              </w:rPr>
              <w:t>Nine months ended September 30, 2026</w:t>
            </w:r>
          </w:p>
        </w:tc>
        <w:tc>
          <w:tcPr>
            <w:tcW w:w="1320" w:type="dxa"/>
            <w:vAlign w:val="bottom"/>
            <w:tcBorders>
              <w:bottom w:val="single" w:sz="8" w:color="8E939F"/>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243782"/>
              </w:rPr>
              <w:t>Receivables from</w:t>
            </w:r>
          </w:p>
        </w:tc>
        <w:tc>
          <w:tcPr>
            <w:tcW w:w="1580" w:type="dxa"/>
            <w:vAlign w:val="bottom"/>
          </w:tcPr>
          <w:p>
            <w:pPr>
              <w:spacing w:after="0"/>
              <w:rPr>
                <w:sz w:val="20"/>
                <w:szCs w:val="20"/>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243782"/>
              </w:rPr>
              <w:t>Derivative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160" w:type="dxa"/>
            <w:vAlign w:val="bottom"/>
            <w:tcBorders>
              <w:bottom w:val="single" w:sz="8" w:color="143A84"/>
            </w:tcBorders>
          </w:tcPr>
          <w:p>
            <w:pPr>
              <w:spacing w:after="0"/>
              <w:rPr>
                <w:sz w:val="17"/>
                <w:szCs w:val="17"/>
                <w:color w:val="auto"/>
              </w:rPr>
            </w:pPr>
          </w:p>
        </w:tc>
        <w:tc>
          <w:tcPr>
            <w:tcW w:w="40" w:type="dxa"/>
            <w:vAlign w:val="bottom"/>
            <w:tcBorders>
              <w:bottom w:val="single" w:sz="8" w:color="143A84"/>
            </w:tcBorders>
          </w:tcPr>
          <w:p>
            <w:pPr>
              <w:spacing w:after="0"/>
              <w:rPr>
                <w:sz w:val="17"/>
                <w:szCs w:val="17"/>
                <w:color w:val="auto"/>
              </w:rPr>
            </w:pPr>
          </w:p>
        </w:tc>
        <w:tc>
          <w:tcPr>
            <w:tcW w:w="1360" w:type="dxa"/>
            <w:vAlign w:val="bottom"/>
            <w:tcBorders>
              <w:bottom w:val="single" w:sz="8" w:color="143A84"/>
            </w:tcBorders>
          </w:tcPr>
          <w:p>
            <w:pPr>
              <w:jc w:val="center"/>
              <w:spacing w:after="0"/>
              <w:rPr>
                <w:sz w:val="20"/>
                <w:szCs w:val="20"/>
                <w:color w:val="auto"/>
              </w:rPr>
            </w:pPr>
            <w:r>
              <w:rPr>
                <w:rFonts w:ascii="Arial" w:cs="Arial" w:eastAsia="Arial" w:hAnsi="Arial"/>
                <w:sz w:val="14"/>
                <w:szCs w:val="14"/>
                <w:b w:val="1"/>
                <w:bCs w:val="1"/>
                <w:color w:val="243782"/>
              </w:rPr>
              <w:t>financing activities</w:t>
            </w:r>
          </w:p>
        </w:tc>
        <w:tc>
          <w:tcPr>
            <w:tcW w:w="1580" w:type="dxa"/>
            <w:vAlign w:val="bottom"/>
            <w:tcBorders>
              <w:bottom w:val="single" w:sz="8" w:color="143A84"/>
            </w:tcBorders>
          </w:tcPr>
          <w:p>
            <w:pPr>
              <w:jc w:val="right"/>
              <w:ind w:right="40"/>
              <w:spacing w:after="0"/>
              <w:rPr>
                <w:sz w:val="20"/>
                <w:szCs w:val="20"/>
                <w:color w:val="auto"/>
              </w:rPr>
            </w:pPr>
            <w:r>
              <w:rPr>
                <w:rFonts w:ascii="Arial" w:cs="Arial" w:eastAsia="Arial" w:hAnsi="Arial"/>
                <w:sz w:val="14"/>
                <w:szCs w:val="14"/>
                <w:b w:val="1"/>
                <w:bCs w:val="1"/>
                <w:color w:val="243782"/>
              </w:rPr>
              <w:t>Financial securities</w:t>
            </w:r>
          </w:p>
        </w:tc>
        <w:tc>
          <w:tcPr>
            <w:tcW w:w="1580" w:type="dxa"/>
            <w:vAlign w:val="bottom"/>
            <w:tcBorders>
              <w:bottom w:val="single" w:sz="8" w:color="143A84"/>
            </w:tcBorders>
          </w:tcPr>
          <w:p>
            <w:pPr>
              <w:jc w:val="center"/>
              <w:ind w:right="101"/>
              <w:spacing w:after="0"/>
              <w:rPr>
                <w:sz w:val="20"/>
                <w:szCs w:val="20"/>
                <w:color w:val="auto"/>
              </w:rPr>
            </w:pPr>
            <w:r>
              <w:rPr>
                <w:rFonts w:ascii="Arial" w:cs="Arial" w:eastAsia="Arial" w:hAnsi="Arial"/>
                <w:sz w:val="14"/>
                <w:szCs w:val="14"/>
                <w:b w:val="1"/>
                <w:bCs w:val="1"/>
                <w:color w:val="243782"/>
              </w:rPr>
              <w:t>assets/(liabilities)</w:t>
            </w:r>
          </w:p>
        </w:tc>
        <w:tc>
          <w:tcPr>
            <w:tcW w:w="1320" w:type="dxa"/>
            <w:vAlign w:val="bottom"/>
            <w:tcBorders>
              <w:bottom w:val="single" w:sz="8" w:color="143A84"/>
            </w:tcBorders>
          </w:tcPr>
          <w:p>
            <w:pPr>
              <w:ind w:left="20"/>
              <w:spacing w:after="0"/>
              <w:rPr>
                <w:sz w:val="20"/>
                <w:szCs w:val="20"/>
                <w:color w:val="auto"/>
              </w:rPr>
            </w:pPr>
            <w:r>
              <w:rPr>
                <w:rFonts w:ascii="Arial" w:cs="Arial" w:eastAsia="Arial" w:hAnsi="Arial"/>
                <w:sz w:val="14"/>
                <w:szCs w:val="14"/>
                <w:b w:val="1"/>
                <w:bCs w:val="1"/>
                <w:color w:val="243782"/>
              </w:rPr>
              <w:t>Other receivables</w:t>
            </w:r>
          </w:p>
        </w:tc>
        <w:tc>
          <w:tcPr>
            <w:tcW w:w="20" w:type="dxa"/>
            <w:vAlign w:val="bottom"/>
          </w:tcPr>
          <w:p>
            <w:pPr>
              <w:spacing w:after="0"/>
              <w:rPr>
                <w:sz w:val="17"/>
                <w:szCs w:val="17"/>
                <w:color w:val="auto"/>
              </w:rPr>
            </w:pPr>
          </w:p>
        </w:tc>
      </w:tr>
      <w:tr>
        <w:trPr>
          <w:trHeight w:val="253"/>
        </w:trPr>
        <w:tc>
          <w:tcPr>
            <w:tcW w:w="516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At January 1</w:t>
            </w:r>
          </w:p>
        </w:tc>
        <w:tc>
          <w:tcPr>
            <w:tcW w:w="1400" w:type="dxa"/>
            <w:vAlign w:val="bottom"/>
            <w:tcBorders>
              <w:bottom w:val="single" w:sz="8" w:color="8E939F"/>
            </w:tcBorders>
            <w:gridSpan w:val="2"/>
            <w:shd w:val="clear" w:color="auto" w:fill="F3F3F9"/>
          </w:tcPr>
          <w:p>
            <w:pPr>
              <w:jc w:val="right"/>
              <w:ind w:right="2"/>
              <w:spacing w:after="0"/>
              <w:rPr>
                <w:sz w:val="20"/>
                <w:szCs w:val="20"/>
                <w:color w:val="auto"/>
              </w:rPr>
            </w:pPr>
            <w:r>
              <w:rPr>
                <w:rFonts w:ascii="Arial" w:cs="Arial" w:eastAsia="Arial" w:hAnsi="Arial"/>
                <w:sz w:val="16"/>
                <w:szCs w:val="16"/>
                <w:b w:val="1"/>
                <w:bCs w:val="1"/>
                <w:color w:val="243782"/>
              </w:rPr>
              <w:t>3</w:t>
            </w:r>
          </w:p>
        </w:tc>
        <w:tc>
          <w:tcPr>
            <w:tcW w:w="1580" w:type="dxa"/>
            <w:vAlign w:val="bottom"/>
            <w:tcBorders>
              <w:bottom w:val="single" w:sz="8" w:color="8E939F"/>
            </w:tcBorders>
            <w:shd w:val="clear" w:color="auto" w:fill="F3F3F9"/>
          </w:tcPr>
          <w:p>
            <w:pPr>
              <w:jc w:val="right"/>
              <w:ind w:right="100"/>
              <w:spacing w:after="0"/>
              <w:rPr>
                <w:sz w:val="20"/>
                <w:szCs w:val="20"/>
                <w:color w:val="auto"/>
              </w:rPr>
            </w:pPr>
            <w:r>
              <w:rPr>
                <w:rFonts w:ascii="Arial" w:cs="Arial" w:eastAsia="Arial" w:hAnsi="Arial"/>
                <w:sz w:val="16"/>
                <w:szCs w:val="16"/>
                <w:b w:val="1"/>
                <w:bCs w:val="1"/>
                <w:color w:val="243782"/>
              </w:rPr>
              <w:t>640</w:t>
            </w:r>
          </w:p>
        </w:tc>
        <w:tc>
          <w:tcPr>
            <w:tcW w:w="1580" w:type="dxa"/>
            <w:vAlign w:val="bottom"/>
            <w:tcBorders>
              <w:bottom w:val="single" w:sz="8" w:color="8E939F"/>
            </w:tcBorders>
            <w:shd w:val="clear" w:color="auto" w:fill="F3F3F9"/>
          </w:tcPr>
          <w:p>
            <w:pPr>
              <w:jc w:val="right"/>
              <w:ind w:right="181"/>
              <w:spacing w:after="0"/>
              <w:rPr>
                <w:sz w:val="20"/>
                <w:szCs w:val="20"/>
                <w:color w:val="auto"/>
              </w:rPr>
            </w:pPr>
            <w:r>
              <w:rPr>
                <w:rFonts w:ascii="Arial" w:cs="Arial" w:eastAsia="Arial" w:hAnsi="Arial"/>
                <w:sz w:val="16"/>
                <w:szCs w:val="16"/>
                <w:b w:val="1"/>
                <w:bCs w:val="1"/>
                <w:color w:val="243782"/>
              </w:rPr>
              <w:t>10</w:t>
            </w:r>
          </w:p>
        </w:tc>
        <w:tc>
          <w:tcPr>
            <w:tcW w:w="1320" w:type="dxa"/>
            <w:vAlign w:val="bottom"/>
            <w:tcBorders>
              <w:bottom w:val="single" w:sz="8" w:color="8E939F"/>
            </w:tcBorders>
            <w:shd w:val="clear" w:color="auto" w:fill="F3F3F9"/>
          </w:tcPr>
          <w:p>
            <w:pPr>
              <w:ind w:left="1080"/>
              <w:spacing w:after="0"/>
              <w:rPr>
                <w:sz w:val="20"/>
                <w:szCs w:val="20"/>
                <w:color w:val="auto"/>
              </w:rPr>
            </w:pPr>
            <w:r>
              <w:rPr>
                <w:rFonts w:ascii="Arial" w:cs="Arial" w:eastAsia="Arial" w:hAnsi="Arial"/>
                <w:sz w:val="16"/>
                <w:szCs w:val="16"/>
                <w:b w:val="1"/>
                <w:bCs w:val="1"/>
                <w:color w:val="243782"/>
              </w:rPr>
              <w:t>—</w:t>
            </w:r>
          </w:p>
        </w:tc>
        <w:tc>
          <w:tcPr>
            <w:tcW w:w="20" w:type="dxa"/>
            <w:vAlign w:val="bottom"/>
          </w:tcPr>
          <w:p>
            <w:pPr>
              <w:spacing w:after="0"/>
              <w:rPr>
                <w:sz w:val="21"/>
                <w:szCs w:val="21"/>
                <w:color w:val="auto"/>
              </w:rPr>
            </w:pPr>
          </w:p>
        </w:tc>
      </w:tr>
      <w:tr>
        <w:trPr>
          <w:trHeight w:val="247"/>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Consolidated Income Statement</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(11)</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Other comprehensive income/(loss)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8E939F"/>
            </w:tcBorders>
          </w:tcPr>
          <w:p>
            <w:pPr>
              <w:jc w:val="right"/>
              <w:ind w:right="121"/>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Issues/(Settlements)</w:t>
            </w:r>
          </w:p>
        </w:tc>
        <w:tc>
          <w:tcPr>
            <w:tcW w:w="1400" w:type="dxa"/>
            <w:vAlign w:val="bottom"/>
            <w:tcBorders>
              <w:bottom w:val="single" w:sz="8" w:color="8E939F"/>
            </w:tcBorders>
            <w:gridSpan w:val="2"/>
          </w:tcPr>
          <w:p>
            <w:pPr>
              <w:jc w:val="right"/>
              <w:ind w:right="2"/>
              <w:spacing w:after="0"/>
              <w:rPr>
                <w:sz w:val="20"/>
                <w:szCs w:val="20"/>
                <w:color w:val="auto"/>
              </w:rPr>
            </w:pPr>
            <w:r>
              <w:rPr>
                <w:rFonts w:ascii="Arial" w:cs="Arial" w:eastAsia="Arial" w:hAnsi="Arial"/>
                <w:sz w:val="16"/>
                <w:szCs w:val="16"/>
                <w:color w:val="auto"/>
              </w:rPr>
              <w:t>26</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(69)</w:t>
            </w:r>
          </w:p>
        </w:tc>
        <w:tc>
          <w:tcPr>
            <w:tcW w:w="1580" w:type="dxa"/>
            <w:vAlign w:val="bottom"/>
            <w:tcBorders>
              <w:bottom w:val="single" w:sz="8" w:color="8E939F"/>
            </w:tcBorders>
          </w:tcPr>
          <w:p>
            <w:pPr>
              <w:jc w:val="right"/>
              <w:ind w:right="121"/>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Purchases/(Sales)</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(62)</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0"/>
        </w:trPr>
        <w:tc>
          <w:tcPr>
            <w:tcW w:w="516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Transfers (from)/to level 3</w:t>
            </w:r>
          </w:p>
        </w:tc>
        <w:tc>
          <w:tcPr>
            <w:tcW w:w="4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100"/>
              <w:spacing w:after="0"/>
              <w:rPr>
                <w:sz w:val="20"/>
                <w:szCs w:val="20"/>
                <w:color w:val="auto"/>
              </w:rPr>
            </w:pPr>
            <w:r>
              <w:rPr>
                <w:rFonts w:ascii="Arial" w:cs="Arial" w:eastAsia="Arial" w:hAnsi="Arial"/>
                <w:sz w:val="16"/>
                <w:szCs w:val="16"/>
                <w:color w:val="auto"/>
              </w:rPr>
              <w:t>78</w:t>
            </w:r>
          </w:p>
        </w:tc>
        <w:tc>
          <w:tcPr>
            <w:tcW w:w="158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ind w:left="10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57"/>
        </w:trPr>
        <w:tc>
          <w:tcPr>
            <w:tcW w:w="516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At September 30</w:t>
            </w:r>
          </w:p>
        </w:tc>
        <w:tc>
          <w:tcPr>
            <w:tcW w:w="1400" w:type="dxa"/>
            <w:vAlign w:val="bottom"/>
            <w:gridSpan w:val="2"/>
            <w:shd w:val="clear" w:color="auto" w:fill="E6E7F4"/>
          </w:tcPr>
          <w:p>
            <w:pPr>
              <w:jc w:val="right"/>
              <w:ind w:right="2"/>
              <w:spacing w:after="0"/>
              <w:rPr>
                <w:sz w:val="20"/>
                <w:szCs w:val="20"/>
                <w:color w:val="auto"/>
              </w:rPr>
            </w:pPr>
            <w:r>
              <w:rPr>
                <w:rFonts w:ascii="Arial" w:cs="Arial" w:eastAsia="Arial" w:hAnsi="Arial"/>
                <w:sz w:val="16"/>
                <w:szCs w:val="16"/>
                <w:b w:val="1"/>
                <w:bCs w:val="1"/>
                <w:color w:val="243782"/>
              </w:rPr>
              <w:t>29</w:t>
            </w:r>
          </w:p>
        </w:tc>
        <w:tc>
          <w:tcPr>
            <w:tcW w:w="1580" w:type="dxa"/>
            <w:vAlign w:val="bottom"/>
            <w:shd w:val="clear" w:color="auto" w:fill="E6E7F4"/>
          </w:tcPr>
          <w:p>
            <w:pPr>
              <w:jc w:val="right"/>
              <w:ind w:right="100"/>
              <w:spacing w:after="0"/>
              <w:rPr>
                <w:sz w:val="20"/>
                <w:szCs w:val="20"/>
                <w:color w:val="auto"/>
              </w:rPr>
            </w:pPr>
            <w:r>
              <w:rPr>
                <w:rFonts w:ascii="Arial" w:cs="Arial" w:eastAsia="Arial" w:hAnsi="Arial"/>
                <w:sz w:val="16"/>
                <w:szCs w:val="16"/>
                <w:b w:val="1"/>
                <w:bCs w:val="1"/>
                <w:color w:val="243782"/>
              </w:rPr>
              <w:t>573</w:t>
            </w:r>
          </w:p>
        </w:tc>
        <w:tc>
          <w:tcPr>
            <w:tcW w:w="1580" w:type="dxa"/>
            <w:vAlign w:val="bottom"/>
            <w:shd w:val="clear" w:color="auto" w:fill="E6E7F4"/>
          </w:tcPr>
          <w:p>
            <w:pPr>
              <w:jc w:val="right"/>
              <w:ind w:right="181"/>
              <w:spacing w:after="0"/>
              <w:rPr>
                <w:sz w:val="20"/>
                <w:szCs w:val="20"/>
                <w:color w:val="auto"/>
              </w:rPr>
            </w:pPr>
            <w:r>
              <w:rPr>
                <w:rFonts w:ascii="Arial" w:cs="Arial" w:eastAsia="Arial" w:hAnsi="Arial"/>
                <w:sz w:val="16"/>
                <w:szCs w:val="16"/>
                <w:b w:val="1"/>
                <w:bCs w:val="1"/>
                <w:color w:val="243782"/>
              </w:rPr>
              <w:t>3</w:t>
            </w:r>
          </w:p>
        </w:tc>
        <w:tc>
          <w:tcPr>
            <w:tcW w:w="1320" w:type="dxa"/>
            <w:vAlign w:val="bottom"/>
            <w:shd w:val="clear" w:color="auto" w:fill="E6E7F4"/>
          </w:tcPr>
          <w:p>
            <w:pPr>
              <w:ind w:left="1080"/>
              <w:spacing w:after="0"/>
              <w:rPr>
                <w:sz w:val="20"/>
                <w:szCs w:val="20"/>
                <w:color w:val="auto"/>
              </w:rPr>
            </w:pPr>
            <w:r>
              <w:rPr>
                <w:rFonts w:ascii="Arial" w:cs="Arial" w:eastAsia="Arial" w:hAnsi="Arial"/>
                <w:sz w:val="16"/>
                <w:szCs w:val="16"/>
                <w:b w:val="1"/>
                <w:bCs w:val="1"/>
                <w:color w:val="243782"/>
              </w:rPr>
              <w:t>—</w:t>
            </w:r>
          </w:p>
        </w:tc>
        <w:tc>
          <w:tcPr>
            <w:tcW w:w="20" w:type="dxa"/>
            <w:vAlign w:val="bottom"/>
          </w:tcPr>
          <w:p>
            <w:pPr>
              <w:spacing w:after="0"/>
              <w:rPr>
                <w:sz w:val="22"/>
                <w:szCs w:val="22"/>
                <w:color w:val="auto"/>
              </w:rPr>
            </w:pPr>
          </w:p>
        </w:tc>
      </w:tr>
    </w:tbl>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1440" w:right="4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0" w:type="dxa"/>
            <w:vAlign w:val="bottom"/>
          </w:tcPr>
          <w:p>
            <w:pPr>
              <w:spacing w:after="0"/>
              <w:rPr>
                <w:sz w:val="19"/>
                <w:szCs w:val="19"/>
                <w:color w:val="auto"/>
              </w:rPr>
            </w:pPr>
          </w:p>
        </w:tc>
        <w:tc>
          <w:tcPr>
            <w:tcW w:w="1380" w:type="dxa"/>
            <w:vAlign w:val="bottom"/>
            <w:tcBorders>
              <w:bottom w:val="single" w:sz="8" w:color="8E939F"/>
            </w:tcBorders>
          </w:tcPr>
          <w:p>
            <w:pPr>
              <w:spacing w:after="0"/>
              <w:rPr>
                <w:sz w:val="19"/>
                <w:szCs w:val="19"/>
                <w:color w:val="auto"/>
              </w:rPr>
            </w:pPr>
          </w:p>
        </w:tc>
        <w:tc>
          <w:tcPr>
            <w:tcW w:w="314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b w:val="1"/>
                <w:bCs w:val="1"/>
                <w:color w:val="243782"/>
              </w:rPr>
              <w:t>Nine months ended September 30, 2025</w:t>
            </w:r>
          </w:p>
        </w:tc>
        <w:tc>
          <w:tcPr>
            <w:tcW w:w="1340" w:type="dxa"/>
            <w:vAlign w:val="bottom"/>
            <w:tcBorders>
              <w:bottom w:val="single" w:sz="8" w:color="8E939F"/>
            </w:tcBorders>
          </w:tcPr>
          <w:p>
            <w:pPr>
              <w:spacing w:after="0"/>
              <w:rPr>
                <w:sz w:val="19"/>
                <w:szCs w:val="19"/>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380" w:type="dxa"/>
            <w:vAlign w:val="bottom"/>
          </w:tcPr>
          <w:p>
            <w:pPr>
              <w:jc w:val="right"/>
              <w:ind w:right="1"/>
              <w:spacing w:after="0"/>
              <w:rPr>
                <w:sz w:val="20"/>
                <w:szCs w:val="20"/>
                <w:color w:val="auto"/>
              </w:rPr>
            </w:pPr>
            <w:r>
              <w:rPr>
                <w:rFonts w:ascii="Arial" w:cs="Arial" w:eastAsia="Arial" w:hAnsi="Arial"/>
                <w:sz w:val="14"/>
                <w:szCs w:val="14"/>
                <w:b w:val="1"/>
                <w:bCs w:val="1"/>
                <w:color w:val="243782"/>
              </w:rPr>
              <w:t>Receivables from</w:t>
            </w:r>
          </w:p>
        </w:tc>
        <w:tc>
          <w:tcPr>
            <w:tcW w:w="1580" w:type="dxa"/>
            <w:vAlign w:val="bottom"/>
          </w:tcPr>
          <w:p>
            <w:pPr>
              <w:spacing w:after="0"/>
              <w:rPr>
                <w:sz w:val="20"/>
                <w:szCs w:val="20"/>
                <w:color w:val="auto"/>
              </w:rPr>
            </w:pPr>
          </w:p>
        </w:tc>
        <w:tc>
          <w:tcPr>
            <w:tcW w:w="1560" w:type="dxa"/>
            <w:vAlign w:val="bottom"/>
          </w:tcPr>
          <w:p>
            <w:pPr>
              <w:jc w:val="right"/>
              <w:ind w:right="421"/>
              <w:spacing w:after="0"/>
              <w:rPr>
                <w:sz w:val="20"/>
                <w:szCs w:val="20"/>
                <w:color w:val="auto"/>
              </w:rPr>
            </w:pPr>
            <w:r>
              <w:rPr>
                <w:rFonts w:ascii="Arial" w:cs="Arial" w:eastAsia="Arial" w:hAnsi="Arial"/>
                <w:sz w:val="14"/>
                <w:szCs w:val="14"/>
                <w:b w:val="1"/>
                <w:bCs w:val="1"/>
                <w:color w:val="243782"/>
              </w:rPr>
              <w:t>Derivative</w:t>
            </w:r>
          </w:p>
        </w:tc>
        <w:tc>
          <w:tcPr>
            <w:tcW w:w="1340" w:type="dxa"/>
            <w:vAlign w:val="bottom"/>
          </w:tcPr>
          <w:p>
            <w:pPr>
              <w:spacing w:after="0"/>
              <w:rPr>
                <w:sz w:val="20"/>
                <w:szCs w:val="20"/>
                <w:color w:val="auto"/>
              </w:rPr>
            </w:pPr>
          </w:p>
        </w:tc>
      </w:tr>
      <w:tr>
        <w:trPr>
          <w:trHeight w:val="205"/>
        </w:trPr>
        <w:tc>
          <w:tcPr>
            <w:tcW w:w="5200" w:type="dxa"/>
            <w:vAlign w:val="bottom"/>
            <w:tcBorders>
              <w:bottom w:val="single" w:sz="8" w:color="143A84"/>
            </w:tcBorders>
          </w:tcPr>
          <w:p>
            <w:pPr>
              <w:spacing w:after="0"/>
              <w:rPr>
                <w:sz w:val="17"/>
                <w:szCs w:val="17"/>
                <w:color w:val="auto"/>
              </w:rPr>
            </w:pPr>
          </w:p>
        </w:tc>
        <w:tc>
          <w:tcPr>
            <w:tcW w:w="138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243782"/>
              </w:rPr>
              <w:t>financing activities</w:t>
            </w:r>
          </w:p>
        </w:tc>
        <w:tc>
          <w:tcPr>
            <w:tcW w:w="1580" w:type="dxa"/>
            <w:vAlign w:val="bottom"/>
            <w:tcBorders>
              <w:bottom w:val="single" w:sz="8" w:color="143A84"/>
            </w:tcBorders>
          </w:tcPr>
          <w:p>
            <w:pPr>
              <w:jc w:val="right"/>
              <w:ind w:right="40"/>
              <w:spacing w:after="0"/>
              <w:rPr>
                <w:sz w:val="20"/>
                <w:szCs w:val="20"/>
                <w:color w:val="auto"/>
              </w:rPr>
            </w:pPr>
            <w:r>
              <w:rPr>
                <w:rFonts w:ascii="Arial" w:cs="Arial" w:eastAsia="Arial" w:hAnsi="Arial"/>
                <w:sz w:val="14"/>
                <w:szCs w:val="14"/>
                <w:b w:val="1"/>
                <w:bCs w:val="1"/>
                <w:color w:val="243782"/>
              </w:rPr>
              <w:t>Financial securities</w:t>
            </w:r>
          </w:p>
        </w:tc>
        <w:tc>
          <w:tcPr>
            <w:tcW w:w="1560" w:type="dxa"/>
            <w:vAlign w:val="bottom"/>
            <w:tcBorders>
              <w:bottom w:val="single" w:sz="8" w:color="143A84"/>
            </w:tcBorders>
          </w:tcPr>
          <w:p>
            <w:pPr>
              <w:jc w:val="right"/>
              <w:ind w:right="161"/>
              <w:spacing w:after="0"/>
              <w:rPr>
                <w:sz w:val="20"/>
                <w:szCs w:val="20"/>
                <w:color w:val="auto"/>
              </w:rPr>
            </w:pPr>
            <w:r>
              <w:rPr>
                <w:rFonts w:ascii="Arial" w:cs="Arial" w:eastAsia="Arial" w:hAnsi="Arial"/>
                <w:sz w:val="14"/>
                <w:szCs w:val="14"/>
                <w:b w:val="1"/>
                <w:bCs w:val="1"/>
                <w:color w:val="243782"/>
              </w:rPr>
              <w:t>assets/(liabilities)</w:t>
            </w:r>
          </w:p>
        </w:tc>
        <w:tc>
          <w:tcPr>
            <w:tcW w:w="134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243782"/>
              </w:rPr>
              <w:t>Other receivables</w:t>
            </w:r>
          </w:p>
        </w:tc>
      </w:tr>
      <w:tr>
        <w:trPr>
          <w:trHeight w:val="253"/>
        </w:trPr>
        <w:tc>
          <w:tcPr>
            <w:tcW w:w="520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6"/>
                <w:szCs w:val="16"/>
                <w:b w:val="1"/>
                <w:bCs w:val="1"/>
                <w:color w:val="243782"/>
              </w:rPr>
              <w:t>At January 1</w:t>
            </w:r>
          </w:p>
        </w:tc>
        <w:tc>
          <w:tcPr>
            <w:tcW w:w="13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w:t>
            </w:r>
          </w:p>
        </w:tc>
        <w:tc>
          <w:tcPr>
            <w:tcW w:w="1580" w:type="dxa"/>
            <w:vAlign w:val="bottom"/>
            <w:tcBorders>
              <w:bottom w:val="single" w:sz="8" w:color="8E939F"/>
            </w:tcBorders>
            <w:shd w:val="clear" w:color="auto" w:fill="F3F3F9"/>
          </w:tcPr>
          <w:p>
            <w:pPr>
              <w:jc w:val="right"/>
              <w:ind w:right="80"/>
              <w:spacing w:after="0"/>
              <w:rPr>
                <w:sz w:val="20"/>
                <w:szCs w:val="20"/>
                <w:color w:val="auto"/>
              </w:rPr>
            </w:pPr>
            <w:r>
              <w:rPr>
                <w:rFonts w:ascii="Arial" w:cs="Arial" w:eastAsia="Arial" w:hAnsi="Arial"/>
                <w:sz w:val="16"/>
                <w:szCs w:val="16"/>
                <w:b w:val="1"/>
                <w:bCs w:val="1"/>
                <w:color w:val="243782"/>
              </w:rPr>
              <w:t>922</w:t>
            </w:r>
          </w:p>
        </w:tc>
        <w:tc>
          <w:tcPr>
            <w:tcW w:w="1560" w:type="dxa"/>
            <w:vAlign w:val="bottom"/>
            <w:tcBorders>
              <w:bottom w:val="single" w:sz="8" w:color="8E939F"/>
            </w:tcBorders>
            <w:shd w:val="clear" w:color="auto" w:fill="F3F3F9"/>
          </w:tcPr>
          <w:p>
            <w:pPr>
              <w:jc w:val="right"/>
              <w:ind w:right="101"/>
              <w:spacing w:after="0"/>
              <w:rPr>
                <w:sz w:val="20"/>
                <w:szCs w:val="20"/>
                <w:color w:val="auto"/>
              </w:rPr>
            </w:pPr>
            <w:r>
              <w:rPr>
                <w:rFonts w:ascii="Arial" w:cs="Arial" w:eastAsia="Arial" w:hAnsi="Arial"/>
                <w:sz w:val="16"/>
                <w:szCs w:val="16"/>
                <w:b w:val="1"/>
                <w:bCs w:val="1"/>
                <w:color w:val="243782"/>
              </w:rPr>
              <w:t>(1)</w:t>
            </w:r>
          </w:p>
        </w:tc>
        <w:tc>
          <w:tcPr>
            <w:tcW w:w="134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b w:val="1"/>
                <w:bCs w:val="1"/>
                <w:color w:val="243782"/>
              </w:rPr>
              <w:t>66</w:t>
            </w:r>
          </w:p>
        </w:tc>
      </w:tr>
      <w:tr>
        <w:trPr>
          <w:trHeight w:val="247"/>
        </w:trPr>
        <w:tc>
          <w:tcPr>
            <w:tcW w:w="52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recognized in Consolidated Income Statement</w:t>
            </w:r>
          </w:p>
        </w:tc>
        <w:tc>
          <w:tcPr>
            <w:tcW w:w="1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(100)</w:t>
            </w:r>
          </w:p>
        </w:tc>
        <w:tc>
          <w:tcPr>
            <w:tcW w:w="156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2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Losses recognized in Other comprehensive income/(loss)</w:t>
            </w:r>
          </w:p>
        </w:tc>
        <w:tc>
          <w:tcPr>
            <w:tcW w:w="1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80"/>
              <w:spacing w:after="0"/>
              <w:rPr>
                <w:sz w:val="20"/>
                <w:szCs w:val="20"/>
                <w:color w:val="auto"/>
              </w:rPr>
            </w:pPr>
            <w:r>
              <w:rPr>
                <w:rFonts w:ascii="Arial" w:cs="Arial" w:eastAsia="Arial" w:hAnsi="Arial"/>
                <w:sz w:val="16"/>
                <w:szCs w:val="16"/>
                <w:color w:val="auto"/>
              </w:rPr>
              <w:t>43</w:t>
            </w:r>
          </w:p>
        </w:tc>
        <w:tc>
          <w:tcPr>
            <w:tcW w:w="156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5</w:t>
            </w:r>
          </w:p>
        </w:tc>
        <w:tc>
          <w:tcPr>
            <w:tcW w:w="13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2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Issues/Settlements</w:t>
            </w:r>
          </w:p>
        </w:tc>
        <w:tc>
          <w:tcPr>
            <w:tcW w:w="1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177</w:t>
            </w:r>
          </w:p>
        </w:tc>
        <w:tc>
          <w:tcPr>
            <w:tcW w:w="1580" w:type="dxa"/>
            <w:vAlign w:val="bottom"/>
            <w:tcBorders>
              <w:bottom w:val="single" w:sz="8" w:color="8E939F"/>
            </w:tcBorders>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(66)</w:t>
            </w:r>
          </w:p>
        </w:tc>
      </w:tr>
      <w:tr>
        <w:trPr>
          <w:trHeight w:val="250"/>
        </w:trPr>
        <w:tc>
          <w:tcPr>
            <w:tcW w:w="52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Purchases/Sales</w:t>
            </w:r>
          </w:p>
        </w:tc>
        <w:tc>
          <w:tcPr>
            <w:tcW w:w="1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(124)</w:t>
            </w:r>
          </w:p>
        </w:tc>
        <w:tc>
          <w:tcPr>
            <w:tcW w:w="156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2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Transfers from/to Level 3</w:t>
            </w:r>
          </w:p>
        </w:tc>
        <w:tc>
          <w:tcPr>
            <w:tcW w:w="138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E939F"/>
            </w:tcBorders>
          </w:tcPr>
          <w:p>
            <w:pPr>
              <w:jc w:val="right"/>
              <w:ind w:right="40"/>
              <w:spacing w:after="0"/>
              <w:rPr>
                <w:sz w:val="20"/>
                <w:szCs w:val="20"/>
                <w:color w:val="auto"/>
              </w:rPr>
            </w:pPr>
            <w:r>
              <w:rPr>
                <w:rFonts w:ascii="Arial" w:cs="Arial" w:eastAsia="Arial" w:hAnsi="Arial"/>
                <w:sz w:val="16"/>
                <w:szCs w:val="16"/>
                <w:color w:val="auto"/>
              </w:rPr>
              <w:t>(9)</w:t>
            </w:r>
          </w:p>
        </w:tc>
        <w:tc>
          <w:tcPr>
            <w:tcW w:w="1560" w:type="dxa"/>
            <w:vAlign w:val="bottom"/>
            <w:tcBorders>
              <w:bottom w:val="single" w:sz="8" w:color="8E939F"/>
            </w:tcBorders>
          </w:tcPr>
          <w:p>
            <w:pPr>
              <w:jc w:val="right"/>
              <w:ind w:right="141"/>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20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At September 30</w:t>
            </w:r>
          </w:p>
        </w:tc>
        <w:tc>
          <w:tcPr>
            <w:tcW w:w="138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177</w:t>
            </w:r>
          </w:p>
        </w:tc>
        <w:tc>
          <w:tcPr>
            <w:tcW w:w="1580" w:type="dxa"/>
            <w:vAlign w:val="bottom"/>
            <w:shd w:val="clear" w:color="auto" w:fill="E6E7F4"/>
          </w:tcPr>
          <w:p>
            <w:pPr>
              <w:jc w:val="right"/>
              <w:ind w:right="80"/>
              <w:spacing w:after="0"/>
              <w:rPr>
                <w:sz w:val="20"/>
                <w:szCs w:val="20"/>
                <w:color w:val="auto"/>
              </w:rPr>
            </w:pPr>
            <w:r>
              <w:rPr>
                <w:rFonts w:ascii="Arial" w:cs="Arial" w:eastAsia="Arial" w:hAnsi="Arial"/>
                <w:sz w:val="16"/>
                <w:szCs w:val="16"/>
                <w:b w:val="1"/>
                <w:bCs w:val="1"/>
                <w:color w:val="243782"/>
              </w:rPr>
              <w:t>732</w:t>
            </w:r>
          </w:p>
        </w:tc>
        <w:tc>
          <w:tcPr>
            <w:tcW w:w="1560" w:type="dxa"/>
            <w:vAlign w:val="bottom"/>
            <w:shd w:val="clear" w:color="auto" w:fill="E6E7F4"/>
          </w:tcPr>
          <w:p>
            <w:pPr>
              <w:jc w:val="right"/>
              <w:ind w:right="141"/>
              <w:spacing w:after="0"/>
              <w:rPr>
                <w:sz w:val="20"/>
                <w:szCs w:val="20"/>
                <w:color w:val="auto"/>
              </w:rPr>
            </w:pPr>
            <w:r>
              <w:rPr>
                <w:rFonts w:ascii="Arial" w:cs="Arial" w:eastAsia="Arial" w:hAnsi="Arial"/>
                <w:sz w:val="16"/>
                <w:szCs w:val="16"/>
                <w:b w:val="1"/>
                <w:bCs w:val="1"/>
                <w:color w:val="243782"/>
              </w:rPr>
              <w:t>5</w:t>
            </w:r>
          </w:p>
        </w:tc>
        <w:tc>
          <w:tcPr>
            <w:tcW w:w="134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w:t>
            </w:r>
          </w:p>
        </w:tc>
      </w:tr>
    </w:tbl>
    <w:p>
      <w:pPr>
        <w:spacing w:after="0" w:line="319"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auto"/>
        </w:rPr>
        <w:t>The gains/(losses) included in the Interim Condensed Consolidated Income Statements during the three and nine months ended September 30, 2026 were recognized within Net revenues and for three and nine months ended September 30, 2025 were recognized within Net financial expenses. Total gains/(losses) recognized in Other comprehensive income are reported within the following line items: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80" w:type="dxa"/>
            <w:vAlign w:val="bottom"/>
          </w:tcPr>
          <w:p>
            <w:pPr>
              <w:spacing w:after="0"/>
              <w:rPr>
                <w:sz w:val="19"/>
                <w:szCs w:val="19"/>
                <w:color w:val="auto"/>
              </w:rPr>
            </w:pPr>
          </w:p>
        </w:tc>
        <w:tc>
          <w:tcPr>
            <w:tcW w:w="3080" w:type="dxa"/>
            <w:vAlign w:val="bottom"/>
            <w:tcBorders>
              <w:bottom w:val="single" w:sz="8" w:color="8E939F"/>
            </w:tcBorders>
            <w:gridSpan w:val="3"/>
          </w:tcPr>
          <w:p>
            <w:pPr>
              <w:jc w:val="right"/>
              <w:ind w:right="139"/>
              <w:spacing w:after="0"/>
              <w:rPr>
                <w:sz w:val="20"/>
                <w:szCs w:val="20"/>
                <w:color w:val="auto"/>
              </w:rPr>
            </w:pPr>
            <w:r>
              <w:rPr>
                <w:rFonts w:ascii="Arial" w:cs="Arial" w:eastAsia="Arial" w:hAnsi="Arial"/>
                <w:sz w:val="16"/>
                <w:szCs w:val="16"/>
                <w:b w:val="1"/>
                <w:bCs w:val="1"/>
                <w:color w:val="243782"/>
              </w:rPr>
              <w:t>Three months ended September 30,</w:t>
            </w:r>
          </w:p>
        </w:tc>
        <w:tc>
          <w:tcPr>
            <w:tcW w:w="2980" w:type="dxa"/>
            <w:vAlign w:val="bottom"/>
            <w:tcBorders>
              <w:bottom w:val="single" w:sz="8" w:color="8E939F"/>
            </w:tcBorders>
            <w:gridSpan w:val="2"/>
          </w:tcPr>
          <w:p>
            <w:pPr>
              <w:jc w:val="right"/>
              <w:ind w:right="79"/>
              <w:spacing w:after="0"/>
              <w:rPr>
                <w:sz w:val="20"/>
                <w:szCs w:val="20"/>
                <w:color w:val="auto"/>
              </w:rPr>
            </w:pPr>
            <w:r>
              <w:rPr>
                <w:rFonts w:ascii="Arial" w:cs="Arial" w:eastAsia="Arial" w:hAnsi="Arial"/>
                <w:sz w:val="16"/>
                <w:szCs w:val="16"/>
                <w:b w:val="1"/>
                <w:bCs w:val="1"/>
                <w:color w:val="243782"/>
              </w:rPr>
              <w:t>Nine months ended September 30,</w:t>
            </w:r>
          </w:p>
        </w:tc>
      </w:tr>
      <w:tr>
        <w:trPr>
          <w:trHeight w:val="205"/>
        </w:trPr>
        <w:tc>
          <w:tcPr>
            <w:tcW w:w="518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1060" w:type="dxa"/>
            <w:vAlign w:val="bottom"/>
            <w:shd w:val="clear" w:color="auto" w:fill="F3F3F9"/>
          </w:tcPr>
          <w:p>
            <w:pPr>
              <w:spacing w:after="0"/>
              <w:rPr>
                <w:sz w:val="17"/>
                <w:szCs w:val="17"/>
                <w:color w:val="auto"/>
              </w:rPr>
            </w:pPr>
          </w:p>
        </w:tc>
        <w:tc>
          <w:tcPr>
            <w:tcW w:w="380" w:type="dxa"/>
            <w:vAlign w:val="bottom"/>
            <w:shd w:val="clear" w:color="auto" w:fill="F3F3F9"/>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shd w:val="clear" w:color="auto" w:fill="F3F3F9"/>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5180" w:type="dxa"/>
            <w:vAlign w:val="bottom"/>
            <w:tcBorders>
              <w:bottom w:val="single" w:sz="8" w:color="143A84"/>
            </w:tcBorders>
          </w:tcPr>
          <w:p>
            <w:pPr>
              <w:spacing w:after="0"/>
              <w:rPr>
                <w:sz w:val="20"/>
                <w:szCs w:val="20"/>
                <w:color w:val="auto"/>
              </w:rPr>
            </w:pPr>
          </w:p>
        </w:tc>
        <w:tc>
          <w:tcPr>
            <w:tcW w:w="1060" w:type="dxa"/>
            <w:vAlign w:val="bottom"/>
            <w:tcBorders>
              <w:bottom w:val="single" w:sz="8" w:color="143A84"/>
            </w:tcBorders>
            <w:shd w:val="clear" w:color="auto" w:fill="F3F3F9"/>
          </w:tcPr>
          <w:p>
            <w:pPr>
              <w:jc w:val="right"/>
              <w:ind w:right="79"/>
              <w:spacing w:after="0"/>
              <w:rPr>
                <w:sz w:val="20"/>
                <w:szCs w:val="20"/>
                <w:color w:val="auto"/>
              </w:rPr>
            </w:pPr>
            <w:r>
              <w:rPr>
                <w:rFonts w:ascii="Arial" w:cs="Arial" w:eastAsia="Arial" w:hAnsi="Arial"/>
                <w:sz w:val="16"/>
                <w:szCs w:val="16"/>
                <w:b w:val="1"/>
                <w:bCs w:val="1"/>
                <w:color w:val="243782"/>
              </w:rPr>
              <w:t>2026</w:t>
            </w:r>
          </w:p>
        </w:tc>
        <w:tc>
          <w:tcPr>
            <w:tcW w:w="380" w:type="dxa"/>
            <w:vAlign w:val="bottom"/>
            <w:tcBorders>
              <w:bottom w:val="single" w:sz="8" w:color="143A84"/>
            </w:tcBorders>
            <w:shd w:val="clear" w:color="auto" w:fill="F3F3F9"/>
          </w:tcPr>
          <w:p>
            <w:pPr>
              <w:spacing w:after="0"/>
              <w:rPr>
                <w:sz w:val="20"/>
                <w:szCs w:val="20"/>
                <w:color w:val="auto"/>
              </w:rPr>
            </w:pPr>
          </w:p>
        </w:tc>
        <w:tc>
          <w:tcPr>
            <w:tcW w:w="1640" w:type="dxa"/>
            <w:vAlign w:val="bottom"/>
            <w:tcBorders>
              <w:bottom w:val="single" w:sz="8" w:color="143A84"/>
            </w:tcBorders>
          </w:tcPr>
          <w:p>
            <w:pPr>
              <w:jc w:val="right"/>
              <w:ind w:right="559"/>
              <w:spacing w:after="0"/>
              <w:rPr>
                <w:sz w:val="20"/>
                <w:szCs w:val="20"/>
                <w:color w:val="auto"/>
              </w:rPr>
            </w:pPr>
            <w:r>
              <w:rPr>
                <w:rFonts w:ascii="Arial" w:cs="Arial" w:eastAsia="Arial" w:hAnsi="Arial"/>
                <w:sz w:val="16"/>
                <w:szCs w:val="16"/>
                <w:b w:val="1"/>
                <w:bCs w:val="1"/>
                <w:color w:val="243782"/>
              </w:rPr>
              <w:t>2025</w:t>
            </w:r>
          </w:p>
        </w:tc>
        <w:tc>
          <w:tcPr>
            <w:tcW w:w="1440" w:type="dxa"/>
            <w:vAlign w:val="bottom"/>
            <w:tcBorders>
              <w:bottom w:val="single" w:sz="8" w:color="143A84"/>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40" w:type="dxa"/>
            <w:vAlign w:val="bottom"/>
            <w:tcBorders>
              <w:bottom w:val="single" w:sz="8" w:color="143A84"/>
            </w:tcBorders>
          </w:tcPr>
          <w:p>
            <w:pPr>
              <w:jc w:val="right"/>
              <w:ind w:right="459"/>
              <w:spacing w:after="0"/>
              <w:rPr>
                <w:sz w:val="20"/>
                <w:szCs w:val="20"/>
                <w:color w:val="auto"/>
              </w:rPr>
            </w:pPr>
            <w:r>
              <w:rPr>
                <w:rFonts w:ascii="Arial" w:cs="Arial" w:eastAsia="Arial" w:hAnsi="Arial"/>
                <w:sz w:val="16"/>
                <w:szCs w:val="16"/>
                <w:b w:val="1"/>
                <w:bCs w:val="1"/>
                <w:color w:val="243782"/>
              </w:rPr>
              <w:t>2025</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Gains/(losses) recognized in Fair value remeasurement of cash flow</w:t>
            </w:r>
          </w:p>
        </w:tc>
        <w:tc>
          <w:tcPr>
            <w:tcW w:w="1060" w:type="dxa"/>
            <w:vAlign w:val="bottom"/>
            <w:shd w:val="clear" w:color="auto" w:fill="F3F3F9"/>
          </w:tcPr>
          <w:p>
            <w:pPr>
              <w:spacing w:after="0"/>
              <w:rPr>
                <w:sz w:val="18"/>
                <w:szCs w:val="18"/>
                <w:color w:val="auto"/>
              </w:rPr>
            </w:pPr>
          </w:p>
        </w:tc>
        <w:tc>
          <w:tcPr>
            <w:tcW w:w="38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shd w:val="clear" w:color="auto" w:fill="F3F3F9"/>
          </w:tcPr>
          <w:p>
            <w:pPr>
              <w:spacing w:after="0"/>
              <w:rPr>
                <w:sz w:val="18"/>
                <w:szCs w:val="18"/>
                <w:color w:val="auto"/>
              </w:rPr>
            </w:pPr>
          </w:p>
        </w:tc>
        <w:tc>
          <w:tcPr>
            <w:tcW w:w="1540" w:type="dxa"/>
            <w:vAlign w:val="bottom"/>
          </w:tcPr>
          <w:p>
            <w:pPr>
              <w:spacing w:after="0"/>
              <w:rPr>
                <w:sz w:val="18"/>
                <w:szCs w:val="18"/>
                <w:color w:val="auto"/>
              </w:rPr>
            </w:pPr>
          </w:p>
        </w:tc>
      </w:tr>
      <w:tr>
        <w:trPr>
          <w:trHeight w:val="237"/>
        </w:trPr>
        <w:tc>
          <w:tcPr>
            <w:tcW w:w="51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hedges</w:t>
            </w:r>
          </w:p>
        </w:tc>
        <w:tc>
          <w:tcPr>
            <w:tcW w:w="1060" w:type="dxa"/>
            <w:vAlign w:val="bottom"/>
            <w:tcBorders>
              <w:bottom w:val="single" w:sz="8" w:color="8E939F"/>
            </w:tcBorders>
            <w:shd w:val="clear" w:color="auto" w:fill="F3F3F9"/>
          </w:tcPr>
          <w:p>
            <w:pPr>
              <w:spacing w:after="0"/>
              <w:rPr>
                <w:sz w:val="20"/>
                <w:szCs w:val="20"/>
                <w:color w:val="auto"/>
              </w:rPr>
            </w:pPr>
          </w:p>
        </w:tc>
        <w:tc>
          <w:tcPr>
            <w:tcW w:w="3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w:t>
            </w:r>
          </w:p>
        </w:tc>
        <w:tc>
          <w:tcPr>
            <w:tcW w:w="1640" w:type="dxa"/>
            <w:vAlign w:val="bottom"/>
            <w:tcBorders>
              <w:bottom w:val="single" w:sz="8" w:color="8E939F"/>
            </w:tcBorders>
          </w:tcPr>
          <w:p>
            <w:pPr>
              <w:jc w:val="right"/>
              <w:ind w:right="79"/>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8E939F"/>
            </w:tcBorders>
            <w:shd w:val="clear" w:color="auto" w:fill="F3F3F9"/>
          </w:tcPr>
          <w:p>
            <w:pPr>
              <w:ind w:left="1220"/>
              <w:spacing w:after="0"/>
              <w:rPr>
                <w:sz w:val="20"/>
                <w:szCs w:val="20"/>
                <w:color w:val="auto"/>
              </w:rPr>
            </w:pPr>
            <w:r>
              <w:rPr>
                <w:rFonts w:ascii="Arial" w:cs="Arial" w:eastAsia="Arial" w:hAnsi="Arial"/>
                <w:sz w:val="16"/>
                <w:szCs w:val="16"/>
                <w:color w:val="auto"/>
              </w:rPr>
              <w:t>(6)</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Gains/(losses) recognized in Exchange differences on translating</w:t>
            </w:r>
          </w:p>
        </w:tc>
        <w:tc>
          <w:tcPr>
            <w:tcW w:w="1060" w:type="dxa"/>
            <w:vAlign w:val="bottom"/>
            <w:shd w:val="clear" w:color="auto" w:fill="F3F3F9"/>
          </w:tcPr>
          <w:p>
            <w:pPr>
              <w:spacing w:after="0"/>
              <w:rPr>
                <w:sz w:val="18"/>
                <w:szCs w:val="18"/>
                <w:color w:val="auto"/>
              </w:rPr>
            </w:pPr>
          </w:p>
        </w:tc>
        <w:tc>
          <w:tcPr>
            <w:tcW w:w="380" w:type="dxa"/>
            <w:vAlign w:val="bottom"/>
            <w:shd w:val="clear" w:color="auto" w:fill="F3F3F9"/>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shd w:val="clear" w:color="auto" w:fill="F3F3F9"/>
          </w:tcPr>
          <w:p>
            <w:pPr>
              <w:spacing w:after="0"/>
              <w:rPr>
                <w:sz w:val="18"/>
                <w:szCs w:val="18"/>
                <w:color w:val="auto"/>
              </w:rPr>
            </w:pPr>
          </w:p>
        </w:tc>
        <w:tc>
          <w:tcPr>
            <w:tcW w:w="1540" w:type="dxa"/>
            <w:vAlign w:val="bottom"/>
          </w:tcPr>
          <w:p>
            <w:pPr>
              <w:spacing w:after="0"/>
              <w:rPr>
                <w:sz w:val="18"/>
                <w:szCs w:val="18"/>
                <w:color w:val="auto"/>
              </w:rPr>
            </w:pPr>
          </w:p>
        </w:tc>
      </w:tr>
      <w:tr>
        <w:trPr>
          <w:trHeight w:val="237"/>
        </w:trPr>
        <w:tc>
          <w:tcPr>
            <w:tcW w:w="51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foreign operations</w:t>
            </w:r>
          </w:p>
        </w:tc>
        <w:tc>
          <w:tcPr>
            <w:tcW w:w="1060" w:type="dxa"/>
            <w:vAlign w:val="bottom"/>
            <w:tcBorders>
              <w:bottom w:val="single" w:sz="8" w:color="8E939F"/>
            </w:tcBorders>
            <w:shd w:val="clear" w:color="auto" w:fill="F3F3F9"/>
          </w:tcPr>
          <w:p>
            <w:pPr>
              <w:spacing w:after="0"/>
              <w:rPr>
                <w:sz w:val="20"/>
                <w:szCs w:val="20"/>
                <w:color w:val="auto"/>
              </w:rPr>
            </w:pPr>
          </w:p>
        </w:tc>
        <w:tc>
          <w:tcPr>
            <w:tcW w:w="3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(16)</w:t>
            </w:r>
          </w:p>
        </w:tc>
        <w:tc>
          <w:tcPr>
            <w:tcW w:w="1440" w:type="dxa"/>
            <w:vAlign w:val="bottom"/>
            <w:tcBorders>
              <w:bottom w:val="single" w:sz="8" w:color="8E939F"/>
            </w:tcBorders>
            <w:shd w:val="clear" w:color="auto" w:fill="F3F3F9"/>
          </w:tcPr>
          <w:p>
            <w:pPr>
              <w:ind w:left="120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(70)</w:t>
            </w:r>
          </w:p>
        </w:tc>
      </w:tr>
      <w:tr>
        <w:trPr>
          <w:trHeight w:val="250"/>
        </w:trPr>
        <w:tc>
          <w:tcPr>
            <w:tcW w:w="51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Gains/(losses) from remeasurement of financial assets</w:t>
            </w:r>
          </w:p>
        </w:tc>
        <w:tc>
          <w:tcPr>
            <w:tcW w:w="1060" w:type="dxa"/>
            <w:vAlign w:val="bottom"/>
            <w:tcBorders>
              <w:bottom w:val="single" w:sz="8" w:color="8E939F"/>
            </w:tcBorders>
            <w:shd w:val="clear" w:color="auto" w:fill="F3F3F9"/>
          </w:tcPr>
          <w:p>
            <w:pPr>
              <w:spacing w:after="0"/>
              <w:rPr>
                <w:sz w:val="21"/>
                <w:szCs w:val="21"/>
                <w:color w:val="auto"/>
              </w:rPr>
            </w:pPr>
          </w:p>
        </w:tc>
        <w:tc>
          <w:tcPr>
            <w:tcW w:w="3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8E939F"/>
            </w:tcBorders>
          </w:tcPr>
          <w:p>
            <w:pPr>
              <w:jc w:val="right"/>
              <w:ind w:right="39"/>
              <w:spacing w:after="0"/>
              <w:rPr>
                <w:sz w:val="20"/>
                <w:szCs w:val="20"/>
                <w:color w:val="auto"/>
              </w:rPr>
            </w:pPr>
            <w:r>
              <w:rPr>
                <w:rFonts w:ascii="Arial" w:cs="Arial" w:eastAsia="Arial" w:hAnsi="Arial"/>
                <w:sz w:val="16"/>
                <w:szCs w:val="16"/>
                <w:color w:val="auto"/>
              </w:rPr>
              <w:t>(19)</w:t>
            </w:r>
          </w:p>
        </w:tc>
        <w:tc>
          <w:tcPr>
            <w:tcW w:w="1440" w:type="dxa"/>
            <w:vAlign w:val="bottom"/>
            <w:tcBorders>
              <w:bottom w:val="single" w:sz="8" w:color="8E939F"/>
            </w:tcBorders>
            <w:shd w:val="clear" w:color="auto" w:fill="F3F3F9"/>
          </w:tcPr>
          <w:p>
            <w:pPr>
              <w:ind w:left="1220"/>
              <w:spacing w:after="0"/>
              <w:rPr>
                <w:sz w:val="20"/>
                <w:szCs w:val="20"/>
                <w:color w:val="auto"/>
              </w:rPr>
            </w:pPr>
            <w:r>
              <w:rPr>
                <w:rFonts w:ascii="Arial" w:cs="Arial" w:eastAsia="Arial" w:hAnsi="Arial"/>
                <w:sz w:val="16"/>
                <w:szCs w:val="16"/>
                <w:color w:val="auto"/>
              </w:rPr>
              <w:t>(3)</w:t>
            </w:r>
          </w:p>
        </w:tc>
        <w:tc>
          <w:tcPr>
            <w:tcW w:w="154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113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143A84"/>
        </w:rPr>
        <w:t>Assets and liabilities not measured at fair value on recurring basis</w:t>
      </w:r>
    </w:p>
    <w:p>
      <w:pPr>
        <w:spacing w:after="0" w:line="252"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auto"/>
        </w:rPr>
        <w:t>The carrying value of current receivables and payables is a reasonable approximation of fair value as the present value of future cash flows does not differ significantly from the carrying amount.</w:t>
      </w:r>
    </w:p>
    <w:p>
      <w:pPr>
        <w:spacing w:after="0" w:line="153" w:lineRule="exact"/>
        <w:rPr>
          <w:sz w:val="20"/>
          <w:szCs w:val="20"/>
          <w:color w:val="auto"/>
        </w:rPr>
      </w:pPr>
    </w:p>
    <w:p>
      <w:pPr>
        <w:ind w:right="1000"/>
        <w:spacing w:after="0" w:line="334" w:lineRule="auto"/>
        <w:rPr>
          <w:sz w:val="20"/>
          <w:szCs w:val="20"/>
          <w:color w:val="auto"/>
        </w:rPr>
      </w:pPr>
      <w:r>
        <w:rPr>
          <w:rFonts w:ascii="Arial" w:cs="Arial" w:eastAsia="Arial" w:hAnsi="Arial"/>
          <w:sz w:val="18"/>
          <w:szCs w:val="18"/>
          <w:color w:val="auto"/>
        </w:rPr>
        <w:t>The carrying value of Cash at banks and Other cash equivalents usually approximate fair value due to the short maturity of these instruments.</w:t>
      </w:r>
    </w:p>
    <w:p>
      <w:pPr>
        <w:spacing w:after="0" w:line="153"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The following table summarizes the carrying amount and fair value for financial assets and liabilities not measured at fair value on a recurring basis: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80" w:type="dxa"/>
            <w:vAlign w:val="bottom"/>
            <w:tcBorders>
              <w:bottom w:val="single" w:sz="8" w:color="8E939F"/>
            </w:tcBorders>
            <w:gridSpan w:val="2"/>
          </w:tcPr>
          <w:p>
            <w:pPr>
              <w:jc w:val="right"/>
              <w:ind w:right="639"/>
              <w:spacing w:after="0"/>
              <w:rPr>
                <w:sz w:val="20"/>
                <w:szCs w:val="20"/>
                <w:color w:val="auto"/>
              </w:rPr>
            </w:pPr>
            <w:r>
              <w:rPr>
                <w:rFonts w:ascii="Arial" w:cs="Arial" w:eastAsia="Arial" w:hAnsi="Arial"/>
                <w:sz w:val="16"/>
                <w:szCs w:val="16"/>
                <w:b w:val="1"/>
                <w:bCs w:val="1"/>
                <w:color w:val="243782"/>
              </w:rPr>
              <w:t>At September 30, 2026</w:t>
            </w:r>
          </w:p>
        </w:tc>
        <w:tc>
          <w:tcPr>
            <w:tcW w:w="3320" w:type="dxa"/>
            <w:vAlign w:val="bottom"/>
            <w:tcBorders>
              <w:bottom w:val="single" w:sz="8" w:color="8E939F"/>
            </w:tcBorders>
            <w:gridSpan w:val="2"/>
          </w:tcPr>
          <w:p>
            <w:pPr>
              <w:jc w:val="right"/>
              <w:ind w:right="679"/>
              <w:spacing w:after="0"/>
              <w:rPr>
                <w:sz w:val="20"/>
                <w:szCs w:val="20"/>
                <w:color w:val="auto"/>
              </w:rPr>
            </w:pPr>
            <w:r>
              <w:rPr>
                <w:rFonts w:ascii="Arial" w:cs="Arial" w:eastAsia="Arial" w:hAnsi="Arial"/>
                <w:sz w:val="16"/>
                <w:szCs w:val="16"/>
                <w:b w:val="1"/>
                <w:bCs w:val="1"/>
                <w:color w:val="243782"/>
              </w:rPr>
              <w:t>At December 31, 2025</w:t>
            </w:r>
          </w:p>
        </w:tc>
      </w:tr>
      <w:tr>
        <w:trPr>
          <w:trHeight w:val="213"/>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 million)</w:t>
            </w:r>
          </w:p>
        </w:tc>
        <w:tc>
          <w:tcPr>
            <w:tcW w:w="800" w:type="dxa"/>
            <w:vAlign w:val="bottom"/>
          </w:tcPr>
          <w:p>
            <w:pPr>
              <w:spacing w:after="0"/>
              <w:rPr>
                <w:sz w:val="18"/>
                <w:szCs w:val="18"/>
                <w:color w:val="auto"/>
              </w:rPr>
            </w:pPr>
          </w:p>
        </w:tc>
        <w:tc>
          <w:tcPr>
            <w:tcW w:w="1520" w:type="dxa"/>
            <w:vAlign w:val="bottom"/>
            <w:shd w:val="clear" w:color="auto" w:fill="F3F3F9"/>
          </w:tcPr>
          <w:p>
            <w:pPr>
              <w:jc w:val="right"/>
              <w:ind w:right="359"/>
              <w:spacing w:after="0"/>
              <w:rPr>
                <w:sz w:val="20"/>
                <w:szCs w:val="20"/>
                <w:color w:val="auto"/>
              </w:rPr>
            </w:pPr>
            <w:r>
              <w:rPr>
                <w:rFonts w:ascii="Arial" w:cs="Arial" w:eastAsia="Arial" w:hAnsi="Arial"/>
                <w:sz w:val="16"/>
                <w:szCs w:val="16"/>
                <w:b w:val="1"/>
                <w:bCs w:val="1"/>
                <w:color w:val="243782"/>
              </w:rPr>
              <w:t>Carrying</w:t>
            </w:r>
          </w:p>
        </w:tc>
        <w:tc>
          <w:tcPr>
            <w:tcW w:w="1660" w:type="dxa"/>
            <w:vAlign w:val="bottom"/>
            <w:shd w:val="clear" w:color="auto" w:fill="F3F3F9"/>
          </w:tcPr>
          <w:p>
            <w:pPr>
              <w:jc w:val="right"/>
              <w:ind w:right="559"/>
              <w:spacing w:after="0"/>
              <w:rPr>
                <w:sz w:val="20"/>
                <w:szCs w:val="20"/>
                <w:color w:val="auto"/>
              </w:rPr>
            </w:pPr>
            <w:r>
              <w:rPr>
                <w:rFonts w:ascii="Arial" w:cs="Arial" w:eastAsia="Arial" w:hAnsi="Arial"/>
                <w:sz w:val="16"/>
                <w:szCs w:val="16"/>
                <w:b w:val="1"/>
                <w:bCs w:val="1"/>
                <w:color w:val="243782"/>
              </w:rPr>
              <w:t>Fair</w:t>
            </w:r>
          </w:p>
        </w:tc>
        <w:tc>
          <w:tcPr>
            <w:tcW w:w="1960" w:type="dxa"/>
            <w:vAlign w:val="bottom"/>
          </w:tcPr>
          <w:p>
            <w:pPr>
              <w:jc w:val="right"/>
              <w:ind w:right="679"/>
              <w:spacing w:after="0"/>
              <w:rPr>
                <w:sz w:val="20"/>
                <w:szCs w:val="20"/>
                <w:color w:val="auto"/>
              </w:rPr>
            </w:pPr>
            <w:r>
              <w:rPr>
                <w:rFonts w:ascii="Arial" w:cs="Arial" w:eastAsia="Arial" w:hAnsi="Arial"/>
                <w:sz w:val="16"/>
                <w:szCs w:val="16"/>
                <w:b w:val="1"/>
                <w:bCs w:val="1"/>
                <w:color w:val="243782"/>
              </w:rPr>
              <w:t>Carrying</w:t>
            </w: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243782"/>
              </w:rPr>
              <w:t>Fair</w:t>
            </w:r>
          </w:p>
        </w:tc>
      </w:tr>
      <w:tr>
        <w:trPr>
          <w:trHeight w:val="240"/>
        </w:trPr>
        <w:tc>
          <w:tcPr>
            <w:tcW w:w="3880" w:type="dxa"/>
            <w:vAlign w:val="bottom"/>
            <w:tcBorders>
              <w:bottom w:val="single" w:sz="8" w:color="143A84"/>
            </w:tcBorders>
          </w:tcPr>
          <w:p>
            <w:pPr>
              <w:spacing w:after="0"/>
              <w:rPr>
                <w:sz w:val="20"/>
                <w:szCs w:val="20"/>
                <w:color w:val="auto"/>
              </w:rPr>
            </w:pPr>
          </w:p>
        </w:tc>
        <w:tc>
          <w:tcPr>
            <w:tcW w:w="800" w:type="dxa"/>
            <w:vAlign w:val="bottom"/>
            <w:tcBorders>
              <w:bottom w:val="single" w:sz="8" w:color="143A84"/>
            </w:tcBorders>
          </w:tcPr>
          <w:p>
            <w:pPr>
              <w:ind w:left="160"/>
              <w:spacing w:after="0"/>
              <w:rPr>
                <w:sz w:val="20"/>
                <w:szCs w:val="20"/>
                <w:color w:val="auto"/>
              </w:rPr>
            </w:pPr>
            <w:r>
              <w:rPr>
                <w:rFonts w:ascii="Arial" w:cs="Arial" w:eastAsia="Arial" w:hAnsi="Arial"/>
                <w:sz w:val="16"/>
                <w:szCs w:val="16"/>
                <w:b w:val="1"/>
                <w:bCs w:val="1"/>
                <w:color w:val="243782"/>
              </w:rPr>
              <w:t>Note</w:t>
            </w:r>
          </w:p>
        </w:tc>
        <w:tc>
          <w:tcPr>
            <w:tcW w:w="1520" w:type="dxa"/>
            <w:vAlign w:val="bottom"/>
            <w:tcBorders>
              <w:bottom w:val="single" w:sz="8" w:color="143A84"/>
            </w:tcBorders>
            <w:shd w:val="clear" w:color="auto" w:fill="F3F3F9"/>
          </w:tcPr>
          <w:p>
            <w:pPr>
              <w:jc w:val="right"/>
              <w:ind w:right="379"/>
              <w:spacing w:after="0"/>
              <w:rPr>
                <w:sz w:val="20"/>
                <w:szCs w:val="20"/>
                <w:color w:val="auto"/>
              </w:rPr>
            </w:pPr>
            <w:r>
              <w:rPr>
                <w:rFonts w:ascii="Arial" w:cs="Arial" w:eastAsia="Arial" w:hAnsi="Arial"/>
                <w:sz w:val="16"/>
                <w:szCs w:val="16"/>
                <w:b w:val="1"/>
                <w:bCs w:val="1"/>
                <w:color w:val="243782"/>
              </w:rPr>
              <w:t>amount</w:t>
            </w:r>
          </w:p>
        </w:tc>
        <w:tc>
          <w:tcPr>
            <w:tcW w:w="1660" w:type="dxa"/>
            <w:vAlign w:val="bottom"/>
            <w:tcBorders>
              <w:bottom w:val="single" w:sz="8" w:color="143A84"/>
            </w:tcBorders>
            <w:shd w:val="clear" w:color="auto" w:fill="F3F3F9"/>
          </w:tcPr>
          <w:p>
            <w:pPr>
              <w:jc w:val="right"/>
              <w:ind w:right="479"/>
              <w:spacing w:after="0"/>
              <w:rPr>
                <w:sz w:val="20"/>
                <w:szCs w:val="20"/>
                <w:color w:val="auto"/>
              </w:rPr>
            </w:pPr>
            <w:r>
              <w:rPr>
                <w:rFonts w:ascii="Arial" w:cs="Arial" w:eastAsia="Arial" w:hAnsi="Arial"/>
                <w:sz w:val="16"/>
                <w:szCs w:val="16"/>
                <w:b w:val="1"/>
                <w:bCs w:val="1"/>
                <w:color w:val="243782"/>
              </w:rPr>
              <w:t>Value</w:t>
            </w:r>
          </w:p>
        </w:tc>
        <w:tc>
          <w:tcPr>
            <w:tcW w:w="1960" w:type="dxa"/>
            <w:vAlign w:val="bottom"/>
            <w:tcBorders>
              <w:bottom w:val="single" w:sz="8" w:color="143A84"/>
            </w:tcBorders>
          </w:tcPr>
          <w:p>
            <w:pPr>
              <w:jc w:val="right"/>
              <w:ind w:right="699"/>
              <w:spacing w:after="0"/>
              <w:rPr>
                <w:sz w:val="20"/>
                <w:szCs w:val="20"/>
                <w:color w:val="auto"/>
              </w:rPr>
            </w:pPr>
            <w:r>
              <w:rPr>
                <w:rFonts w:ascii="Arial" w:cs="Arial" w:eastAsia="Arial" w:hAnsi="Arial"/>
                <w:sz w:val="16"/>
                <w:szCs w:val="16"/>
                <w:b w:val="1"/>
                <w:bCs w:val="1"/>
                <w:color w:val="243782"/>
              </w:rPr>
              <w:t>amount</w:t>
            </w:r>
          </w:p>
        </w:tc>
        <w:tc>
          <w:tcPr>
            <w:tcW w:w="1360" w:type="dxa"/>
            <w:vAlign w:val="bottom"/>
            <w:tcBorders>
              <w:bottom w:val="single" w:sz="8" w:color="143A84"/>
            </w:tcBorders>
          </w:tcPr>
          <w:p>
            <w:pPr>
              <w:jc w:val="right"/>
              <w:ind w:right="479"/>
              <w:spacing w:after="0"/>
              <w:rPr>
                <w:sz w:val="20"/>
                <w:szCs w:val="20"/>
                <w:color w:val="auto"/>
              </w:rPr>
            </w:pPr>
            <w:r>
              <w:rPr>
                <w:rFonts w:ascii="Arial" w:cs="Arial" w:eastAsia="Arial" w:hAnsi="Arial"/>
                <w:sz w:val="16"/>
                <w:szCs w:val="16"/>
                <w:b w:val="1"/>
                <w:bCs w:val="1"/>
                <w:color w:val="243782"/>
              </w:rPr>
              <w:t>Value</w:t>
            </w:r>
          </w:p>
        </w:tc>
      </w:tr>
      <w:tr>
        <w:trPr>
          <w:trHeight w:val="247"/>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Dealer financing</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4,596</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4,606</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3,084</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3,095</w:t>
            </w:r>
          </w:p>
        </w:tc>
      </w:tr>
      <w:tr>
        <w:trPr>
          <w:trHeight w:val="250"/>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Retail financing</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13,956</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13,354</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10,703</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10,096</w:t>
            </w:r>
          </w:p>
        </w:tc>
      </w:tr>
      <w:tr>
        <w:trPr>
          <w:trHeight w:val="250"/>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Finance leases</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667</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648</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540</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522</w:t>
            </w:r>
          </w:p>
        </w:tc>
      </w:tr>
      <w:tr>
        <w:trPr>
          <w:trHeight w:val="250"/>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Other receivables from financing activities</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1,498</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1,498</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1,401</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1,360</w:t>
            </w:r>
          </w:p>
        </w:tc>
      </w:tr>
      <w:tr>
        <w:trPr>
          <w:trHeight w:val="256"/>
        </w:trPr>
        <w:tc>
          <w:tcPr>
            <w:tcW w:w="38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Receivables from financing activities</w:t>
            </w:r>
            <w:r>
              <w:rPr>
                <w:rFonts w:ascii="Arial" w:cs="Arial" w:eastAsia="Arial" w:hAnsi="Arial"/>
                <w:sz w:val="21"/>
                <w:szCs w:val="21"/>
                <w:b w:val="1"/>
                <w:bCs w:val="1"/>
                <w:color w:val="243782"/>
                <w:vertAlign w:val="superscript"/>
              </w:rPr>
              <w:t>(1)</w:t>
            </w:r>
          </w:p>
        </w:tc>
        <w:tc>
          <w:tcPr>
            <w:tcW w:w="800" w:type="dxa"/>
            <w:vAlign w:val="bottom"/>
            <w:tcBorders>
              <w:bottom w:val="single" w:sz="8" w:color="8E939F"/>
            </w:tcBorders>
            <w:shd w:val="clear" w:color="auto" w:fill="E6E7F4"/>
          </w:tcPr>
          <w:p>
            <w:pPr>
              <w:jc w:val="center"/>
              <w:ind w:right="19"/>
              <w:spacing w:after="0"/>
              <w:rPr>
                <w:sz w:val="20"/>
                <w:szCs w:val="20"/>
                <w:color w:val="auto"/>
              </w:rPr>
            </w:pPr>
            <w:r>
              <w:rPr>
                <w:rFonts w:ascii="Arial" w:cs="Arial" w:eastAsia="Arial" w:hAnsi="Arial"/>
                <w:sz w:val="16"/>
                <w:szCs w:val="16"/>
                <w:color w:val="auto"/>
              </w:rPr>
              <w:t>8</w:t>
            </w:r>
          </w:p>
        </w:tc>
        <w:tc>
          <w:tcPr>
            <w:tcW w:w="15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20,717</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20,106</w:t>
            </w:r>
          </w:p>
        </w:tc>
        <w:tc>
          <w:tcPr>
            <w:tcW w:w="1960" w:type="dxa"/>
            <w:vAlign w:val="bottom"/>
            <w:tcBorders>
              <w:bottom w:val="single" w:sz="8" w:color="8E939F"/>
            </w:tcBorders>
            <w:shd w:val="clear" w:color="auto" w:fill="E6E7F4"/>
          </w:tcPr>
          <w:p>
            <w:pPr>
              <w:jc w:val="right"/>
              <w:ind w:right="279"/>
              <w:spacing w:after="0"/>
              <w:rPr>
                <w:sz w:val="20"/>
                <w:szCs w:val="20"/>
                <w:color w:val="auto"/>
              </w:rPr>
            </w:pPr>
            <w:r>
              <w:rPr>
                <w:rFonts w:ascii="Arial" w:cs="Arial" w:eastAsia="Arial" w:hAnsi="Arial"/>
                <w:sz w:val="16"/>
                <w:szCs w:val="16"/>
                <w:b w:val="1"/>
                <w:bCs w:val="1"/>
                <w:color w:val="243782"/>
              </w:rPr>
              <w:t>15,728</w:t>
            </w:r>
          </w:p>
        </w:tc>
        <w:tc>
          <w:tcPr>
            <w:tcW w:w="13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15,073</w:t>
            </w:r>
          </w:p>
        </w:tc>
      </w:tr>
      <w:tr>
        <w:trPr>
          <w:trHeight w:val="250"/>
        </w:trPr>
        <w:tc>
          <w:tcPr>
            <w:tcW w:w="388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tcPr>
          <w:p>
            <w:pPr>
              <w:spacing w:after="0"/>
              <w:rPr>
                <w:sz w:val="21"/>
                <w:szCs w:val="21"/>
                <w:color w:val="auto"/>
              </w:rPr>
            </w:pPr>
          </w:p>
        </w:tc>
        <w:tc>
          <w:tcPr>
            <w:tcW w:w="1660" w:type="dxa"/>
            <w:vAlign w:val="bottom"/>
            <w:tcBorders>
              <w:bottom w:val="single" w:sz="8" w:color="8E939F"/>
            </w:tcBorders>
          </w:tcPr>
          <w:p>
            <w:pPr>
              <w:spacing w:after="0"/>
              <w:rPr>
                <w:sz w:val="21"/>
                <w:szCs w:val="21"/>
                <w:color w:val="auto"/>
              </w:rPr>
            </w:pPr>
          </w:p>
        </w:tc>
        <w:tc>
          <w:tcPr>
            <w:tcW w:w="1960" w:type="dxa"/>
            <w:vAlign w:val="bottom"/>
            <w:tcBorders>
              <w:bottom w:val="single" w:sz="8" w:color="8E939F"/>
            </w:tcBorders>
          </w:tcPr>
          <w:p>
            <w:pPr>
              <w:spacing w:after="0"/>
              <w:rPr>
                <w:sz w:val="21"/>
                <w:szCs w:val="21"/>
                <w:color w:val="auto"/>
              </w:rPr>
            </w:pPr>
          </w:p>
        </w:tc>
        <w:tc>
          <w:tcPr>
            <w:tcW w:w="1360" w:type="dxa"/>
            <w:vAlign w:val="bottom"/>
            <w:tcBorders>
              <w:bottom w:val="single" w:sz="8" w:color="8E939F"/>
            </w:tcBorders>
          </w:tcPr>
          <w:p>
            <w:pPr>
              <w:spacing w:after="0"/>
              <w:rPr>
                <w:sz w:val="21"/>
                <w:szCs w:val="21"/>
                <w:color w:val="auto"/>
              </w:rPr>
            </w:pPr>
          </w:p>
        </w:tc>
      </w:tr>
      <w:tr>
        <w:trPr>
          <w:trHeight w:val="246"/>
        </w:trPr>
        <w:tc>
          <w:tcPr>
            <w:tcW w:w="38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Financial securities measured at amortized cost</w:t>
            </w:r>
          </w:p>
        </w:tc>
        <w:tc>
          <w:tcPr>
            <w:tcW w:w="800" w:type="dxa"/>
            <w:vAlign w:val="bottom"/>
            <w:tcBorders>
              <w:bottom w:val="single" w:sz="8" w:color="8E939F"/>
            </w:tcBorders>
            <w:shd w:val="clear" w:color="auto" w:fill="E6E7F4"/>
          </w:tcPr>
          <w:p>
            <w:pPr>
              <w:jc w:val="center"/>
              <w:ind w:right="19"/>
              <w:spacing w:after="0"/>
              <w:rPr>
                <w:sz w:val="20"/>
                <w:szCs w:val="20"/>
                <w:color w:val="auto"/>
              </w:rPr>
            </w:pPr>
            <w:r>
              <w:rPr>
                <w:rFonts w:ascii="Arial" w:cs="Arial" w:eastAsia="Arial" w:hAnsi="Arial"/>
                <w:sz w:val="16"/>
                <w:szCs w:val="16"/>
                <w:color w:val="auto"/>
              </w:rPr>
              <w:t>9</w:t>
            </w:r>
          </w:p>
        </w:tc>
        <w:tc>
          <w:tcPr>
            <w:tcW w:w="15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2,732</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2,700</w:t>
            </w:r>
          </w:p>
        </w:tc>
        <w:tc>
          <w:tcPr>
            <w:tcW w:w="1960" w:type="dxa"/>
            <w:vAlign w:val="bottom"/>
            <w:tcBorders>
              <w:bottom w:val="single" w:sz="8" w:color="8E939F"/>
            </w:tcBorders>
            <w:shd w:val="clear" w:color="auto" w:fill="E6E7F4"/>
          </w:tcPr>
          <w:p>
            <w:pPr>
              <w:jc w:val="right"/>
              <w:ind w:right="279"/>
              <w:spacing w:after="0"/>
              <w:rPr>
                <w:sz w:val="20"/>
                <w:szCs w:val="20"/>
                <w:color w:val="auto"/>
              </w:rPr>
            </w:pPr>
            <w:r>
              <w:rPr>
                <w:rFonts w:ascii="Arial" w:cs="Arial" w:eastAsia="Arial" w:hAnsi="Arial"/>
                <w:sz w:val="16"/>
                <w:szCs w:val="16"/>
                <w:b w:val="1"/>
                <w:bCs w:val="1"/>
                <w:color w:val="243782"/>
              </w:rPr>
              <w:t>687</w:t>
            </w:r>
          </w:p>
        </w:tc>
        <w:tc>
          <w:tcPr>
            <w:tcW w:w="13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680</w:t>
            </w:r>
          </w:p>
        </w:tc>
      </w:tr>
      <w:tr>
        <w:trPr>
          <w:trHeight w:val="240"/>
        </w:trPr>
        <w:tc>
          <w:tcPr>
            <w:tcW w:w="3880" w:type="dxa"/>
            <w:vAlign w:val="bottom"/>
            <w:tcBorders>
              <w:bottom w:val="single" w:sz="8" w:color="8E939F"/>
            </w:tcBorders>
          </w:tcPr>
          <w:p>
            <w:pPr>
              <w:spacing w:after="0"/>
              <w:rPr>
                <w:sz w:val="20"/>
                <w:szCs w:val="20"/>
                <w:color w:val="auto"/>
              </w:rPr>
            </w:pPr>
          </w:p>
        </w:tc>
        <w:tc>
          <w:tcPr>
            <w:tcW w:w="800" w:type="dxa"/>
            <w:vAlign w:val="bottom"/>
            <w:tcBorders>
              <w:bottom w:val="single" w:sz="8" w:color="8E939F"/>
            </w:tcBorders>
          </w:tcPr>
          <w:p>
            <w:pPr>
              <w:spacing w:after="0"/>
              <w:rPr>
                <w:sz w:val="20"/>
                <w:szCs w:val="20"/>
                <w:color w:val="auto"/>
              </w:rPr>
            </w:pPr>
          </w:p>
        </w:tc>
        <w:tc>
          <w:tcPr>
            <w:tcW w:w="1520" w:type="dxa"/>
            <w:vAlign w:val="bottom"/>
            <w:tcBorders>
              <w:bottom w:val="single" w:sz="8" w:color="8E939F"/>
            </w:tcBorders>
          </w:tcPr>
          <w:p>
            <w:pPr>
              <w:spacing w:after="0"/>
              <w:rPr>
                <w:sz w:val="20"/>
                <w:szCs w:val="20"/>
                <w:color w:val="auto"/>
              </w:rPr>
            </w:pPr>
          </w:p>
        </w:tc>
        <w:tc>
          <w:tcPr>
            <w:tcW w:w="1660" w:type="dxa"/>
            <w:vAlign w:val="bottom"/>
            <w:tcBorders>
              <w:bottom w:val="single" w:sz="8" w:color="8E939F"/>
            </w:tcBorders>
          </w:tcPr>
          <w:p>
            <w:pPr>
              <w:spacing w:after="0"/>
              <w:rPr>
                <w:sz w:val="20"/>
                <w:szCs w:val="20"/>
                <w:color w:val="auto"/>
              </w:rPr>
            </w:pPr>
          </w:p>
        </w:tc>
        <w:tc>
          <w:tcPr>
            <w:tcW w:w="1960" w:type="dxa"/>
            <w:vAlign w:val="bottom"/>
            <w:tcBorders>
              <w:bottom w:val="single" w:sz="8" w:color="8E939F"/>
            </w:tcBorders>
          </w:tcPr>
          <w:p>
            <w:pPr>
              <w:spacing w:after="0"/>
              <w:rPr>
                <w:sz w:val="20"/>
                <w:szCs w:val="20"/>
                <w:color w:val="auto"/>
              </w:rPr>
            </w:pPr>
          </w:p>
        </w:tc>
        <w:tc>
          <w:tcPr>
            <w:tcW w:w="1360" w:type="dxa"/>
            <w:vAlign w:val="bottom"/>
            <w:tcBorders>
              <w:bottom w:val="single" w:sz="8" w:color="8E939F"/>
            </w:tcBorders>
          </w:tcPr>
          <w:p>
            <w:pPr>
              <w:spacing w:after="0"/>
              <w:rPr>
                <w:sz w:val="20"/>
                <w:szCs w:val="20"/>
                <w:color w:val="auto"/>
              </w:rPr>
            </w:pPr>
          </w:p>
        </w:tc>
      </w:tr>
      <w:tr>
        <w:trPr>
          <w:trHeight w:val="243"/>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Notes</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27,136</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25,429</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23,201</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22,698</w:t>
            </w:r>
          </w:p>
        </w:tc>
      </w:tr>
      <w:tr>
        <w:trPr>
          <w:trHeight w:val="250"/>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Borrowings from banks &amp; Other debt</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6,357</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6,353</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4,813</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4,823</w:t>
            </w:r>
          </w:p>
        </w:tc>
      </w:tr>
      <w:tr>
        <w:trPr>
          <w:trHeight w:val="250"/>
        </w:trPr>
        <w:tc>
          <w:tcPr>
            <w:tcW w:w="388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Asset-backed financing</w:t>
            </w:r>
          </w:p>
        </w:tc>
        <w:tc>
          <w:tcPr>
            <w:tcW w:w="800" w:type="dxa"/>
            <w:vAlign w:val="bottom"/>
            <w:tcBorders>
              <w:bottom w:val="single" w:sz="8" w:color="8E939F"/>
            </w:tcBorders>
          </w:tcPr>
          <w:p>
            <w:pPr>
              <w:spacing w:after="0"/>
              <w:rPr>
                <w:sz w:val="21"/>
                <w:szCs w:val="21"/>
                <w:color w:val="auto"/>
              </w:rPr>
            </w:pPr>
          </w:p>
        </w:tc>
        <w:tc>
          <w:tcPr>
            <w:tcW w:w="15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19,866</w:t>
            </w:r>
          </w:p>
        </w:tc>
        <w:tc>
          <w:tcPr>
            <w:tcW w:w="166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19,826</w:t>
            </w:r>
          </w:p>
        </w:tc>
        <w:tc>
          <w:tcPr>
            <w:tcW w:w="1960" w:type="dxa"/>
            <w:vAlign w:val="bottom"/>
            <w:tcBorders>
              <w:bottom w:val="single" w:sz="8" w:color="8E939F"/>
            </w:tcBorders>
          </w:tcPr>
          <w:p>
            <w:pPr>
              <w:jc w:val="right"/>
              <w:ind w:right="279"/>
              <w:spacing w:after="0"/>
              <w:rPr>
                <w:sz w:val="20"/>
                <w:szCs w:val="20"/>
                <w:color w:val="auto"/>
              </w:rPr>
            </w:pPr>
            <w:r>
              <w:rPr>
                <w:rFonts w:ascii="Arial" w:cs="Arial" w:eastAsia="Arial" w:hAnsi="Arial"/>
                <w:sz w:val="16"/>
                <w:szCs w:val="16"/>
                <w:color w:val="auto"/>
              </w:rPr>
              <w:t>15,479</w:t>
            </w:r>
          </w:p>
        </w:tc>
        <w:tc>
          <w:tcPr>
            <w:tcW w:w="1360" w:type="dxa"/>
            <w:vAlign w:val="bottom"/>
            <w:tcBorders>
              <w:bottom w:val="single" w:sz="8" w:color="8E939F"/>
            </w:tcBorders>
          </w:tcPr>
          <w:p>
            <w:pPr>
              <w:jc w:val="right"/>
              <w:spacing w:after="0"/>
              <w:rPr>
                <w:sz w:val="20"/>
                <w:szCs w:val="20"/>
                <w:color w:val="auto"/>
              </w:rPr>
            </w:pPr>
            <w:r>
              <w:rPr>
                <w:rFonts w:ascii="Arial" w:cs="Arial" w:eastAsia="Arial" w:hAnsi="Arial"/>
                <w:sz w:val="16"/>
                <w:szCs w:val="16"/>
                <w:color w:val="auto"/>
              </w:rPr>
              <w:t>15,331</w:t>
            </w:r>
          </w:p>
        </w:tc>
      </w:tr>
      <w:tr>
        <w:trPr>
          <w:trHeight w:val="253"/>
        </w:trPr>
        <w:tc>
          <w:tcPr>
            <w:tcW w:w="388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Total Debt, excluding Lease liabilities</w:t>
            </w:r>
          </w:p>
        </w:tc>
        <w:tc>
          <w:tcPr>
            <w:tcW w:w="800" w:type="dxa"/>
            <w:vAlign w:val="bottom"/>
            <w:tcBorders>
              <w:bottom w:val="single" w:sz="8" w:color="8E939F"/>
            </w:tcBorders>
            <w:shd w:val="clear" w:color="auto" w:fill="E6E7F4"/>
          </w:tcPr>
          <w:p>
            <w:pPr>
              <w:jc w:val="center"/>
              <w:ind w:right="19"/>
              <w:spacing w:after="0"/>
              <w:rPr>
                <w:sz w:val="20"/>
                <w:szCs w:val="20"/>
                <w:color w:val="auto"/>
              </w:rPr>
            </w:pPr>
            <w:r>
              <w:rPr>
                <w:rFonts w:ascii="Arial" w:cs="Arial" w:eastAsia="Arial" w:hAnsi="Arial"/>
                <w:sz w:val="16"/>
                <w:szCs w:val="16"/>
                <w:color w:val="auto"/>
              </w:rPr>
              <w:t>14</w:t>
            </w:r>
          </w:p>
        </w:tc>
        <w:tc>
          <w:tcPr>
            <w:tcW w:w="152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53,359</w:t>
            </w:r>
          </w:p>
        </w:tc>
        <w:tc>
          <w:tcPr>
            <w:tcW w:w="16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51,608</w:t>
            </w:r>
          </w:p>
        </w:tc>
        <w:tc>
          <w:tcPr>
            <w:tcW w:w="1960" w:type="dxa"/>
            <w:vAlign w:val="bottom"/>
            <w:tcBorders>
              <w:bottom w:val="single" w:sz="8" w:color="8E939F"/>
            </w:tcBorders>
            <w:shd w:val="clear" w:color="auto" w:fill="E6E7F4"/>
          </w:tcPr>
          <w:p>
            <w:pPr>
              <w:jc w:val="right"/>
              <w:ind w:right="279"/>
              <w:spacing w:after="0"/>
              <w:rPr>
                <w:sz w:val="20"/>
                <w:szCs w:val="20"/>
                <w:color w:val="auto"/>
              </w:rPr>
            </w:pPr>
            <w:r>
              <w:rPr>
                <w:rFonts w:ascii="Arial" w:cs="Arial" w:eastAsia="Arial" w:hAnsi="Arial"/>
                <w:sz w:val="16"/>
                <w:szCs w:val="16"/>
                <w:b w:val="1"/>
                <w:bCs w:val="1"/>
                <w:color w:val="243782"/>
              </w:rPr>
              <w:t>43,493</w:t>
            </w:r>
          </w:p>
        </w:tc>
        <w:tc>
          <w:tcPr>
            <w:tcW w:w="13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42,852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Amounts exclude receivables measured at FVPL</w:t>
      </w:r>
    </w:p>
    <w:p>
      <w:pPr>
        <w:spacing w:after="0" w:line="234"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Sovereign bonds included in Financial securities measured at amortized cost, are traded in active markets and are classified within Level 1 of the fair value hierarchy. At September 30, 2026 and at December 31, 2025, the carrying amounts of the residual current securities is a reasonable approximation of their fair value.</w:t>
      </w:r>
    </w:p>
    <w:p>
      <w:pPr>
        <w:spacing w:after="0" w:line="163"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color w:val="auto"/>
        </w:rPr>
        <w:t>Notes that are traded in active markets for which close or last trade pricing is available are classified within Level 1 of the fair value hierarchy. Notes for which such prices are not available are valued at the last available price or based on quotes received from independent pricing services or from dealers who trade in such securities and are categorized within Level 2. At September 30, 2026, €25,379 million and €50 million of Notes were categorized within Level 1 and Level 2, respectively. At December 31, 2025, €22,381 million and €317 million of Notes were categorized within Level 1 and Level 2, respectively.</w:t>
      </w:r>
    </w:p>
    <w:p>
      <w:pPr>
        <w:spacing w:after="0" w:line="179"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fair value of Borrowings from banks and Other debt classified within Level 2 of the fair value hierarchy has been estimated using discounted cash flow models. The main inputs used are market interest rates, adjusted for market expectations of the Company’s non-performance risk implied in quoted prices of traded securities issued by the Company and existing credit derivatives on Company liabilities. The fair value of the Borrowings from banks and Other debt that requires significant adjustments using unobservable inputs is categorized in Level 3. At September 30, 2026, €5,996 million and €357 million of Borrowings from banks and Other Debt were categorized within Level 2 and Level 3, respectively. At December 31, 2025, €4,465 million and €358 million of Borrowings from banks and Other Debt were categorized within Level 2 and Level 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17. Related party transactions</w:t>
      </w:r>
    </w:p>
    <w:p>
      <w:pPr>
        <w:spacing w:after="0" w:line="252" w:lineRule="exact"/>
        <w:rPr>
          <w:sz w:val="20"/>
          <w:szCs w:val="20"/>
          <w:color w:val="auto"/>
        </w:rPr>
      </w:pPr>
    </w:p>
    <w:p>
      <w:pPr>
        <w:ind w:right="120"/>
        <w:spacing w:after="0" w:line="314" w:lineRule="auto"/>
        <w:rPr>
          <w:sz w:val="20"/>
          <w:szCs w:val="20"/>
          <w:color w:val="auto"/>
        </w:rPr>
      </w:pPr>
      <w:r>
        <w:rPr>
          <w:rFonts w:ascii="Arial" w:cs="Arial" w:eastAsia="Arial" w:hAnsi="Arial"/>
          <w:sz w:val="18"/>
          <w:szCs w:val="18"/>
          <w:color w:val="auto"/>
        </w:rPr>
        <w:t>Related parties of the Company are entities and individuals capable of exercising control, joint control or significant influence over the Company and its subsidiaries. Related parties also include associates, joint ventures and unconsolidated subsidiaries of the Company, members of the Stellantis Board of Directors, executives with strategic responsibilities and certain members of their families. Related parties include companies affiliated with Exor N.V., which include Ferrari N.V., CNH Industrial N.V. (“CNHI”) and Iveco Group N.V. ("Iveco").</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amounts for transactions with related parties recognized in the Interim Condensed Consolidated Income Statement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19"/>
                <w:szCs w:val="19"/>
                <w:color w:val="auto"/>
              </w:rPr>
            </w:pPr>
          </w:p>
        </w:tc>
        <w:tc>
          <w:tcPr>
            <w:tcW w:w="880" w:type="dxa"/>
            <w:vAlign w:val="bottom"/>
            <w:tcBorders>
              <w:bottom w:val="single" w:sz="8" w:color="8E939F"/>
            </w:tcBorders>
          </w:tcPr>
          <w:p>
            <w:pPr>
              <w:spacing w:after="0"/>
              <w:rPr>
                <w:sz w:val="19"/>
                <w:szCs w:val="19"/>
                <w:color w:val="auto"/>
              </w:rPr>
            </w:pPr>
          </w:p>
        </w:tc>
        <w:tc>
          <w:tcPr>
            <w:tcW w:w="120" w:type="dxa"/>
            <w:vAlign w:val="bottom"/>
            <w:tcBorders>
              <w:bottom w:val="single" w:sz="8" w:color="8E939F"/>
            </w:tcBorders>
          </w:tcPr>
          <w:p>
            <w:pPr>
              <w:spacing w:after="0"/>
              <w:rPr>
                <w:sz w:val="19"/>
                <w:szCs w:val="19"/>
                <w:color w:val="auto"/>
              </w:rPr>
            </w:pPr>
          </w:p>
        </w:tc>
        <w:tc>
          <w:tcPr>
            <w:tcW w:w="1040" w:type="dxa"/>
            <w:vAlign w:val="bottom"/>
            <w:tcBorders>
              <w:bottom w:val="single" w:sz="8" w:color="8E939F"/>
            </w:tcBorders>
          </w:tcPr>
          <w:p>
            <w:pPr>
              <w:spacing w:after="0"/>
              <w:rPr>
                <w:sz w:val="19"/>
                <w:szCs w:val="19"/>
                <w:color w:val="auto"/>
              </w:rPr>
            </w:pPr>
          </w:p>
        </w:tc>
        <w:tc>
          <w:tcPr>
            <w:tcW w:w="1280" w:type="dxa"/>
            <w:vAlign w:val="bottom"/>
            <w:tcBorders>
              <w:bottom w:val="single" w:sz="8" w:color="8E939F"/>
            </w:tcBorders>
          </w:tcPr>
          <w:p>
            <w:pPr>
              <w:spacing w:after="0"/>
              <w:rPr>
                <w:sz w:val="19"/>
                <w:szCs w:val="19"/>
                <w:color w:val="auto"/>
              </w:rPr>
            </w:pPr>
          </w:p>
        </w:tc>
        <w:tc>
          <w:tcPr>
            <w:tcW w:w="3520" w:type="dxa"/>
            <w:vAlign w:val="bottom"/>
            <w:tcBorders>
              <w:bottom w:val="single" w:sz="8" w:color="8E939F"/>
            </w:tcBorders>
            <w:gridSpan w:val="3"/>
          </w:tcPr>
          <w:p>
            <w:pPr>
              <w:jc w:val="right"/>
              <w:ind w:right="642"/>
              <w:spacing w:after="0"/>
              <w:rPr>
                <w:sz w:val="20"/>
                <w:szCs w:val="20"/>
                <w:color w:val="auto"/>
              </w:rPr>
            </w:pPr>
            <w:r>
              <w:rPr>
                <w:rFonts w:ascii="Arial" w:cs="Arial" w:eastAsia="Arial" w:hAnsi="Arial"/>
                <w:sz w:val="16"/>
                <w:szCs w:val="16"/>
                <w:b w:val="1"/>
                <w:bCs w:val="1"/>
                <w:color w:val="243782"/>
              </w:rPr>
              <w:t>Three months ended September 30,</w:t>
            </w:r>
          </w:p>
        </w:tc>
        <w:tc>
          <w:tcPr>
            <w:tcW w:w="1340" w:type="dxa"/>
            <w:vAlign w:val="bottom"/>
            <w:tcBorders>
              <w:bottom w:val="single" w:sz="8" w:color="8E939F"/>
            </w:tcBorders>
          </w:tcPr>
          <w:p>
            <w:pPr>
              <w:spacing w:after="0"/>
              <w:rPr>
                <w:sz w:val="19"/>
                <w:szCs w:val="19"/>
                <w:color w:val="auto"/>
              </w:rPr>
            </w:pPr>
          </w:p>
        </w:tc>
        <w:tc>
          <w:tcPr>
            <w:tcW w:w="1320" w:type="dxa"/>
            <w:vAlign w:val="bottom"/>
            <w:tcBorders>
              <w:bottom w:val="single" w:sz="8" w:color="8E939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80" w:type="dxa"/>
            <w:vAlign w:val="bottom"/>
            <w:tcBorders>
              <w:bottom w:val="single" w:sz="8" w:color="8E939F"/>
            </w:tcBorders>
            <w:shd w:val="clear" w:color="auto" w:fill="F3F3F9"/>
          </w:tcPr>
          <w:p>
            <w:pPr>
              <w:spacing w:after="0"/>
              <w:rPr>
                <w:sz w:val="21"/>
                <w:szCs w:val="21"/>
                <w:color w:val="auto"/>
              </w:rPr>
            </w:pPr>
          </w:p>
        </w:tc>
        <w:tc>
          <w:tcPr>
            <w:tcW w:w="12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spacing w:after="0"/>
              <w:rPr>
                <w:sz w:val="21"/>
                <w:szCs w:val="21"/>
                <w:color w:val="auto"/>
              </w:rPr>
            </w:pPr>
          </w:p>
        </w:tc>
        <w:tc>
          <w:tcPr>
            <w:tcW w:w="1280" w:type="dxa"/>
            <w:vAlign w:val="bottom"/>
            <w:tcBorders>
              <w:bottom w:val="single" w:sz="8" w:color="8E939F"/>
            </w:tcBorders>
            <w:shd w:val="clear" w:color="auto" w:fill="F3F3F9"/>
          </w:tcPr>
          <w:p>
            <w:pPr>
              <w:jc w:val="right"/>
              <w:ind w:right="722"/>
              <w:spacing w:after="0"/>
              <w:rPr>
                <w:sz w:val="20"/>
                <w:szCs w:val="20"/>
                <w:color w:val="auto"/>
              </w:rPr>
            </w:pPr>
            <w:r>
              <w:rPr>
                <w:rFonts w:ascii="Arial" w:cs="Arial" w:eastAsia="Arial" w:hAnsi="Arial"/>
                <w:sz w:val="16"/>
                <w:szCs w:val="16"/>
                <w:b w:val="1"/>
                <w:bCs w:val="1"/>
                <w:color w:val="243782"/>
              </w:rPr>
              <w:t>2026</w:t>
            </w:r>
          </w:p>
        </w:tc>
        <w:tc>
          <w:tcPr>
            <w:tcW w:w="1340" w:type="dxa"/>
            <w:vAlign w:val="bottom"/>
            <w:tcBorders>
              <w:bottom w:val="single" w:sz="8" w:color="8E939F"/>
            </w:tcBorders>
            <w:shd w:val="clear" w:color="auto" w:fill="F3F3F9"/>
          </w:tcPr>
          <w:p>
            <w:pPr>
              <w:spacing w:after="0"/>
              <w:rPr>
                <w:sz w:val="21"/>
                <w:szCs w:val="21"/>
                <w:color w:val="auto"/>
              </w:rPr>
            </w:pPr>
          </w:p>
        </w:tc>
        <w:tc>
          <w:tcPr>
            <w:tcW w:w="1240" w:type="dxa"/>
            <w:vAlign w:val="bottom"/>
            <w:tcBorders>
              <w:bottom w:val="single" w:sz="8" w:color="8E939F"/>
            </w:tcBorders>
          </w:tcPr>
          <w:p>
            <w:pPr>
              <w:spacing w:after="0"/>
              <w:rPr>
                <w:sz w:val="21"/>
                <w:szCs w:val="21"/>
                <w:color w:val="auto"/>
              </w:rPr>
            </w:pPr>
          </w:p>
        </w:tc>
        <w:tc>
          <w:tcPr>
            <w:tcW w:w="940" w:type="dxa"/>
            <w:vAlign w:val="bottom"/>
            <w:tcBorders>
              <w:bottom w:val="single" w:sz="8" w:color="8E939F"/>
            </w:tcBorders>
          </w:tcPr>
          <w:p>
            <w:pPr>
              <w:spacing w:after="0"/>
              <w:rPr>
                <w:sz w:val="21"/>
                <w:szCs w:val="21"/>
                <w:color w:val="auto"/>
              </w:rPr>
            </w:pPr>
          </w:p>
        </w:tc>
        <w:tc>
          <w:tcPr>
            <w:tcW w:w="1340" w:type="dxa"/>
            <w:vAlign w:val="bottom"/>
            <w:tcBorders>
              <w:bottom w:val="single" w:sz="8" w:color="8E939F"/>
            </w:tcBorders>
          </w:tcPr>
          <w:p>
            <w:pPr>
              <w:jc w:val="right"/>
              <w:ind w:right="782"/>
              <w:spacing w:after="0"/>
              <w:rPr>
                <w:sz w:val="20"/>
                <w:szCs w:val="20"/>
                <w:color w:val="auto"/>
              </w:rPr>
            </w:pPr>
            <w:r>
              <w:rPr>
                <w:rFonts w:ascii="Arial" w:cs="Arial" w:eastAsia="Arial" w:hAnsi="Arial"/>
                <w:sz w:val="16"/>
                <w:szCs w:val="16"/>
                <w:b w:val="1"/>
                <w:bCs w:val="1"/>
                <w:color w:val="243782"/>
              </w:rPr>
              <w:t>2025</w:t>
            </w:r>
          </w:p>
        </w:tc>
        <w:tc>
          <w:tcPr>
            <w:tcW w:w="132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million)</w:t>
            </w:r>
          </w:p>
        </w:tc>
        <w:tc>
          <w:tcPr>
            <w:tcW w:w="880" w:type="dxa"/>
            <w:vAlign w:val="bottom"/>
            <w:vMerge w:val="restart"/>
            <w:shd w:val="clear" w:color="auto" w:fill="F3F3F9"/>
          </w:tcPr>
          <w:p>
            <w:pPr>
              <w:jc w:val="right"/>
              <w:spacing w:after="0"/>
              <w:rPr>
                <w:sz w:val="20"/>
                <w:szCs w:val="20"/>
                <w:color w:val="auto"/>
              </w:rPr>
            </w:pPr>
            <w:r>
              <w:rPr>
                <w:rFonts w:ascii="Arial" w:cs="Arial" w:eastAsia="Arial" w:hAnsi="Arial"/>
                <w:sz w:val="14"/>
                <w:szCs w:val="14"/>
                <w:b w:val="1"/>
                <w:bCs w:val="1"/>
                <w:color w:val="143A84"/>
              </w:rPr>
              <w:t>Net</w:t>
            </w:r>
          </w:p>
        </w:tc>
        <w:tc>
          <w:tcPr>
            <w:tcW w:w="120" w:type="dxa"/>
            <w:vAlign w:val="bottom"/>
            <w:shd w:val="clear" w:color="auto" w:fill="F3F3F9"/>
          </w:tcPr>
          <w:p>
            <w:pPr>
              <w:spacing w:after="0"/>
              <w:rPr>
                <w:sz w:val="17"/>
                <w:szCs w:val="17"/>
                <w:color w:val="auto"/>
              </w:rPr>
            </w:pPr>
          </w:p>
        </w:tc>
        <w:tc>
          <w:tcPr>
            <w:tcW w:w="1040" w:type="dxa"/>
            <w:vAlign w:val="bottom"/>
            <w:vMerge w:val="restart"/>
            <w:shd w:val="clear" w:color="auto" w:fill="F3F3F9"/>
          </w:tcPr>
          <w:p>
            <w:pPr>
              <w:jc w:val="right"/>
              <w:ind w:right="43"/>
              <w:spacing w:after="0"/>
              <w:rPr>
                <w:sz w:val="20"/>
                <w:szCs w:val="20"/>
                <w:color w:val="auto"/>
              </w:rPr>
            </w:pPr>
            <w:r>
              <w:rPr>
                <w:rFonts w:ascii="Arial" w:cs="Arial" w:eastAsia="Arial" w:hAnsi="Arial"/>
                <w:sz w:val="14"/>
                <w:szCs w:val="14"/>
                <w:b w:val="1"/>
                <w:bCs w:val="1"/>
                <w:color w:val="143A84"/>
              </w:rPr>
              <w:t>Cost of</w:t>
            </w:r>
          </w:p>
        </w:tc>
        <w:tc>
          <w:tcPr>
            <w:tcW w:w="1280" w:type="dxa"/>
            <w:vAlign w:val="bottom"/>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Selling, general</w:t>
            </w:r>
          </w:p>
        </w:tc>
        <w:tc>
          <w:tcPr>
            <w:tcW w:w="1340" w:type="dxa"/>
            <w:vAlign w:val="bottom"/>
            <w:vMerge w:val="restart"/>
            <w:shd w:val="clear" w:color="auto" w:fill="F3F3F9"/>
          </w:tcPr>
          <w:p>
            <w:pPr>
              <w:jc w:val="right"/>
              <w:spacing w:after="0"/>
              <w:rPr>
                <w:sz w:val="20"/>
                <w:szCs w:val="20"/>
                <w:color w:val="auto"/>
              </w:rPr>
            </w:pPr>
            <w:r>
              <w:rPr>
                <w:rFonts w:ascii="Arial" w:cs="Arial" w:eastAsia="Arial" w:hAnsi="Arial"/>
                <w:sz w:val="14"/>
                <w:szCs w:val="14"/>
                <w:b w:val="1"/>
                <w:bCs w:val="1"/>
                <w:color w:val="143A84"/>
              </w:rPr>
              <w:t>Net financial</w:t>
            </w:r>
          </w:p>
        </w:tc>
        <w:tc>
          <w:tcPr>
            <w:tcW w:w="1240" w:type="dxa"/>
            <w:vAlign w:val="bottom"/>
          </w:tcPr>
          <w:p>
            <w:pPr>
              <w:spacing w:after="0"/>
              <w:rPr>
                <w:sz w:val="17"/>
                <w:szCs w:val="17"/>
                <w:color w:val="auto"/>
              </w:rPr>
            </w:pPr>
          </w:p>
        </w:tc>
        <w:tc>
          <w:tcPr>
            <w:tcW w:w="9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143A84"/>
              </w:rPr>
              <w:t>Cost of</w:t>
            </w:r>
          </w:p>
        </w:tc>
        <w:tc>
          <w:tcPr>
            <w:tcW w:w="1340" w:type="dxa"/>
            <w:vAlign w:val="bottom"/>
          </w:tcPr>
          <w:p>
            <w:pPr>
              <w:jc w:val="right"/>
              <w:ind w:right="2"/>
              <w:spacing w:after="0"/>
              <w:rPr>
                <w:sz w:val="20"/>
                <w:szCs w:val="20"/>
                <w:color w:val="auto"/>
              </w:rPr>
            </w:pPr>
            <w:r>
              <w:rPr>
                <w:rFonts w:ascii="Arial" w:cs="Arial" w:eastAsia="Arial" w:hAnsi="Arial"/>
                <w:sz w:val="14"/>
                <w:szCs w:val="14"/>
                <w:b w:val="1"/>
                <w:bCs w:val="1"/>
                <w:color w:val="143A84"/>
              </w:rPr>
              <w:t>Selling, general</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143A84"/>
              </w:rPr>
              <w:t>Net financial</w:t>
            </w:r>
          </w:p>
        </w:tc>
        <w:tc>
          <w:tcPr>
            <w:tcW w:w="0" w:type="dxa"/>
            <w:vAlign w:val="bottom"/>
          </w:tcPr>
          <w:p>
            <w:pPr>
              <w:spacing w:after="0"/>
              <w:rPr>
                <w:sz w:val="1"/>
                <w:szCs w:val="1"/>
                <w:color w:val="auto"/>
              </w:rPr>
            </w:pPr>
          </w:p>
        </w:tc>
      </w:tr>
      <w:tr>
        <w:trPr>
          <w:trHeight w:val="162"/>
        </w:trPr>
        <w:tc>
          <w:tcPr>
            <w:tcW w:w="1740" w:type="dxa"/>
            <w:vAlign w:val="bottom"/>
            <w:vMerge w:val="continue"/>
          </w:tcPr>
          <w:p>
            <w:pPr>
              <w:spacing w:after="0"/>
              <w:rPr>
                <w:sz w:val="14"/>
                <w:szCs w:val="14"/>
                <w:color w:val="auto"/>
              </w:rPr>
            </w:pPr>
          </w:p>
        </w:tc>
        <w:tc>
          <w:tcPr>
            <w:tcW w:w="880" w:type="dxa"/>
            <w:vAlign w:val="bottom"/>
            <w:vMerge w:val="continue"/>
            <w:shd w:val="clear" w:color="auto" w:fill="F3F3F9"/>
          </w:tcPr>
          <w:p>
            <w:pPr>
              <w:spacing w:after="0"/>
              <w:rPr>
                <w:sz w:val="14"/>
                <w:szCs w:val="14"/>
                <w:color w:val="auto"/>
              </w:rPr>
            </w:pPr>
          </w:p>
        </w:tc>
        <w:tc>
          <w:tcPr>
            <w:tcW w:w="120" w:type="dxa"/>
            <w:vAlign w:val="bottom"/>
            <w:shd w:val="clear" w:color="auto" w:fill="F3F3F9"/>
          </w:tcPr>
          <w:p>
            <w:pPr>
              <w:spacing w:after="0"/>
              <w:rPr>
                <w:sz w:val="14"/>
                <w:szCs w:val="14"/>
                <w:color w:val="auto"/>
              </w:rPr>
            </w:pPr>
          </w:p>
        </w:tc>
        <w:tc>
          <w:tcPr>
            <w:tcW w:w="1040" w:type="dxa"/>
            <w:vAlign w:val="bottom"/>
            <w:vMerge w:val="continue"/>
            <w:shd w:val="clear" w:color="auto" w:fill="F3F3F9"/>
          </w:tcPr>
          <w:p>
            <w:pPr>
              <w:spacing w:after="0"/>
              <w:rPr>
                <w:sz w:val="14"/>
                <w:szCs w:val="14"/>
                <w:color w:val="auto"/>
              </w:rPr>
            </w:pPr>
          </w:p>
        </w:tc>
        <w:tc>
          <w:tcPr>
            <w:tcW w:w="1280" w:type="dxa"/>
            <w:vAlign w:val="bottom"/>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and other</w:t>
            </w:r>
          </w:p>
        </w:tc>
        <w:tc>
          <w:tcPr>
            <w:tcW w:w="1340" w:type="dxa"/>
            <w:vAlign w:val="bottom"/>
            <w:vMerge w:val="continue"/>
            <w:shd w:val="clear" w:color="auto" w:fill="F3F3F9"/>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tcPr>
          <w:p>
            <w:pPr>
              <w:jc w:val="right"/>
              <w:ind w:right="2"/>
              <w:spacing w:after="0"/>
              <w:rPr>
                <w:sz w:val="20"/>
                <w:szCs w:val="20"/>
                <w:color w:val="auto"/>
              </w:rPr>
            </w:pPr>
            <w:r>
              <w:rPr>
                <w:rFonts w:ascii="Arial" w:cs="Arial" w:eastAsia="Arial" w:hAnsi="Arial"/>
                <w:sz w:val="14"/>
                <w:szCs w:val="14"/>
                <w:b w:val="1"/>
                <w:bCs w:val="1"/>
                <w:color w:val="143A84"/>
              </w:rPr>
              <w:t>and 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740" w:type="dxa"/>
            <w:vAlign w:val="bottom"/>
            <w:tcBorders>
              <w:bottom w:val="single" w:sz="8" w:color="143A84"/>
            </w:tcBorders>
          </w:tcPr>
          <w:p>
            <w:pPr>
              <w:spacing w:after="0"/>
              <w:rPr>
                <w:sz w:val="18"/>
                <w:szCs w:val="18"/>
                <w:color w:val="auto"/>
              </w:rPr>
            </w:pPr>
          </w:p>
        </w:tc>
        <w:tc>
          <w:tcPr>
            <w:tcW w:w="88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revenues</w:t>
            </w:r>
          </w:p>
        </w:tc>
        <w:tc>
          <w:tcPr>
            <w:tcW w:w="120" w:type="dxa"/>
            <w:vAlign w:val="bottom"/>
            <w:tcBorders>
              <w:bottom w:val="single" w:sz="8" w:color="143A84"/>
            </w:tcBorders>
            <w:shd w:val="clear" w:color="auto" w:fill="F3F3F9"/>
          </w:tcPr>
          <w:p>
            <w:pPr>
              <w:spacing w:after="0"/>
              <w:rPr>
                <w:sz w:val="18"/>
                <w:szCs w:val="18"/>
                <w:color w:val="auto"/>
              </w:rPr>
            </w:pPr>
          </w:p>
        </w:tc>
        <w:tc>
          <w:tcPr>
            <w:tcW w:w="1040" w:type="dxa"/>
            <w:vAlign w:val="bottom"/>
            <w:tcBorders>
              <w:bottom w:val="single" w:sz="8" w:color="143A84"/>
            </w:tcBorders>
            <w:shd w:val="clear" w:color="auto" w:fill="F3F3F9"/>
          </w:tcPr>
          <w:p>
            <w:pPr>
              <w:jc w:val="right"/>
              <w:ind w:right="43"/>
              <w:spacing w:after="0"/>
              <w:rPr>
                <w:sz w:val="20"/>
                <w:szCs w:val="20"/>
                <w:color w:val="auto"/>
              </w:rPr>
            </w:pPr>
            <w:r>
              <w:rPr>
                <w:rFonts w:ascii="Arial" w:cs="Arial" w:eastAsia="Arial" w:hAnsi="Arial"/>
                <w:sz w:val="14"/>
                <w:szCs w:val="14"/>
                <w:b w:val="1"/>
                <w:bCs w:val="1"/>
                <w:color w:val="143A84"/>
              </w:rPr>
              <w:t>revenues</w:t>
            </w:r>
          </w:p>
        </w:tc>
        <w:tc>
          <w:tcPr>
            <w:tcW w:w="1280" w:type="dxa"/>
            <w:vAlign w:val="bottom"/>
            <w:tcBorders>
              <w:bottom w:val="single" w:sz="8" w:color="143A84"/>
            </w:tcBorders>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costs/(income)</w:t>
            </w:r>
          </w:p>
        </w:tc>
        <w:tc>
          <w:tcPr>
            <w:tcW w:w="134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expenses/(income)</w:t>
            </w:r>
          </w:p>
        </w:tc>
        <w:tc>
          <w:tcPr>
            <w:tcW w:w="1240" w:type="dxa"/>
            <w:vAlign w:val="bottom"/>
            <w:tcBorders>
              <w:bottom w:val="single" w:sz="8" w:color="143A84"/>
            </w:tcBorders>
          </w:tcPr>
          <w:p>
            <w:pPr>
              <w:jc w:val="right"/>
              <w:ind w:right="121"/>
              <w:spacing w:after="0"/>
              <w:rPr>
                <w:sz w:val="20"/>
                <w:szCs w:val="20"/>
                <w:color w:val="auto"/>
              </w:rPr>
            </w:pPr>
            <w:r>
              <w:rPr>
                <w:rFonts w:ascii="Arial" w:cs="Arial" w:eastAsia="Arial" w:hAnsi="Arial"/>
                <w:sz w:val="14"/>
                <w:szCs w:val="14"/>
                <w:b w:val="1"/>
                <w:bCs w:val="1"/>
                <w:color w:val="143A84"/>
              </w:rPr>
              <w:t>Net revenues</w:t>
            </w:r>
          </w:p>
        </w:tc>
        <w:tc>
          <w:tcPr>
            <w:tcW w:w="940" w:type="dxa"/>
            <w:vAlign w:val="bottom"/>
            <w:tcBorders>
              <w:bottom w:val="single" w:sz="8" w:color="143A84"/>
            </w:tcBorders>
          </w:tcPr>
          <w:p>
            <w:pPr>
              <w:jc w:val="right"/>
              <w:ind w:right="22"/>
              <w:spacing w:after="0"/>
              <w:rPr>
                <w:sz w:val="20"/>
                <w:szCs w:val="20"/>
                <w:color w:val="auto"/>
              </w:rPr>
            </w:pPr>
            <w:r>
              <w:rPr>
                <w:rFonts w:ascii="Arial" w:cs="Arial" w:eastAsia="Arial" w:hAnsi="Arial"/>
                <w:sz w:val="14"/>
                <w:szCs w:val="14"/>
                <w:b w:val="1"/>
                <w:bCs w:val="1"/>
                <w:color w:val="143A84"/>
              </w:rPr>
              <w:t>revenues</w:t>
            </w:r>
          </w:p>
        </w:tc>
        <w:tc>
          <w:tcPr>
            <w:tcW w:w="1340" w:type="dxa"/>
            <w:vAlign w:val="bottom"/>
            <w:tcBorders>
              <w:bottom w:val="single" w:sz="8" w:color="143A84"/>
            </w:tcBorders>
          </w:tcPr>
          <w:p>
            <w:pPr>
              <w:jc w:val="right"/>
              <w:ind w:right="2"/>
              <w:spacing w:after="0"/>
              <w:rPr>
                <w:sz w:val="20"/>
                <w:szCs w:val="20"/>
                <w:color w:val="auto"/>
              </w:rPr>
            </w:pPr>
            <w:r>
              <w:rPr>
                <w:rFonts w:ascii="Arial" w:cs="Arial" w:eastAsia="Arial" w:hAnsi="Arial"/>
                <w:sz w:val="14"/>
                <w:szCs w:val="14"/>
                <w:b w:val="1"/>
                <w:bCs w:val="1"/>
                <w:color w:val="143A84"/>
              </w:rPr>
              <w:t>costs/(income)</w:t>
            </w:r>
          </w:p>
        </w:tc>
        <w:tc>
          <w:tcPr>
            <w:tcW w:w="132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143A84"/>
              </w:rPr>
              <w:t>expenses/(income)</w:t>
            </w: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6"/>
                <w:szCs w:val="16"/>
                <w:color w:val="auto"/>
              </w:rPr>
              <w:t>Joint arrangements and</w:t>
            </w:r>
          </w:p>
        </w:tc>
        <w:tc>
          <w:tcPr>
            <w:tcW w:w="88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2,790</w:t>
            </w:r>
          </w:p>
        </w:tc>
        <w:tc>
          <w:tcPr>
            <w:tcW w:w="1160" w:type="dxa"/>
            <w:vAlign w:val="bottom"/>
            <w:gridSpan w:val="2"/>
            <w:vMerge w:val="restart"/>
            <w:shd w:val="clear" w:color="auto" w:fill="F3F3F9"/>
          </w:tcPr>
          <w:p>
            <w:pPr>
              <w:jc w:val="right"/>
              <w:ind w:right="103"/>
              <w:spacing w:after="0"/>
              <w:rPr>
                <w:sz w:val="20"/>
                <w:szCs w:val="20"/>
                <w:color w:val="auto"/>
              </w:rPr>
            </w:pPr>
            <w:r>
              <w:rPr>
                <w:rFonts w:ascii="Arial" w:cs="Arial" w:eastAsia="Arial" w:hAnsi="Arial"/>
                <w:sz w:val="16"/>
                <w:szCs w:val="16"/>
                <w:color w:val="auto"/>
              </w:rPr>
              <w:t>1,516</w:t>
            </w:r>
          </w:p>
        </w:tc>
        <w:tc>
          <w:tcPr>
            <w:tcW w:w="1280" w:type="dxa"/>
            <w:vAlign w:val="bottom"/>
            <w:vMerge w:val="restart"/>
            <w:shd w:val="clear" w:color="auto" w:fill="F3F3F9"/>
          </w:tcPr>
          <w:p>
            <w:pPr>
              <w:jc w:val="right"/>
              <w:ind w:right="2"/>
              <w:spacing w:after="0"/>
              <w:rPr>
                <w:sz w:val="20"/>
                <w:szCs w:val="20"/>
                <w:color w:val="auto"/>
              </w:rPr>
            </w:pPr>
            <w:r>
              <w:rPr>
                <w:rFonts w:ascii="Arial" w:cs="Arial" w:eastAsia="Arial" w:hAnsi="Arial"/>
                <w:sz w:val="16"/>
                <w:szCs w:val="16"/>
                <w:color w:val="auto"/>
              </w:rPr>
              <w:t>(170)</w:t>
            </w:r>
          </w:p>
        </w:tc>
        <w:tc>
          <w:tcPr>
            <w:tcW w:w="1340" w:type="dxa"/>
            <w:vAlign w:val="bottom"/>
            <w:vMerge w:val="restart"/>
            <w:shd w:val="clear" w:color="auto" w:fill="F3F3F9"/>
          </w:tcPr>
          <w:p>
            <w:pPr>
              <w:ind w:left="1100"/>
              <w:spacing w:after="0"/>
              <w:rPr>
                <w:sz w:val="20"/>
                <w:szCs w:val="20"/>
                <w:color w:val="auto"/>
              </w:rPr>
            </w:pPr>
            <w:r>
              <w:rPr>
                <w:rFonts w:ascii="Arial" w:cs="Arial" w:eastAsia="Arial" w:hAnsi="Arial"/>
                <w:sz w:val="16"/>
                <w:szCs w:val="16"/>
                <w:color w:val="auto"/>
              </w:rPr>
              <w:t>(1)</w:t>
            </w:r>
          </w:p>
        </w:tc>
        <w:tc>
          <w:tcPr>
            <w:tcW w:w="1240" w:type="dxa"/>
            <w:vAlign w:val="bottom"/>
            <w:vMerge w:val="restart"/>
          </w:tcPr>
          <w:p>
            <w:pPr>
              <w:jc w:val="right"/>
              <w:ind w:right="181"/>
              <w:spacing w:after="0"/>
              <w:rPr>
                <w:sz w:val="20"/>
                <w:szCs w:val="20"/>
                <w:color w:val="auto"/>
              </w:rPr>
            </w:pPr>
            <w:r>
              <w:rPr>
                <w:rFonts w:ascii="Arial" w:cs="Arial" w:eastAsia="Arial" w:hAnsi="Arial"/>
                <w:sz w:val="16"/>
                <w:szCs w:val="16"/>
                <w:color w:val="auto"/>
              </w:rPr>
              <w:t>3,190</w:t>
            </w:r>
          </w:p>
        </w:tc>
        <w:tc>
          <w:tcPr>
            <w:tcW w:w="940" w:type="dxa"/>
            <w:vAlign w:val="bottom"/>
            <w:vMerge w:val="restart"/>
          </w:tcPr>
          <w:p>
            <w:pPr>
              <w:jc w:val="right"/>
              <w:ind w:right="82"/>
              <w:spacing w:after="0"/>
              <w:rPr>
                <w:sz w:val="20"/>
                <w:szCs w:val="20"/>
                <w:color w:val="auto"/>
              </w:rPr>
            </w:pPr>
            <w:r>
              <w:rPr>
                <w:rFonts w:ascii="Arial" w:cs="Arial" w:eastAsia="Arial" w:hAnsi="Arial"/>
                <w:sz w:val="16"/>
                <w:szCs w:val="16"/>
                <w:color w:val="auto"/>
              </w:rPr>
              <w:t>1,120</w:t>
            </w:r>
          </w:p>
        </w:tc>
        <w:tc>
          <w:tcPr>
            <w:tcW w:w="1340" w:type="dxa"/>
            <w:vAlign w:val="bottom"/>
            <w:vMerge w:val="restart"/>
          </w:tcPr>
          <w:p>
            <w:pPr>
              <w:jc w:val="right"/>
              <w:ind w:right="62"/>
              <w:spacing w:after="0"/>
              <w:rPr>
                <w:sz w:val="20"/>
                <w:szCs w:val="20"/>
                <w:color w:val="auto"/>
              </w:rPr>
            </w:pPr>
            <w:r>
              <w:rPr>
                <w:rFonts w:ascii="Arial" w:cs="Arial" w:eastAsia="Arial" w:hAnsi="Arial"/>
                <w:sz w:val="16"/>
                <w:szCs w:val="16"/>
                <w:color w:val="auto"/>
              </w:rPr>
              <w:t>62</w:t>
            </w: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0"/>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associates</w:t>
            </w:r>
          </w:p>
        </w:tc>
        <w:tc>
          <w:tcPr>
            <w:tcW w:w="880" w:type="dxa"/>
            <w:vAlign w:val="bottom"/>
            <w:vMerge w:val="continue"/>
            <w:shd w:val="clear" w:color="auto" w:fill="F3F3F9"/>
          </w:tcPr>
          <w:p>
            <w:pPr>
              <w:spacing w:after="0"/>
              <w:rPr>
                <w:sz w:val="10"/>
                <w:szCs w:val="10"/>
                <w:color w:val="auto"/>
              </w:rPr>
            </w:pPr>
          </w:p>
        </w:tc>
        <w:tc>
          <w:tcPr>
            <w:tcW w:w="1160" w:type="dxa"/>
            <w:vAlign w:val="bottom"/>
            <w:gridSpan w:val="2"/>
            <w:vMerge w:val="continue"/>
            <w:shd w:val="clear" w:color="auto" w:fill="F3F3F9"/>
          </w:tcPr>
          <w:p>
            <w:pPr>
              <w:spacing w:after="0"/>
              <w:rPr>
                <w:sz w:val="10"/>
                <w:szCs w:val="10"/>
                <w:color w:val="auto"/>
              </w:rPr>
            </w:pPr>
          </w:p>
        </w:tc>
        <w:tc>
          <w:tcPr>
            <w:tcW w:w="1280" w:type="dxa"/>
            <w:vAlign w:val="bottom"/>
            <w:vMerge w:val="continue"/>
            <w:shd w:val="clear" w:color="auto" w:fill="F3F3F9"/>
          </w:tcPr>
          <w:p>
            <w:pPr>
              <w:spacing w:after="0"/>
              <w:rPr>
                <w:sz w:val="10"/>
                <w:szCs w:val="10"/>
                <w:color w:val="auto"/>
              </w:rPr>
            </w:pPr>
          </w:p>
        </w:tc>
        <w:tc>
          <w:tcPr>
            <w:tcW w:w="1340" w:type="dxa"/>
            <w:vAlign w:val="bottom"/>
            <w:vMerge w:val="continue"/>
            <w:shd w:val="clear" w:color="auto" w:fill="F3F3F9"/>
          </w:tcPr>
          <w:p>
            <w:pPr>
              <w:spacing w:after="0"/>
              <w:rPr>
                <w:sz w:val="10"/>
                <w:szCs w:val="10"/>
                <w:color w:val="auto"/>
              </w:rPr>
            </w:pPr>
          </w:p>
        </w:tc>
        <w:tc>
          <w:tcPr>
            <w:tcW w:w="12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880" w:type="dxa"/>
            <w:vAlign w:val="bottom"/>
            <w:tcBorders>
              <w:bottom w:val="single" w:sz="8" w:color="F3F3F9"/>
            </w:tcBorders>
            <w:shd w:val="clear" w:color="auto" w:fill="F3F3F9"/>
          </w:tcPr>
          <w:p>
            <w:pPr>
              <w:spacing w:after="0"/>
              <w:rPr>
                <w:sz w:val="10"/>
                <w:szCs w:val="10"/>
                <w:color w:val="auto"/>
              </w:rPr>
            </w:pPr>
          </w:p>
        </w:tc>
        <w:tc>
          <w:tcPr>
            <w:tcW w:w="120" w:type="dxa"/>
            <w:vAlign w:val="bottom"/>
            <w:tcBorders>
              <w:bottom w:val="single" w:sz="8" w:color="F3F3F9"/>
            </w:tcBorders>
            <w:shd w:val="clear" w:color="auto" w:fill="F3F3F9"/>
          </w:tcPr>
          <w:p>
            <w:pPr>
              <w:spacing w:after="0"/>
              <w:rPr>
                <w:sz w:val="10"/>
                <w:szCs w:val="10"/>
                <w:color w:val="auto"/>
              </w:rPr>
            </w:pPr>
          </w:p>
        </w:tc>
        <w:tc>
          <w:tcPr>
            <w:tcW w:w="1040" w:type="dxa"/>
            <w:vAlign w:val="bottom"/>
            <w:tcBorders>
              <w:bottom w:val="single" w:sz="8" w:color="F3F3F9"/>
            </w:tcBorders>
            <w:shd w:val="clear" w:color="auto" w:fill="F3F3F9"/>
          </w:tcPr>
          <w:p>
            <w:pPr>
              <w:spacing w:after="0"/>
              <w:rPr>
                <w:sz w:val="10"/>
                <w:szCs w:val="10"/>
                <w:color w:val="auto"/>
              </w:rPr>
            </w:pPr>
          </w:p>
        </w:tc>
        <w:tc>
          <w:tcPr>
            <w:tcW w:w="1280" w:type="dxa"/>
            <w:vAlign w:val="bottom"/>
            <w:tcBorders>
              <w:bottom w:val="single" w:sz="8" w:color="F3F3F9"/>
            </w:tcBorders>
            <w:shd w:val="clear" w:color="auto" w:fill="F3F3F9"/>
          </w:tcPr>
          <w:p>
            <w:pPr>
              <w:spacing w:after="0"/>
              <w:rPr>
                <w:sz w:val="10"/>
                <w:szCs w:val="10"/>
                <w:color w:val="auto"/>
              </w:rPr>
            </w:pPr>
          </w:p>
        </w:tc>
        <w:tc>
          <w:tcPr>
            <w:tcW w:w="1340" w:type="dxa"/>
            <w:vAlign w:val="bottom"/>
            <w:tcBorders>
              <w:bottom w:val="single" w:sz="8" w:color="F3F3F9"/>
            </w:tcBorders>
            <w:shd w:val="clear" w:color="auto" w:fill="F3F3F9"/>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74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6"/>
                <w:szCs w:val="16"/>
                <w:color w:val="auto"/>
              </w:rPr>
              <w:t>CNHI</w:t>
            </w:r>
          </w:p>
        </w:tc>
        <w:tc>
          <w:tcPr>
            <w:tcW w:w="88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8E939F"/>
              <w:bottom w:val="single" w:sz="8" w:color="8E939F"/>
            </w:tcBorders>
            <w:shd w:val="clear" w:color="auto" w:fill="F3F3F9"/>
          </w:tcPr>
          <w:p>
            <w:pPr>
              <w:spacing w:after="0"/>
              <w:rPr>
                <w:sz w:val="21"/>
                <w:szCs w:val="21"/>
                <w:color w:val="auto"/>
              </w:rPr>
            </w:pPr>
          </w:p>
        </w:tc>
        <w:tc>
          <w:tcPr>
            <w:tcW w:w="1040" w:type="dxa"/>
            <w:vAlign w:val="bottom"/>
            <w:tcBorders>
              <w:top w:val="single" w:sz="8" w:color="8E939F"/>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8E939F"/>
              <w:bottom w:val="single" w:sz="8" w:color="8E939F"/>
            </w:tcBorders>
            <w:shd w:val="clear" w:color="auto" w:fill="F3F3F9"/>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8E939F"/>
              <w:bottom w:val="single" w:sz="8" w:color="8E939F"/>
            </w:tcBorders>
            <w:shd w:val="clear" w:color="auto" w:fill="F3F3F9"/>
          </w:tcPr>
          <w:p>
            <w:pPr>
              <w:ind w:left="11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8E939F"/>
              <w:bottom w:val="single" w:sz="8" w:color="8E939F"/>
            </w:tcBorders>
          </w:tcPr>
          <w:p>
            <w:pPr>
              <w:jc w:val="right"/>
              <w:ind w:right="1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8E939F"/>
              <w:bottom w:val="single" w:sz="8" w:color="8E939F"/>
            </w:tcBorders>
          </w:tcPr>
          <w:p>
            <w:pPr>
              <w:jc w:val="right"/>
              <w:ind w:right="8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8E939F"/>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8E939F"/>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7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Ferrari N.V</w:t>
            </w:r>
          </w:p>
        </w:tc>
        <w:tc>
          <w:tcPr>
            <w:tcW w:w="8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8E939F"/>
            </w:tcBorders>
            <w:shd w:val="clear" w:color="auto" w:fill="F3F3F9"/>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39F"/>
            </w:tcBorders>
            <w:shd w:val="clear" w:color="auto" w:fill="F3F3F9"/>
          </w:tcPr>
          <w:p>
            <w:pPr>
              <w:ind w:left="1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7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Iveco</w:t>
            </w:r>
          </w:p>
        </w:tc>
        <w:tc>
          <w:tcPr>
            <w:tcW w:w="88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8E939F"/>
            </w:tcBorders>
            <w:shd w:val="clear" w:color="auto" w:fill="F3F3F9"/>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39F"/>
            </w:tcBorders>
            <w:shd w:val="clear" w:color="auto" w:fill="F3F3F9"/>
          </w:tcPr>
          <w:p>
            <w:pPr>
              <w:ind w:left="1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8E939F"/>
            </w:tcBorders>
          </w:tcPr>
          <w:p>
            <w:pPr>
              <w:jc w:val="right"/>
              <w:ind w:right="181"/>
              <w:spacing w:after="0"/>
              <w:rPr>
                <w:sz w:val="20"/>
                <w:szCs w:val="20"/>
                <w:color w:val="auto"/>
              </w:rPr>
            </w:pPr>
            <w:r>
              <w:rPr>
                <w:rFonts w:ascii="Arial" w:cs="Arial" w:eastAsia="Arial" w:hAnsi="Arial"/>
                <w:sz w:val="16"/>
                <w:szCs w:val="16"/>
                <w:color w:val="auto"/>
              </w:rPr>
              <w:t>14</w:t>
            </w:r>
          </w:p>
        </w:tc>
        <w:tc>
          <w:tcPr>
            <w:tcW w:w="94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2</w:t>
            </w:r>
          </w:p>
        </w:tc>
        <w:tc>
          <w:tcPr>
            <w:tcW w:w="1340" w:type="dxa"/>
            <w:vAlign w:val="bottom"/>
            <w:tcBorders>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19"/>
                <w:szCs w:val="19"/>
                <w:color w:val="auto"/>
              </w:rPr>
            </w:pPr>
          </w:p>
        </w:tc>
        <w:tc>
          <w:tcPr>
            <w:tcW w:w="900" w:type="dxa"/>
            <w:vAlign w:val="bottom"/>
            <w:tcBorders>
              <w:bottom w:val="single" w:sz="8" w:color="8E939F"/>
            </w:tcBorders>
          </w:tcPr>
          <w:p>
            <w:pPr>
              <w:spacing w:after="0"/>
              <w:rPr>
                <w:sz w:val="19"/>
                <w:szCs w:val="19"/>
                <w:color w:val="auto"/>
              </w:rPr>
            </w:pPr>
          </w:p>
        </w:tc>
        <w:tc>
          <w:tcPr>
            <w:tcW w:w="100" w:type="dxa"/>
            <w:vAlign w:val="bottom"/>
            <w:tcBorders>
              <w:bottom w:val="single" w:sz="8" w:color="8E939F"/>
            </w:tcBorders>
          </w:tcPr>
          <w:p>
            <w:pPr>
              <w:spacing w:after="0"/>
              <w:rPr>
                <w:sz w:val="19"/>
                <w:szCs w:val="19"/>
                <w:color w:val="auto"/>
              </w:rPr>
            </w:pPr>
          </w:p>
        </w:tc>
        <w:tc>
          <w:tcPr>
            <w:tcW w:w="1040" w:type="dxa"/>
            <w:vAlign w:val="bottom"/>
            <w:tcBorders>
              <w:bottom w:val="single" w:sz="8" w:color="8E939F"/>
            </w:tcBorders>
          </w:tcPr>
          <w:p>
            <w:pPr>
              <w:spacing w:after="0"/>
              <w:rPr>
                <w:sz w:val="19"/>
                <w:szCs w:val="19"/>
                <w:color w:val="auto"/>
              </w:rPr>
            </w:pPr>
          </w:p>
        </w:tc>
        <w:tc>
          <w:tcPr>
            <w:tcW w:w="1300" w:type="dxa"/>
            <w:vAlign w:val="bottom"/>
            <w:tcBorders>
              <w:bottom w:val="single" w:sz="8" w:color="8E939F"/>
            </w:tcBorders>
          </w:tcPr>
          <w:p>
            <w:pPr>
              <w:spacing w:after="0"/>
              <w:rPr>
                <w:sz w:val="19"/>
                <w:szCs w:val="19"/>
                <w:color w:val="auto"/>
              </w:rPr>
            </w:pPr>
          </w:p>
        </w:tc>
        <w:tc>
          <w:tcPr>
            <w:tcW w:w="2760" w:type="dxa"/>
            <w:vAlign w:val="bottom"/>
            <w:tcBorders>
              <w:bottom w:val="single" w:sz="8" w:color="8E939F"/>
            </w:tcBorders>
            <w:gridSpan w:val="2"/>
          </w:tcPr>
          <w:p>
            <w:pPr>
              <w:jc w:val="right"/>
              <w:spacing w:after="0"/>
              <w:rPr>
                <w:sz w:val="20"/>
                <w:szCs w:val="20"/>
                <w:color w:val="auto"/>
              </w:rPr>
            </w:pPr>
            <w:r>
              <w:rPr>
                <w:rFonts w:ascii="Arial" w:cs="Arial" w:eastAsia="Arial" w:hAnsi="Arial"/>
                <w:sz w:val="16"/>
                <w:szCs w:val="16"/>
                <w:b w:val="1"/>
                <w:bCs w:val="1"/>
                <w:color w:val="243782"/>
              </w:rPr>
              <w:t>Nine months ended September 30,</w:t>
            </w:r>
          </w:p>
        </w:tc>
        <w:tc>
          <w:tcPr>
            <w:tcW w:w="740" w:type="dxa"/>
            <w:vAlign w:val="bottom"/>
            <w:tcBorders>
              <w:bottom w:val="single" w:sz="8" w:color="8E939F"/>
            </w:tcBorders>
          </w:tcPr>
          <w:p>
            <w:pPr>
              <w:spacing w:after="0"/>
              <w:rPr>
                <w:sz w:val="19"/>
                <w:szCs w:val="19"/>
                <w:color w:val="auto"/>
              </w:rPr>
            </w:pPr>
          </w:p>
        </w:tc>
        <w:tc>
          <w:tcPr>
            <w:tcW w:w="1340" w:type="dxa"/>
            <w:vAlign w:val="bottom"/>
            <w:tcBorders>
              <w:bottom w:val="single" w:sz="8" w:color="8E939F"/>
            </w:tcBorders>
          </w:tcPr>
          <w:p>
            <w:pPr>
              <w:spacing w:after="0"/>
              <w:rPr>
                <w:sz w:val="19"/>
                <w:szCs w:val="19"/>
                <w:color w:val="auto"/>
              </w:rPr>
            </w:pPr>
          </w:p>
        </w:tc>
        <w:tc>
          <w:tcPr>
            <w:tcW w:w="1320" w:type="dxa"/>
            <w:vAlign w:val="bottom"/>
            <w:tcBorders>
              <w:bottom w:val="single" w:sz="8" w:color="8E939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900" w:type="dxa"/>
            <w:vAlign w:val="bottom"/>
            <w:tcBorders>
              <w:bottom w:val="single" w:sz="8" w:color="8E939F"/>
            </w:tcBorders>
            <w:shd w:val="clear" w:color="auto" w:fill="F3F3F9"/>
          </w:tcPr>
          <w:p>
            <w:pPr>
              <w:spacing w:after="0"/>
              <w:rPr>
                <w:sz w:val="21"/>
                <w:szCs w:val="21"/>
                <w:color w:val="auto"/>
              </w:rPr>
            </w:pPr>
          </w:p>
        </w:tc>
        <w:tc>
          <w:tcPr>
            <w:tcW w:w="10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spacing w:after="0"/>
              <w:rPr>
                <w:sz w:val="21"/>
                <w:szCs w:val="21"/>
                <w:color w:val="auto"/>
              </w:rPr>
            </w:pPr>
          </w:p>
        </w:tc>
        <w:tc>
          <w:tcPr>
            <w:tcW w:w="1300" w:type="dxa"/>
            <w:vAlign w:val="bottom"/>
            <w:tcBorders>
              <w:bottom w:val="single" w:sz="8" w:color="8E939F"/>
            </w:tcBorders>
            <w:shd w:val="clear" w:color="auto" w:fill="F3F3F9"/>
          </w:tcPr>
          <w:p>
            <w:pPr>
              <w:jc w:val="right"/>
              <w:ind w:right="742"/>
              <w:spacing w:after="0"/>
              <w:rPr>
                <w:sz w:val="20"/>
                <w:szCs w:val="20"/>
                <w:color w:val="auto"/>
              </w:rPr>
            </w:pPr>
            <w:r>
              <w:rPr>
                <w:rFonts w:ascii="Arial" w:cs="Arial" w:eastAsia="Arial" w:hAnsi="Arial"/>
                <w:sz w:val="16"/>
                <w:szCs w:val="16"/>
                <w:b w:val="1"/>
                <w:bCs w:val="1"/>
                <w:color w:val="243782"/>
              </w:rPr>
              <w:t>2026</w:t>
            </w:r>
          </w:p>
        </w:tc>
        <w:tc>
          <w:tcPr>
            <w:tcW w:w="1320" w:type="dxa"/>
            <w:vAlign w:val="bottom"/>
            <w:tcBorders>
              <w:bottom w:val="single" w:sz="8" w:color="8E939F"/>
            </w:tcBorders>
            <w:shd w:val="clear" w:color="auto" w:fill="F3F3F9"/>
          </w:tcPr>
          <w:p>
            <w:pPr>
              <w:spacing w:after="0"/>
              <w:rPr>
                <w:sz w:val="21"/>
                <w:szCs w:val="21"/>
                <w:color w:val="auto"/>
              </w:rPr>
            </w:pPr>
          </w:p>
        </w:tc>
        <w:tc>
          <w:tcPr>
            <w:tcW w:w="1440" w:type="dxa"/>
            <w:vAlign w:val="bottom"/>
            <w:tcBorders>
              <w:bottom w:val="single" w:sz="8" w:color="8E939F"/>
            </w:tcBorders>
          </w:tcPr>
          <w:p>
            <w:pPr>
              <w:spacing w:after="0"/>
              <w:rPr>
                <w:sz w:val="21"/>
                <w:szCs w:val="21"/>
                <w:color w:val="auto"/>
              </w:rPr>
            </w:pPr>
          </w:p>
        </w:tc>
        <w:tc>
          <w:tcPr>
            <w:tcW w:w="740" w:type="dxa"/>
            <w:vAlign w:val="bottom"/>
            <w:tcBorders>
              <w:bottom w:val="single" w:sz="8" w:color="8E939F"/>
            </w:tcBorders>
          </w:tcPr>
          <w:p>
            <w:pPr>
              <w:spacing w:after="0"/>
              <w:rPr>
                <w:sz w:val="21"/>
                <w:szCs w:val="21"/>
                <w:color w:val="auto"/>
              </w:rPr>
            </w:pPr>
          </w:p>
        </w:tc>
        <w:tc>
          <w:tcPr>
            <w:tcW w:w="1340" w:type="dxa"/>
            <w:vAlign w:val="bottom"/>
            <w:tcBorders>
              <w:bottom w:val="single" w:sz="8" w:color="8E939F"/>
            </w:tcBorders>
          </w:tcPr>
          <w:p>
            <w:pPr>
              <w:jc w:val="right"/>
              <w:ind w:right="782"/>
              <w:spacing w:after="0"/>
              <w:rPr>
                <w:sz w:val="20"/>
                <w:szCs w:val="20"/>
                <w:color w:val="auto"/>
              </w:rPr>
            </w:pPr>
            <w:r>
              <w:rPr>
                <w:rFonts w:ascii="Arial" w:cs="Arial" w:eastAsia="Arial" w:hAnsi="Arial"/>
                <w:sz w:val="16"/>
                <w:szCs w:val="16"/>
                <w:b w:val="1"/>
                <w:bCs w:val="1"/>
                <w:color w:val="243782"/>
              </w:rPr>
              <w:t>2025</w:t>
            </w:r>
          </w:p>
        </w:tc>
        <w:tc>
          <w:tcPr>
            <w:tcW w:w="132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million)</w:t>
            </w:r>
          </w:p>
        </w:tc>
        <w:tc>
          <w:tcPr>
            <w:tcW w:w="900" w:type="dxa"/>
            <w:vAlign w:val="bottom"/>
            <w:vMerge w:val="restart"/>
            <w:shd w:val="clear" w:color="auto" w:fill="F3F3F9"/>
          </w:tcPr>
          <w:p>
            <w:pPr>
              <w:jc w:val="right"/>
              <w:spacing w:after="0"/>
              <w:rPr>
                <w:sz w:val="20"/>
                <w:szCs w:val="20"/>
                <w:color w:val="auto"/>
              </w:rPr>
            </w:pPr>
            <w:r>
              <w:rPr>
                <w:rFonts w:ascii="Arial" w:cs="Arial" w:eastAsia="Arial" w:hAnsi="Arial"/>
                <w:sz w:val="14"/>
                <w:szCs w:val="14"/>
                <w:b w:val="1"/>
                <w:bCs w:val="1"/>
                <w:color w:val="143A84"/>
              </w:rPr>
              <w:t>Net</w:t>
            </w:r>
          </w:p>
        </w:tc>
        <w:tc>
          <w:tcPr>
            <w:tcW w:w="100" w:type="dxa"/>
            <w:vAlign w:val="bottom"/>
            <w:shd w:val="clear" w:color="auto" w:fill="F3F3F9"/>
          </w:tcPr>
          <w:p>
            <w:pPr>
              <w:spacing w:after="0"/>
              <w:rPr>
                <w:sz w:val="17"/>
                <w:szCs w:val="17"/>
                <w:color w:val="auto"/>
              </w:rPr>
            </w:pPr>
          </w:p>
        </w:tc>
        <w:tc>
          <w:tcPr>
            <w:tcW w:w="1040" w:type="dxa"/>
            <w:vAlign w:val="bottom"/>
            <w:vMerge w:val="restart"/>
            <w:shd w:val="clear" w:color="auto" w:fill="F3F3F9"/>
          </w:tcPr>
          <w:p>
            <w:pPr>
              <w:jc w:val="right"/>
              <w:ind w:right="43"/>
              <w:spacing w:after="0"/>
              <w:rPr>
                <w:sz w:val="20"/>
                <w:szCs w:val="20"/>
                <w:color w:val="auto"/>
              </w:rPr>
            </w:pPr>
            <w:r>
              <w:rPr>
                <w:rFonts w:ascii="Arial" w:cs="Arial" w:eastAsia="Arial" w:hAnsi="Arial"/>
                <w:sz w:val="14"/>
                <w:szCs w:val="14"/>
                <w:b w:val="1"/>
                <w:bCs w:val="1"/>
                <w:color w:val="143A84"/>
              </w:rPr>
              <w:t>Cost of</w:t>
            </w:r>
          </w:p>
        </w:tc>
        <w:tc>
          <w:tcPr>
            <w:tcW w:w="1300" w:type="dxa"/>
            <w:vAlign w:val="bottom"/>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Selling, general</w:t>
            </w:r>
          </w:p>
        </w:tc>
        <w:tc>
          <w:tcPr>
            <w:tcW w:w="1320" w:type="dxa"/>
            <w:vAlign w:val="bottom"/>
            <w:vMerge w:val="restart"/>
            <w:shd w:val="clear" w:color="auto" w:fill="F3F3F9"/>
          </w:tcPr>
          <w:p>
            <w:pPr>
              <w:jc w:val="right"/>
              <w:spacing w:after="0"/>
              <w:rPr>
                <w:sz w:val="20"/>
                <w:szCs w:val="20"/>
                <w:color w:val="auto"/>
              </w:rPr>
            </w:pPr>
            <w:r>
              <w:rPr>
                <w:rFonts w:ascii="Arial" w:cs="Arial" w:eastAsia="Arial" w:hAnsi="Arial"/>
                <w:sz w:val="14"/>
                <w:szCs w:val="14"/>
                <w:b w:val="1"/>
                <w:bCs w:val="1"/>
                <w:color w:val="143A84"/>
              </w:rPr>
              <w:t>Net financial</w:t>
            </w:r>
          </w:p>
        </w:tc>
        <w:tc>
          <w:tcPr>
            <w:tcW w:w="1440" w:type="dxa"/>
            <w:vAlign w:val="bottom"/>
          </w:tcPr>
          <w:p>
            <w:pPr>
              <w:spacing w:after="0"/>
              <w:rPr>
                <w:sz w:val="17"/>
                <w:szCs w:val="17"/>
                <w:color w:val="auto"/>
              </w:rPr>
            </w:pPr>
          </w:p>
        </w:tc>
        <w:tc>
          <w:tcPr>
            <w:tcW w:w="7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143A84"/>
              </w:rPr>
              <w:t>Cost of</w:t>
            </w:r>
          </w:p>
        </w:tc>
        <w:tc>
          <w:tcPr>
            <w:tcW w:w="1340" w:type="dxa"/>
            <w:vAlign w:val="bottom"/>
          </w:tcPr>
          <w:p>
            <w:pPr>
              <w:jc w:val="right"/>
              <w:ind w:right="2"/>
              <w:spacing w:after="0"/>
              <w:rPr>
                <w:sz w:val="20"/>
                <w:szCs w:val="20"/>
                <w:color w:val="auto"/>
              </w:rPr>
            </w:pPr>
            <w:r>
              <w:rPr>
                <w:rFonts w:ascii="Arial" w:cs="Arial" w:eastAsia="Arial" w:hAnsi="Arial"/>
                <w:sz w:val="14"/>
                <w:szCs w:val="14"/>
                <w:b w:val="1"/>
                <w:bCs w:val="1"/>
                <w:color w:val="143A84"/>
              </w:rPr>
              <w:t>Selling, general</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143A84"/>
              </w:rPr>
              <w:t>Net financial</w:t>
            </w:r>
          </w:p>
        </w:tc>
        <w:tc>
          <w:tcPr>
            <w:tcW w:w="0" w:type="dxa"/>
            <w:vAlign w:val="bottom"/>
          </w:tcPr>
          <w:p>
            <w:pPr>
              <w:spacing w:after="0"/>
              <w:rPr>
                <w:sz w:val="1"/>
                <w:szCs w:val="1"/>
                <w:color w:val="auto"/>
              </w:rPr>
            </w:pPr>
          </w:p>
        </w:tc>
      </w:tr>
      <w:tr>
        <w:trPr>
          <w:trHeight w:val="162"/>
        </w:trPr>
        <w:tc>
          <w:tcPr>
            <w:tcW w:w="1740" w:type="dxa"/>
            <w:vAlign w:val="bottom"/>
            <w:vMerge w:val="continue"/>
          </w:tcPr>
          <w:p>
            <w:pPr>
              <w:spacing w:after="0"/>
              <w:rPr>
                <w:sz w:val="14"/>
                <w:szCs w:val="14"/>
                <w:color w:val="auto"/>
              </w:rPr>
            </w:pPr>
          </w:p>
        </w:tc>
        <w:tc>
          <w:tcPr>
            <w:tcW w:w="900" w:type="dxa"/>
            <w:vAlign w:val="bottom"/>
            <w:vMerge w:val="continue"/>
            <w:shd w:val="clear" w:color="auto" w:fill="F3F3F9"/>
          </w:tcPr>
          <w:p>
            <w:pPr>
              <w:spacing w:after="0"/>
              <w:rPr>
                <w:sz w:val="14"/>
                <w:szCs w:val="14"/>
                <w:color w:val="auto"/>
              </w:rPr>
            </w:pPr>
          </w:p>
        </w:tc>
        <w:tc>
          <w:tcPr>
            <w:tcW w:w="100" w:type="dxa"/>
            <w:vAlign w:val="bottom"/>
            <w:shd w:val="clear" w:color="auto" w:fill="F3F3F9"/>
          </w:tcPr>
          <w:p>
            <w:pPr>
              <w:spacing w:after="0"/>
              <w:rPr>
                <w:sz w:val="14"/>
                <w:szCs w:val="14"/>
                <w:color w:val="auto"/>
              </w:rPr>
            </w:pPr>
          </w:p>
        </w:tc>
        <w:tc>
          <w:tcPr>
            <w:tcW w:w="1040" w:type="dxa"/>
            <w:vAlign w:val="bottom"/>
            <w:vMerge w:val="continue"/>
            <w:shd w:val="clear" w:color="auto" w:fill="F3F3F9"/>
          </w:tcPr>
          <w:p>
            <w:pPr>
              <w:spacing w:after="0"/>
              <w:rPr>
                <w:sz w:val="14"/>
                <w:szCs w:val="14"/>
                <w:color w:val="auto"/>
              </w:rPr>
            </w:pPr>
          </w:p>
        </w:tc>
        <w:tc>
          <w:tcPr>
            <w:tcW w:w="1300" w:type="dxa"/>
            <w:vAlign w:val="bottom"/>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and other</w:t>
            </w:r>
          </w:p>
        </w:tc>
        <w:tc>
          <w:tcPr>
            <w:tcW w:w="1320" w:type="dxa"/>
            <w:vAlign w:val="bottom"/>
            <w:vMerge w:val="continue"/>
            <w:shd w:val="clear" w:color="auto" w:fill="F3F3F9"/>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340" w:type="dxa"/>
            <w:vAlign w:val="bottom"/>
          </w:tcPr>
          <w:p>
            <w:pPr>
              <w:jc w:val="right"/>
              <w:ind w:right="2"/>
              <w:spacing w:after="0"/>
              <w:rPr>
                <w:sz w:val="20"/>
                <w:szCs w:val="20"/>
                <w:color w:val="auto"/>
              </w:rPr>
            </w:pPr>
            <w:r>
              <w:rPr>
                <w:rFonts w:ascii="Arial" w:cs="Arial" w:eastAsia="Arial" w:hAnsi="Arial"/>
                <w:sz w:val="14"/>
                <w:szCs w:val="14"/>
                <w:b w:val="1"/>
                <w:bCs w:val="1"/>
                <w:color w:val="143A84"/>
              </w:rPr>
              <w:t>and 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740" w:type="dxa"/>
            <w:vAlign w:val="bottom"/>
            <w:tcBorders>
              <w:bottom w:val="single" w:sz="8" w:color="143A84"/>
            </w:tcBorders>
          </w:tcPr>
          <w:p>
            <w:pPr>
              <w:spacing w:after="0"/>
              <w:rPr>
                <w:sz w:val="17"/>
                <w:szCs w:val="17"/>
                <w:color w:val="auto"/>
              </w:rPr>
            </w:pPr>
          </w:p>
        </w:tc>
        <w:tc>
          <w:tcPr>
            <w:tcW w:w="9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revenues</w:t>
            </w:r>
          </w:p>
        </w:tc>
        <w:tc>
          <w:tcPr>
            <w:tcW w:w="100" w:type="dxa"/>
            <w:vAlign w:val="bottom"/>
            <w:tcBorders>
              <w:bottom w:val="single" w:sz="8" w:color="143A84"/>
            </w:tcBorders>
            <w:shd w:val="clear" w:color="auto" w:fill="F3F3F9"/>
          </w:tcPr>
          <w:p>
            <w:pPr>
              <w:spacing w:after="0"/>
              <w:rPr>
                <w:sz w:val="17"/>
                <w:szCs w:val="17"/>
                <w:color w:val="auto"/>
              </w:rPr>
            </w:pPr>
          </w:p>
        </w:tc>
        <w:tc>
          <w:tcPr>
            <w:tcW w:w="1040" w:type="dxa"/>
            <w:vAlign w:val="bottom"/>
            <w:tcBorders>
              <w:bottom w:val="single" w:sz="8" w:color="143A84"/>
            </w:tcBorders>
            <w:shd w:val="clear" w:color="auto" w:fill="F3F3F9"/>
          </w:tcPr>
          <w:p>
            <w:pPr>
              <w:jc w:val="right"/>
              <w:ind w:right="43"/>
              <w:spacing w:after="0"/>
              <w:rPr>
                <w:sz w:val="20"/>
                <w:szCs w:val="20"/>
                <w:color w:val="auto"/>
              </w:rPr>
            </w:pPr>
            <w:r>
              <w:rPr>
                <w:rFonts w:ascii="Arial" w:cs="Arial" w:eastAsia="Arial" w:hAnsi="Arial"/>
                <w:sz w:val="14"/>
                <w:szCs w:val="14"/>
                <w:b w:val="1"/>
                <w:bCs w:val="1"/>
                <w:color w:val="143A84"/>
              </w:rPr>
              <w:t>revenues</w:t>
            </w:r>
          </w:p>
        </w:tc>
        <w:tc>
          <w:tcPr>
            <w:tcW w:w="1300" w:type="dxa"/>
            <w:vAlign w:val="bottom"/>
            <w:tcBorders>
              <w:bottom w:val="single" w:sz="8" w:color="143A84"/>
            </w:tcBorders>
            <w:shd w:val="clear" w:color="auto" w:fill="F3F3F9"/>
          </w:tcPr>
          <w:p>
            <w:pPr>
              <w:jc w:val="right"/>
              <w:ind w:right="2"/>
              <w:spacing w:after="0"/>
              <w:rPr>
                <w:sz w:val="20"/>
                <w:szCs w:val="20"/>
                <w:color w:val="auto"/>
              </w:rPr>
            </w:pPr>
            <w:r>
              <w:rPr>
                <w:rFonts w:ascii="Arial" w:cs="Arial" w:eastAsia="Arial" w:hAnsi="Arial"/>
                <w:sz w:val="14"/>
                <w:szCs w:val="14"/>
                <w:b w:val="1"/>
                <w:bCs w:val="1"/>
                <w:color w:val="143A84"/>
              </w:rPr>
              <w:t>costs/(income)</w:t>
            </w:r>
          </w:p>
        </w:tc>
        <w:tc>
          <w:tcPr>
            <w:tcW w:w="132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expenses/(income)</w:t>
            </w:r>
          </w:p>
        </w:tc>
        <w:tc>
          <w:tcPr>
            <w:tcW w:w="1440" w:type="dxa"/>
            <w:vAlign w:val="bottom"/>
            <w:tcBorders>
              <w:bottom w:val="single" w:sz="8" w:color="143A84"/>
            </w:tcBorders>
          </w:tcPr>
          <w:p>
            <w:pPr>
              <w:jc w:val="right"/>
              <w:ind w:right="321"/>
              <w:spacing w:after="0"/>
              <w:rPr>
                <w:sz w:val="20"/>
                <w:szCs w:val="20"/>
                <w:color w:val="auto"/>
              </w:rPr>
            </w:pPr>
            <w:r>
              <w:rPr>
                <w:rFonts w:ascii="Arial" w:cs="Arial" w:eastAsia="Arial" w:hAnsi="Arial"/>
                <w:sz w:val="14"/>
                <w:szCs w:val="14"/>
                <w:b w:val="1"/>
                <w:bCs w:val="1"/>
                <w:color w:val="143A84"/>
              </w:rPr>
              <w:t>Net revenues</w:t>
            </w:r>
          </w:p>
        </w:tc>
        <w:tc>
          <w:tcPr>
            <w:tcW w:w="740" w:type="dxa"/>
            <w:vAlign w:val="bottom"/>
            <w:tcBorders>
              <w:bottom w:val="single" w:sz="8" w:color="143A84"/>
            </w:tcBorders>
          </w:tcPr>
          <w:p>
            <w:pPr>
              <w:jc w:val="right"/>
              <w:ind w:right="22"/>
              <w:spacing w:after="0"/>
              <w:rPr>
                <w:sz w:val="20"/>
                <w:szCs w:val="20"/>
                <w:color w:val="auto"/>
              </w:rPr>
            </w:pPr>
            <w:r>
              <w:rPr>
                <w:rFonts w:ascii="Arial" w:cs="Arial" w:eastAsia="Arial" w:hAnsi="Arial"/>
                <w:sz w:val="14"/>
                <w:szCs w:val="14"/>
                <w:b w:val="1"/>
                <w:bCs w:val="1"/>
                <w:color w:val="143A84"/>
              </w:rPr>
              <w:t>revenues</w:t>
            </w:r>
          </w:p>
        </w:tc>
        <w:tc>
          <w:tcPr>
            <w:tcW w:w="1340" w:type="dxa"/>
            <w:vAlign w:val="bottom"/>
            <w:tcBorders>
              <w:bottom w:val="single" w:sz="8" w:color="143A84"/>
            </w:tcBorders>
          </w:tcPr>
          <w:p>
            <w:pPr>
              <w:jc w:val="right"/>
              <w:ind w:right="2"/>
              <w:spacing w:after="0"/>
              <w:rPr>
                <w:sz w:val="20"/>
                <w:szCs w:val="20"/>
                <w:color w:val="auto"/>
              </w:rPr>
            </w:pPr>
            <w:r>
              <w:rPr>
                <w:rFonts w:ascii="Arial" w:cs="Arial" w:eastAsia="Arial" w:hAnsi="Arial"/>
                <w:sz w:val="14"/>
                <w:szCs w:val="14"/>
                <w:b w:val="1"/>
                <w:bCs w:val="1"/>
                <w:color w:val="143A84"/>
              </w:rPr>
              <w:t>costs/(income)</w:t>
            </w:r>
          </w:p>
        </w:tc>
        <w:tc>
          <w:tcPr>
            <w:tcW w:w="132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143A84"/>
              </w:rPr>
              <w:t>expenses/(income)</w:t>
            </w: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rPr>
                <w:sz w:val="20"/>
                <w:szCs w:val="20"/>
                <w:color w:val="auto"/>
              </w:rPr>
            </w:pPr>
            <w:r>
              <w:rPr>
                <w:rFonts w:ascii="Arial" w:cs="Arial" w:eastAsia="Arial" w:hAnsi="Arial"/>
                <w:sz w:val="16"/>
                <w:szCs w:val="16"/>
                <w:color w:val="auto"/>
              </w:rPr>
              <w:t>Joint arrangements and</w:t>
            </w:r>
          </w:p>
        </w:tc>
        <w:tc>
          <w:tcPr>
            <w:tcW w:w="900" w:type="dxa"/>
            <w:vAlign w:val="bottom"/>
            <w:vMerge w:val="restart"/>
            <w:shd w:val="clear" w:color="auto" w:fill="F3F3F9"/>
          </w:tcPr>
          <w:p>
            <w:pPr>
              <w:jc w:val="right"/>
              <w:ind w:right="2"/>
              <w:spacing w:after="0"/>
              <w:rPr>
                <w:sz w:val="20"/>
                <w:szCs w:val="20"/>
                <w:color w:val="auto"/>
              </w:rPr>
            </w:pPr>
            <w:r>
              <w:rPr>
                <w:rFonts w:ascii="Arial" w:cs="Arial" w:eastAsia="Arial" w:hAnsi="Arial"/>
                <w:sz w:val="16"/>
                <w:szCs w:val="16"/>
                <w:color w:val="auto"/>
              </w:rPr>
              <w:t>10,154</w:t>
            </w:r>
          </w:p>
        </w:tc>
        <w:tc>
          <w:tcPr>
            <w:tcW w:w="1140" w:type="dxa"/>
            <w:vAlign w:val="bottom"/>
            <w:gridSpan w:val="2"/>
            <w:vMerge w:val="restart"/>
            <w:shd w:val="clear" w:color="auto" w:fill="F3F3F9"/>
          </w:tcPr>
          <w:p>
            <w:pPr>
              <w:jc w:val="right"/>
              <w:ind w:right="103"/>
              <w:spacing w:after="0"/>
              <w:rPr>
                <w:sz w:val="20"/>
                <w:szCs w:val="20"/>
                <w:color w:val="auto"/>
              </w:rPr>
            </w:pPr>
            <w:r>
              <w:rPr>
                <w:rFonts w:ascii="Arial" w:cs="Arial" w:eastAsia="Arial" w:hAnsi="Arial"/>
                <w:sz w:val="16"/>
                <w:szCs w:val="16"/>
                <w:color w:val="auto"/>
              </w:rPr>
              <w:t>3,787</w:t>
            </w:r>
          </w:p>
        </w:tc>
        <w:tc>
          <w:tcPr>
            <w:tcW w:w="1300" w:type="dxa"/>
            <w:vAlign w:val="bottom"/>
            <w:vMerge w:val="restart"/>
            <w:shd w:val="clear" w:color="auto" w:fill="F3F3F9"/>
          </w:tcPr>
          <w:p>
            <w:pPr>
              <w:jc w:val="right"/>
              <w:ind w:right="62"/>
              <w:spacing w:after="0"/>
              <w:rPr>
                <w:sz w:val="20"/>
                <w:szCs w:val="20"/>
                <w:color w:val="auto"/>
              </w:rPr>
            </w:pPr>
            <w:r>
              <w:rPr>
                <w:rFonts w:ascii="Arial" w:cs="Arial" w:eastAsia="Arial" w:hAnsi="Arial"/>
                <w:sz w:val="16"/>
                <w:szCs w:val="16"/>
                <w:color w:val="auto"/>
              </w:rPr>
              <w:t>16</w:t>
            </w:r>
          </w:p>
        </w:tc>
        <w:tc>
          <w:tcPr>
            <w:tcW w:w="132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22</w:t>
            </w:r>
          </w:p>
        </w:tc>
        <w:tc>
          <w:tcPr>
            <w:tcW w:w="1440" w:type="dxa"/>
            <w:vAlign w:val="bottom"/>
            <w:vMerge w:val="restart"/>
          </w:tcPr>
          <w:p>
            <w:pPr>
              <w:jc w:val="right"/>
              <w:ind w:right="381"/>
              <w:spacing w:after="0"/>
              <w:rPr>
                <w:sz w:val="20"/>
                <w:szCs w:val="20"/>
                <w:color w:val="auto"/>
              </w:rPr>
            </w:pPr>
            <w:r>
              <w:rPr>
                <w:rFonts w:ascii="Arial" w:cs="Arial" w:eastAsia="Arial" w:hAnsi="Arial"/>
                <w:sz w:val="16"/>
                <w:szCs w:val="16"/>
                <w:color w:val="auto"/>
              </w:rPr>
              <w:t>9,315</w:t>
            </w:r>
          </w:p>
        </w:tc>
        <w:tc>
          <w:tcPr>
            <w:tcW w:w="740" w:type="dxa"/>
            <w:vAlign w:val="bottom"/>
            <w:vMerge w:val="restart"/>
          </w:tcPr>
          <w:p>
            <w:pPr>
              <w:jc w:val="right"/>
              <w:ind w:right="82"/>
              <w:spacing w:after="0"/>
              <w:rPr>
                <w:sz w:val="20"/>
                <w:szCs w:val="20"/>
                <w:color w:val="auto"/>
              </w:rPr>
            </w:pPr>
            <w:r>
              <w:rPr>
                <w:rFonts w:ascii="Arial" w:cs="Arial" w:eastAsia="Arial" w:hAnsi="Arial"/>
                <w:sz w:val="16"/>
                <w:szCs w:val="16"/>
                <w:color w:val="auto"/>
              </w:rPr>
              <w:t>1,880</w:t>
            </w:r>
          </w:p>
        </w:tc>
        <w:tc>
          <w:tcPr>
            <w:tcW w:w="1340" w:type="dxa"/>
            <w:vAlign w:val="bottom"/>
            <w:vMerge w:val="restart"/>
          </w:tcPr>
          <w:p>
            <w:pPr>
              <w:jc w:val="right"/>
              <w:ind w:right="62"/>
              <w:spacing w:after="0"/>
              <w:rPr>
                <w:sz w:val="20"/>
                <w:szCs w:val="20"/>
                <w:color w:val="auto"/>
              </w:rPr>
            </w:pPr>
            <w:r>
              <w:rPr>
                <w:rFonts w:ascii="Arial" w:cs="Arial" w:eastAsia="Arial" w:hAnsi="Arial"/>
                <w:sz w:val="16"/>
                <w:szCs w:val="16"/>
                <w:color w:val="auto"/>
              </w:rPr>
              <w:t>54</w:t>
            </w: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20"/>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associates</w:t>
            </w:r>
          </w:p>
        </w:tc>
        <w:tc>
          <w:tcPr>
            <w:tcW w:w="900" w:type="dxa"/>
            <w:vAlign w:val="bottom"/>
            <w:vMerge w:val="continue"/>
            <w:shd w:val="clear" w:color="auto" w:fill="F3F3F9"/>
          </w:tcPr>
          <w:p>
            <w:pPr>
              <w:spacing w:after="0"/>
              <w:rPr>
                <w:sz w:val="10"/>
                <w:szCs w:val="10"/>
                <w:color w:val="auto"/>
              </w:rPr>
            </w:pPr>
          </w:p>
        </w:tc>
        <w:tc>
          <w:tcPr>
            <w:tcW w:w="1140" w:type="dxa"/>
            <w:vAlign w:val="bottom"/>
            <w:gridSpan w:val="2"/>
            <w:vMerge w:val="continue"/>
            <w:shd w:val="clear" w:color="auto" w:fill="F3F3F9"/>
          </w:tcPr>
          <w:p>
            <w:pPr>
              <w:spacing w:after="0"/>
              <w:rPr>
                <w:sz w:val="10"/>
                <w:szCs w:val="10"/>
                <w:color w:val="auto"/>
              </w:rPr>
            </w:pPr>
          </w:p>
        </w:tc>
        <w:tc>
          <w:tcPr>
            <w:tcW w:w="1300" w:type="dxa"/>
            <w:vAlign w:val="bottom"/>
            <w:vMerge w:val="continue"/>
            <w:shd w:val="clear" w:color="auto" w:fill="F3F3F9"/>
          </w:tcPr>
          <w:p>
            <w:pPr>
              <w:spacing w:after="0"/>
              <w:rPr>
                <w:sz w:val="10"/>
                <w:szCs w:val="10"/>
                <w:color w:val="auto"/>
              </w:rPr>
            </w:pPr>
          </w:p>
        </w:tc>
        <w:tc>
          <w:tcPr>
            <w:tcW w:w="1320" w:type="dxa"/>
            <w:vAlign w:val="bottom"/>
            <w:vMerge w:val="continue"/>
            <w:shd w:val="clear" w:color="auto" w:fill="F3F3F9"/>
          </w:tcPr>
          <w:p>
            <w:pPr>
              <w:spacing w:after="0"/>
              <w:rPr>
                <w:sz w:val="10"/>
                <w:szCs w:val="10"/>
                <w:color w:val="auto"/>
              </w:rPr>
            </w:pPr>
          </w:p>
        </w:tc>
        <w:tc>
          <w:tcPr>
            <w:tcW w:w="14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900" w:type="dxa"/>
            <w:vAlign w:val="bottom"/>
            <w:tcBorders>
              <w:bottom w:val="single" w:sz="8" w:color="F3F3F9"/>
            </w:tcBorders>
            <w:shd w:val="clear" w:color="auto" w:fill="F3F3F9"/>
          </w:tcPr>
          <w:p>
            <w:pPr>
              <w:spacing w:after="0"/>
              <w:rPr>
                <w:sz w:val="10"/>
                <w:szCs w:val="10"/>
                <w:color w:val="auto"/>
              </w:rPr>
            </w:pPr>
          </w:p>
        </w:tc>
        <w:tc>
          <w:tcPr>
            <w:tcW w:w="100" w:type="dxa"/>
            <w:vAlign w:val="bottom"/>
            <w:tcBorders>
              <w:bottom w:val="single" w:sz="8" w:color="F3F3F9"/>
            </w:tcBorders>
            <w:shd w:val="clear" w:color="auto" w:fill="F3F3F9"/>
          </w:tcPr>
          <w:p>
            <w:pPr>
              <w:spacing w:after="0"/>
              <w:rPr>
                <w:sz w:val="10"/>
                <w:szCs w:val="10"/>
                <w:color w:val="auto"/>
              </w:rPr>
            </w:pPr>
          </w:p>
        </w:tc>
        <w:tc>
          <w:tcPr>
            <w:tcW w:w="1040" w:type="dxa"/>
            <w:vAlign w:val="bottom"/>
            <w:tcBorders>
              <w:bottom w:val="single" w:sz="8" w:color="F3F3F9"/>
            </w:tcBorders>
            <w:shd w:val="clear" w:color="auto" w:fill="F3F3F9"/>
          </w:tcPr>
          <w:p>
            <w:pPr>
              <w:spacing w:after="0"/>
              <w:rPr>
                <w:sz w:val="10"/>
                <w:szCs w:val="10"/>
                <w:color w:val="auto"/>
              </w:rPr>
            </w:pPr>
          </w:p>
        </w:tc>
        <w:tc>
          <w:tcPr>
            <w:tcW w:w="1300" w:type="dxa"/>
            <w:vAlign w:val="bottom"/>
            <w:tcBorders>
              <w:bottom w:val="single" w:sz="8" w:color="F3F3F9"/>
            </w:tcBorders>
            <w:shd w:val="clear" w:color="auto" w:fill="F3F3F9"/>
          </w:tcPr>
          <w:p>
            <w:pPr>
              <w:spacing w:after="0"/>
              <w:rPr>
                <w:sz w:val="10"/>
                <w:szCs w:val="10"/>
                <w:color w:val="auto"/>
              </w:rPr>
            </w:pPr>
          </w:p>
        </w:tc>
        <w:tc>
          <w:tcPr>
            <w:tcW w:w="1320" w:type="dxa"/>
            <w:vAlign w:val="bottom"/>
            <w:tcBorders>
              <w:bottom w:val="single" w:sz="8" w:color="F3F3F9"/>
            </w:tcBorders>
            <w:shd w:val="clear" w:color="auto" w:fill="F3F3F9"/>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74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6"/>
                <w:szCs w:val="16"/>
                <w:color w:val="auto"/>
              </w:rPr>
              <w:t>CNHI</w:t>
            </w:r>
          </w:p>
        </w:tc>
        <w:tc>
          <w:tcPr>
            <w:tcW w:w="900" w:type="dxa"/>
            <w:vAlign w:val="bottom"/>
            <w:tcBorders>
              <w:top w:val="single" w:sz="8" w:color="8E939F"/>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8E939F"/>
              <w:bottom w:val="single" w:sz="8" w:color="8E939F"/>
            </w:tcBorders>
            <w:shd w:val="clear" w:color="auto" w:fill="F3F3F9"/>
          </w:tcPr>
          <w:p>
            <w:pPr>
              <w:spacing w:after="0"/>
              <w:rPr>
                <w:sz w:val="21"/>
                <w:szCs w:val="21"/>
                <w:color w:val="auto"/>
              </w:rPr>
            </w:pPr>
          </w:p>
        </w:tc>
        <w:tc>
          <w:tcPr>
            <w:tcW w:w="1040" w:type="dxa"/>
            <w:vAlign w:val="bottom"/>
            <w:tcBorders>
              <w:top w:val="single" w:sz="8" w:color="8E939F"/>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8E939F"/>
              <w:bottom w:val="single" w:sz="8" w:color="8E939F"/>
            </w:tcBorders>
            <w:shd w:val="clear" w:color="auto" w:fill="F3F3F9"/>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8E939F"/>
              <w:bottom w:val="single" w:sz="8" w:color="8E939F"/>
            </w:tcBorders>
          </w:tcPr>
          <w:p>
            <w:pPr>
              <w:jc w:val="right"/>
              <w:ind w:right="381"/>
              <w:spacing w:after="0"/>
              <w:rPr>
                <w:sz w:val="20"/>
                <w:szCs w:val="20"/>
                <w:color w:val="auto"/>
              </w:rPr>
            </w:pPr>
            <w:r>
              <w:rPr>
                <w:rFonts w:ascii="Arial" w:cs="Arial" w:eastAsia="Arial" w:hAnsi="Arial"/>
                <w:sz w:val="16"/>
                <w:szCs w:val="16"/>
                <w:color w:val="auto"/>
              </w:rPr>
              <w:t>4</w:t>
            </w:r>
          </w:p>
        </w:tc>
        <w:tc>
          <w:tcPr>
            <w:tcW w:w="740" w:type="dxa"/>
            <w:vAlign w:val="bottom"/>
            <w:tcBorders>
              <w:top w:val="single" w:sz="8" w:color="8E939F"/>
              <w:bottom w:val="single" w:sz="8" w:color="8E939F"/>
            </w:tcBorders>
          </w:tcPr>
          <w:p>
            <w:pPr>
              <w:jc w:val="right"/>
              <w:ind w:right="8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8E939F"/>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8E939F"/>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7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Ferrari N.V</w:t>
            </w:r>
          </w:p>
        </w:tc>
        <w:tc>
          <w:tcPr>
            <w:tcW w:w="900" w:type="dxa"/>
            <w:vAlign w:val="bottom"/>
            <w:tcBorders>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8E939F"/>
            </w:tcBorders>
            <w:shd w:val="clear" w:color="auto" w:fill="F3F3F9"/>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8E939F"/>
            </w:tcBorders>
          </w:tcPr>
          <w:p>
            <w:pPr>
              <w:jc w:val="right"/>
              <w:ind w:right="381"/>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74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Iveco</w:t>
            </w:r>
          </w:p>
        </w:tc>
        <w:tc>
          <w:tcPr>
            <w:tcW w:w="900" w:type="dxa"/>
            <w:vAlign w:val="bottom"/>
            <w:tcBorders>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8E939F"/>
            </w:tcBorders>
            <w:shd w:val="clear" w:color="auto" w:fill="F3F3F9"/>
          </w:tcPr>
          <w:p>
            <w:pPr>
              <w:spacing w:after="0"/>
              <w:rPr>
                <w:sz w:val="21"/>
                <w:szCs w:val="21"/>
                <w:color w:val="auto"/>
              </w:rPr>
            </w:pPr>
          </w:p>
        </w:tc>
        <w:tc>
          <w:tcPr>
            <w:tcW w:w="1040" w:type="dxa"/>
            <w:vAlign w:val="bottom"/>
            <w:tcBorders>
              <w:bottom w:val="single" w:sz="8" w:color="8E939F"/>
            </w:tcBorders>
            <w:shd w:val="clear" w:color="auto" w:fill="F3F3F9"/>
          </w:tcPr>
          <w:p>
            <w:pPr>
              <w:jc w:val="right"/>
              <w:ind w:right="103"/>
              <w:spacing w:after="0"/>
              <w:rPr>
                <w:sz w:val="20"/>
                <w:szCs w:val="20"/>
                <w:color w:val="auto"/>
              </w:rPr>
            </w:pPr>
            <w:r>
              <w:rPr>
                <w:rFonts w:ascii="Arial" w:cs="Arial" w:eastAsia="Arial" w:hAnsi="Arial"/>
                <w:sz w:val="16"/>
                <w:szCs w:val="16"/>
                <w:color w:val="auto"/>
              </w:rPr>
              <w:t>4</w:t>
            </w:r>
          </w:p>
        </w:tc>
        <w:tc>
          <w:tcPr>
            <w:tcW w:w="1300" w:type="dxa"/>
            <w:vAlign w:val="bottom"/>
            <w:tcBorders>
              <w:bottom w:val="single" w:sz="8" w:color="8E939F"/>
            </w:tcBorders>
            <w:shd w:val="clear" w:color="auto" w:fill="F3F3F9"/>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8E939F"/>
            </w:tcBorders>
          </w:tcPr>
          <w:p>
            <w:pPr>
              <w:jc w:val="right"/>
              <w:ind w:right="381"/>
              <w:spacing w:after="0"/>
              <w:rPr>
                <w:sz w:val="20"/>
                <w:szCs w:val="20"/>
                <w:color w:val="auto"/>
              </w:rPr>
            </w:pPr>
            <w:r>
              <w:rPr>
                <w:rFonts w:ascii="Arial" w:cs="Arial" w:eastAsia="Arial" w:hAnsi="Arial"/>
                <w:sz w:val="16"/>
                <w:szCs w:val="16"/>
                <w:color w:val="auto"/>
              </w:rPr>
              <w:t>71</w:t>
            </w:r>
          </w:p>
        </w:tc>
        <w:tc>
          <w:tcPr>
            <w:tcW w:w="74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6</w:t>
            </w:r>
          </w:p>
        </w:tc>
        <w:tc>
          <w:tcPr>
            <w:tcW w:w="1340" w:type="dxa"/>
            <w:vAlign w:val="bottom"/>
            <w:tcBorders>
              <w:bottom w:val="single" w:sz="8" w:color="8E939F"/>
            </w:tcBorders>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E939F"/>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The increase in Cost of revenues for transactions with joint arrangements and associates for the three and nine months ended September 30, 2026 compared to the corresponding periods in 2025 is primarily due to increased volumes in Leapmotor branded vehicles and increased purchases of vehicles manufactured by Tofas.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from transactions with related parties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00" w:type="dxa"/>
            <w:vAlign w:val="bottom"/>
          </w:tcPr>
          <w:p>
            <w:pPr>
              <w:spacing w:after="0"/>
              <w:rPr>
                <w:sz w:val="19"/>
                <w:szCs w:val="19"/>
                <w:color w:val="auto"/>
              </w:rPr>
            </w:pPr>
          </w:p>
        </w:tc>
        <w:tc>
          <w:tcPr>
            <w:tcW w:w="1060" w:type="dxa"/>
            <w:vAlign w:val="bottom"/>
            <w:tcBorders>
              <w:bottom w:val="single" w:sz="8" w:color="8E939F"/>
            </w:tcBorders>
          </w:tcPr>
          <w:p>
            <w:pPr>
              <w:spacing w:after="0"/>
              <w:rPr>
                <w:sz w:val="19"/>
                <w:szCs w:val="19"/>
                <w:color w:val="auto"/>
              </w:rPr>
            </w:pPr>
          </w:p>
        </w:tc>
        <w:tc>
          <w:tcPr>
            <w:tcW w:w="2680" w:type="dxa"/>
            <w:vAlign w:val="bottom"/>
            <w:tcBorders>
              <w:bottom w:val="single" w:sz="8" w:color="8E939F"/>
            </w:tcBorders>
            <w:gridSpan w:val="2"/>
          </w:tcPr>
          <w:p>
            <w:pPr>
              <w:jc w:val="right"/>
              <w:ind w:right="522"/>
              <w:spacing w:after="0"/>
              <w:rPr>
                <w:sz w:val="20"/>
                <w:szCs w:val="20"/>
                <w:color w:val="auto"/>
              </w:rPr>
            </w:pPr>
            <w:r>
              <w:rPr>
                <w:rFonts w:ascii="Arial" w:cs="Arial" w:eastAsia="Arial" w:hAnsi="Arial"/>
                <w:sz w:val="16"/>
                <w:szCs w:val="16"/>
                <w:b w:val="1"/>
                <w:bCs w:val="1"/>
                <w:color w:val="243782"/>
              </w:rPr>
              <w:t>At September 30, 2026</w:t>
            </w:r>
          </w:p>
        </w:tc>
        <w:tc>
          <w:tcPr>
            <w:tcW w:w="800" w:type="dxa"/>
            <w:vAlign w:val="bottom"/>
            <w:tcBorders>
              <w:bottom w:val="single" w:sz="8" w:color="8E939F"/>
            </w:tcBorders>
          </w:tcPr>
          <w:p>
            <w:pPr>
              <w:spacing w:after="0"/>
              <w:rPr>
                <w:sz w:val="19"/>
                <w:szCs w:val="19"/>
                <w:color w:val="auto"/>
              </w:rPr>
            </w:pPr>
          </w:p>
        </w:tc>
        <w:tc>
          <w:tcPr>
            <w:tcW w:w="1260" w:type="dxa"/>
            <w:vAlign w:val="bottom"/>
            <w:tcBorders>
              <w:bottom w:val="single" w:sz="8" w:color="8E939F"/>
            </w:tcBorders>
          </w:tcPr>
          <w:p>
            <w:pPr>
              <w:spacing w:after="0"/>
              <w:rPr>
                <w:sz w:val="19"/>
                <w:szCs w:val="19"/>
                <w:color w:val="auto"/>
              </w:rPr>
            </w:pPr>
          </w:p>
        </w:tc>
        <w:tc>
          <w:tcPr>
            <w:tcW w:w="2640" w:type="dxa"/>
            <w:vAlign w:val="bottom"/>
            <w:tcBorders>
              <w:bottom w:val="single" w:sz="8" w:color="8E939F"/>
            </w:tcBorders>
            <w:gridSpan w:val="2"/>
          </w:tcPr>
          <w:p>
            <w:pPr>
              <w:jc w:val="right"/>
              <w:ind w:right="582"/>
              <w:spacing w:after="0"/>
              <w:rPr>
                <w:sz w:val="20"/>
                <w:szCs w:val="20"/>
                <w:color w:val="auto"/>
              </w:rPr>
            </w:pPr>
            <w:r>
              <w:rPr>
                <w:rFonts w:ascii="Arial" w:cs="Arial" w:eastAsia="Arial" w:hAnsi="Arial"/>
                <w:sz w:val="16"/>
                <w:szCs w:val="16"/>
                <w:b w:val="1"/>
                <w:bCs w:val="1"/>
                <w:color w:val="243782"/>
              </w:rPr>
              <w:t>At December 31, 2025</w:t>
            </w:r>
          </w:p>
        </w:tc>
        <w:tc>
          <w:tcPr>
            <w:tcW w:w="800" w:type="dxa"/>
            <w:vAlign w:val="bottom"/>
            <w:tcBorders>
              <w:bottom w:val="single" w:sz="8" w:color="8E939F"/>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million)</w:t>
            </w:r>
          </w:p>
        </w:tc>
        <w:tc>
          <w:tcPr>
            <w:tcW w:w="1060" w:type="dxa"/>
            <w:vAlign w:val="bottom"/>
            <w:shd w:val="clear" w:color="auto" w:fill="F3F3F9"/>
          </w:tcPr>
          <w:p>
            <w:pPr>
              <w:spacing w:after="0"/>
              <w:rPr>
                <w:sz w:val="16"/>
                <w:szCs w:val="16"/>
                <w:color w:val="auto"/>
              </w:rPr>
            </w:pPr>
          </w:p>
        </w:tc>
        <w:tc>
          <w:tcPr>
            <w:tcW w:w="1280" w:type="dxa"/>
            <w:vAlign w:val="bottom"/>
            <w:shd w:val="clear" w:color="auto" w:fill="F3F3F9"/>
          </w:tcPr>
          <w:p>
            <w:pPr>
              <w:jc w:val="right"/>
              <w:ind w:right="62"/>
              <w:spacing w:after="0"/>
              <w:rPr>
                <w:sz w:val="20"/>
                <w:szCs w:val="20"/>
                <w:color w:val="auto"/>
              </w:rPr>
            </w:pPr>
            <w:r>
              <w:rPr>
                <w:rFonts w:ascii="Arial" w:cs="Arial" w:eastAsia="Arial" w:hAnsi="Arial"/>
                <w:sz w:val="14"/>
                <w:szCs w:val="14"/>
                <w:b w:val="1"/>
                <w:bCs w:val="1"/>
                <w:color w:val="143A84"/>
              </w:rPr>
              <w:t>Trade payables</w:t>
            </w:r>
          </w:p>
        </w:tc>
        <w:tc>
          <w:tcPr>
            <w:tcW w:w="1400" w:type="dxa"/>
            <w:vAlign w:val="bottom"/>
            <w:shd w:val="clear" w:color="auto" w:fill="F3F3F9"/>
          </w:tcPr>
          <w:p>
            <w:pPr>
              <w:spacing w:after="0"/>
              <w:rPr>
                <w:sz w:val="16"/>
                <w:szCs w:val="16"/>
                <w:color w:val="auto"/>
              </w:rPr>
            </w:pPr>
          </w:p>
        </w:tc>
        <w:tc>
          <w:tcPr>
            <w:tcW w:w="800" w:type="dxa"/>
            <w:vAlign w:val="bottom"/>
            <w:shd w:val="clear" w:color="auto" w:fill="F3F3F9"/>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jc w:val="right"/>
              <w:ind w:right="62"/>
              <w:spacing w:after="0"/>
              <w:rPr>
                <w:sz w:val="20"/>
                <w:szCs w:val="20"/>
                <w:color w:val="auto"/>
              </w:rPr>
            </w:pPr>
            <w:r>
              <w:rPr>
                <w:rFonts w:ascii="Arial" w:cs="Arial" w:eastAsia="Arial" w:hAnsi="Arial"/>
                <w:sz w:val="14"/>
                <w:szCs w:val="14"/>
                <w:b w:val="1"/>
                <w:bCs w:val="1"/>
                <w:color w:val="143A84"/>
              </w:rPr>
              <w:t>Trade payables</w:t>
            </w: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0" w:type="dxa"/>
            <w:vAlign w:val="bottom"/>
            <w:vMerge w:val="continue"/>
          </w:tcPr>
          <w:p>
            <w:pPr>
              <w:spacing w:after="0"/>
              <w:rPr>
                <w:sz w:val="14"/>
                <w:szCs w:val="14"/>
                <w:color w:val="auto"/>
              </w:rPr>
            </w:pPr>
          </w:p>
        </w:tc>
        <w:tc>
          <w:tcPr>
            <w:tcW w:w="1060" w:type="dxa"/>
            <w:vAlign w:val="bottom"/>
            <w:shd w:val="clear" w:color="auto" w:fill="F3F3F9"/>
          </w:tcPr>
          <w:p>
            <w:pPr>
              <w:jc w:val="right"/>
              <w:spacing w:after="0"/>
              <w:rPr>
                <w:sz w:val="20"/>
                <w:szCs w:val="20"/>
                <w:color w:val="auto"/>
              </w:rPr>
            </w:pPr>
            <w:r>
              <w:rPr>
                <w:rFonts w:ascii="Arial" w:cs="Arial" w:eastAsia="Arial" w:hAnsi="Arial"/>
                <w:sz w:val="14"/>
                <w:szCs w:val="14"/>
                <w:b w:val="1"/>
                <w:bCs w:val="1"/>
                <w:color w:val="143A84"/>
                <w:w w:val="96"/>
              </w:rPr>
              <w:t>Trade and other</w:t>
            </w:r>
          </w:p>
        </w:tc>
        <w:tc>
          <w:tcPr>
            <w:tcW w:w="1280" w:type="dxa"/>
            <w:vAlign w:val="bottom"/>
            <w:shd w:val="clear" w:color="auto" w:fill="F3F3F9"/>
          </w:tcPr>
          <w:p>
            <w:pPr>
              <w:jc w:val="right"/>
              <w:ind w:right="62"/>
              <w:spacing w:after="0"/>
              <w:rPr>
                <w:sz w:val="20"/>
                <w:szCs w:val="20"/>
                <w:color w:val="auto"/>
              </w:rPr>
            </w:pPr>
            <w:r>
              <w:rPr>
                <w:rFonts w:ascii="Arial" w:cs="Arial" w:eastAsia="Arial" w:hAnsi="Arial"/>
                <w:sz w:val="14"/>
                <w:szCs w:val="14"/>
                <w:b w:val="1"/>
                <w:bCs w:val="1"/>
                <w:color w:val="143A84"/>
              </w:rPr>
              <w:t>and Other</w:t>
            </w:r>
          </w:p>
        </w:tc>
        <w:tc>
          <w:tcPr>
            <w:tcW w:w="1400" w:type="dxa"/>
            <w:vAlign w:val="bottom"/>
            <w:shd w:val="clear" w:color="auto" w:fill="F3F3F9"/>
          </w:tcPr>
          <w:p>
            <w:pPr>
              <w:jc w:val="right"/>
              <w:ind w:right="302"/>
              <w:spacing w:after="0"/>
              <w:rPr>
                <w:sz w:val="20"/>
                <w:szCs w:val="20"/>
                <w:color w:val="auto"/>
              </w:rPr>
            </w:pPr>
            <w:r>
              <w:rPr>
                <w:rFonts w:ascii="Arial" w:cs="Arial" w:eastAsia="Arial" w:hAnsi="Arial"/>
                <w:sz w:val="14"/>
                <w:szCs w:val="14"/>
                <w:b w:val="1"/>
                <w:bCs w:val="1"/>
                <w:color w:val="143A84"/>
              </w:rPr>
              <w:t>Asset-backed</w:t>
            </w:r>
          </w:p>
        </w:tc>
        <w:tc>
          <w:tcPr>
            <w:tcW w:w="800" w:type="dxa"/>
            <w:vAlign w:val="bottom"/>
            <w:shd w:val="clear" w:color="auto" w:fill="F3F3F9"/>
          </w:tcPr>
          <w:p>
            <w:pPr>
              <w:spacing w:after="0"/>
              <w:rPr>
                <w:sz w:val="14"/>
                <w:szCs w:val="14"/>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b w:val="1"/>
                <w:bCs w:val="1"/>
                <w:color w:val="143A84"/>
              </w:rPr>
              <w:t>Trade and other</w:t>
            </w:r>
          </w:p>
        </w:tc>
        <w:tc>
          <w:tcPr>
            <w:tcW w:w="1220" w:type="dxa"/>
            <w:vAlign w:val="bottom"/>
          </w:tcPr>
          <w:p>
            <w:pPr>
              <w:jc w:val="right"/>
              <w:ind w:right="62"/>
              <w:spacing w:after="0"/>
              <w:rPr>
                <w:sz w:val="20"/>
                <w:szCs w:val="20"/>
                <w:color w:val="auto"/>
              </w:rPr>
            </w:pPr>
            <w:r>
              <w:rPr>
                <w:rFonts w:ascii="Arial" w:cs="Arial" w:eastAsia="Arial" w:hAnsi="Arial"/>
                <w:sz w:val="14"/>
                <w:szCs w:val="14"/>
                <w:b w:val="1"/>
                <w:bCs w:val="1"/>
                <w:color w:val="143A84"/>
              </w:rPr>
              <w:t>and Other</w:t>
            </w:r>
          </w:p>
        </w:tc>
        <w:tc>
          <w:tcPr>
            <w:tcW w:w="1420" w:type="dxa"/>
            <w:vAlign w:val="bottom"/>
          </w:tcPr>
          <w:p>
            <w:pPr>
              <w:jc w:val="right"/>
              <w:ind w:right="302"/>
              <w:spacing w:after="0"/>
              <w:rPr>
                <w:sz w:val="20"/>
                <w:szCs w:val="20"/>
                <w:color w:val="auto"/>
              </w:rPr>
            </w:pPr>
            <w:r>
              <w:rPr>
                <w:rFonts w:ascii="Arial" w:cs="Arial" w:eastAsia="Arial" w:hAnsi="Arial"/>
                <w:sz w:val="14"/>
                <w:szCs w:val="14"/>
                <w:b w:val="1"/>
                <w:bCs w:val="1"/>
                <w:color w:val="143A84"/>
              </w:rPr>
              <w:t>Asset-backed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00" w:type="dxa"/>
            <w:vAlign w:val="bottom"/>
            <w:tcBorders>
              <w:bottom w:val="single" w:sz="8" w:color="143A84"/>
            </w:tcBorders>
          </w:tcPr>
          <w:p>
            <w:pPr>
              <w:spacing w:after="0"/>
              <w:rPr>
                <w:sz w:val="19"/>
                <w:szCs w:val="19"/>
                <w:color w:val="auto"/>
              </w:rPr>
            </w:pPr>
          </w:p>
        </w:tc>
        <w:tc>
          <w:tcPr>
            <w:tcW w:w="106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receivables</w:t>
            </w:r>
          </w:p>
        </w:tc>
        <w:tc>
          <w:tcPr>
            <w:tcW w:w="1280" w:type="dxa"/>
            <w:vAlign w:val="bottom"/>
            <w:tcBorders>
              <w:bottom w:val="single" w:sz="8" w:color="143A84"/>
            </w:tcBorders>
            <w:shd w:val="clear" w:color="auto" w:fill="F3F3F9"/>
          </w:tcPr>
          <w:p>
            <w:pPr>
              <w:jc w:val="right"/>
              <w:ind w:right="62"/>
              <w:spacing w:after="0"/>
              <w:rPr>
                <w:sz w:val="20"/>
                <w:szCs w:val="20"/>
                <w:color w:val="auto"/>
              </w:rPr>
            </w:pPr>
            <w:r>
              <w:rPr>
                <w:rFonts w:ascii="Arial" w:cs="Arial" w:eastAsia="Arial" w:hAnsi="Arial"/>
                <w:sz w:val="14"/>
                <w:szCs w:val="14"/>
                <w:b w:val="1"/>
                <w:bCs w:val="1"/>
                <w:color w:val="143A84"/>
              </w:rPr>
              <w:t>liabilities</w:t>
            </w:r>
          </w:p>
        </w:tc>
        <w:tc>
          <w:tcPr>
            <w:tcW w:w="1400" w:type="dxa"/>
            <w:vAlign w:val="bottom"/>
            <w:tcBorders>
              <w:bottom w:val="single" w:sz="8" w:color="143A84"/>
            </w:tcBorders>
            <w:shd w:val="clear" w:color="auto" w:fill="F3F3F9"/>
          </w:tcPr>
          <w:p>
            <w:pPr>
              <w:jc w:val="right"/>
              <w:ind w:right="302"/>
              <w:spacing w:after="0"/>
              <w:rPr>
                <w:sz w:val="20"/>
                <w:szCs w:val="20"/>
                <w:color w:val="auto"/>
              </w:rPr>
            </w:pPr>
            <w:r>
              <w:rPr>
                <w:rFonts w:ascii="Arial" w:cs="Arial" w:eastAsia="Arial" w:hAnsi="Arial"/>
                <w:sz w:val="14"/>
                <w:szCs w:val="14"/>
                <w:b w:val="1"/>
                <w:bCs w:val="1"/>
                <w:color w:val="143A84"/>
              </w:rPr>
              <w:t>financing</w:t>
            </w:r>
          </w:p>
        </w:tc>
        <w:tc>
          <w:tcPr>
            <w:tcW w:w="800" w:type="dxa"/>
            <w:vAlign w:val="bottom"/>
            <w:tcBorders>
              <w:bottom w:val="single" w:sz="8" w:color="143A84"/>
            </w:tcBorders>
            <w:shd w:val="clear" w:color="auto" w:fill="F3F3F9"/>
          </w:tcPr>
          <w:p>
            <w:pPr>
              <w:jc w:val="right"/>
              <w:spacing w:after="0"/>
              <w:rPr>
                <w:sz w:val="20"/>
                <w:szCs w:val="20"/>
                <w:color w:val="auto"/>
              </w:rPr>
            </w:pPr>
            <w:r>
              <w:rPr>
                <w:rFonts w:ascii="Arial" w:cs="Arial" w:eastAsia="Arial" w:hAnsi="Arial"/>
                <w:sz w:val="14"/>
                <w:szCs w:val="14"/>
                <w:b w:val="1"/>
                <w:bCs w:val="1"/>
                <w:color w:val="143A84"/>
              </w:rPr>
              <w:t>Debt</w:t>
            </w:r>
            <w:r>
              <w:rPr>
                <w:rFonts w:ascii="Arial" w:cs="Arial" w:eastAsia="Arial" w:hAnsi="Arial"/>
                <w:sz w:val="18"/>
                <w:szCs w:val="18"/>
                <w:b w:val="1"/>
                <w:bCs w:val="1"/>
                <w:color w:val="143A84"/>
                <w:vertAlign w:val="superscript"/>
              </w:rPr>
              <w:t>(1)</w:t>
            </w:r>
          </w:p>
        </w:tc>
        <w:tc>
          <w:tcPr>
            <w:tcW w:w="1260" w:type="dxa"/>
            <w:vAlign w:val="bottom"/>
            <w:tcBorders>
              <w:bottom w:val="single" w:sz="8" w:color="143A84"/>
            </w:tcBorders>
          </w:tcPr>
          <w:p>
            <w:pPr>
              <w:jc w:val="right"/>
              <w:ind w:right="22"/>
              <w:spacing w:after="0"/>
              <w:rPr>
                <w:sz w:val="20"/>
                <w:szCs w:val="20"/>
                <w:color w:val="auto"/>
              </w:rPr>
            </w:pPr>
            <w:r>
              <w:rPr>
                <w:rFonts w:ascii="Arial" w:cs="Arial" w:eastAsia="Arial" w:hAnsi="Arial"/>
                <w:sz w:val="14"/>
                <w:szCs w:val="14"/>
                <w:b w:val="1"/>
                <w:bCs w:val="1"/>
                <w:color w:val="143A84"/>
              </w:rPr>
              <w:t>receivables</w:t>
            </w:r>
          </w:p>
        </w:tc>
        <w:tc>
          <w:tcPr>
            <w:tcW w:w="1220" w:type="dxa"/>
            <w:vAlign w:val="bottom"/>
            <w:tcBorders>
              <w:bottom w:val="single" w:sz="8" w:color="143A84"/>
            </w:tcBorders>
          </w:tcPr>
          <w:p>
            <w:pPr>
              <w:jc w:val="right"/>
              <w:ind w:right="62"/>
              <w:spacing w:after="0"/>
              <w:rPr>
                <w:sz w:val="20"/>
                <w:szCs w:val="20"/>
                <w:color w:val="auto"/>
              </w:rPr>
            </w:pPr>
            <w:r>
              <w:rPr>
                <w:rFonts w:ascii="Arial" w:cs="Arial" w:eastAsia="Arial" w:hAnsi="Arial"/>
                <w:sz w:val="14"/>
                <w:szCs w:val="14"/>
                <w:b w:val="1"/>
                <w:bCs w:val="1"/>
                <w:color w:val="143A84"/>
              </w:rPr>
              <w:t>liabilities</w:t>
            </w:r>
            <w:r>
              <w:rPr>
                <w:rFonts w:ascii="Arial" w:cs="Arial" w:eastAsia="Arial" w:hAnsi="Arial"/>
                <w:sz w:val="9"/>
                <w:szCs w:val="9"/>
                <w:b w:val="1"/>
                <w:bCs w:val="1"/>
                <w:color w:val="143A84"/>
              </w:rPr>
              <w:t>(1)</w:t>
            </w:r>
          </w:p>
        </w:tc>
        <w:tc>
          <w:tcPr>
            <w:tcW w:w="1420" w:type="dxa"/>
            <w:vAlign w:val="bottom"/>
            <w:tcBorders>
              <w:bottom w:val="single" w:sz="8" w:color="143A84"/>
            </w:tcBorders>
          </w:tcPr>
          <w:p>
            <w:pPr>
              <w:jc w:val="right"/>
              <w:ind w:right="302"/>
              <w:spacing w:after="0"/>
              <w:rPr>
                <w:sz w:val="20"/>
                <w:szCs w:val="20"/>
                <w:color w:val="auto"/>
              </w:rPr>
            </w:pPr>
            <w:r>
              <w:rPr>
                <w:rFonts w:ascii="Arial" w:cs="Arial" w:eastAsia="Arial" w:hAnsi="Arial"/>
                <w:sz w:val="14"/>
                <w:szCs w:val="14"/>
                <w:b w:val="1"/>
                <w:bCs w:val="1"/>
                <w:color w:val="143A84"/>
              </w:rPr>
              <w:t>financing</w:t>
            </w:r>
          </w:p>
        </w:tc>
        <w:tc>
          <w:tcPr>
            <w:tcW w:w="800" w:type="dxa"/>
            <w:vAlign w:val="bottom"/>
            <w:tcBorders>
              <w:bottom w:val="single" w:sz="8" w:color="143A84"/>
            </w:tcBorders>
          </w:tcPr>
          <w:p>
            <w:pPr>
              <w:jc w:val="right"/>
              <w:spacing w:after="0"/>
              <w:rPr>
                <w:sz w:val="20"/>
                <w:szCs w:val="20"/>
                <w:color w:val="auto"/>
              </w:rPr>
            </w:pPr>
            <w:r>
              <w:rPr>
                <w:rFonts w:ascii="Arial" w:cs="Arial" w:eastAsia="Arial" w:hAnsi="Arial"/>
                <w:sz w:val="14"/>
                <w:szCs w:val="14"/>
                <w:b w:val="1"/>
                <w:bCs w:val="1"/>
                <w:color w:val="143A84"/>
              </w:rPr>
              <w:t>Debt</w:t>
            </w:r>
            <w:r>
              <w:rPr>
                <w:rFonts w:ascii="Arial" w:cs="Arial" w:eastAsia="Arial" w:hAnsi="Arial"/>
                <w:sz w:val="18"/>
                <w:szCs w:val="18"/>
                <w:b w:val="1"/>
                <w:bCs w:val="1"/>
                <w:color w:val="143A84"/>
                <w:vertAlign w:val="superscript"/>
              </w:rPr>
              <w:t>(2)</w:t>
            </w: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Joint arrangements and</w:t>
            </w:r>
          </w:p>
        </w:tc>
        <w:tc>
          <w:tcPr>
            <w:tcW w:w="1060" w:type="dxa"/>
            <w:vAlign w:val="bottom"/>
            <w:vMerge w:val="restart"/>
            <w:shd w:val="clear" w:color="auto" w:fill="F3F3F9"/>
          </w:tcPr>
          <w:p>
            <w:pPr>
              <w:jc w:val="right"/>
              <w:ind w:right="2"/>
              <w:spacing w:after="0"/>
              <w:rPr>
                <w:sz w:val="20"/>
                <w:szCs w:val="20"/>
                <w:color w:val="auto"/>
              </w:rPr>
            </w:pPr>
            <w:r>
              <w:rPr>
                <w:rFonts w:ascii="Arial" w:cs="Arial" w:eastAsia="Arial" w:hAnsi="Arial"/>
                <w:sz w:val="16"/>
                <w:szCs w:val="16"/>
                <w:color w:val="auto"/>
              </w:rPr>
              <w:t>3,475</w:t>
            </w:r>
          </w:p>
        </w:tc>
        <w:tc>
          <w:tcPr>
            <w:tcW w:w="1280" w:type="dxa"/>
            <w:vAlign w:val="bottom"/>
            <w:vMerge w:val="restart"/>
            <w:shd w:val="clear" w:color="auto" w:fill="F3F3F9"/>
          </w:tcPr>
          <w:p>
            <w:pPr>
              <w:jc w:val="right"/>
              <w:ind w:right="122"/>
              <w:spacing w:after="0"/>
              <w:rPr>
                <w:sz w:val="20"/>
                <w:szCs w:val="20"/>
                <w:color w:val="auto"/>
              </w:rPr>
            </w:pPr>
            <w:r>
              <w:rPr>
                <w:rFonts w:ascii="Arial" w:cs="Arial" w:eastAsia="Arial" w:hAnsi="Arial"/>
                <w:sz w:val="16"/>
                <w:szCs w:val="16"/>
                <w:color w:val="auto"/>
              </w:rPr>
              <w:t>3,526</w:t>
            </w:r>
          </w:p>
        </w:tc>
        <w:tc>
          <w:tcPr>
            <w:tcW w:w="1400" w:type="dxa"/>
            <w:vAlign w:val="bottom"/>
            <w:vMerge w:val="restart"/>
            <w:shd w:val="clear" w:color="auto" w:fill="F3F3F9"/>
          </w:tcPr>
          <w:p>
            <w:pPr>
              <w:jc w:val="right"/>
              <w:ind w:right="362"/>
              <w:spacing w:after="0"/>
              <w:rPr>
                <w:sz w:val="20"/>
                <w:szCs w:val="20"/>
                <w:color w:val="auto"/>
              </w:rPr>
            </w:pPr>
            <w:r>
              <w:rPr>
                <w:rFonts w:ascii="Arial" w:cs="Arial" w:eastAsia="Arial" w:hAnsi="Arial"/>
                <w:sz w:val="16"/>
                <w:szCs w:val="16"/>
                <w:color w:val="auto"/>
              </w:rPr>
              <w:t>41</w:t>
            </w:r>
          </w:p>
        </w:tc>
        <w:tc>
          <w:tcPr>
            <w:tcW w:w="80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119</w:t>
            </w:r>
          </w:p>
        </w:tc>
        <w:tc>
          <w:tcPr>
            <w:tcW w:w="1260" w:type="dxa"/>
            <w:vAlign w:val="bottom"/>
            <w:vMerge w:val="restart"/>
          </w:tcPr>
          <w:p>
            <w:pPr>
              <w:jc w:val="right"/>
              <w:ind w:right="82"/>
              <w:spacing w:after="0"/>
              <w:rPr>
                <w:sz w:val="20"/>
                <w:szCs w:val="20"/>
                <w:color w:val="auto"/>
              </w:rPr>
            </w:pPr>
            <w:r>
              <w:rPr>
                <w:rFonts w:ascii="Arial" w:cs="Arial" w:eastAsia="Arial" w:hAnsi="Arial"/>
                <w:sz w:val="16"/>
                <w:szCs w:val="16"/>
                <w:color w:val="auto"/>
              </w:rPr>
              <w:t>2,793</w:t>
            </w:r>
          </w:p>
        </w:tc>
        <w:tc>
          <w:tcPr>
            <w:tcW w:w="1220" w:type="dxa"/>
            <w:vAlign w:val="bottom"/>
            <w:vMerge w:val="restart"/>
          </w:tcPr>
          <w:p>
            <w:pPr>
              <w:jc w:val="right"/>
              <w:ind w:right="122"/>
              <w:spacing w:after="0"/>
              <w:rPr>
                <w:sz w:val="20"/>
                <w:szCs w:val="20"/>
                <w:color w:val="auto"/>
              </w:rPr>
            </w:pPr>
            <w:r>
              <w:rPr>
                <w:rFonts w:ascii="Arial" w:cs="Arial" w:eastAsia="Arial" w:hAnsi="Arial"/>
                <w:sz w:val="16"/>
                <w:szCs w:val="16"/>
                <w:color w:val="auto"/>
              </w:rPr>
              <w:t>2,620</w:t>
            </w:r>
          </w:p>
        </w:tc>
        <w:tc>
          <w:tcPr>
            <w:tcW w:w="1420" w:type="dxa"/>
            <w:vAlign w:val="bottom"/>
            <w:vMerge w:val="restart"/>
          </w:tcPr>
          <w:p>
            <w:pPr>
              <w:jc w:val="right"/>
              <w:ind w:right="362"/>
              <w:spacing w:after="0"/>
              <w:rPr>
                <w:sz w:val="20"/>
                <w:szCs w:val="20"/>
                <w:color w:val="auto"/>
              </w:rPr>
            </w:pPr>
            <w:r>
              <w:rPr>
                <w:rFonts w:ascii="Arial" w:cs="Arial" w:eastAsia="Arial" w:hAnsi="Arial"/>
                <w:sz w:val="16"/>
                <w:szCs w:val="16"/>
                <w:color w:val="auto"/>
              </w:rPr>
              <w:t>6</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20"/>
        </w:trPr>
        <w:tc>
          <w:tcPr>
            <w:tcW w:w="2000" w:type="dxa"/>
            <w:vAlign w:val="bottom"/>
            <w:vMerge w:val="restart"/>
          </w:tcPr>
          <w:p>
            <w:pPr>
              <w:ind w:left="20"/>
              <w:spacing w:after="0"/>
              <w:rPr>
                <w:sz w:val="20"/>
                <w:szCs w:val="20"/>
                <w:color w:val="auto"/>
              </w:rPr>
            </w:pPr>
            <w:r>
              <w:rPr>
                <w:rFonts w:ascii="Arial" w:cs="Arial" w:eastAsia="Arial" w:hAnsi="Arial"/>
                <w:sz w:val="16"/>
                <w:szCs w:val="16"/>
                <w:color w:val="auto"/>
              </w:rPr>
              <w:t>associates</w:t>
            </w:r>
          </w:p>
        </w:tc>
        <w:tc>
          <w:tcPr>
            <w:tcW w:w="1060" w:type="dxa"/>
            <w:vAlign w:val="bottom"/>
            <w:vMerge w:val="continue"/>
            <w:shd w:val="clear" w:color="auto" w:fill="F3F3F9"/>
          </w:tcPr>
          <w:p>
            <w:pPr>
              <w:spacing w:after="0"/>
              <w:rPr>
                <w:sz w:val="10"/>
                <w:szCs w:val="10"/>
                <w:color w:val="auto"/>
              </w:rPr>
            </w:pPr>
          </w:p>
        </w:tc>
        <w:tc>
          <w:tcPr>
            <w:tcW w:w="1280" w:type="dxa"/>
            <w:vAlign w:val="bottom"/>
            <w:vMerge w:val="continue"/>
            <w:shd w:val="clear" w:color="auto" w:fill="F3F3F9"/>
          </w:tcPr>
          <w:p>
            <w:pPr>
              <w:spacing w:after="0"/>
              <w:rPr>
                <w:sz w:val="10"/>
                <w:szCs w:val="10"/>
                <w:color w:val="auto"/>
              </w:rPr>
            </w:pPr>
          </w:p>
        </w:tc>
        <w:tc>
          <w:tcPr>
            <w:tcW w:w="1400" w:type="dxa"/>
            <w:vAlign w:val="bottom"/>
            <w:vMerge w:val="continue"/>
            <w:shd w:val="clear" w:color="auto" w:fill="F3F3F9"/>
          </w:tcPr>
          <w:p>
            <w:pPr>
              <w:spacing w:after="0"/>
              <w:rPr>
                <w:sz w:val="10"/>
                <w:szCs w:val="10"/>
                <w:color w:val="auto"/>
              </w:rPr>
            </w:pPr>
          </w:p>
        </w:tc>
        <w:tc>
          <w:tcPr>
            <w:tcW w:w="800" w:type="dxa"/>
            <w:vAlign w:val="bottom"/>
            <w:vMerge w:val="continue"/>
            <w:shd w:val="clear" w:color="auto" w:fill="F3F3F9"/>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1060" w:type="dxa"/>
            <w:vAlign w:val="bottom"/>
            <w:tcBorders>
              <w:bottom w:val="single" w:sz="8" w:color="F3F3F9"/>
            </w:tcBorders>
            <w:shd w:val="clear" w:color="auto" w:fill="F3F3F9"/>
          </w:tcPr>
          <w:p>
            <w:pPr>
              <w:spacing w:after="0"/>
              <w:rPr>
                <w:sz w:val="10"/>
                <w:szCs w:val="10"/>
                <w:color w:val="auto"/>
              </w:rPr>
            </w:pPr>
          </w:p>
        </w:tc>
        <w:tc>
          <w:tcPr>
            <w:tcW w:w="1280" w:type="dxa"/>
            <w:vAlign w:val="bottom"/>
            <w:tcBorders>
              <w:bottom w:val="single" w:sz="8" w:color="F3F3F9"/>
            </w:tcBorders>
            <w:shd w:val="clear" w:color="auto" w:fill="F3F3F9"/>
          </w:tcPr>
          <w:p>
            <w:pPr>
              <w:spacing w:after="0"/>
              <w:rPr>
                <w:sz w:val="10"/>
                <w:szCs w:val="10"/>
                <w:color w:val="auto"/>
              </w:rPr>
            </w:pPr>
          </w:p>
        </w:tc>
        <w:tc>
          <w:tcPr>
            <w:tcW w:w="1400" w:type="dxa"/>
            <w:vAlign w:val="bottom"/>
            <w:tcBorders>
              <w:bottom w:val="single" w:sz="8" w:color="F3F3F9"/>
            </w:tcBorders>
            <w:shd w:val="clear" w:color="auto" w:fill="F3F3F9"/>
          </w:tcPr>
          <w:p>
            <w:pPr>
              <w:spacing w:after="0"/>
              <w:rPr>
                <w:sz w:val="10"/>
                <w:szCs w:val="10"/>
                <w:color w:val="auto"/>
              </w:rPr>
            </w:pPr>
          </w:p>
        </w:tc>
        <w:tc>
          <w:tcPr>
            <w:tcW w:w="800" w:type="dxa"/>
            <w:vAlign w:val="bottom"/>
            <w:tcBorders>
              <w:bottom w:val="single" w:sz="8" w:color="F3F3F9"/>
            </w:tcBorders>
            <w:shd w:val="clear" w:color="auto" w:fill="F3F3F9"/>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0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6"/>
                <w:szCs w:val="16"/>
                <w:color w:val="auto"/>
              </w:rPr>
              <w:t>CNHI</w:t>
            </w:r>
          </w:p>
        </w:tc>
        <w:tc>
          <w:tcPr>
            <w:tcW w:w="1060" w:type="dxa"/>
            <w:vAlign w:val="bottom"/>
            <w:tcBorders>
              <w:top w:val="single" w:sz="8" w:color="8E939F"/>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3</w:t>
            </w:r>
          </w:p>
        </w:tc>
        <w:tc>
          <w:tcPr>
            <w:tcW w:w="1280" w:type="dxa"/>
            <w:vAlign w:val="bottom"/>
            <w:tcBorders>
              <w:top w:val="single" w:sz="8" w:color="8E939F"/>
              <w:bottom w:val="single" w:sz="8" w:color="8E939F"/>
            </w:tcBorders>
            <w:shd w:val="clear" w:color="auto" w:fill="F3F3F9"/>
          </w:tcPr>
          <w:p>
            <w:pPr>
              <w:jc w:val="right"/>
              <w:ind w:right="122"/>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8E939F"/>
              <w:bottom w:val="single" w:sz="8" w:color="8E939F"/>
            </w:tcBorders>
            <w:shd w:val="clear" w:color="auto" w:fill="F3F3F9"/>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8E939F"/>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8E939F"/>
              <w:bottom w:val="single" w:sz="8" w:color="8E939F"/>
            </w:tcBorders>
          </w:tcPr>
          <w:p>
            <w:pPr>
              <w:jc w:val="right"/>
              <w:ind w:right="82"/>
              <w:spacing w:after="0"/>
              <w:rPr>
                <w:sz w:val="20"/>
                <w:szCs w:val="20"/>
                <w:color w:val="auto"/>
              </w:rPr>
            </w:pPr>
            <w:r>
              <w:rPr>
                <w:rFonts w:ascii="Arial" w:cs="Arial" w:eastAsia="Arial" w:hAnsi="Arial"/>
                <w:sz w:val="16"/>
                <w:szCs w:val="16"/>
                <w:color w:val="auto"/>
              </w:rPr>
              <w:t>3</w:t>
            </w:r>
          </w:p>
        </w:tc>
        <w:tc>
          <w:tcPr>
            <w:tcW w:w="1220" w:type="dxa"/>
            <w:vAlign w:val="bottom"/>
            <w:tcBorders>
              <w:top w:val="single" w:sz="8" w:color="8E939F"/>
              <w:bottom w:val="single" w:sz="8" w:color="8E939F"/>
            </w:tcBorders>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8E939F"/>
              <w:bottom w:val="single" w:sz="8" w:color="8E939F"/>
            </w:tcBorders>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8E939F"/>
              <w:bottom w:val="single" w:sz="8" w:color="8E939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Ferrari N.V</w:t>
            </w:r>
          </w:p>
        </w:tc>
        <w:tc>
          <w:tcPr>
            <w:tcW w:w="1060" w:type="dxa"/>
            <w:vAlign w:val="bottom"/>
            <w:tcBorders>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7</w:t>
            </w:r>
          </w:p>
        </w:tc>
        <w:tc>
          <w:tcPr>
            <w:tcW w:w="1280" w:type="dxa"/>
            <w:vAlign w:val="bottom"/>
            <w:tcBorders>
              <w:bottom w:val="single" w:sz="8" w:color="8E939F"/>
            </w:tcBorders>
            <w:shd w:val="clear" w:color="auto" w:fill="F3F3F9"/>
          </w:tcPr>
          <w:p>
            <w:pPr>
              <w:jc w:val="right"/>
              <w:ind w:right="1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8E939F"/>
            </w:tcBorders>
            <w:shd w:val="clear" w:color="auto" w:fill="F3F3F9"/>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8E939F"/>
            </w:tcBorders>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8E939F"/>
            </w:tcBorders>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8E939F"/>
            </w:tcBorders>
          </w:tcPr>
          <w:p>
            <w:pPr>
              <w:ind w:left="20"/>
              <w:spacing w:after="0"/>
              <w:rPr>
                <w:sz w:val="20"/>
                <w:szCs w:val="20"/>
                <w:color w:val="auto"/>
              </w:rPr>
            </w:pPr>
            <w:r>
              <w:rPr>
                <w:rFonts w:ascii="Arial" w:cs="Arial" w:eastAsia="Arial" w:hAnsi="Arial"/>
                <w:sz w:val="16"/>
                <w:szCs w:val="16"/>
                <w:color w:val="auto"/>
              </w:rPr>
              <w:t>Iveco</w:t>
            </w:r>
          </w:p>
        </w:tc>
        <w:tc>
          <w:tcPr>
            <w:tcW w:w="1060" w:type="dxa"/>
            <w:vAlign w:val="bottom"/>
            <w:tcBorders>
              <w:bottom w:val="single" w:sz="8" w:color="8E939F"/>
            </w:tcBorders>
            <w:shd w:val="clear" w:color="auto" w:fill="F3F3F9"/>
          </w:tcPr>
          <w:p>
            <w:pPr>
              <w:jc w:val="right"/>
              <w:ind w:right="2"/>
              <w:spacing w:after="0"/>
              <w:rPr>
                <w:sz w:val="20"/>
                <w:szCs w:val="20"/>
                <w:color w:val="auto"/>
              </w:rPr>
            </w:pPr>
            <w:r>
              <w:rPr>
                <w:rFonts w:ascii="Arial" w:cs="Arial" w:eastAsia="Arial" w:hAnsi="Arial"/>
                <w:sz w:val="16"/>
                <w:szCs w:val="16"/>
                <w:color w:val="auto"/>
              </w:rPr>
              <w:t>25</w:t>
            </w:r>
          </w:p>
        </w:tc>
        <w:tc>
          <w:tcPr>
            <w:tcW w:w="1280" w:type="dxa"/>
            <w:vAlign w:val="bottom"/>
            <w:tcBorders>
              <w:bottom w:val="single" w:sz="8" w:color="8E939F"/>
            </w:tcBorders>
            <w:shd w:val="clear" w:color="auto" w:fill="F3F3F9"/>
          </w:tcPr>
          <w:p>
            <w:pPr>
              <w:jc w:val="right"/>
              <w:ind w:right="122"/>
              <w:spacing w:after="0"/>
              <w:rPr>
                <w:sz w:val="20"/>
                <w:szCs w:val="20"/>
                <w:color w:val="auto"/>
              </w:rPr>
            </w:pPr>
            <w:r>
              <w:rPr>
                <w:rFonts w:ascii="Arial" w:cs="Arial" w:eastAsia="Arial" w:hAnsi="Arial"/>
                <w:sz w:val="16"/>
                <w:szCs w:val="16"/>
                <w:color w:val="auto"/>
              </w:rPr>
              <w:t>53</w:t>
            </w:r>
          </w:p>
        </w:tc>
        <w:tc>
          <w:tcPr>
            <w:tcW w:w="1400" w:type="dxa"/>
            <w:vAlign w:val="bottom"/>
            <w:tcBorders>
              <w:bottom w:val="single" w:sz="8" w:color="8E939F"/>
            </w:tcBorders>
            <w:shd w:val="clear" w:color="auto" w:fill="F3F3F9"/>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E939F"/>
            </w:tcBorders>
          </w:tcPr>
          <w:p>
            <w:pPr>
              <w:jc w:val="right"/>
              <w:ind w:right="82"/>
              <w:spacing w:after="0"/>
              <w:rPr>
                <w:sz w:val="20"/>
                <w:szCs w:val="20"/>
                <w:color w:val="auto"/>
              </w:rPr>
            </w:pPr>
            <w:r>
              <w:rPr>
                <w:rFonts w:ascii="Arial" w:cs="Arial" w:eastAsia="Arial" w:hAnsi="Arial"/>
                <w:sz w:val="16"/>
                <w:szCs w:val="16"/>
                <w:color w:val="auto"/>
              </w:rPr>
              <w:t>34</w:t>
            </w:r>
          </w:p>
        </w:tc>
        <w:tc>
          <w:tcPr>
            <w:tcW w:w="1220" w:type="dxa"/>
            <w:vAlign w:val="bottom"/>
            <w:tcBorders>
              <w:bottom w:val="single" w:sz="8" w:color="8E939F"/>
            </w:tcBorders>
          </w:tcPr>
          <w:p>
            <w:pPr>
              <w:jc w:val="right"/>
              <w:ind w:right="122"/>
              <w:spacing w:after="0"/>
              <w:rPr>
                <w:sz w:val="20"/>
                <w:szCs w:val="20"/>
                <w:color w:val="auto"/>
              </w:rPr>
            </w:pPr>
            <w:r>
              <w:rPr>
                <w:rFonts w:ascii="Arial" w:cs="Arial" w:eastAsia="Arial" w:hAnsi="Arial"/>
                <w:sz w:val="16"/>
                <w:szCs w:val="16"/>
                <w:color w:val="auto"/>
              </w:rPr>
              <w:t>34</w:t>
            </w:r>
          </w:p>
        </w:tc>
        <w:tc>
          <w:tcPr>
            <w:tcW w:w="1420" w:type="dxa"/>
            <w:vAlign w:val="bottom"/>
            <w:tcBorders>
              <w:bottom w:val="single" w:sz="8" w:color="8E939F"/>
            </w:tcBorders>
          </w:tcPr>
          <w:p>
            <w:pPr>
              <w:jc w:val="right"/>
              <w:ind w:right="3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E939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400" w:firstLine="8"/>
        <w:spacing w:after="0" w:line="261" w:lineRule="auto"/>
        <w:tabs>
          <w:tab w:leader="none" w:pos="20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Trade payables and Other liabilities at December 31, 2025 previously reported have been increased by €1,052 million to reflect the portion of payables for buy-back agreements related to transactions with Leasys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Related to Debt excluding Asset-backed financing, refer to Note 14, </w:t>
      </w:r>
      <w:r>
        <w:rPr>
          <w:rFonts w:ascii="Arial" w:cs="Arial" w:eastAsia="Arial" w:hAnsi="Arial"/>
          <w:sz w:val="14"/>
          <w:szCs w:val="14"/>
          <w:i w:val="1"/>
          <w:iCs w:val="1"/>
          <w:color w:val="auto"/>
        </w:rPr>
        <w:t>Debt</w:t>
      </w:r>
      <w:r>
        <w:rPr>
          <w:rFonts w:ascii="Arial" w:cs="Arial" w:eastAsia="Arial" w:hAnsi="Arial"/>
          <w:sz w:val="14"/>
          <w:szCs w:val="14"/>
          <w:color w:val="auto"/>
        </w:rPr>
        <w:t xml:space="preserve"> for additional information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18. Guarantees granted,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43A84"/>
        </w:rPr>
        <w:t>Guarantees granted and commitments</w:t>
      </w:r>
    </w:p>
    <w:p>
      <w:pPr>
        <w:spacing w:after="0" w:line="252" w:lineRule="exact"/>
        <w:rPr>
          <w:sz w:val="20"/>
          <w:szCs w:val="20"/>
          <w:color w:val="auto"/>
        </w:rPr>
      </w:pPr>
    </w:p>
    <w:p>
      <w:pPr>
        <w:ind w:right="620"/>
        <w:spacing w:after="0" w:line="334" w:lineRule="auto"/>
        <w:rPr>
          <w:sz w:val="20"/>
          <w:szCs w:val="20"/>
          <w:color w:val="auto"/>
        </w:rPr>
      </w:pPr>
      <w:r>
        <w:rPr>
          <w:rFonts w:ascii="Arial" w:cs="Arial" w:eastAsia="Arial" w:hAnsi="Arial"/>
          <w:sz w:val="18"/>
          <w:szCs w:val="18"/>
          <w:color w:val="auto"/>
        </w:rPr>
        <w:t>At September 30, 2026, Stellantis N.V. guaranteed €1,242 million, or 49 percent of the total guarantees granted to third parties on the outstanding debt of StarPlus Energy LLC’s total commitment of €2,535 million (€2,373 million at December 31, 2025).</w:t>
      </w:r>
    </w:p>
    <w:p>
      <w:pPr>
        <w:spacing w:after="0" w:line="153"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At September 30, 2026, Stellantis España guaranteed €112 million or 50 percent of the total granted guarantees to third parties in respect of Contemporary Star Energy’s total commitment of €223 million.</w:t>
      </w:r>
    </w:p>
    <w:p>
      <w:pPr>
        <w:spacing w:after="0" w:line="113" w:lineRule="exact"/>
        <w:rPr>
          <w:sz w:val="20"/>
          <w:szCs w:val="20"/>
          <w:color w:val="auto"/>
        </w:rPr>
      </w:pPr>
    </w:p>
    <w:p>
      <w:pPr>
        <w:ind w:right="80"/>
        <w:spacing w:after="0" w:line="264" w:lineRule="exact"/>
        <w:rPr>
          <w:sz w:val="20"/>
          <w:szCs w:val="20"/>
          <w:color w:val="auto"/>
        </w:rPr>
      </w:pPr>
      <w:r>
        <w:rPr>
          <w:rFonts w:ascii="Arial" w:cs="Arial" w:eastAsia="Arial" w:hAnsi="Arial"/>
          <w:sz w:val="18"/>
          <w:szCs w:val="18"/>
          <w:color w:val="auto"/>
        </w:rPr>
        <w:t>In 2024, NextStar entered into a loan facility with third</w:t>
      </w:r>
      <w:r>
        <w:rPr>
          <w:rFonts w:ascii="MS PGothic" w:cs="MS PGothic" w:eastAsia="MS PGothic" w:hAnsi="MS PGothic"/>
          <w:sz w:val="18"/>
          <w:szCs w:val="18"/>
          <w:color w:val="auto"/>
        </w:rPr>
        <w:t>‑</w:t>
      </w:r>
      <w:r>
        <w:rPr>
          <w:rFonts w:ascii="Arial" w:cs="Arial" w:eastAsia="Arial" w:hAnsi="Arial"/>
          <w:sz w:val="18"/>
          <w:szCs w:val="18"/>
          <w:color w:val="auto"/>
        </w:rPr>
        <w:t>party financial institutions for a notional amount of €1,144 million ($1,344 million at December 31, 2025), which was 49 percent guaranteed by Stellantis N.V. The facility was fully drawn at December 31, 2025. In March 2026, the Stellantis guarantees were terminated in connection with the exit from NextStar.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43A84"/>
        </w:rPr>
        <w:t>Litigation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Takata Airbag Recalls - Civil Litigation</w:t>
      </w:r>
    </w:p>
    <w:p>
      <w:pPr>
        <w:spacing w:after="0" w:line="250" w:lineRule="exact"/>
        <w:rPr>
          <w:sz w:val="20"/>
          <w:szCs w:val="20"/>
          <w:color w:val="auto"/>
        </w:rPr>
      </w:pPr>
    </w:p>
    <w:p>
      <w:pPr>
        <w:ind w:right="60"/>
        <w:spacing w:after="0" w:line="310" w:lineRule="auto"/>
        <w:rPr>
          <w:sz w:val="20"/>
          <w:szCs w:val="20"/>
          <w:color w:val="auto"/>
        </w:rPr>
      </w:pPr>
      <w:r>
        <w:rPr>
          <w:rFonts w:ascii="Arial" w:cs="Arial" w:eastAsia="Arial" w:hAnsi="Arial"/>
          <w:sz w:val="18"/>
          <w:szCs w:val="18"/>
          <w:color w:val="auto"/>
        </w:rPr>
        <w:t>We are subject to product liability claims, and consumer class, collective, and individual actions in several European jurisdictions and certain other countries, seeking compensation for the effects of Takata airbag recalls and stop-drive measures that we have progressively implemented since 2023. As of September 30, 2026, we have accrued approximately €200 million related to certain of these matters. Given the number, preliminary status, and range of potential outcomes for the remainder of these items, at this stage we are unable to evaluate the likelihood that a material loss will be incurred or estimate a range of possible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43A84"/>
        </w:rPr>
        <w:t>Government Inquiries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Emissions</w:t>
      </w:r>
    </w:p>
    <w:p>
      <w:pPr>
        <w:spacing w:after="0" w:line="250" w:lineRule="exact"/>
        <w:rPr>
          <w:sz w:val="20"/>
          <w:szCs w:val="20"/>
          <w:color w:val="auto"/>
        </w:rPr>
      </w:pPr>
    </w:p>
    <w:p>
      <w:pPr>
        <w:spacing w:after="0" w:line="306" w:lineRule="auto"/>
        <w:rPr>
          <w:sz w:val="20"/>
          <w:szCs w:val="20"/>
          <w:color w:val="auto"/>
        </w:rPr>
      </w:pPr>
      <w:r>
        <w:rPr>
          <w:rFonts w:ascii="Arial" w:cs="Arial" w:eastAsia="Arial" w:hAnsi="Arial"/>
          <w:sz w:val="18"/>
          <w:szCs w:val="18"/>
          <w:color w:val="auto"/>
        </w:rPr>
        <w:t>As part of the judicial investigation of several automakers in France, commencing in 2016 and 2017, Automobiles Peugeot and Automobiles Citroën were placed under examination by the Judicial Court of Paris in June 2021 on allegations of consumer fraud in connection with the sale of Euro 5 diesel vehicles in France between 2009 and 2015. In July 2021, FCA Italy (now known as Stellantis Europe) was placed under examination by the same court for possible consumer fraud in connection with the sale of Euro 6 diesel vehicles in France between 2014 and 2017. Civil parties have joined the case and may seek further compensation.</w:t>
      </w:r>
    </w:p>
    <w:p>
      <w:pPr>
        <w:spacing w:after="0" w:line="179"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In September 2026, Stellantis Europe was referred to the French criminal court. This referral is a procedural step and does not constitute a determination of guilt. A decision on whether to proceed against Automobiles Peugeot and Automobiles Citroën remains before the Investigating Judge. At this stage, we are unable to evaluate the likelihood that a material loss will be incurred with regard to these matters or estimate a range of possible loss.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43A84"/>
        </w:rPr>
        <w:t>Other commitments, arrangements and contractual rights</w:t>
      </w:r>
    </w:p>
    <w:p>
      <w:pPr>
        <w:spacing w:after="0" w:line="252" w:lineRule="exact"/>
        <w:rPr>
          <w:sz w:val="20"/>
          <w:szCs w:val="20"/>
          <w:color w:val="auto"/>
        </w:rPr>
      </w:pPr>
    </w:p>
    <w:p>
      <w:pPr>
        <w:ind w:right="240"/>
        <w:spacing w:after="0" w:line="315" w:lineRule="auto"/>
        <w:rPr>
          <w:sz w:val="20"/>
          <w:szCs w:val="20"/>
          <w:color w:val="auto"/>
        </w:rPr>
      </w:pPr>
      <w:r>
        <w:rPr>
          <w:rFonts w:ascii="Arial" w:cs="Arial" w:eastAsia="Arial" w:hAnsi="Arial"/>
          <w:sz w:val="18"/>
          <w:szCs w:val="18"/>
          <w:color w:val="auto"/>
        </w:rPr>
        <w:t>At September 30, 2026, total joint venture and associate capital commitments were €1,231 million covering the period through 2037. In addition, the Company has contingent capital commitments amounting to €82 million, which become payable in June 2027 and June 2028 upon sales targets being achieved for the all-new Peugeot and Jeep-branded vehicles produced by DSAT and DPCA.</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440" w:right="35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19.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43A84"/>
        </w:rPr>
        <w:t>Share capital</w:t>
      </w:r>
    </w:p>
    <w:p>
      <w:pPr>
        <w:spacing w:after="0" w:line="252"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At September 30, 2026, the authorized share capital of Stellantis was ninety million Euro (€90,000,000), divided into 4.5 billion (4,500,000,000) Stellantis common shares, nominal value of one Euro cent (€0.01) per share and 4.5 billion (4,499,750,000) class A special voting shares, nominal value of one Euro cent (€0.01) per share each and two hundred and fifty thousand (250,000) class B special voting shares with a nominal value of one euro cent (€0.01) each.</w:t>
      </w:r>
    </w:p>
    <w:p>
      <w:pPr>
        <w:spacing w:after="0" w:line="176"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At September 30, 2026, the fully paid-up share capital of Stellantis amounted to €37 million (€37 million at December 31, 2025) and consisted of 2,906,201,733 common shares (2,903,716,295 at December 31, 2025), of which 1,605,287 held in treasury (6,233,099 at December 31, 2025), 866,522,224 special voting shares A (866,522,224 at December 31, 2025) of which 140,286 held in treasury (113,162 at December 31, 2025).</w:t>
      </w:r>
    </w:p>
    <w:p>
      <w:pPr>
        <w:spacing w:after="0" w:line="190"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auto"/>
        </w:rPr>
        <w:t>At September 30, 2026, there were 2,904,596,446 outstanding common shares (2,897,483,196 at December 31, 2025). In the nine months ended September 30, 2026, 4,627,812 were delivered in execution of the Share-based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143A84"/>
        </w:rPr>
        <w:t>Share buy-back program</w:t>
      </w:r>
    </w:p>
    <w:p>
      <w:pPr>
        <w:spacing w:after="0" w:line="252"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At the annual general meeting (“AGM”) on April 13, 2023, the Board of Directors was authorized to acquire common shares in the capital of the Company, either through purchase on a stock exchange, through a public tender offer, an offer for exchange or otherwise, up to a maximum number of shares equal to 10 percent of the Company’s issued common shares. The authorization was for a period of 18 months from the date of the 2023 AGM. The authorization was renewed on the same terms at the AGM on April 14, 2026.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43A84"/>
        </w:rPr>
        <w:t>Perpetual subordinated fixed rate resettable capital securities (“Hybrid perpetual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March 2026, the Company issued three tranches of Hybrid perpetual notes:</w:t>
      </w:r>
    </w:p>
    <w:p>
      <w:pPr>
        <w:spacing w:after="0" w:line="225" w:lineRule="exact"/>
        <w:rPr>
          <w:sz w:val="20"/>
          <w:szCs w:val="20"/>
          <w:color w:val="auto"/>
        </w:rPr>
      </w:pPr>
    </w:p>
    <w:p>
      <w:pPr>
        <w:ind w:left="120" w:hanging="112"/>
        <w:spacing w:after="0" w:line="207" w:lineRule="exact"/>
        <w:tabs>
          <w:tab w:leader="none" w:pos="120" w:val="left"/>
        </w:tabs>
        <w:numPr>
          <w:ilvl w:val="0"/>
          <w:numId w:val="65"/>
        </w:numPr>
        <w:rPr>
          <w:rFonts w:ascii="Arial" w:cs="Arial" w:eastAsia="Arial" w:hAnsi="Arial"/>
          <w:sz w:val="18"/>
          <w:szCs w:val="18"/>
          <w:color w:val="143A84"/>
        </w:rPr>
      </w:pPr>
      <w:r>
        <w:rPr>
          <w:rFonts w:ascii="Arial" w:cs="Arial" w:eastAsia="Arial" w:hAnsi="Arial"/>
          <w:sz w:val="18"/>
          <w:szCs w:val="18"/>
          <w:color w:val="auto"/>
        </w:rPr>
        <w:t>€2.2 billion with a non</w:t>
      </w:r>
      <w:r>
        <w:rPr>
          <w:rFonts w:ascii="MS PGothic" w:cs="MS PGothic" w:eastAsia="MS PGothic" w:hAnsi="MS PGothic"/>
          <w:sz w:val="18"/>
          <w:szCs w:val="18"/>
          <w:color w:val="auto"/>
        </w:rPr>
        <w:t>‑</w:t>
      </w:r>
      <w:r>
        <w:rPr>
          <w:rFonts w:ascii="Arial" w:cs="Arial" w:eastAsia="Arial" w:hAnsi="Arial"/>
          <w:sz w:val="18"/>
          <w:szCs w:val="18"/>
          <w:color w:val="auto"/>
        </w:rPr>
        <w:t>call period of 5.25 years and an annual coupon of 6.250 percent until the first reset date on June 16, 2031;</w:t>
      </w:r>
    </w:p>
    <w:p>
      <w:pPr>
        <w:spacing w:after="0" w:line="265" w:lineRule="exact"/>
        <w:rPr>
          <w:rFonts w:ascii="Arial" w:cs="Arial" w:eastAsia="Arial" w:hAnsi="Arial"/>
          <w:sz w:val="18"/>
          <w:szCs w:val="18"/>
          <w:color w:val="143A84"/>
        </w:rPr>
      </w:pPr>
    </w:p>
    <w:p>
      <w:pPr>
        <w:ind w:left="120" w:hanging="112"/>
        <w:spacing w:after="0" w:line="207" w:lineRule="exact"/>
        <w:tabs>
          <w:tab w:leader="none" w:pos="120" w:val="left"/>
        </w:tabs>
        <w:numPr>
          <w:ilvl w:val="0"/>
          <w:numId w:val="65"/>
        </w:numPr>
        <w:rPr>
          <w:rFonts w:ascii="Arial" w:cs="Arial" w:eastAsia="Arial" w:hAnsi="Arial"/>
          <w:sz w:val="18"/>
          <w:szCs w:val="18"/>
          <w:color w:val="143A84"/>
        </w:rPr>
      </w:pPr>
      <w:r>
        <w:rPr>
          <w:rFonts w:ascii="Arial" w:cs="Arial" w:eastAsia="Arial" w:hAnsi="Arial"/>
          <w:sz w:val="18"/>
          <w:szCs w:val="18"/>
          <w:color w:val="auto"/>
        </w:rPr>
        <w:t>€1.8 billion with a non</w:t>
      </w:r>
      <w:r>
        <w:rPr>
          <w:rFonts w:ascii="MS PGothic" w:cs="MS PGothic" w:eastAsia="MS PGothic" w:hAnsi="MS PGothic"/>
          <w:sz w:val="18"/>
          <w:szCs w:val="18"/>
          <w:color w:val="auto"/>
        </w:rPr>
        <w:t>‑</w:t>
      </w:r>
      <w:r>
        <w:rPr>
          <w:rFonts w:ascii="Arial" w:cs="Arial" w:eastAsia="Arial" w:hAnsi="Arial"/>
          <w:sz w:val="18"/>
          <w:szCs w:val="18"/>
          <w:color w:val="auto"/>
        </w:rPr>
        <w:t>call period of 8 years and an annual coupon of 6.875 percent until the first reset date on March 16, 2034; and</w:t>
      </w:r>
    </w:p>
    <w:p>
      <w:pPr>
        <w:spacing w:after="0" w:line="265" w:lineRule="exact"/>
        <w:rPr>
          <w:rFonts w:ascii="Arial" w:cs="Arial" w:eastAsia="Arial" w:hAnsi="Arial"/>
          <w:sz w:val="18"/>
          <w:szCs w:val="18"/>
          <w:color w:val="143A84"/>
        </w:rPr>
      </w:pPr>
    </w:p>
    <w:p>
      <w:pPr>
        <w:ind w:left="160" w:right="560" w:hanging="152"/>
        <w:spacing w:after="0" w:line="268" w:lineRule="exact"/>
        <w:tabs>
          <w:tab w:leader="none" w:pos="121" w:val="left"/>
        </w:tabs>
        <w:numPr>
          <w:ilvl w:val="0"/>
          <w:numId w:val="65"/>
        </w:numPr>
        <w:rPr>
          <w:rFonts w:ascii="Arial" w:cs="Arial" w:eastAsia="Arial" w:hAnsi="Arial"/>
          <w:sz w:val="18"/>
          <w:szCs w:val="18"/>
          <w:color w:val="143A84"/>
        </w:rPr>
      </w:pPr>
      <w:r>
        <w:rPr>
          <w:rFonts w:ascii="Arial" w:cs="Arial" w:eastAsia="Arial" w:hAnsi="Arial"/>
          <w:sz w:val="18"/>
          <w:szCs w:val="18"/>
          <w:color w:val="auto"/>
        </w:rPr>
        <w:t>GBP 865 million (€997 million) with a non</w:t>
      </w:r>
      <w:r>
        <w:rPr>
          <w:rFonts w:ascii="MS PGothic" w:cs="MS PGothic" w:eastAsia="MS PGothic" w:hAnsi="MS PGothic"/>
          <w:sz w:val="18"/>
          <w:szCs w:val="18"/>
          <w:color w:val="auto"/>
        </w:rPr>
        <w:t>‑</w:t>
      </w:r>
      <w:r>
        <w:rPr>
          <w:rFonts w:ascii="Arial" w:cs="Arial" w:eastAsia="Arial" w:hAnsi="Arial"/>
          <w:sz w:val="18"/>
          <w:szCs w:val="18"/>
          <w:color w:val="auto"/>
        </w:rPr>
        <w:t>call period of 6.5 years and an annual coupon of 8.250 percent until the first reset date on September 16, 2032.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Coupon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fixed-rate coupons are subject to a reset every five years, beginning from the respective first reset date indicated above.</w:t>
      </w:r>
    </w:p>
    <w:p>
      <w:pPr>
        <w:spacing w:after="0" w:line="26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Coupon payments may be deferred indefinitely at the Company’s discretion, and Stellantis is not obligated to make any payments, subject to certain conditions. Deferred coupons will accumulate and will become payable only if the Hybrid perpetual notes are called by Stellantis. In limited circumstances such as the declaration of dividends, payments on junior securities or parity obligations, Stellantis is required to pay any then-deferred coupons.</w:t>
      </w: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60"/>
          </w:cols>
          <w:pgMar w:left="320" w:top="1440" w:right="41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The Hybrid perpetual notes have no maturity date, however, subject to applicable non-call periods, the Company may redeem them in whole at its discretion.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143A84"/>
        </w:rPr>
        <w:t>Accounting treatment</w:t>
      </w:r>
    </w:p>
    <w:p>
      <w:pPr>
        <w:spacing w:after="0" w:line="250"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 xml:space="preserve">Debt and equity instruments are classified by the Company as either financial liabilities or as equity in accordance with the substance of the contractual arrangements and with the definitions of a financial liability and equity instrument set out in IAS 32 -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Equity instruments issued by the Company are recognized when the proceeds are received, net of direct issuance costs.</w:t>
      </w:r>
    </w:p>
    <w:p>
      <w:pPr>
        <w:spacing w:after="0" w:line="266" w:lineRule="exact"/>
        <w:rPr>
          <w:sz w:val="20"/>
          <w:szCs w:val="20"/>
          <w:color w:val="auto"/>
        </w:rPr>
      </w:pPr>
    </w:p>
    <w:p>
      <w:pPr>
        <w:ind w:right="120"/>
        <w:spacing w:after="0" w:line="334" w:lineRule="auto"/>
        <w:rPr>
          <w:sz w:val="20"/>
          <w:szCs w:val="20"/>
          <w:color w:val="auto"/>
        </w:rPr>
      </w:pPr>
      <w:r>
        <w:rPr>
          <w:rFonts w:ascii="Arial" w:cs="Arial" w:eastAsia="Arial" w:hAnsi="Arial"/>
          <w:sz w:val="18"/>
          <w:szCs w:val="18"/>
          <w:color w:val="auto"/>
        </w:rPr>
        <w:t>The repurchase of equity instruments issued by the Company is recognized and deducted directly in equity. No gain or loss is recognized in the profit or loss on the purchase, sale, issue or cancellation of equity instruments issued by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holders of equity instruments are recognized directly in equity.</w:t>
      </w:r>
    </w:p>
    <w:p>
      <w:pPr>
        <w:spacing w:after="0" w:line="279" w:lineRule="exact"/>
        <w:rPr>
          <w:sz w:val="20"/>
          <w:szCs w:val="20"/>
          <w:color w:val="auto"/>
        </w:rPr>
      </w:pPr>
    </w:p>
    <w:p>
      <w:pPr>
        <w:ind w:right="140"/>
        <w:spacing w:after="0" w:line="315" w:lineRule="auto"/>
        <w:rPr>
          <w:sz w:val="20"/>
          <w:szCs w:val="20"/>
          <w:color w:val="auto"/>
        </w:rPr>
      </w:pPr>
      <w:r>
        <w:rPr>
          <w:rFonts w:ascii="Arial" w:cs="Arial" w:eastAsia="Arial" w:hAnsi="Arial"/>
          <w:sz w:val="18"/>
          <w:szCs w:val="18"/>
          <w:color w:val="auto"/>
        </w:rPr>
        <w:t>The characteristics of the Hybrid perpetual notes give the Company an unconditional right to avoid paying the principal or interest. As a result, and in accordance with IAS 32, these securities are classified as equity instruments, and any payment, net of taxes, is accounted for as a deduction of equity.</w:t>
      </w:r>
    </w:p>
    <w:p>
      <w:pPr>
        <w:spacing w:after="0" w:line="170" w:lineRule="exact"/>
        <w:rPr>
          <w:sz w:val="20"/>
          <w:szCs w:val="20"/>
          <w:color w:val="auto"/>
        </w:rPr>
      </w:pPr>
    </w:p>
    <w:p>
      <w:pPr>
        <w:ind w:right="760"/>
        <w:spacing w:after="0" w:line="334" w:lineRule="auto"/>
        <w:rPr>
          <w:sz w:val="20"/>
          <w:szCs w:val="20"/>
          <w:color w:val="auto"/>
        </w:rPr>
      </w:pPr>
      <w:r>
        <w:rPr>
          <w:rFonts w:ascii="Arial" w:cs="Arial" w:eastAsia="Arial" w:hAnsi="Arial"/>
          <w:sz w:val="18"/>
          <w:szCs w:val="18"/>
          <w:color w:val="auto"/>
        </w:rPr>
        <w:t>The issuance discount and transaction costs related to these issuances amount to €73 million, and have been recorded in equity, in accordance with IAS 32.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20. Earnings/(loss) per share</w:t>
      </w:r>
    </w:p>
    <w:p>
      <w:pPr>
        <w:spacing w:after="0" w:line="252"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 xml:space="preserve">In 2026, following the issuance of Hybrid perpetual notes classified as equity (refer to Note 19, </w:t>
      </w:r>
      <w:r>
        <w:rPr>
          <w:rFonts w:ascii="Arial" w:cs="Arial" w:eastAsia="Arial" w:hAnsi="Arial"/>
          <w:sz w:val="18"/>
          <w:szCs w:val="18"/>
          <w:i w:val="1"/>
          <w:iCs w:val="1"/>
          <w:color w:val="auto"/>
        </w:rPr>
        <w:t>Equity</w:t>
      </w:r>
      <w:r>
        <w:rPr>
          <w:rFonts w:ascii="Arial" w:cs="Arial" w:eastAsia="Arial" w:hAnsi="Arial"/>
          <w:sz w:val="18"/>
          <w:szCs w:val="18"/>
          <w:color w:val="auto"/>
        </w:rPr>
        <w:t xml:space="preserve"> for additional information), coupons accrued on these instruments, together with the Hybrid perpetual notes, are accounted for in a separate reserve within equity, which is not available for distribution to equity holders. The deferred tax effect arising from the issuance discount and other costs on the Hybrid perpetual notes is also recognized directly in equity within Retained earnings and other reserves. Accordingly, the coupon accrued and the deferred tax impact are deducted from Net profit/(loss) attributable to the equity holders of the parent in calculating both basic and diluted earnings per share. No such adjustment was required in 2025, as no Hybrid perpetual notes were outstanding during that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143A84"/>
        </w:rPr>
        <w:t>Basic (loss)/earnings per share</w:t>
      </w:r>
    </w:p>
    <w:p>
      <w:pPr>
        <w:spacing w:after="0" w:line="252" w:lineRule="exact"/>
        <w:rPr>
          <w:sz w:val="20"/>
          <w:szCs w:val="20"/>
          <w:color w:val="auto"/>
        </w:rPr>
      </w:pPr>
    </w:p>
    <w:p>
      <w:pPr>
        <w:jc w:val="both"/>
        <w:ind w:right="400"/>
        <w:spacing w:after="0" w:line="315" w:lineRule="auto"/>
        <w:rPr>
          <w:sz w:val="20"/>
          <w:szCs w:val="20"/>
          <w:color w:val="auto"/>
        </w:rPr>
      </w:pPr>
      <w:r>
        <w:rPr>
          <w:rFonts w:ascii="Arial" w:cs="Arial" w:eastAsia="Arial" w:hAnsi="Arial"/>
          <w:sz w:val="18"/>
          <w:szCs w:val="18"/>
          <w:color w:val="auto"/>
        </w:rPr>
        <w:t>Basic (loss)/earnings per share for the three and nine months ended September 30, 2026 and 2025 was determined by dividing the Net profit/(loss) attributable to the equity holders of the parent adjusted for coupons on Hybrid perpetual notes, net of taxes, by the weighted average number of shares outstanding during each period.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00"/>
          </w:cols>
          <w:pgMar w:left="320" w:top="1440" w:right="37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used to calculate the basic earnings/(loss) per share: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60" w:type="dxa"/>
            <w:vAlign w:val="bottom"/>
            <w:tcBorders>
              <w:bottom w:val="single" w:sz="8" w:color="8E939F"/>
            </w:tcBorders>
            <w:gridSpan w:val="2"/>
          </w:tcPr>
          <w:p>
            <w:pPr>
              <w:jc w:val="right"/>
              <w:ind w:right="119"/>
              <w:spacing w:after="0"/>
              <w:rPr>
                <w:sz w:val="20"/>
                <w:szCs w:val="20"/>
                <w:color w:val="auto"/>
              </w:rPr>
            </w:pPr>
            <w:r>
              <w:rPr>
                <w:rFonts w:ascii="Arial" w:cs="Arial" w:eastAsia="Arial" w:hAnsi="Arial"/>
                <w:sz w:val="16"/>
                <w:szCs w:val="16"/>
                <w:b w:val="1"/>
                <w:bCs w:val="1"/>
                <w:color w:val="243782"/>
              </w:rPr>
              <w:t>Three months ended September 30,</w:t>
            </w:r>
          </w:p>
        </w:tc>
        <w:tc>
          <w:tcPr>
            <w:tcW w:w="3020" w:type="dxa"/>
            <w:vAlign w:val="bottom"/>
            <w:tcBorders>
              <w:bottom w:val="single" w:sz="8" w:color="8E939F"/>
            </w:tcBorders>
            <w:gridSpan w:val="2"/>
          </w:tcPr>
          <w:p>
            <w:pPr>
              <w:jc w:val="right"/>
              <w:ind w:right="99"/>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143A84"/>
            </w:tcBorders>
          </w:tcPr>
          <w:p>
            <w:pPr>
              <w:spacing w:after="0"/>
              <w:rPr>
                <w:sz w:val="21"/>
                <w:szCs w:val="21"/>
                <w:color w:val="auto"/>
              </w:rPr>
            </w:pPr>
          </w:p>
        </w:tc>
        <w:tc>
          <w:tcPr>
            <w:tcW w:w="1140" w:type="dxa"/>
            <w:vAlign w:val="bottom"/>
            <w:tcBorders>
              <w:bottom w:val="single" w:sz="8" w:color="143A84"/>
            </w:tcBorders>
          </w:tcPr>
          <w:p>
            <w:pPr>
              <w:spacing w:after="0"/>
              <w:rPr>
                <w:sz w:val="21"/>
                <w:szCs w:val="21"/>
                <w:color w:val="auto"/>
              </w:rPr>
            </w:pPr>
          </w:p>
        </w:tc>
        <w:tc>
          <w:tcPr>
            <w:tcW w:w="1440" w:type="dxa"/>
            <w:vAlign w:val="bottom"/>
            <w:tcBorders>
              <w:bottom w:val="single" w:sz="8" w:color="143A84"/>
              <w:right w:val="single" w:sz="8" w:color="F3F3F9"/>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62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1460" w:type="dxa"/>
            <w:vAlign w:val="bottom"/>
            <w:tcBorders>
              <w:bottom w:val="single" w:sz="8" w:color="143A84"/>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60" w:type="dxa"/>
            <w:vAlign w:val="bottom"/>
            <w:tcBorders>
              <w:bottom w:val="single" w:sz="8" w:color="143A84"/>
            </w:tcBorders>
          </w:tcPr>
          <w:p>
            <w:pPr>
              <w:jc w:val="right"/>
              <w:ind w:right="45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186"/>
        </w:trPr>
        <w:tc>
          <w:tcPr>
            <w:tcW w:w="4020" w:type="dxa"/>
            <w:vAlign w:val="bottom"/>
            <w:vMerge w:val="restart"/>
          </w:tcPr>
          <w:p>
            <w:pPr>
              <w:ind w:left="20"/>
              <w:spacing w:after="0"/>
              <w:rPr>
                <w:sz w:val="20"/>
                <w:szCs w:val="20"/>
                <w:color w:val="auto"/>
              </w:rPr>
            </w:pPr>
            <w:r>
              <w:rPr>
                <w:rFonts w:ascii="Arial" w:cs="Arial" w:eastAsia="Arial" w:hAnsi="Arial"/>
                <w:sz w:val="16"/>
                <w:szCs w:val="16"/>
                <w:color w:val="auto"/>
              </w:rPr>
              <w:t>Net profit/(loss) attributable to owners of the parent</w:t>
            </w:r>
          </w:p>
        </w:tc>
        <w:tc>
          <w:tcPr>
            <w:tcW w:w="1140" w:type="dxa"/>
            <w:vAlign w:val="bottom"/>
          </w:tcPr>
          <w:p>
            <w:pPr>
              <w:ind w:left="360"/>
              <w:spacing w:after="0"/>
              <w:rPr>
                <w:sz w:val="20"/>
                <w:szCs w:val="20"/>
                <w:color w:val="auto"/>
              </w:rPr>
            </w:pPr>
            <w:r>
              <w:rPr>
                <w:rFonts w:ascii="Arial" w:cs="Arial" w:eastAsia="Arial" w:hAnsi="Arial"/>
                <w:sz w:val="13"/>
                <w:szCs w:val="13"/>
                <w:i w:val="1"/>
                <w:iCs w:val="1"/>
                <w:color w:val="auto"/>
              </w:rPr>
              <w:t>million</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620" w:type="dxa"/>
            <w:vAlign w:val="bottom"/>
            <w:vMerge w:val="restart"/>
          </w:tcPr>
          <w:p>
            <w:pPr>
              <w:jc w:val="right"/>
              <w:ind w:right="39"/>
              <w:spacing w:after="0"/>
              <w:rPr>
                <w:sz w:val="20"/>
                <w:szCs w:val="20"/>
                <w:color w:val="auto"/>
              </w:rPr>
            </w:pPr>
            <w:r>
              <w:rPr>
                <w:rFonts w:ascii="Arial" w:cs="Arial" w:eastAsia="Arial" w:hAnsi="Arial"/>
                <w:sz w:val="16"/>
                <w:szCs w:val="16"/>
                <w:color w:val="auto"/>
              </w:rPr>
              <w:t>(4,542)</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186</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(6,782)</w:t>
            </w:r>
          </w:p>
        </w:tc>
        <w:tc>
          <w:tcPr>
            <w:tcW w:w="0" w:type="dxa"/>
            <w:vAlign w:val="bottom"/>
          </w:tcPr>
          <w:p>
            <w:pPr>
              <w:spacing w:after="0"/>
              <w:rPr>
                <w:sz w:val="1"/>
                <w:szCs w:val="1"/>
                <w:color w:val="auto"/>
              </w:rPr>
            </w:pPr>
          </w:p>
        </w:tc>
      </w:tr>
      <w:tr>
        <w:trPr>
          <w:trHeight w:val="133"/>
        </w:trPr>
        <w:tc>
          <w:tcPr>
            <w:tcW w:w="40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2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20" w:type="dxa"/>
            <w:vAlign w:val="bottom"/>
            <w:vMerge w:val="restart"/>
          </w:tcPr>
          <w:p>
            <w:pPr>
              <w:ind w:left="20"/>
              <w:spacing w:after="0"/>
              <w:rPr>
                <w:sz w:val="20"/>
                <w:szCs w:val="20"/>
                <w:color w:val="auto"/>
              </w:rPr>
            </w:pPr>
            <w:r>
              <w:rPr>
                <w:rFonts w:ascii="Arial" w:cs="Arial" w:eastAsia="Arial" w:hAnsi="Arial"/>
                <w:sz w:val="16"/>
                <w:szCs w:val="16"/>
                <w:color w:val="auto"/>
              </w:rPr>
              <w:t>Coupon and tax impacts on Hybrid perpetual notes</w:t>
            </w:r>
          </w:p>
        </w:tc>
        <w:tc>
          <w:tcPr>
            <w:tcW w:w="1140" w:type="dxa"/>
            <w:vAlign w:val="bottom"/>
          </w:tcPr>
          <w:p>
            <w:pPr>
              <w:ind w:left="360"/>
              <w:spacing w:after="0"/>
              <w:rPr>
                <w:sz w:val="20"/>
                <w:szCs w:val="20"/>
                <w:color w:val="auto"/>
              </w:rPr>
            </w:pPr>
            <w:r>
              <w:rPr>
                <w:rFonts w:ascii="Arial" w:cs="Arial" w:eastAsia="Arial" w:hAnsi="Arial"/>
                <w:sz w:val="13"/>
                <w:szCs w:val="13"/>
                <w:i w:val="1"/>
                <w:iCs w:val="1"/>
                <w:color w:val="auto"/>
              </w:rPr>
              <w:t>million</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(65)</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(129)</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40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2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20" w:type="dxa"/>
            <w:vAlign w:val="bottom"/>
            <w:vMerge w:val="restart"/>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1140" w:type="dxa"/>
            <w:vAlign w:val="bottom"/>
          </w:tcPr>
          <w:p>
            <w:pPr>
              <w:ind w:left="360"/>
              <w:spacing w:after="0"/>
              <w:rPr>
                <w:sz w:val="20"/>
                <w:szCs w:val="20"/>
                <w:color w:val="auto"/>
              </w:rPr>
            </w:pPr>
            <w:r>
              <w:rPr>
                <w:rFonts w:ascii="Arial" w:cs="Arial" w:eastAsia="Arial" w:hAnsi="Arial"/>
                <w:sz w:val="13"/>
                <w:szCs w:val="13"/>
                <w:i w:val="1"/>
                <w:iCs w:val="1"/>
                <w:color w:val="auto"/>
              </w:rPr>
              <w:t>thousand</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2,902,097</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2,888,824</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2,899,471</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2,884,705</w:t>
            </w:r>
          </w:p>
        </w:tc>
        <w:tc>
          <w:tcPr>
            <w:tcW w:w="0" w:type="dxa"/>
            <w:vAlign w:val="bottom"/>
          </w:tcPr>
          <w:p>
            <w:pPr>
              <w:spacing w:after="0"/>
              <w:rPr>
                <w:sz w:val="1"/>
                <w:szCs w:val="1"/>
                <w:color w:val="auto"/>
              </w:rPr>
            </w:pPr>
          </w:p>
        </w:tc>
      </w:tr>
      <w:tr>
        <w:trPr>
          <w:trHeight w:val="133"/>
        </w:trPr>
        <w:tc>
          <w:tcPr>
            <w:tcW w:w="40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2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E6E7F4"/>
          </w:tcPr>
          <w:p>
            <w:pPr>
              <w:ind w:left="20"/>
              <w:spacing w:after="0"/>
              <w:rPr>
                <w:sz w:val="20"/>
                <w:szCs w:val="20"/>
                <w:color w:val="auto"/>
              </w:rPr>
            </w:pPr>
            <w:r>
              <w:rPr>
                <w:rFonts w:ascii="Arial" w:cs="Arial" w:eastAsia="Arial" w:hAnsi="Arial"/>
                <w:sz w:val="16"/>
                <w:szCs w:val="16"/>
                <w:b w:val="1"/>
                <w:bCs w:val="1"/>
                <w:color w:val="243782"/>
              </w:rPr>
              <w:t>Basic (loss)/earnings per share</w:t>
            </w:r>
          </w:p>
        </w:tc>
        <w:tc>
          <w:tcPr>
            <w:tcW w:w="1140" w:type="dxa"/>
            <w:vAlign w:val="bottom"/>
            <w:shd w:val="clear" w:color="auto" w:fill="E6E7F4"/>
          </w:tcPr>
          <w:p>
            <w:pPr>
              <w:spacing w:after="0"/>
              <w:rPr>
                <w:sz w:val="21"/>
                <w:szCs w:val="21"/>
                <w:color w:val="auto"/>
              </w:rPr>
            </w:pPr>
          </w:p>
        </w:tc>
        <w:tc>
          <w:tcPr>
            <w:tcW w:w="1440" w:type="dxa"/>
            <w:vAlign w:val="bottom"/>
            <w:tcBorders>
              <w:right w:val="single" w:sz="8" w:color="E6E7F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(0.18)</w:t>
            </w:r>
          </w:p>
        </w:tc>
        <w:tc>
          <w:tcPr>
            <w:tcW w:w="1620" w:type="dxa"/>
            <w:vAlign w:val="bottom"/>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(1.57)</w:t>
            </w:r>
          </w:p>
        </w:tc>
        <w:tc>
          <w:tcPr>
            <w:tcW w:w="146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0.02</w:t>
            </w:r>
          </w:p>
        </w:tc>
        <w:tc>
          <w:tcPr>
            <w:tcW w:w="1560" w:type="dxa"/>
            <w:vAlign w:val="bottom"/>
            <w:shd w:val="clear" w:color="auto" w:fill="E6E7F4"/>
          </w:tcPr>
          <w:p>
            <w:pPr>
              <w:jc w:val="right"/>
              <w:spacing w:after="0"/>
              <w:rPr>
                <w:sz w:val="20"/>
                <w:szCs w:val="20"/>
                <w:color w:val="auto"/>
              </w:rPr>
            </w:pPr>
            <w:r>
              <w:rPr>
                <w:rFonts w:ascii="Arial" w:cs="Arial" w:eastAsia="Arial" w:hAnsi="Arial"/>
                <w:sz w:val="16"/>
                <w:szCs w:val="16"/>
                <w:b w:val="1"/>
                <w:bCs w:val="1"/>
                <w:color w:val="243782"/>
              </w:rPr>
              <w:t>(2.35)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143A84"/>
        </w:rPr>
        <w:t>Diluted (loss)/earnings per share</w:t>
      </w:r>
    </w:p>
    <w:p>
      <w:pPr>
        <w:spacing w:after="0" w:line="252" w:lineRule="exact"/>
        <w:rPr>
          <w:sz w:val="20"/>
          <w:szCs w:val="20"/>
          <w:color w:val="auto"/>
        </w:rPr>
      </w:pPr>
    </w:p>
    <w:p>
      <w:pPr>
        <w:ind w:right="320"/>
        <w:spacing w:after="0" w:line="309" w:lineRule="auto"/>
        <w:rPr>
          <w:sz w:val="20"/>
          <w:szCs w:val="20"/>
          <w:color w:val="auto"/>
        </w:rPr>
      </w:pPr>
      <w:r>
        <w:rPr>
          <w:rFonts w:ascii="Arial" w:cs="Arial" w:eastAsia="Arial" w:hAnsi="Arial"/>
          <w:sz w:val="18"/>
          <w:szCs w:val="18"/>
          <w:color w:val="auto"/>
        </w:rPr>
        <w:t>In order to calculate the diluted (loss)/earnings per share during the three and nine months ended September 30, 2026, the weighted average number of shares outstanding was increased to take into consideration the theoretical effect of the potential common shares that would be issued for the outstanding and unvested share-based compensation awards at September 30, 2026 as determined using the treasury stock method.</w:t>
      </w:r>
    </w:p>
    <w:p>
      <w:pPr>
        <w:spacing w:after="0" w:line="176" w:lineRule="exact"/>
        <w:rPr>
          <w:sz w:val="20"/>
          <w:szCs w:val="20"/>
          <w:color w:val="auto"/>
        </w:rPr>
      </w:pPr>
    </w:p>
    <w:p>
      <w:pPr>
        <w:ind w:right="500"/>
        <w:spacing w:after="0" w:line="334" w:lineRule="auto"/>
        <w:rPr>
          <w:sz w:val="20"/>
          <w:szCs w:val="20"/>
          <w:color w:val="auto"/>
        </w:rPr>
      </w:pPr>
      <w:r>
        <w:rPr>
          <w:rFonts w:ascii="Arial" w:cs="Arial" w:eastAsia="Arial" w:hAnsi="Arial"/>
          <w:sz w:val="18"/>
          <w:szCs w:val="18"/>
          <w:color w:val="auto"/>
        </w:rPr>
        <w:t>For the nine months ended September 30, 2026, there were no instruments excluded from the calculation of diluted earnings per share because of an anti-dilutive effect.</w:t>
      </w:r>
    </w:p>
    <w:p>
      <w:pPr>
        <w:spacing w:after="0" w:line="153" w:lineRule="exact"/>
        <w:rPr>
          <w:sz w:val="20"/>
          <w:szCs w:val="20"/>
          <w:color w:val="auto"/>
        </w:rPr>
      </w:pPr>
    </w:p>
    <w:p>
      <w:pPr>
        <w:ind w:right="300"/>
        <w:spacing w:after="0" w:line="315" w:lineRule="auto"/>
        <w:rPr>
          <w:sz w:val="20"/>
          <w:szCs w:val="20"/>
          <w:color w:val="auto"/>
        </w:rPr>
      </w:pPr>
      <w:r>
        <w:rPr>
          <w:rFonts w:ascii="Arial" w:cs="Arial" w:eastAsia="Arial" w:hAnsi="Arial"/>
          <w:sz w:val="18"/>
          <w:szCs w:val="18"/>
          <w:color w:val="auto"/>
        </w:rPr>
        <w:t>For the three months ended September 30, 2026 and for the three and nine months ended September 30, 2025 as a result of the loss attributable to owners of the parent, the theoretical effect that would arise if the share-based payment plans were exercised was not taken into consideration in the calculation of diluted earnings/(loss) per share as this would have had an anti-dilutive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used to calculate the diluted (loss)/earnings per share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60" w:type="dxa"/>
            <w:vAlign w:val="bottom"/>
            <w:tcBorders>
              <w:bottom w:val="single" w:sz="8" w:color="8E939F"/>
            </w:tcBorders>
            <w:gridSpan w:val="2"/>
          </w:tcPr>
          <w:p>
            <w:pPr>
              <w:jc w:val="right"/>
              <w:ind w:right="119"/>
              <w:spacing w:after="0"/>
              <w:rPr>
                <w:sz w:val="20"/>
                <w:szCs w:val="20"/>
                <w:color w:val="auto"/>
              </w:rPr>
            </w:pPr>
            <w:r>
              <w:rPr>
                <w:rFonts w:ascii="Arial" w:cs="Arial" w:eastAsia="Arial" w:hAnsi="Arial"/>
                <w:sz w:val="16"/>
                <w:szCs w:val="16"/>
                <w:b w:val="1"/>
                <w:bCs w:val="1"/>
                <w:color w:val="243782"/>
              </w:rPr>
              <w:t>Three months ended September 30,</w:t>
            </w:r>
          </w:p>
        </w:tc>
        <w:tc>
          <w:tcPr>
            <w:tcW w:w="3020" w:type="dxa"/>
            <w:vAlign w:val="bottom"/>
            <w:tcBorders>
              <w:bottom w:val="single" w:sz="8" w:color="8E939F"/>
            </w:tcBorders>
            <w:gridSpan w:val="2"/>
          </w:tcPr>
          <w:p>
            <w:pPr>
              <w:jc w:val="right"/>
              <w:ind w:right="99"/>
              <w:spacing w:after="0"/>
              <w:rPr>
                <w:sz w:val="20"/>
                <w:szCs w:val="20"/>
                <w:color w:val="auto"/>
              </w:rPr>
            </w:pPr>
            <w:r>
              <w:rPr>
                <w:rFonts w:ascii="Arial" w:cs="Arial" w:eastAsia="Arial" w:hAnsi="Arial"/>
                <w:sz w:val="16"/>
                <w:szCs w:val="16"/>
                <w:b w:val="1"/>
                <w:bCs w:val="1"/>
                <w:color w:val="243782"/>
              </w:rPr>
              <w:t>Nine months ended September 30,</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143A84"/>
            </w:tcBorders>
          </w:tcPr>
          <w:p>
            <w:pPr>
              <w:spacing w:after="0"/>
              <w:rPr>
                <w:sz w:val="21"/>
                <w:szCs w:val="21"/>
                <w:color w:val="auto"/>
              </w:rPr>
            </w:pPr>
          </w:p>
        </w:tc>
        <w:tc>
          <w:tcPr>
            <w:tcW w:w="840" w:type="dxa"/>
            <w:vAlign w:val="bottom"/>
            <w:tcBorders>
              <w:bottom w:val="single" w:sz="8" w:color="143A84"/>
            </w:tcBorders>
          </w:tcPr>
          <w:p>
            <w:pPr>
              <w:spacing w:after="0"/>
              <w:rPr>
                <w:sz w:val="21"/>
                <w:szCs w:val="21"/>
                <w:color w:val="auto"/>
              </w:rPr>
            </w:pPr>
          </w:p>
        </w:tc>
        <w:tc>
          <w:tcPr>
            <w:tcW w:w="1440" w:type="dxa"/>
            <w:vAlign w:val="bottom"/>
            <w:tcBorders>
              <w:bottom w:val="single" w:sz="8" w:color="143A84"/>
              <w:right w:val="single" w:sz="8" w:color="F3F3F9"/>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620" w:type="dxa"/>
            <w:vAlign w:val="bottom"/>
            <w:tcBorders>
              <w:bottom w:val="single" w:sz="8" w:color="143A84"/>
            </w:tcBorders>
          </w:tcPr>
          <w:p>
            <w:pPr>
              <w:jc w:val="right"/>
              <w:ind w:right="539"/>
              <w:spacing w:after="0"/>
              <w:rPr>
                <w:sz w:val="20"/>
                <w:szCs w:val="20"/>
                <w:color w:val="auto"/>
              </w:rPr>
            </w:pPr>
            <w:r>
              <w:rPr>
                <w:rFonts w:ascii="Arial" w:cs="Arial" w:eastAsia="Arial" w:hAnsi="Arial"/>
                <w:sz w:val="16"/>
                <w:szCs w:val="16"/>
                <w:b w:val="1"/>
                <w:bCs w:val="1"/>
                <w:color w:val="243782"/>
              </w:rPr>
              <w:t>2025</w:t>
            </w:r>
          </w:p>
        </w:tc>
        <w:tc>
          <w:tcPr>
            <w:tcW w:w="1460" w:type="dxa"/>
            <w:vAlign w:val="bottom"/>
            <w:tcBorders>
              <w:bottom w:val="single" w:sz="8" w:color="143A84"/>
            </w:tcBorders>
            <w:shd w:val="clear" w:color="auto" w:fill="F3F3F9"/>
          </w:tcPr>
          <w:p>
            <w:pPr>
              <w:jc w:val="right"/>
              <w:ind w:right="459"/>
              <w:spacing w:after="0"/>
              <w:rPr>
                <w:sz w:val="20"/>
                <w:szCs w:val="20"/>
                <w:color w:val="auto"/>
              </w:rPr>
            </w:pPr>
            <w:r>
              <w:rPr>
                <w:rFonts w:ascii="Arial" w:cs="Arial" w:eastAsia="Arial" w:hAnsi="Arial"/>
                <w:sz w:val="16"/>
                <w:szCs w:val="16"/>
                <w:b w:val="1"/>
                <w:bCs w:val="1"/>
                <w:color w:val="243782"/>
              </w:rPr>
              <w:t>2026</w:t>
            </w:r>
          </w:p>
        </w:tc>
        <w:tc>
          <w:tcPr>
            <w:tcW w:w="1560" w:type="dxa"/>
            <w:vAlign w:val="bottom"/>
            <w:tcBorders>
              <w:bottom w:val="single" w:sz="8" w:color="143A84"/>
            </w:tcBorders>
          </w:tcPr>
          <w:p>
            <w:pPr>
              <w:jc w:val="right"/>
              <w:ind w:right="459"/>
              <w:spacing w:after="0"/>
              <w:rPr>
                <w:sz w:val="20"/>
                <w:szCs w:val="20"/>
                <w:color w:val="auto"/>
              </w:rPr>
            </w:pPr>
            <w:r>
              <w:rPr>
                <w:rFonts w:ascii="Arial" w:cs="Arial" w:eastAsia="Arial" w:hAnsi="Arial"/>
                <w:sz w:val="16"/>
                <w:szCs w:val="16"/>
                <w:b w:val="1"/>
                <w:bCs w:val="1"/>
                <w:color w:val="243782"/>
              </w:rPr>
              <w:t>2025</w:t>
            </w:r>
          </w:p>
        </w:tc>
        <w:tc>
          <w:tcPr>
            <w:tcW w:w="0" w:type="dxa"/>
            <w:vAlign w:val="bottom"/>
          </w:tcPr>
          <w:p>
            <w:pPr>
              <w:spacing w:after="0"/>
              <w:rPr>
                <w:sz w:val="1"/>
                <w:szCs w:val="1"/>
                <w:color w:val="auto"/>
              </w:rPr>
            </w:pPr>
          </w:p>
        </w:tc>
      </w:tr>
      <w:tr>
        <w:trPr>
          <w:trHeight w:val="186"/>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Net profit/(loss) attributable to owners of the parent</w:t>
            </w:r>
          </w:p>
        </w:tc>
        <w:tc>
          <w:tcPr>
            <w:tcW w:w="840" w:type="dxa"/>
            <w:vAlign w:val="bottom"/>
          </w:tcPr>
          <w:p>
            <w:pPr>
              <w:ind w:left="60"/>
              <w:spacing w:after="0"/>
              <w:rPr>
                <w:sz w:val="20"/>
                <w:szCs w:val="20"/>
                <w:color w:val="auto"/>
              </w:rPr>
            </w:pPr>
            <w:r>
              <w:rPr>
                <w:rFonts w:ascii="Arial" w:cs="Arial" w:eastAsia="Arial" w:hAnsi="Arial"/>
                <w:sz w:val="13"/>
                <w:szCs w:val="13"/>
                <w:i w:val="1"/>
                <w:iCs w:val="1"/>
                <w:color w:val="auto"/>
              </w:rPr>
              <w:t>million</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(470)</w:t>
            </w:r>
          </w:p>
        </w:tc>
        <w:tc>
          <w:tcPr>
            <w:tcW w:w="1620" w:type="dxa"/>
            <w:vAlign w:val="bottom"/>
            <w:vMerge w:val="restart"/>
          </w:tcPr>
          <w:p>
            <w:pPr>
              <w:jc w:val="right"/>
              <w:ind w:right="39"/>
              <w:spacing w:after="0"/>
              <w:rPr>
                <w:sz w:val="20"/>
                <w:szCs w:val="20"/>
                <w:color w:val="auto"/>
              </w:rPr>
            </w:pPr>
            <w:r>
              <w:rPr>
                <w:rFonts w:ascii="Arial" w:cs="Arial" w:eastAsia="Arial" w:hAnsi="Arial"/>
                <w:sz w:val="16"/>
                <w:szCs w:val="16"/>
                <w:color w:val="auto"/>
              </w:rPr>
              <w:t>(4,542)</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186</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(6,782)</w:t>
            </w: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320" w:type="dxa"/>
            <w:vAlign w:val="bottom"/>
            <w:tcBorders>
              <w:bottom w:val="single" w:sz="8" w:color="8E939F"/>
            </w:tcBorders>
          </w:tcPr>
          <w:p>
            <w:pPr>
              <w:spacing w:after="0"/>
              <w:rPr>
                <w:sz w:val="9"/>
                <w:szCs w:val="9"/>
                <w:color w:val="auto"/>
              </w:rPr>
            </w:pPr>
          </w:p>
        </w:tc>
        <w:tc>
          <w:tcPr>
            <w:tcW w:w="8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Coupon and tax impacts on Hybrid perpetual notes</w:t>
            </w:r>
          </w:p>
        </w:tc>
        <w:tc>
          <w:tcPr>
            <w:tcW w:w="840" w:type="dxa"/>
            <w:vAlign w:val="bottom"/>
          </w:tcPr>
          <w:p>
            <w:pPr>
              <w:ind w:left="60"/>
              <w:spacing w:after="0"/>
              <w:rPr>
                <w:sz w:val="20"/>
                <w:szCs w:val="20"/>
                <w:color w:val="auto"/>
              </w:rPr>
            </w:pPr>
            <w:r>
              <w:rPr>
                <w:rFonts w:ascii="Arial" w:cs="Arial" w:eastAsia="Arial" w:hAnsi="Arial"/>
                <w:sz w:val="13"/>
                <w:szCs w:val="13"/>
                <w:i w:val="1"/>
                <w:iCs w:val="1"/>
                <w:color w:val="auto"/>
              </w:rPr>
              <w:t>million</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(65)</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(129)</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320" w:type="dxa"/>
            <w:vAlign w:val="bottom"/>
            <w:tcBorders>
              <w:bottom w:val="single" w:sz="8" w:color="8E939F"/>
            </w:tcBorders>
          </w:tcPr>
          <w:p>
            <w:pPr>
              <w:spacing w:after="0"/>
              <w:rPr>
                <w:sz w:val="9"/>
                <w:szCs w:val="9"/>
                <w:color w:val="auto"/>
              </w:rPr>
            </w:pPr>
          </w:p>
        </w:tc>
        <w:tc>
          <w:tcPr>
            <w:tcW w:w="8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840" w:type="dxa"/>
            <w:vAlign w:val="bottom"/>
          </w:tcPr>
          <w:p>
            <w:pPr>
              <w:ind w:left="60"/>
              <w:spacing w:after="0"/>
              <w:rPr>
                <w:sz w:val="20"/>
                <w:szCs w:val="20"/>
                <w:color w:val="auto"/>
              </w:rPr>
            </w:pPr>
            <w:r>
              <w:rPr>
                <w:rFonts w:ascii="Arial" w:cs="Arial" w:eastAsia="Arial" w:hAnsi="Arial"/>
                <w:sz w:val="13"/>
                <w:szCs w:val="13"/>
                <w:i w:val="1"/>
                <w:iCs w:val="1"/>
                <w:color w:val="auto"/>
              </w:rPr>
              <w:t>thousand</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2,902,097</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2,888,824</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2,899,471</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2,884,705</w:t>
            </w: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tcBorders>
              <w:right w:val="single" w:sz="8" w:color="F3F3F9"/>
            </w:tcBorders>
            <w:vMerge w:val="continue"/>
            <w:shd w:val="clear" w:color="auto" w:fill="F3F3F9"/>
          </w:tcPr>
          <w:p>
            <w:pPr>
              <w:spacing w:after="0"/>
              <w:rPr>
                <w:sz w:val="11"/>
                <w:szCs w:val="11"/>
                <w:color w:val="auto"/>
              </w:rPr>
            </w:pPr>
          </w:p>
        </w:tc>
        <w:tc>
          <w:tcPr>
            <w:tcW w:w="1620" w:type="dxa"/>
            <w:vAlign w:val="bottom"/>
            <w:vMerge w:val="continue"/>
          </w:tcPr>
          <w:p>
            <w:pPr>
              <w:spacing w:after="0"/>
              <w:rPr>
                <w:sz w:val="11"/>
                <w:szCs w:val="11"/>
                <w:color w:val="auto"/>
              </w:rPr>
            </w:pPr>
          </w:p>
        </w:tc>
        <w:tc>
          <w:tcPr>
            <w:tcW w:w="1460" w:type="dxa"/>
            <w:vAlign w:val="bottom"/>
            <w:vMerge w:val="continue"/>
            <w:shd w:val="clear" w:color="auto" w:fill="F3F3F9"/>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320" w:type="dxa"/>
            <w:vAlign w:val="bottom"/>
            <w:tcBorders>
              <w:bottom w:val="single" w:sz="8" w:color="8E939F"/>
            </w:tcBorders>
          </w:tcPr>
          <w:p>
            <w:pPr>
              <w:spacing w:after="0"/>
              <w:rPr>
                <w:sz w:val="9"/>
                <w:szCs w:val="9"/>
                <w:color w:val="auto"/>
              </w:rPr>
            </w:pPr>
          </w:p>
        </w:tc>
        <w:tc>
          <w:tcPr>
            <w:tcW w:w="840" w:type="dxa"/>
            <w:vAlign w:val="bottom"/>
            <w:tcBorders>
              <w:bottom w:val="single" w:sz="8" w:color="8E939F"/>
            </w:tcBorders>
          </w:tcPr>
          <w:p>
            <w:pPr>
              <w:spacing w:after="0"/>
              <w:rPr>
                <w:sz w:val="9"/>
                <w:szCs w:val="9"/>
                <w:color w:val="auto"/>
              </w:rPr>
            </w:pPr>
          </w:p>
        </w:tc>
        <w:tc>
          <w:tcPr>
            <w:tcW w:w="1440" w:type="dxa"/>
            <w:vAlign w:val="bottom"/>
            <w:tcBorders>
              <w:bottom w:val="single" w:sz="8" w:color="8E939F"/>
              <w:right w:val="single" w:sz="8" w:color="F3F3F9"/>
            </w:tcBorders>
            <w:shd w:val="clear" w:color="auto" w:fill="F3F3F9"/>
          </w:tcPr>
          <w:p>
            <w:pPr>
              <w:spacing w:after="0"/>
              <w:rPr>
                <w:sz w:val="9"/>
                <w:szCs w:val="9"/>
                <w:color w:val="auto"/>
              </w:rPr>
            </w:pPr>
          </w:p>
        </w:tc>
        <w:tc>
          <w:tcPr>
            <w:tcW w:w="1620" w:type="dxa"/>
            <w:vAlign w:val="bottom"/>
            <w:tcBorders>
              <w:bottom w:val="single" w:sz="8" w:color="8E939F"/>
            </w:tcBorders>
          </w:tcPr>
          <w:p>
            <w:pPr>
              <w:spacing w:after="0"/>
              <w:rPr>
                <w:sz w:val="9"/>
                <w:szCs w:val="9"/>
                <w:color w:val="auto"/>
              </w:rPr>
            </w:pPr>
          </w:p>
        </w:tc>
        <w:tc>
          <w:tcPr>
            <w:tcW w:w="1460" w:type="dxa"/>
            <w:vAlign w:val="bottom"/>
            <w:tcBorders>
              <w:bottom w:val="single" w:sz="8" w:color="8E939F"/>
            </w:tcBorders>
            <w:shd w:val="clear" w:color="auto" w:fill="F3F3F9"/>
          </w:tcPr>
          <w:p>
            <w:pPr>
              <w:spacing w:after="0"/>
              <w:rPr>
                <w:sz w:val="9"/>
                <w:szCs w:val="9"/>
                <w:color w:val="auto"/>
              </w:rPr>
            </w:pPr>
          </w:p>
        </w:tc>
        <w:tc>
          <w:tcPr>
            <w:tcW w:w="156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6"/>
                <w:szCs w:val="16"/>
                <w:color w:val="auto"/>
              </w:rPr>
              <w:t>Number of shares deployable for share-based</w:t>
            </w:r>
          </w:p>
        </w:tc>
        <w:tc>
          <w:tcPr>
            <w:tcW w:w="840" w:type="dxa"/>
            <w:vAlign w:val="bottom"/>
          </w:tcPr>
          <w:p>
            <w:pPr>
              <w:ind w:left="60"/>
              <w:spacing w:after="0"/>
              <w:rPr>
                <w:sz w:val="20"/>
                <w:szCs w:val="20"/>
                <w:color w:val="auto"/>
              </w:rPr>
            </w:pPr>
            <w:r>
              <w:rPr>
                <w:rFonts w:ascii="Arial" w:cs="Arial" w:eastAsia="Arial" w:hAnsi="Arial"/>
                <w:sz w:val="13"/>
                <w:szCs w:val="13"/>
                <w:i w:val="1"/>
                <w:iCs w:val="1"/>
                <w:color w:val="auto"/>
              </w:rPr>
              <w:t>thousand</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8,823</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tcPr>
          <w:p>
            <w:pPr>
              <w:spacing w:after="0"/>
              <w:rPr>
                <w:sz w:val="9"/>
                <w:szCs w:val="9"/>
                <w:color w:val="auto"/>
              </w:rPr>
            </w:pPr>
          </w:p>
        </w:tc>
        <w:tc>
          <w:tcPr>
            <w:tcW w:w="1440" w:type="dxa"/>
            <w:vAlign w:val="bottom"/>
            <w:tcBorders>
              <w:right w:val="single" w:sz="8" w:color="F3F3F9"/>
            </w:tcBorders>
            <w:vMerge w:val="continue"/>
            <w:shd w:val="clear" w:color="auto" w:fill="F3F3F9"/>
          </w:tcPr>
          <w:p>
            <w:pPr>
              <w:spacing w:after="0"/>
              <w:rPr>
                <w:sz w:val="9"/>
                <w:szCs w:val="9"/>
                <w:color w:val="auto"/>
              </w:rPr>
            </w:pPr>
          </w:p>
        </w:tc>
        <w:tc>
          <w:tcPr>
            <w:tcW w:w="1620" w:type="dxa"/>
            <w:vAlign w:val="bottom"/>
            <w:vMerge w:val="continue"/>
          </w:tcPr>
          <w:p>
            <w:pPr>
              <w:spacing w:after="0"/>
              <w:rPr>
                <w:sz w:val="9"/>
                <w:szCs w:val="9"/>
                <w:color w:val="auto"/>
              </w:rPr>
            </w:pPr>
          </w:p>
        </w:tc>
        <w:tc>
          <w:tcPr>
            <w:tcW w:w="1460" w:type="dxa"/>
            <w:vAlign w:val="bottom"/>
            <w:vMerge w:val="continue"/>
            <w:shd w:val="clear" w:color="auto" w:fill="F3F3F9"/>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20" w:type="dxa"/>
            <w:vAlign w:val="bottom"/>
            <w:tcBorders>
              <w:bottom w:val="single" w:sz="8" w:color="8E939F"/>
            </w:tcBorders>
            <w:vMerge w:val="continue"/>
          </w:tcPr>
          <w:p>
            <w:pPr>
              <w:spacing w:after="0"/>
              <w:rPr>
                <w:sz w:val="10"/>
                <w:szCs w:val="10"/>
                <w:color w:val="auto"/>
              </w:rPr>
            </w:pPr>
          </w:p>
        </w:tc>
        <w:tc>
          <w:tcPr>
            <w:tcW w:w="840" w:type="dxa"/>
            <w:vAlign w:val="bottom"/>
            <w:tcBorders>
              <w:bottom w:val="single" w:sz="8" w:color="8E939F"/>
            </w:tcBorders>
          </w:tcPr>
          <w:p>
            <w:pPr>
              <w:spacing w:after="0"/>
              <w:rPr>
                <w:sz w:val="10"/>
                <w:szCs w:val="10"/>
                <w:color w:val="auto"/>
              </w:rPr>
            </w:pPr>
          </w:p>
        </w:tc>
        <w:tc>
          <w:tcPr>
            <w:tcW w:w="1440" w:type="dxa"/>
            <w:vAlign w:val="bottom"/>
            <w:tcBorders>
              <w:bottom w:val="single" w:sz="8" w:color="8E939F"/>
              <w:right w:val="single" w:sz="8" w:color="F3F3F9"/>
            </w:tcBorders>
            <w:shd w:val="clear" w:color="auto" w:fill="F3F3F9"/>
          </w:tcPr>
          <w:p>
            <w:pPr>
              <w:spacing w:after="0"/>
              <w:rPr>
                <w:sz w:val="10"/>
                <w:szCs w:val="10"/>
                <w:color w:val="auto"/>
              </w:rPr>
            </w:pPr>
          </w:p>
        </w:tc>
        <w:tc>
          <w:tcPr>
            <w:tcW w:w="1620" w:type="dxa"/>
            <w:vAlign w:val="bottom"/>
            <w:tcBorders>
              <w:bottom w:val="single" w:sz="8" w:color="8E939F"/>
            </w:tcBorders>
          </w:tcPr>
          <w:p>
            <w:pPr>
              <w:spacing w:after="0"/>
              <w:rPr>
                <w:sz w:val="10"/>
                <w:szCs w:val="10"/>
                <w:color w:val="auto"/>
              </w:rPr>
            </w:pPr>
          </w:p>
        </w:tc>
        <w:tc>
          <w:tcPr>
            <w:tcW w:w="1460" w:type="dxa"/>
            <w:vAlign w:val="bottom"/>
            <w:tcBorders>
              <w:bottom w:val="single" w:sz="8" w:color="8E939F"/>
            </w:tcBorders>
            <w:shd w:val="clear" w:color="auto" w:fill="F3F3F9"/>
          </w:tcPr>
          <w:p>
            <w:pPr>
              <w:spacing w:after="0"/>
              <w:rPr>
                <w:sz w:val="10"/>
                <w:szCs w:val="10"/>
                <w:color w:val="auto"/>
              </w:rPr>
            </w:pPr>
          </w:p>
        </w:tc>
        <w:tc>
          <w:tcPr>
            <w:tcW w:w="1560" w:type="dxa"/>
            <w:vAlign w:val="bottom"/>
            <w:tcBorders>
              <w:bottom w:val="single" w:sz="8" w:color="8E939F"/>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 for diluted</w:t>
            </w:r>
          </w:p>
        </w:tc>
        <w:tc>
          <w:tcPr>
            <w:tcW w:w="840" w:type="dxa"/>
            <w:vAlign w:val="bottom"/>
          </w:tcPr>
          <w:p>
            <w:pPr>
              <w:ind w:left="60"/>
              <w:spacing w:after="0"/>
              <w:rPr>
                <w:sz w:val="20"/>
                <w:szCs w:val="20"/>
                <w:color w:val="auto"/>
              </w:rPr>
            </w:pPr>
            <w:r>
              <w:rPr>
                <w:rFonts w:ascii="Arial" w:cs="Arial" w:eastAsia="Arial" w:hAnsi="Arial"/>
                <w:sz w:val="13"/>
                <w:szCs w:val="13"/>
                <w:i w:val="1"/>
                <w:iCs w:val="1"/>
                <w:color w:val="auto"/>
              </w:rPr>
              <w:t>thousand</w:t>
            </w:r>
          </w:p>
        </w:tc>
        <w:tc>
          <w:tcPr>
            <w:tcW w:w="1440" w:type="dxa"/>
            <w:vAlign w:val="bottom"/>
            <w:tcBorders>
              <w:right w:val="single" w:sz="8" w:color="F3F3F9"/>
            </w:tcBorders>
            <w:vMerge w:val="restart"/>
            <w:shd w:val="clear" w:color="auto" w:fill="F3F3F9"/>
          </w:tcPr>
          <w:p>
            <w:pPr>
              <w:jc w:val="right"/>
              <w:spacing w:after="0"/>
              <w:rPr>
                <w:sz w:val="20"/>
                <w:szCs w:val="20"/>
                <w:color w:val="auto"/>
              </w:rPr>
            </w:pPr>
            <w:r>
              <w:rPr>
                <w:rFonts w:ascii="Arial" w:cs="Arial" w:eastAsia="Arial" w:hAnsi="Arial"/>
                <w:sz w:val="16"/>
                <w:szCs w:val="16"/>
                <w:color w:val="auto"/>
              </w:rPr>
              <w:t>2,902,097</w:t>
            </w:r>
          </w:p>
        </w:tc>
        <w:tc>
          <w:tcPr>
            <w:tcW w:w="1620" w:type="dxa"/>
            <w:vAlign w:val="bottom"/>
            <w:vMerge w:val="restart"/>
          </w:tcPr>
          <w:p>
            <w:pPr>
              <w:jc w:val="right"/>
              <w:ind w:right="79"/>
              <w:spacing w:after="0"/>
              <w:rPr>
                <w:sz w:val="20"/>
                <w:szCs w:val="20"/>
                <w:color w:val="auto"/>
              </w:rPr>
            </w:pPr>
            <w:r>
              <w:rPr>
                <w:rFonts w:ascii="Arial" w:cs="Arial" w:eastAsia="Arial" w:hAnsi="Arial"/>
                <w:sz w:val="16"/>
                <w:szCs w:val="16"/>
                <w:color w:val="auto"/>
              </w:rPr>
              <w:t>2,888,824</w:t>
            </w:r>
          </w:p>
        </w:tc>
        <w:tc>
          <w:tcPr>
            <w:tcW w:w="1460" w:type="dxa"/>
            <w:vAlign w:val="bottom"/>
            <w:vMerge w:val="restart"/>
            <w:shd w:val="clear" w:color="auto" w:fill="F3F3F9"/>
          </w:tcPr>
          <w:p>
            <w:pPr>
              <w:jc w:val="right"/>
              <w:spacing w:after="0"/>
              <w:rPr>
                <w:sz w:val="20"/>
                <w:szCs w:val="20"/>
                <w:color w:val="auto"/>
              </w:rPr>
            </w:pPr>
            <w:r>
              <w:rPr>
                <w:rFonts w:ascii="Arial" w:cs="Arial" w:eastAsia="Arial" w:hAnsi="Arial"/>
                <w:sz w:val="16"/>
                <w:szCs w:val="16"/>
                <w:color w:val="auto"/>
              </w:rPr>
              <w:t>2,908,294</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2,884,705</w:t>
            </w:r>
          </w:p>
        </w:tc>
        <w:tc>
          <w:tcPr>
            <w:tcW w:w="0" w:type="dxa"/>
            <w:vAlign w:val="bottom"/>
          </w:tcPr>
          <w:p>
            <w:pPr>
              <w:spacing w:after="0"/>
              <w:rPr>
                <w:sz w:val="1"/>
                <w:szCs w:val="1"/>
                <w:color w:val="auto"/>
              </w:rPr>
            </w:pPr>
          </w:p>
        </w:tc>
      </w:tr>
      <w:tr>
        <w:trPr>
          <w:trHeight w:val="107"/>
        </w:trPr>
        <w:tc>
          <w:tcPr>
            <w:tcW w:w="4320" w:type="dxa"/>
            <w:vAlign w:val="bottom"/>
            <w:vMerge w:val="restart"/>
          </w:tcPr>
          <w:p>
            <w:pPr>
              <w:ind w:left="20"/>
              <w:spacing w:after="0"/>
              <w:rPr>
                <w:sz w:val="20"/>
                <w:szCs w:val="20"/>
                <w:color w:val="auto"/>
              </w:rPr>
            </w:pPr>
            <w:r>
              <w:rPr>
                <w:rFonts w:ascii="Arial" w:cs="Arial" w:eastAsia="Arial" w:hAnsi="Arial"/>
                <w:sz w:val="16"/>
                <w:szCs w:val="16"/>
                <w:color w:val="auto"/>
              </w:rPr>
              <w:t>earnings per share</w:t>
            </w:r>
          </w:p>
        </w:tc>
        <w:tc>
          <w:tcPr>
            <w:tcW w:w="840" w:type="dxa"/>
            <w:vAlign w:val="bottom"/>
          </w:tcPr>
          <w:p>
            <w:pPr>
              <w:spacing w:after="0"/>
              <w:rPr>
                <w:sz w:val="9"/>
                <w:szCs w:val="9"/>
                <w:color w:val="auto"/>
              </w:rPr>
            </w:pPr>
          </w:p>
        </w:tc>
        <w:tc>
          <w:tcPr>
            <w:tcW w:w="1440" w:type="dxa"/>
            <w:vAlign w:val="bottom"/>
            <w:tcBorders>
              <w:right w:val="single" w:sz="8" w:color="F3F3F9"/>
            </w:tcBorders>
            <w:vMerge w:val="continue"/>
            <w:shd w:val="clear" w:color="auto" w:fill="F3F3F9"/>
          </w:tcPr>
          <w:p>
            <w:pPr>
              <w:spacing w:after="0"/>
              <w:rPr>
                <w:sz w:val="9"/>
                <w:szCs w:val="9"/>
                <w:color w:val="auto"/>
              </w:rPr>
            </w:pPr>
          </w:p>
        </w:tc>
        <w:tc>
          <w:tcPr>
            <w:tcW w:w="1620" w:type="dxa"/>
            <w:vAlign w:val="bottom"/>
            <w:vMerge w:val="continue"/>
          </w:tcPr>
          <w:p>
            <w:pPr>
              <w:spacing w:after="0"/>
              <w:rPr>
                <w:sz w:val="9"/>
                <w:szCs w:val="9"/>
                <w:color w:val="auto"/>
              </w:rPr>
            </w:pPr>
          </w:p>
        </w:tc>
        <w:tc>
          <w:tcPr>
            <w:tcW w:w="1460" w:type="dxa"/>
            <w:vAlign w:val="bottom"/>
            <w:vMerge w:val="continue"/>
            <w:shd w:val="clear" w:color="auto" w:fill="F3F3F9"/>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20" w:type="dxa"/>
            <w:vAlign w:val="bottom"/>
            <w:tcBorders>
              <w:bottom w:val="single" w:sz="8" w:color="8E939F"/>
            </w:tcBorders>
            <w:vMerge w:val="continue"/>
          </w:tcPr>
          <w:p>
            <w:pPr>
              <w:spacing w:after="0"/>
              <w:rPr>
                <w:sz w:val="10"/>
                <w:szCs w:val="10"/>
                <w:color w:val="auto"/>
              </w:rPr>
            </w:pPr>
          </w:p>
        </w:tc>
        <w:tc>
          <w:tcPr>
            <w:tcW w:w="840" w:type="dxa"/>
            <w:vAlign w:val="bottom"/>
            <w:tcBorders>
              <w:bottom w:val="single" w:sz="8" w:color="8E939F"/>
            </w:tcBorders>
          </w:tcPr>
          <w:p>
            <w:pPr>
              <w:spacing w:after="0"/>
              <w:rPr>
                <w:sz w:val="10"/>
                <w:szCs w:val="10"/>
                <w:color w:val="auto"/>
              </w:rPr>
            </w:pPr>
          </w:p>
        </w:tc>
        <w:tc>
          <w:tcPr>
            <w:tcW w:w="1440" w:type="dxa"/>
            <w:vAlign w:val="bottom"/>
            <w:tcBorders>
              <w:bottom w:val="single" w:sz="8" w:color="8E939F"/>
              <w:right w:val="single" w:sz="8" w:color="F3F3F9"/>
            </w:tcBorders>
            <w:shd w:val="clear" w:color="auto" w:fill="F3F3F9"/>
          </w:tcPr>
          <w:p>
            <w:pPr>
              <w:spacing w:after="0"/>
              <w:rPr>
                <w:sz w:val="10"/>
                <w:szCs w:val="10"/>
                <w:color w:val="auto"/>
              </w:rPr>
            </w:pPr>
          </w:p>
        </w:tc>
        <w:tc>
          <w:tcPr>
            <w:tcW w:w="1620" w:type="dxa"/>
            <w:vAlign w:val="bottom"/>
            <w:tcBorders>
              <w:bottom w:val="single" w:sz="8" w:color="8E939F"/>
            </w:tcBorders>
          </w:tcPr>
          <w:p>
            <w:pPr>
              <w:spacing w:after="0"/>
              <w:rPr>
                <w:sz w:val="10"/>
                <w:szCs w:val="10"/>
                <w:color w:val="auto"/>
              </w:rPr>
            </w:pPr>
          </w:p>
        </w:tc>
        <w:tc>
          <w:tcPr>
            <w:tcW w:w="1460" w:type="dxa"/>
            <w:vAlign w:val="bottom"/>
            <w:tcBorders>
              <w:bottom w:val="single" w:sz="8" w:color="8E939F"/>
            </w:tcBorders>
            <w:shd w:val="clear" w:color="auto" w:fill="F3F3F9"/>
          </w:tcPr>
          <w:p>
            <w:pPr>
              <w:spacing w:after="0"/>
              <w:rPr>
                <w:sz w:val="10"/>
                <w:szCs w:val="10"/>
                <w:color w:val="auto"/>
              </w:rPr>
            </w:pPr>
          </w:p>
        </w:tc>
        <w:tc>
          <w:tcPr>
            <w:tcW w:w="1560" w:type="dxa"/>
            <w:vAlign w:val="bottom"/>
            <w:tcBorders>
              <w:bottom w:val="single" w:sz="8" w:color="8E939F"/>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320" w:type="dxa"/>
            <w:vAlign w:val="bottom"/>
            <w:tcBorders>
              <w:bottom w:val="single" w:sz="8" w:color="8E939F"/>
            </w:tcBorders>
            <w:shd w:val="clear" w:color="auto" w:fill="E6E7F4"/>
          </w:tcPr>
          <w:p>
            <w:pPr>
              <w:ind w:left="20"/>
              <w:spacing w:after="0"/>
              <w:rPr>
                <w:sz w:val="20"/>
                <w:szCs w:val="20"/>
                <w:color w:val="auto"/>
              </w:rPr>
            </w:pPr>
            <w:r>
              <w:rPr>
                <w:rFonts w:ascii="Arial" w:cs="Arial" w:eastAsia="Arial" w:hAnsi="Arial"/>
                <w:sz w:val="16"/>
                <w:szCs w:val="16"/>
                <w:b w:val="1"/>
                <w:bCs w:val="1"/>
                <w:color w:val="243782"/>
              </w:rPr>
              <w:t>Diluted (loss)/earnings per share</w:t>
            </w:r>
          </w:p>
        </w:tc>
        <w:tc>
          <w:tcPr>
            <w:tcW w:w="840" w:type="dxa"/>
            <w:vAlign w:val="bottom"/>
            <w:tcBorders>
              <w:bottom w:val="single" w:sz="8" w:color="8E939F"/>
            </w:tcBorders>
            <w:shd w:val="clear" w:color="auto" w:fill="E6E7F4"/>
          </w:tcPr>
          <w:p>
            <w:pPr>
              <w:spacing w:after="0"/>
              <w:rPr>
                <w:sz w:val="21"/>
                <w:szCs w:val="21"/>
                <w:color w:val="auto"/>
              </w:rPr>
            </w:pPr>
          </w:p>
        </w:tc>
        <w:tc>
          <w:tcPr>
            <w:tcW w:w="1440" w:type="dxa"/>
            <w:vAlign w:val="bottom"/>
            <w:tcBorders>
              <w:bottom w:val="single" w:sz="8" w:color="8E939F"/>
              <w:right w:val="single" w:sz="8" w:color="E6E7F4"/>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(0.18)</w:t>
            </w:r>
          </w:p>
        </w:tc>
        <w:tc>
          <w:tcPr>
            <w:tcW w:w="1620" w:type="dxa"/>
            <w:vAlign w:val="bottom"/>
            <w:tcBorders>
              <w:bottom w:val="single" w:sz="8" w:color="8E939F"/>
            </w:tcBorders>
            <w:shd w:val="clear" w:color="auto" w:fill="E6E7F4"/>
          </w:tcPr>
          <w:p>
            <w:pPr>
              <w:jc w:val="right"/>
              <w:ind w:right="39"/>
              <w:spacing w:after="0"/>
              <w:rPr>
                <w:sz w:val="20"/>
                <w:szCs w:val="20"/>
                <w:color w:val="auto"/>
              </w:rPr>
            </w:pPr>
            <w:r>
              <w:rPr>
                <w:rFonts w:ascii="Arial" w:cs="Arial" w:eastAsia="Arial" w:hAnsi="Arial"/>
                <w:sz w:val="16"/>
                <w:szCs w:val="16"/>
                <w:b w:val="1"/>
                <w:bCs w:val="1"/>
                <w:color w:val="243782"/>
              </w:rPr>
              <w:t>(1.57)</w:t>
            </w:r>
          </w:p>
        </w:tc>
        <w:tc>
          <w:tcPr>
            <w:tcW w:w="14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0.02</w:t>
            </w:r>
          </w:p>
        </w:tc>
        <w:tc>
          <w:tcPr>
            <w:tcW w:w="1560" w:type="dxa"/>
            <w:vAlign w:val="bottom"/>
            <w:tcBorders>
              <w:bottom w:val="single" w:sz="8" w:color="8E939F"/>
            </w:tcBorders>
            <w:shd w:val="clear" w:color="auto" w:fill="E6E7F4"/>
          </w:tcPr>
          <w:p>
            <w:pPr>
              <w:jc w:val="right"/>
              <w:spacing w:after="0"/>
              <w:rPr>
                <w:sz w:val="20"/>
                <w:szCs w:val="20"/>
                <w:color w:val="auto"/>
              </w:rPr>
            </w:pPr>
            <w:r>
              <w:rPr>
                <w:rFonts w:ascii="Arial" w:cs="Arial" w:eastAsia="Arial" w:hAnsi="Arial"/>
                <w:sz w:val="16"/>
                <w:szCs w:val="16"/>
                <w:b w:val="1"/>
                <w:bCs w:val="1"/>
                <w:color w:val="243782"/>
              </w:rPr>
              <w:t>(2.35)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21. Segment reporting</w:t>
      </w:r>
    </w:p>
    <w:p>
      <w:pPr>
        <w:spacing w:after="0" w:line="252"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 xml:space="preserve">The Company’s activities are carried out through five regional vehicle reporting segments: North America, Enlarged Europe, Middle East &amp; Africa, South America and Asia Pacific. Refer to Note 1, </w:t>
      </w:r>
      <w:r>
        <w:rPr>
          <w:rFonts w:ascii="Arial" w:cs="Arial" w:eastAsia="Arial" w:hAnsi="Arial"/>
          <w:sz w:val="18"/>
          <w:szCs w:val="18"/>
          <w:i w:val="1"/>
          <w:iCs w:val="1"/>
          <w:color w:val="auto"/>
        </w:rPr>
        <w:t>Basis of Preparation</w:t>
      </w:r>
      <w:r>
        <w:rPr>
          <w:rFonts w:ascii="Arial" w:cs="Arial" w:eastAsia="Arial" w:hAnsi="Arial"/>
          <w:sz w:val="18"/>
          <w:szCs w:val="18"/>
          <w:color w:val="auto"/>
        </w:rPr>
        <w:t xml:space="preserve"> for additional information on segment reporting changes.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spacing w:after="0" w:line="315" w:lineRule="auto"/>
        <w:rPr>
          <w:sz w:val="20"/>
          <w:szCs w:val="20"/>
          <w:color w:val="auto"/>
        </w:rPr>
      </w:pPr>
      <w:r>
        <w:rPr>
          <w:rFonts w:ascii="Arial" w:cs="Arial" w:eastAsia="Arial" w:hAnsi="Arial"/>
          <w:sz w:val="18"/>
          <w:szCs w:val="18"/>
          <w:color w:val="auto"/>
        </w:rPr>
        <w:t>See below for a reconciliation of Net profit/(loss), which is the most directly comparable measure included in our Interim Condensed Consolidated Income Statement, to Adjusted operating income/(loss). Operating assets are not included in the data reviewed by the chief operating decision maker, and as a result and as permitted by IFRS 8, the related information is not provided.</w:t>
      </w:r>
    </w:p>
    <w:p>
      <w:pPr>
        <w:spacing w:after="0" w:line="171" w:lineRule="exact"/>
        <w:rPr>
          <w:sz w:val="20"/>
          <w:szCs w:val="20"/>
          <w:color w:val="auto"/>
        </w:rPr>
      </w:pPr>
    </w:p>
    <w:p>
      <w:pPr>
        <w:ind w:right="380"/>
        <w:spacing w:after="0" w:line="334" w:lineRule="auto"/>
        <w:rPr>
          <w:sz w:val="20"/>
          <w:szCs w:val="20"/>
          <w:color w:val="auto"/>
        </w:rPr>
      </w:pPr>
      <w:r>
        <w:rPr>
          <w:rFonts w:ascii="Arial" w:cs="Arial" w:eastAsia="Arial" w:hAnsi="Arial"/>
          <w:sz w:val="18"/>
          <w:szCs w:val="18"/>
          <w:color w:val="auto"/>
        </w:rPr>
        <w:t>The following tables summarize selected financial information by segment for the three and nine months ended September 30, 2026 and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vMerge w:val="restart"/>
          </w:tcPr>
          <w:p>
            <w:pPr>
              <w:ind w:left="20"/>
              <w:spacing w:after="0"/>
              <w:rPr>
                <w:sz w:val="20"/>
                <w:szCs w:val="20"/>
                <w:color w:val="auto"/>
              </w:rPr>
            </w:pPr>
            <w:r>
              <w:rPr>
                <w:rFonts w:ascii="Arial" w:cs="Arial" w:eastAsia="Arial" w:hAnsi="Arial"/>
                <w:sz w:val="13"/>
                <w:szCs w:val="13"/>
                <w:b w:val="1"/>
                <w:bCs w:val="1"/>
                <w:color w:val="243782"/>
              </w:rPr>
              <w:t>Three months ended September 30, 2026</w:t>
            </w: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North</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Enlarged</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Middle East &amp;</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South</w:t>
            </w: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Asia Pacific</w:t>
            </w: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Other</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243782"/>
              </w:rPr>
              <w:t>Unallocated</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243782"/>
              </w:rPr>
              <w:t>Stellantis</w:t>
            </w:r>
          </w:p>
        </w:tc>
        <w:tc>
          <w:tcPr>
            <w:tcW w:w="0" w:type="dxa"/>
            <w:vAlign w:val="bottom"/>
          </w:tcPr>
          <w:p>
            <w:pPr>
              <w:spacing w:after="0"/>
              <w:rPr>
                <w:sz w:val="1"/>
                <w:szCs w:val="1"/>
                <w:color w:val="auto"/>
              </w:rPr>
            </w:pPr>
          </w:p>
        </w:tc>
      </w:tr>
      <w:tr>
        <w:trPr>
          <w:trHeight w:val="81"/>
        </w:trPr>
        <w:tc>
          <w:tcPr>
            <w:tcW w:w="34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items &amp;</w:t>
            </w: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440" w:type="dxa"/>
            <w:vAlign w:val="bottom"/>
            <w:vMerge w:val="continue"/>
          </w:tcPr>
          <w:p>
            <w:pPr>
              <w:spacing w:after="0"/>
              <w:rPr>
                <w:sz w:val="5"/>
                <w:szCs w:val="5"/>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America</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Europe</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Africa</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America</w:t>
            </w:r>
          </w:p>
        </w:tc>
        <w:tc>
          <w:tcPr>
            <w:tcW w:w="1060" w:type="dxa"/>
            <w:vAlign w:val="bottom"/>
            <w:vMerge w:val="continue"/>
          </w:tcPr>
          <w:p>
            <w:pPr>
              <w:spacing w:after="0"/>
              <w:rPr>
                <w:sz w:val="5"/>
                <w:szCs w:val="5"/>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activities</w:t>
            </w:r>
          </w:p>
        </w:tc>
        <w:tc>
          <w:tcPr>
            <w:tcW w:w="1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eliminations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3440" w:type="dxa"/>
            <w:vAlign w:val="bottom"/>
            <w:tcBorders>
              <w:bottom w:val="single" w:sz="8" w:color="143A84"/>
            </w:tcBorders>
          </w:tcPr>
          <w:p>
            <w:pPr>
              <w:spacing w:after="0" w:line="20" w:lineRule="exact"/>
              <w:rPr>
                <w:sz w:val="1"/>
                <w:szCs w:val="1"/>
                <w:color w:val="auto"/>
              </w:rPr>
            </w:pPr>
          </w:p>
        </w:tc>
        <w:tc>
          <w:tcPr>
            <w:tcW w:w="1000" w:type="dxa"/>
            <w:vAlign w:val="bottom"/>
            <w:tcBorders>
              <w:bottom w:val="single" w:sz="8" w:color="143A84"/>
            </w:tcBorders>
          </w:tcPr>
          <w:p>
            <w:pPr>
              <w:spacing w:after="0" w:line="20" w:lineRule="exact"/>
              <w:rPr>
                <w:sz w:val="1"/>
                <w:szCs w:val="1"/>
                <w:color w:val="auto"/>
              </w:rPr>
            </w:pPr>
          </w:p>
        </w:tc>
        <w:tc>
          <w:tcPr>
            <w:tcW w:w="840" w:type="dxa"/>
            <w:vAlign w:val="bottom"/>
            <w:tcBorders>
              <w:bottom w:val="single" w:sz="8" w:color="143A84"/>
            </w:tcBorders>
          </w:tcPr>
          <w:p>
            <w:pPr>
              <w:spacing w:after="0" w:line="20" w:lineRule="exact"/>
              <w:rPr>
                <w:sz w:val="1"/>
                <w:szCs w:val="1"/>
                <w:color w:val="auto"/>
              </w:rPr>
            </w:pPr>
          </w:p>
        </w:tc>
        <w:tc>
          <w:tcPr>
            <w:tcW w:w="1140" w:type="dxa"/>
            <w:vAlign w:val="bottom"/>
            <w:tcBorders>
              <w:bottom w:val="single" w:sz="8" w:color="143A84"/>
            </w:tcBorders>
          </w:tcPr>
          <w:p>
            <w:pPr>
              <w:spacing w:after="0" w:line="20" w:lineRule="exact"/>
              <w:rPr>
                <w:sz w:val="1"/>
                <w:szCs w:val="1"/>
                <w:color w:val="auto"/>
              </w:rPr>
            </w:pPr>
          </w:p>
        </w:tc>
        <w:tc>
          <w:tcPr>
            <w:tcW w:w="860" w:type="dxa"/>
            <w:vAlign w:val="bottom"/>
            <w:tcBorders>
              <w:bottom w:val="single" w:sz="8" w:color="143A84"/>
            </w:tcBorders>
          </w:tcPr>
          <w:p>
            <w:pPr>
              <w:spacing w:after="0" w:line="20" w:lineRule="exact"/>
              <w:rPr>
                <w:sz w:val="1"/>
                <w:szCs w:val="1"/>
                <w:color w:val="auto"/>
              </w:rPr>
            </w:pPr>
          </w:p>
        </w:tc>
        <w:tc>
          <w:tcPr>
            <w:tcW w:w="1060" w:type="dxa"/>
            <w:vAlign w:val="bottom"/>
            <w:tcBorders>
              <w:bottom w:val="single" w:sz="8" w:color="143A84"/>
            </w:tcBorders>
          </w:tcPr>
          <w:p>
            <w:pPr>
              <w:spacing w:after="0" w:line="20" w:lineRule="exact"/>
              <w:rPr>
                <w:sz w:val="1"/>
                <w:szCs w:val="1"/>
                <w:color w:val="auto"/>
              </w:rPr>
            </w:pPr>
          </w:p>
        </w:tc>
        <w:tc>
          <w:tcPr>
            <w:tcW w:w="960" w:type="dxa"/>
            <w:vAlign w:val="bottom"/>
            <w:tcBorders>
              <w:bottom w:val="single" w:sz="8" w:color="143A84"/>
            </w:tcBorders>
          </w:tcPr>
          <w:p>
            <w:pPr>
              <w:spacing w:after="0" w:line="20" w:lineRule="exact"/>
              <w:rPr>
                <w:sz w:val="1"/>
                <w:szCs w:val="1"/>
                <w:color w:val="auto"/>
              </w:rPr>
            </w:pPr>
          </w:p>
        </w:tc>
        <w:tc>
          <w:tcPr>
            <w:tcW w:w="1140" w:type="dxa"/>
            <w:vAlign w:val="bottom"/>
            <w:tcBorders>
              <w:bottom w:val="single" w:sz="8" w:color="143A84"/>
            </w:tcBorders>
          </w:tcPr>
          <w:p>
            <w:pPr>
              <w:spacing w:after="0" w:line="20" w:lineRule="exact"/>
              <w:rPr>
                <w:sz w:val="1"/>
                <w:szCs w:val="1"/>
                <w:color w:val="auto"/>
              </w:rPr>
            </w:pPr>
          </w:p>
        </w:tc>
        <w:tc>
          <w:tcPr>
            <w:tcW w:w="800" w:type="dxa"/>
            <w:vAlign w:val="bottom"/>
            <w:tcBorders>
              <w:bottom w:val="single" w:sz="8" w:color="143A8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8E939F"/>
            </w:tcBorders>
          </w:tcPr>
          <w:p>
            <w:pPr>
              <w:spacing w:after="0"/>
              <w:rPr>
                <w:sz w:val="21"/>
                <w:szCs w:val="21"/>
                <w:color w:val="auto"/>
              </w:rPr>
            </w:pPr>
          </w:p>
        </w:tc>
        <w:tc>
          <w:tcPr>
            <w:tcW w:w="1000" w:type="dxa"/>
            <w:vAlign w:val="bottom"/>
            <w:tcBorders>
              <w:bottom w:val="single" w:sz="8" w:color="8E939F"/>
            </w:tcBorders>
          </w:tcPr>
          <w:p>
            <w:pPr>
              <w:spacing w:after="0"/>
              <w:rPr>
                <w:sz w:val="21"/>
                <w:szCs w:val="21"/>
                <w:color w:val="auto"/>
              </w:rPr>
            </w:pPr>
          </w:p>
        </w:tc>
        <w:tc>
          <w:tcPr>
            <w:tcW w:w="84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15,570</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14,062</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1,673</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4,088</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445</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1,773</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37,611</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16</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32</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67</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(115)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revenues</w:t>
            </w:r>
          </w:p>
        </w:tc>
        <w:tc>
          <w:tcPr>
            <w:tcW w:w="100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15,586</w:t>
            </w:r>
          </w:p>
        </w:tc>
        <w:tc>
          <w:tcPr>
            <w:tcW w:w="840" w:type="dxa"/>
            <w:vAlign w:val="bottom"/>
            <w:tcBorders>
              <w:bottom w:val="single" w:sz="8" w:color="F3F3F9"/>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14,062</w:t>
            </w:r>
          </w:p>
        </w:tc>
        <w:tc>
          <w:tcPr>
            <w:tcW w:w="1140" w:type="dxa"/>
            <w:vAlign w:val="bottom"/>
            <w:tcBorders>
              <w:bottom w:val="single" w:sz="8" w:color="F3F3F9"/>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1,673</w:t>
            </w:r>
          </w:p>
        </w:tc>
        <w:tc>
          <w:tcPr>
            <w:tcW w:w="860" w:type="dxa"/>
            <w:vAlign w:val="bottom"/>
            <w:tcBorders>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4,120</w:t>
            </w:r>
          </w:p>
        </w:tc>
        <w:tc>
          <w:tcPr>
            <w:tcW w:w="106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445</w:t>
            </w:r>
          </w:p>
        </w:tc>
        <w:tc>
          <w:tcPr>
            <w:tcW w:w="96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1,840</w:t>
            </w:r>
          </w:p>
        </w:tc>
        <w:tc>
          <w:tcPr>
            <w:tcW w:w="1140" w:type="dxa"/>
            <w:vAlign w:val="bottom"/>
            <w:tcBorders>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(115)</w:t>
            </w: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37,611</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profit/(loss)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(453)</w:t>
            </w:r>
          </w:p>
        </w:tc>
        <w:tc>
          <w:tcPr>
            <w:tcW w:w="0" w:type="dxa"/>
            <w:vAlign w:val="bottom"/>
          </w:tcPr>
          <w:p>
            <w:pPr>
              <w:spacing w:after="0"/>
              <w:rPr>
                <w:sz w:val="1"/>
                <w:szCs w:val="1"/>
                <w:color w:val="auto"/>
              </w:rPr>
            </w:pPr>
          </w:p>
        </w:tc>
      </w:tr>
      <w:tr>
        <w:trPr>
          <w:trHeight w:val="182"/>
        </w:trPr>
        <w:tc>
          <w:tcPr>
            <w:tcW w:w="3440" w:type="dxa"/>
            <w:vAlign w:val="bottom"/>
            <w:tcBorders>
              <w:top w:val="single" w:sz="8" w:color="8E939F"/>
            </w:tcBorders>
          </w:tcPr>
          <w:p>
            <w:pPr>
              <w:ind w:left="20"/>
              <w:spacing w:after="0"/>
              <w:rPr>
                <w:sz w:val="20"/>
                <w:szCs w:val="20"/>
                <w:color w:val="auto"/>
              </w:rPr>
            </w:pPr>
            <w:r>
              <w:rPr>
                <w:rFonts w:ascii="Arial" w:cs="Arial" w:eastAsia="Arial" w:hAnsi="Arial"/>
                <w:sz w:val="13"/>
                <w:szCs w:val="13"/>
                <w:color w:val="auto"/>
              </w:rPr>
              <w:t>Tax expense/(benefit)</w:t>
            </w:r>
          </w:p>
        </w:tc>
        <w:tc>
          <w:tcPr>
            <w:tcW w:w="1000" w:type="dxa"/>
            <w:vAlign w:val="bottom"/>
            <w:tcBorders>
              <w:top w:val="single" w:sz="8" w:color="8E939F"/>
            </w:tcBorders>
          </w:tcPr>
          <w:p>
            <w:pPr>
              <w:spacing w:after="0"/>
              <w:rPr>
                <w:sz w:val="15"/>
                <w:szCs w:val="15"/>
                <w:color w:val="auto"/>
              </w:rPr>
            </w:pPr>
          </w:p>
        </w:tc>
        <w:tc>
          <w:tcPr>
            <w:tcW w:w="84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60" w:type="dxa"/>
            <w:vAlign w:val="bottom"/>
            <w:tcBorders>
              <w:top w:val="single" w:sz="8" w:color="8E939F"/>
            </w:tcBorders>
          </w:tcPr>
          <w:p>
            <w:pPr>
              <w:spacing w:after="0"/>
              <w:rPr>
                <w:sz w:val="15"/>
                <w:szCs w:val="15"/>
                <w:color w:val="auto"/>
              </w:rPr>
            </w:pPr>
          </w:p>
        </w:tc>
        <w:tc>
          <w:tcPr>
            <w:tcW w:w="1060" w:type="dxa"/>
            <w:vAlign w:val="bottom"/>
            <w:tcBorders>
              <w:top w:val="single" w:sz="8" w:color="8E939F"/>
            </w:tcBorders>
          </w:tcPr>
          <w:p>
            <w:pPr>
              <w:spacing w:after="0"/>
              <w:rPr>
                <w:sz w:val="15"/>
                <w:szCs w:val="15"/>
                <w:color w:val="auto"/>
              </w:rPr>
            </w:pPr>
          </w:p>
        </w:tc>
        <w:tc>
          <w:tcPr>
            <w:tcW w:w="96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00" w:type="dxa"/>
            <w:vAlign w:val="bottom"/>
            <w:tcBorders>
              <w:top w:val="single" w:sz="8" w:color="8E939F"/>
            </w:tcBorders>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financial expenses/(income)</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(331)</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Adjustments: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(1)</w:t>
            </w:r>
          </w:p>
        </w:tc>
        <w:tc>
          <w:tcPr>
            <w:tcW w:w="100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8E939F"/>
              <w:bottom w:val="single" w:sz="8" w:color="8E939F"/>
            </w:tcBorders>
          </w:tcPr>
          <w:p>
            <w:pPr>
              <w:jc w:val="right"/>
              <w:ind w:right="57"/>
              <w:spacing w:after="0"/>
              <w:rPr>
                <w:sz w:val="20"/>
                <w:szCs w:val="20"/>
                <w:color w:val="auto"/>
              </w:rPr>
            </w:pPr>
            <w:r>
              <w:rPr>
                <w:rFonts w:ascii="Arial" w:cs="Arial" w:eastAsia="Arial" w:hAnsi="Arial"/>
                <w:sz w:val="13"/>
                <w:szCs w:val="13"/>
                <w:color w:val="auto"/>
              </w:rPr>
              <w:t>218</w:t>
            </w:r>
          </w:p>
        </w:tc>
        <w:tc>
          <w:tcPr>
            <w:tcW w:w="1140" w:type="dxa"/>
            <w:vAlign w:val="bottom"/>
            <w:tcBorders>
              <w:top w:val="single" w:sz="8" w:color="8E939F"/>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8E939F"/>
              <w:bottom w:val="single" w:sz="8" w:color="8E939F"/>
            </w:tcBorders>
          </w:tcPr>
          <w:p>
            <w:pPr>
              <w:jc w:val="right"/>
              <w:ind w:right="117"/>
              <w:spacing w:after="0"/>
              <w:rPr>
                <w:sz w:val="20"/>
                <w:szCs w:val="20"/>
                <w:color w:val="auto"/>
              </w:rPr>
            </w:pPr>
            <w:r>
              <w:rPr>
                <w:rFonts w:ascii="Arial" w:cs="Arial" w:eastAsia="Arial" w:hAnsi="Arial"/>
                <w:sz w:val="13"/>
                <w:szCs w:val="13"/>
                <w:color w:val="auto"/>
              </w:rPr>
              <w:t>5</w:t>
            </w:r>
          </w:p>
        </w:tc>
        <w:tc>
          <w:tcPr>
            <w:tcW w:w="10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8E939F"/>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Write-down of investment in Leasys</w:t>
            </w:r>
            <w:r>
              <w:rPr>
                <w:rFonts w:ascii="Arial" w:cs="Arial" w:eastAsia="Arial" w:hAnsi="Arial"/>
                <w:sz w:val="16"/>
                <w:szCs w:val="16"/>
                <w:color w:val="auto"/>
                <w:vertAlign w:val="superscript"/>
              </w:rPr>
              <w:t>(2)</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118</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Restructuring and other costs, net of reversals</w:t>
            </w:r>
            <w:r>
              <w:rPr>
                <w:rFonts w:ascii="Arial" w:cs="Arial" w:eastAsia="Arial" w:hAnsi="Arial"/>
                <w:sz w:val="16"/>
                <w:szCs w:val="16"/>
                <w:color w:val="auto"/>
                <w:vertAlign w:val="superscript"/>
              </w:rPr>
              <w:t>(3)</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49</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15</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2</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8"/>
        </w:trPr>
        <w:tc>
          <w:tcPr>
            <w:tcW w:w="3440" w:type="dxa"/>
            <w:vAlign w:val="bottom"/>
          </w:tcPr>
          <w:p>
            <w:pPr>
              <w:ind w:left="20"/>
              <w:spacing w:after="0"/>
              <w:rPr>
                <w:sz w:val="20"/>
                <w:szCs w:val="20"/>
                <w:color w:val="auto"/>
              </w:rPr>
            </w:pPr>
            <w:r>
              <w:rPr>
                <w:rFonts w:ascii="Arial" w:cs="Arial" w:eastAsia="Arial" w:hAnsi="Arial"/>
                <w:sz w:val="13"/>
                <w:szCs w:val="13"/>
                <w:color w:val="auto"/>
              </w:rPr>
              <w:t>Costs related to product plan realignments and program</w:t>
            </w:r>
          </w:p>
        </w:tc>
        <w:tc>
          <w:tcPr>
            <w:tcW w:w="1000" w:type="dxa"/>
            <w:vAlign w:val="bottom"/>
            <w:vMerge w:val="restart"/>
          </w:tcPr>
          <w:p>
            <w:pPr>
              <w:jc w:val="right"/>
              <w:ind w:right="197"/>
              <w:spacing w:after="0"/>
              <w:rPr>
                <w:sz w:val="20"/>
                <w:szCs w:val="20"/>
                <w:color w:val="auto"/>
              </w:rPr>
            </w:pPr>
            <w:r>
              <w:rPr>
                <w:rFonts w:ascii="Arial" w:cs="Arial" w:eastAsia="Arial" w:hAnsi="Arial"/>
                <w:sz w:val="13"/>
                <w:szCs w:val="13"/>
                <w:color w:val="auto"/>
              </w:rPr>
              <w:t>31</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ind w:left="7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(4)</w:t>
            </w:r>
          </w:p>
        </w:tc>
        <w:tc>
          <w:tcPr>
            <w:tcW w:w="1000" w:type="dxa"/>
            <w:vAlign w:val="bottom"/>
            <w:tcBorders>
              <w:bottom w:val="single" w:sz="8" w:color="8E939F"/>
            </w:tcBorders>
            <w:vMerge w:val="continue"/>
          </w:tcPr>
          <w:p>
            <w:pPr>
              <w:spacing w:after="0"/>
              <w:rPr>
                <w:sz w:val="16"/>
                <w:szCs w:val="16"/>
                <w:color w:val="auto"/>
              </w:rPr>
            </w:pPr>
          </w:p>
        </w:tc>
        <w:tc>
          <w:tcPr>
            <w:tcW w:w="840" w:type="dxa"/>
            <w:vAlign w:val="bottom"/>
            <w:tcBorders>
              <w:bottom w:val="single" w:sz="8" w:color="8E939F"/>
            </w:tcBorders>
            <w:vMerge w:val="continue"/>
          </w:tcPr>
          <w:p>
            <w:pPr>
              <w:spacing w:after="0"/>
              <w:rPr>
                <w:sz w:val="16"/>
                <w:szCs w:val="16"/>
                <w:color w:val="auto"/>
              </w:rPr>
            </w:pPr>
          </w:p>
        </w:tc>
        <w:tc>
          <w:tcPr>
            <w:tcW w:w="1140" w:type="dxa"/>
            <w:vAlign w:val="bottom"/>
            <w:tcBorders>
              <w:bottom w:val="single" w:sz="8" w:color="8E939F"/>
            </w:tcBorders>
            <w:vMerge w:val="continue"/>
          </w:tcPr>
          <w:p>
            <w:pPr>
              <w:spacing w:after="0"/>
              <w:rPr>
                <w:sz w:val="16"/>
                <w:szCs w:val="16"/>
                <w:color w:val="auto"/>
              </w:rPr>
            </w:pPr>
          </w:p>
        </w:tc>
        <w:tc>
          <w:tcPr>
            <w:tcW w:w="860" w:type="dxa"/>
            <w:vAlign w:val="bottom"/>
            <w:tcBorders>
              <w:bottom w:val="single" w:sz="8" w:color="8E939F"/>
            </w:tcBorders>
            <w:vMerge w:val="continue"/>
          </w:tcPr>
          <w:p>
            <w:pPr>
              <w:spacing w:after="0"/>
              <w:rPr>
                <w:sz w:val="16"/>
                <w:szCs w:val="16"/>
                <w:color w:val="auto"/>
              </w:rPr>
            </w:pPr>
          </w:p>
        </w:tc>
        <w:tc>
          <w:tcPr>
            <w:tcW w:w="1060" w:type="dxa"/>
            <w:vAlign w:val="bottom"/>
            <w:tcBorders>
              <w:bottom w:val="single" w:sz="8" w:color="8E939F"/>
            </w:tcBorders>
            <w:vMerge w:val="continue"/>
          </w:tcPr>
          <w:p>
            <w:pPr>
              <w:spacing w:after="0"/>
              <w:rPr>
                <w:sz w:val="16"/>
                <w:szCs w:val="16"/>
                <w:color w:val="auto"/>
              </w:rPr>
            </w:pPr>
          </w:p>
        </w:tc>
        <w:tc>
          <w:tcPr>
            <w:tcW w:w="960" w:type="dxa"/>
            <w:vAlign w:val="bottom"/>
            <w:tcBorders>
              <w:bottom w:val="single" w:sz="8" w:color="8E939F"/>
            </w:tcBorders>
            <w:vMerge w:val="continue"/>
          </w:tcPr>
          <w:p>
            <w:pPr>
              <w:spacing w:after="0"/>
              <w:rPr>
                <w:sz w:val="16"/>
                <w:szCs w:val="16"/>
                <w:color w:val="auto"/>
              </w:rPr>
            </w:pPr>
          </w:p>
        </w:tc>
        <w:tc>
          <w:tcPr>
            <w:tcW w:w="1140" w:type="dxa"/>
            <w:vAlign w:val="bottom"/>
            <w:tcBorders>
              <w:bottom w:val="single" w:sz="8" w:color="8E939F"/>
            </w:tcBorders>
            <w:vMerge w:val="continue"/>
          </w:tcPr>
          <w:p>
            <w:pPr>
              <w:spacing w:after="0"/>
              <w:rPr>
                <w:sz w:val="16"/>
                <w:szCs w:val="16"/>
                <w:color w:val="auto"/>
              </w:rPr>
            </w:pPr>
          </w:p>
        </w:tc>
        <w:tc>
          <w:tcPr>
            <w:tcW w:w="800" w:type="dxa"/>
            <w:vAlign w:val="bottom"/>
            <w:tcBorders>
              <w:bottom w:val="single" w:sz="8" w:color="8E939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(5)</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83</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70</w:t>
            </w:r>
          </w:p>
        </w:tc>
        <w:tc>
          <w:tcPr>
            <w:tcW w:w="11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(1)</w:t>
            </w:r>
          </w:p>
        </w:tc>
        <w:tc>
          <w:tcPr>
            <w:tcW w:w="860" w:type="dxa"/>
            <w:vAlign w:val="bottom"/>
            <w:tcBorders>
              <w:bottom w:val="single" w:sz="8" w:color="8E939F"/>
            </w:tcBorders>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(5)</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4</w:t>
            </w:r>
          </w:p>
        </w:tc>
        <w:tc>
          <w:tcPr>
            <w:tcW w:w="1140" w:type="dxa"/>
            <w:vAlign w:val="bottom"/>
            <w:tcBorders>
              <w:bottom w:val="single" w:sz="8" w:color="8E939F"/>
            </w:tcBorders>
          </w:tcPr>
          <w:p>
            <w:pPr>
              <w:ind w:left="780"/>
              <w:spacing w:after="0"/>
              <w:rPr>
                <w:sz w:val="20"/>
                <w:szCs w:val="20"/>
                <w:color w:val="auto"/>
              </w:rPr>
            </w:pPr>
            <w:r>
              <w:rPr>
                <w:rFonts w:ascii="Arial" w:cs="Arial" w:eastAsia="Arial" w:hAnsi="Arial"/>
                <w:sz w:val="13"/>
                <w:szCs w:val="13"/>
                <w:color w:val="auto"/>
              </w:rPr>
              <w:t>(1)</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15"/>
        </w:trPr>
        <w:tc>
          <w:tcPr>
            <w:tcW w:w="3440" w:type="dxa"/>
            <w:vAlign w:val="bottom"/>
            <w:tcBorders>
              <w:bottom w:val="single" w:sz="8" w:color="E6E7F4"/>
            </w:tcBorders>
            <w:shd w:val="clear" w:color="auto" w:fill="E6E7F4"/>
          </w:tcPr>
          <w:p>
            <w:pPr>
              <w:ind w:left="20"/>
              <w:spacing w:after="0"/>
              <w:rPr>
                <w:sz w:val="20"/>
                <w:szCs w:val="20"/>
                <w:color w:val="auto"/>
              </w:rPr>
            </w:pPr>
            <w:r>
              <w:rPr>
                <w:rFonts w:ascii="Arial" w:cs="Arial" w:eastAsia="Arial" w:hAnsi="Arial"/>
                <w:sz w:val="13"/>
                <w:szCs w:val="13"/>
                <w:b w:val="1"/>
                <w:bCs w:val="1"/>
                <w:color w:val="243782"/>
              </w:rPr>
              <w:t>Total adjustments</w:t>
            </w:r>
          </w:p>
        </w:tc>
        <w:tc>
          <w:tcPr>
            <w:tcW w:w="100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114</w:t>
            </w:r>
          </w:p>
        </w:tc>
        <w:tc>
          <w:tcPr>
            <w:tcW w:w="840" w:type="dxa"/>
            <w:vAlign w:val="bottom"/>
            <w:tcBorders>
              <w:bottom w:val="single" w:sz="8" w:color="E6E7F4"/>
            </w:tcBorders>
            <w:shd w:val="clear" w:color="auto" w:fill="E6E7F4"/>
          </w:tcPr>
          <w:p>
            <w:pPr>
              <w:jc w:val="right"/>
              <w:ind w:right="57"/>
              <w:spacing w:after="0"/>
              <w:rPr>
                <w:sz w:val="20"/>
                <w:szCs w:val="20"/>
                <w:color w:val="auto"/>
              </w:rPr>
            </w:pPr>
            <w:r>
              <w:rPr>
                <w:rFonts w:ascii="Arial" w:cs="Arial" w:eastAsia="Arial" w:hAnsi="Arial"/>
                <w:sz w:val="13"/>
                <w:szCs w:val="13"/>
                <w:b w:val="1"/>
                <w:bCs w:val="1"/>
                <w:color w:val="143A84"/>
              </w:rPr>
              <w:t>337</w:t>
            </w:r>
          </w:p>
        </w:tc>
        <w:tc>
          <w:tcPr>
            <w:tcW w:w="114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(1)</w:t>
            </w:r>
          </w:p>
        </w:tc>
        <w:tc>
          <w:tcPr>
            <w:tcW w:w="860" w:type="dxa"/>
            <w:vAlign w:val="bottom"/>
            <w:tcBorders>
              <w:bottom w:val="single" w:sz="8" w:color="E6E7F4"/>
            </w:tcBorders>
            <w:shd w:val="clear" w:color="auto" w:fill="E6E7F4"/>
          </w:tcPr>
          <w:p>
            <w:pPr>
              <w:jc w:val="right"/>
              <w:ind w:right="117"/>
              <w:spacing w:after="0"/>
              <w:rPr>
                <w:sz w:val="20"/>
                <w:szCs w:val="20"/>
                <w:color w:val="auto"/>
              </w:rPr>
            </w:pPr>
            <w:r>
              <w:rPr>
                <w:rFonts w:ascii="Arial" w:cs="Arial" w:eastAsia="Arial" w:hAnsi="Arial"/>
                <w:sz w:val="13"/>
                <w:szCs w:val="13"/>
                <w:b w:val="1"/>
                <w:bCs w:val="1"/>
                <w:color w:val="143A84"/>
              </w:rPr>
              <w:t>19</w:t>
            </w:r>
          </w:p>
        </w:tc>
        <w:tc>
          <w:tcPr>
            <w:tcW w:w="1060" w:type="dxa"/>
            <w:vAlign w:val="bottom"/>
            <w:tcBorders>
              <w:bottom w:val="single" w:sz="8" w:color="E6E7F4"/>
            </w:tcBorders>
            <w:shd w:val="clear" w:color="auto" w:fill="E6E7F4"/>
          </w:tcPr>
          <w:p>
            <w:pPr>
              <w:jc w:val="right"/>
              <w:ind w:right="177"/>
              <w:spacing w:after="0"/>
              <w:rPr>
                <w:sz w:val="20"/>
                <w:szCs w:val="20"/>
                <w:color w:val="auto"/>
              </w:rPr>
            </w:pPr>
            <w:r>
              <w:rPr>
                <w:rFonts w:ascii="Arial" w:cs="Arial" w:eastAsia="Arial" w:hAnsi="Arial"/>
                <w:sz w:val="13"/>
                <w:szCs w:val="13"/>
                <w:b w:val="1"/>
                <w:bCs w:val="1"/>
                <w:color w:val="143A84"/>
              </w:rPr>
              <w:t>(5)</w:t>
            </w:r>
          </w:p>
        </w:tc>
        <w:tc>
          <w:tcPr>
            <w:tcW w:w="96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124</w:t>
            </w:r>
          </w:p>
        </w:tc>
        <w:tc>
          <w:tcPr>
            <w:tcW w:w="1140" w:type="dxa"/>
            <w:vAlign w:val="bottom"/>
            <w:tcBorders>
              <w:bottom w:val="single" w:sz="8" w:color="E6E7F4"/>
            </w:tcBorders>
            <w:shd w:val="clear" w:color="auto" w:fill="E6E7F4"/>
          </w:tcPr>
          <w:p>
            <w:pPr>
              <w:ind w:left="780"/>
              <w:spacing w:after="0"/>
              <w:rPr>
                <w:sz w:val="20"/>
                <w:szCs w:val="20"/>
                <w:color w:val="auto"/>
              </w:rPr>
            </w:pPr>
            <w:r>
              <w:rPr>
                <w:rFonts w:ascii="Arial" w:cs="Arial" w:eastAsia="Arial" w:hAnsi="Arial"/>
                <w:sz w:val="13"/>
                <w:szCs w:val="13"/>
                <w:b w:val="1"/>
                <w:bCs w:val="1"/>
                <w:color w:val="143A84"/>
              </w:rPr>
              <w:t>(1)</w:t>
            </w:r>
          </w:p>
        </w:tc>
        <w:tc>
          <w:tcPr>
            <w:tcW w:w="80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3"/>
                <w:szCs w:val="13"/>
                <w:b w:val="1"/>
                <w:bCs w:val="1"/>
                <w:color w:val="143A84"/>
              </w:rPr>
              <w:t>587</w:t>
            </w:r>
          </w:p>
        </w:tc>
        <w:tc>
          <w:tcPr>
            <w:tcW w:w="0" w:type="dxa"/>
            <w:vAlign w:val="bottom"/>
          </w:tcPr>
          <w:p>
            <w:pPr>
              <w:spacing w:after="0"/>
              <w:rPr>
                <w:sz w:val="1"/>
                <w:szCs w:val="1"/>
                <w:color w:val="auto"/>
              </w:rPr>
            </w:pPr>
          </w:p>
        </w:tc>
      </w:tr>
      <w:tr>
        <w:trPr>
          <w:trHeight w:val="215"/>
        </w:trPr>
        <w:tc>
          <w:tcPr>
            <w:tcW w:w="3440" w:type="dxa"/>
            <w:vAlign w:val="bottom"/>
            <w:tcBorders>
              <w:top w:val="single" w:sz="8" w:color="8E939F"/>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Adjusted operating income/(loss)</w:t>
            </w:r>
          </w:p>
        </w:tc>
        <w:tc>
          <w:tcPr>
            <w:tcW w:w="100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64</w:t>
            </w:r>
          </w:p>
        </w:tc>
        <w:tc>
          <w:tcPr>
            <w:tcW w:w="840" w:type="dxa"/>
            <w:vAlign w:val="bottom"/>
            <w:tcBorders>
              <w:top w:val="single" w:sz="8" w:color="8E939F"/>
              <w:bottom w:val="single" w:sz="8" w:color="F3F3F9"/>
            </w:tcBorders>
            <w:shd w:val="clear" w:color="auto" w:fill="F3F3F9"/>
          </w:tcPr>
          <w:p>
            <w:pPr>
              <w:jc w:val="right"/>
              <w:ind w:right="17"/>
              <w:spacing w:after="0"/>
              <w:rPr>
                <w:sz w:val="20"/>
                <w:szCs w:val="20"/>
                <w:color w:val="auto"/>
              </w:rPr>
            </w:pPr>
            <w:r>
              <w:rPr>
                <w:rFonts w:ascii="Arial" w:cs="Arial" w:eastAsia="Arial" w:hAnsi="Arial"/>
                <w:sz w:val="13"/>
                <w:szCs w:val="13"/>
                <w:b w:val="1"/>
                <w:bCs w:val="1"/>
                <w:color w:val="143A84"/>
              </w:rPr>
              <w:t>(311)</w:t>
            </w:r>
          </w:p>
        </w:tc>
        <w:tc>
          <w:tcPr>
            <w:tcW w:w="1140" w:type="dxa"/>
            <w:vAlign w:val="bottom"/>
            <w:tcBorders>
              <w:top w:val="single" w:sz="8" w:color="8E939F"/>
              <w:bottom w:val="single" w:sz="8" w:color="F3F3F9"/>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244</w:t>
            </w:r>
          </w:p>
        </w:tc>
        <w:tc>
          <w:tcPr>
            <w:tcW w:w="860" w:type="dxa"/>
            <w:vAlign w:val="bottom"/>
            <w:tcBorders>
              <w:top w:val="single" w:sz="8" w:color="8E939F"/>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431</w:t>
            </w:r>
          </w:p>
        </w:tc>
        <w:tc>
          <w:tcPr>
            <w:tcW w:w="106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18</w:t>
            </w:r>
          </w:p>
        </w:tc>
        <w:tc>
          <w:tcPr>
            <w:tcW w:w="96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123</w:t>
            </w:r>
          </w:p>
        </w:tc>
        <w:tc>
          <w:tcPr>
            <w:tcW w:w="114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(313)</w:t>
            </w:r>
          </w:p>
        </w:tc>
        <w:tc>
          <w:tcPr>
            <w:tcW w:w="80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256</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Share in the profit of equity method investees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2</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37</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28</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(53)</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Related to stop-drive campaigns on certain vehicles, mainly in Enlarged Europe</w:t>
      </w:r>
    </w:p>
    <w:p>
      <w:pPr>
        <w:spacing w:after="0" w:line="28" w:lineRule="exact"/>
        <w:rPr>
          <w:rFonts w:ascii="Arial" w:cs="Arial" w:eastAsia="Arial" w:hAnsi="Arial"/>
          <w:sz w:val="14"/>
          <w:szCs w:val="14"/>
          <w:color w:val="auto"/>
        </w:rPr>
      </w:pPr>
    </w:p>
    <w:p>
      <w:pPr>
        <w:ind w:right="300" w:firstLine="8"/>
        <w:spacing w:after="0" w:line="251" w:lineRule="auto"/>
        <w:tabs>
          <w:tab w:leader="none" w:pos="222" w:val="left"/>
        </w:tabs>
        <w:numPr>
          <w:ilvl w:val="0"/>
          <w:numId w:val="66"/>
        </w:numPr>
        <w:rPr>
          <w:rFonts w:ascii="Arial" w:cs="Arial" w:eastAsia="Arial" w:hAnsi="Arial"/>
          <w:sz w:val="14"/>
          <w:szCs w:val="14"/>
          <w:color w:val="auto"/>
        </w:rPr>
      </w:pPr>
      <w:r>
        <w:rPr>
          <w:rFonts w:ascii="Arial" w:cs="Arial" w:eastAsia="Arial" w:hAnsi="Arial"/>
          <w:sz w:val="14"/>
          <w:szCs w:val="14"/>
          <w:color w:val="auto"/>
        </w:rPr>
        <w:t>During the three months ended September 30, 2026, the Company recognized a €118 million charge related to its investment in Leasys (refer to Note 7, Investments accounted for using equity method for additional information)</w:t>
      </w: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Primarily related to workforce reductions, mainly in Enlarged Europe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Related to costs incurred as a result of product plan realignments and program cancellations in North America</w:t>
      </w:r>
    </w:p>
    <w:p>
      <w:pPr>
        <w:spacing w:after="0" w:line="14" w:lineRule="exact"/>
        <w:rPr>
          <w:rFonts w:ascii="Arial" w:cs="Arial" w:eastAsia="Arial" w:hAnsi="Arial"/>
          <w:sz w:val="14"/>
          <w:szCs w:val="14"/>
          <w:color w:val="auto"/>
        </w:rPr>
      </w:pPr>
    </w:p>
    <w:p>
      <w:pPr>
        <w:ind w:right="300" w:firstLine="8"/>
        <w:spacing w:after="0" w:line="284" w:lineRule="auto"/>
        <w:tabs>
          <w:tab w:leader="none" w:pos="222"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Comprised primarily of adjustments to costs related to the transformation of certain plants in North America and Enlarged Europe, along with a regulatory impairment charge in North America</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1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North</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Enlarged</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Middle East &amp;</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243782"/>
              </w:rPr>
              <w:t>South</w:t>
            </w:r>
          </w:p>
        </w:tc>
        <w:tc>
          <w:tcPr>
            <w:tcW w:w="1060" w:type="dxa"/>
            <w:vAlign w:val="bottom"/>
          </w:tcPr>
          <w:p>
            <w:pPr>
              <w:spacing w:after="0"/>
              <w:rPr>
                <w:sz w:val="13"/>
                <w:szCs w:val="13"/>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Other</w:t>
            </w:r>
          </w:p>
        </w:tc>
        <w:tc>
          <w:tcPr>
            <w:tcW w:w="1160" w:type="dxa"/>
            <w:vAlign w:val="bottom"/>
          </w:tcPr>
          <w:p>
            <w:pPr>
              <w:jc w:val="right"/>
              <w:ind w:right="137"/>
              <w:spacing w:after="0"/>
              <w:rPr>
                <w:sz w:val="20"/>
                <w:szCs w:val="20"/>
                <w:color w:val="auto"/>
              </w:rPr>
            </w:pPr>
            <w:r>
              <w:rPr>
                <w:rFonts w:ascii="Arial" w:cs="Arial" w:eastAsia="Arial" w:hAnsi="Arial"/>
                <w:sz w:val="13"/>
                <w:szCs w:val="13"/>
                <w:b w:val="1"/>
                <w:bCs w:val="1"/>
                <w:color w:val="243782"/>
              </w:rPr>
              <w:t>Unallocated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340" w:type="dxa"/>
            <w:vAlign w:val="bottom"/>
            <w:vMerge w:val="restart"/>
          </w:tcPr>
          <w:p>
            <w:pPr>
              <w:ind w:left="20"/>
              <w:spacing w:after="0"/>
              <w:rPr>
                <w:sz w:val="20"/>
                <w:szCs w:val="20"/>
                <w:color w:val="auto"/>
              </w:rPr>
            </w:pPr>
            <w:r>
              <w:rPr>
                <w:rFonts w:ascii="Arial" w:cs="Arial" w:eastAsia="Arial" w:hAnsi="Arial"/>
                <w:sz w:val="13"/>
                <w:szCs w:val="13"/>
                <w:b w:val="1"/>
                <w:bCs w:val="1"/>
                <w:color w:val="243782"/>
              </w:rPr>
              <w:t>Three months ended September 30, 2025</w:t>
            </w:r>
          </w:p>
        </w:tc>
        <w:tc>
          <w:tcPr>
            <w:tcW w:w="11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Asia Pacific</w:t>
            </w:r>
          </w:p>
        </w:tc>
        <w:tc>
          <w:tcPr>
            <w:tcW w:w="960" w:type="dxa"/>
            <w:vAlign w:val="bottom"/>
            <w:vMerge w:val="continue"/>
          </w:tcPr>
          <w:p>
            <w:pPr>
              <w:spacing w:after="0"/>
              <w:rPr>
                <w:sz w:val="7"/>
                <w:szCs w:val="7"/>
                <w:color w:val="auto"/>
              </w:rPr>
            </w:pPr>
          </w:p>
        </w:tc>
        <w:tc>
          <w:tcPr>
            <w:tcW w:w="11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items &amp;</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243782"/>
              </w:rPr>
              <w:t>Stellantis</w:t>
            </w:r>
          </w:p>
        </w:tc>
        <w:tc>
          <w:tcPr>
            <w:tcW w:w="0" w:type="dxa"/>
            <w:vAlign w:val="bottom"/>
          </w:tcPr>
          <w:p>
            <w:pPr>
              <w:spacing w:after="0"/>
              <w:rPr>
                <w:sz w:val="1"/>
                <w:szCs w:val="1"/>
                <w:color w:val="auto"/>
              </w:rPr>
            </w:pPr>
          </w:p>
        </w:tc>
      </w:tr>
      <w:tr>
        <w:trPr>
          <w:trHeight w:val="68"/>
        </w:trPr>
        <w:tc>
          <w:tcPr>
            <w:tcW w:w="3340" w:type="dxa"/>
            <w:vAlign w:val="bottom"/>
            <w:vMerge w:val="continue"/>
          </w:tcPr>
          <w:p>
            <w:pPr>
              <w:spacing w:after="0"/>
              <w:rPr>
                <w:sz w:val="5"/>
                <w:szCs w:val="5"/>
                <w:color w:val="auto"/>
              </w:rPr>
            </w:pPr>
          </w:p>
        </w:tc>
        <w:tc>
          <w:tcPr>
            <w:tcW w:w="11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America</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Europe</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Africa</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243782"/>
              </w:rPr>
              <w:t>America</w:t>
            </w:r>
          </w:p>
        </w:tc>
        <w:tc>
          <w:tcPr>
            <w:tcW w:w="1060" w:type="dxa"/>
            <w:vAlign w:val="bottom"/>
            <w:vMerge w:val="continue"/>
          </w:tcPr>
          <w:p>
            <w:pPr>
              <w:spacing w:after="0"/>
              <w:rPr>
                <w:sz w:val="5"/>
                <w:szCs w:val="5"/>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activities</w:t>
            </w:r>
          </w:p>
        </w:tc>
        <w:tc>
          <w:tcPr>
            <w:tcW w:w="11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eliminations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340" w:type="dxa"/>
            <w:vAlign w:val="bottom"/>
            <w:tcBorders>
              <w:bottom w:val="single" w:sz="8" w:color="143A84"/>
            </w:tcBorders>
          </w:tcPr>
          <w:p>
            <w:pPr>
              <w:spacing w:after="0"/>
              <w:rPr>
                <w:sz w:val="3"/>
                <w:szCs w:val="3"/>
                <w:color w:val="auto"/>
              </w:rPr>
            </w:pPr>
          </w:p>
        </w:tc>
        <w:tc>
          <w:tcPr>
            <w:tcW w:w="1100" w:type="dxa"/>
            <w:vAlign w:val="bottom"/>
            <w:tcBorders>
              <w:bottom w:val="single" w:sz="8" w:color="143A84"/>
            </w:tcBorders>
          </w:tcPr>
          <w:p>
            <w:pPr>
              <w:spacing w:after="0"/>
              <w:rPr>
                <w:sz w:val="3"/>
                <w:szCs w:val="3"/>
                <w:color w:val="auto"/>
              </w:rPr>
            </w:pPr>
          </w:p>
        </w:tc>
        <w:tc>
          <w:tcPr>
            <w:tcW w:w="820" w:type="dxa"/>
            <w:vAlign w:val="bottom"/>
            <w:tcBorders>
              <w:bottom w:val="single" w:sz="8" w:color="143A84"/>
            </w:tcBorders>
          </w:tcPr>
          <w:p>
            <w:pPr>
              <w:spacing w:after="0"/>
              <w:rPr>
                <w:sz w:val="3"/>
                <w:szCs w:val="3"/>
                <w:color w:val="auto"/>
              </w:rPr>
            </w:pPr>
          </w:p>
        </w:tc>
        <w:tc>
          <w:tcPr>
            <w:tcW w:w="1140" w:type="dxa"/>
            <w:vAlign w:val="bottom"/>
            <w:tcBorders>
              <w:bottom w:val="single" w:sz="8" w:color="143A84"/>
            </w:tcBorders>
          </w:tcPr>
          <w:p>
            <w:pPr>
              <w:spacing w:after="0"/>
              <w:rPr>
                <w:sz w:val="3"/>
                <w:szCs w:val="3"/>
                <w:color w:val="auto"/>
              </w:rPr>
            </w:pPr>
          </w:p>
        </w:tc>
        <w:tc>
          <w:tcPr>
            <w:tcW w:w="860" w:type="dxa"/>
            <w:vAlign w:val="bottom"/>
            <w:tcBorders>
              <w:bottom w:val="single" w:sz="8" w:color="143A84"/>
            </w:tcBorders>
          </w:tcPr>
          <w:p>
            <w:pPr>
              <w:spacing w:after="0"/>
              <w:rPr>
                <w:sz w:val="3"/>
                <w:szCs w:val="3"/>
                <w:color w:val="auto"/>
              </w:rPr>
            </w:pPr>
          </w:p>
        </w:tc>
        <w:tc>
          <w:tcPr>
            <w:tcW w:w="1060" w:type="dxa"/>
            <w:vAlign w:val="bottom"/>
            <w:tcBorders>
              <w:bottom w:val="single" w:sz="8" w:color="143A84"/>
            </w:tcBorders>
          </w:tcPr>
          <w:p>
            <w:pPr>
              <w:spacing w:after="0"/>
              <w:rPr>
                <w:sz w:val="3"/>
                <w:szCs w:val="3"/>
                <w:color w:val="auto"/>
              </w:rPr>
            </w:pPr>
          </w:p>
        </w:tc>
        <w:tc>
          <w:tcPr>
            <w:tcW w:w="960" w:type="dxa"/>
            <w:vAlign w:val="bottom"/>
            <w:tcBorders>
              <w:bottom w:val="single" w:sz="8" w:color="143A84"/>
            </w:tcBorders>
          </w:tcPr>
          <w:p>
            <w:pPr>
              <w:spacing w:after="0"/>
              <w:rPr>
                <w:sz w:val="3"/>
                <w:szCs w:val="3"/>
                <w:color w:val="auto"/>
              </w:rPr>
            </w:pPr>
          </w:p>
        </w:tc>
        <w:tc>
          <w:tcPr>
            <w:tcW w:w="1160" w:type="dxa"/>
            <w:vAlign w:val="bottom"/>
            <w:tcBorders>
              <w:bottom w:val="single" w:sz="8" w:color="143A84"/>
            </w:tcBorders>
          </w:tcPr>
          <w:p>
            <w:pPr>
              <w:spacing w:after="0"/>
              <w:rPr>
                <w:sz w:val="3"/>
                <w:szCs w:val="3"/>
                <w:color w:val="auto"/>
              </w:rPr>
            </w:pPr>
          </w:p>
        </w:tc>
        <w:tc>
          <w:tcPr>
            <w:tcW w:w="800" w:type="dxa"/>
            <w:vAlign w:val="bottom"/>
            <w:tcBorders>
              <w:bottom w:val="single" w:sz="8" w:color="143A8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Borders>
              <w:bottom w:val="single" w:sz="8" w:color="8E939F"/>
            </w:tcBorders>
          </w:tcPr>
          <w:p>
            <w:pPr>
              <w:spacing w:after="0"/>
              <w:rPr>
                <w:sz w:val="21"/>
                <w:szCs w:val="21"/>
                <w:color w:val="auto"/>
              </w:rPr>
            </w:pPr>
          </w:p>
        </w:tc>
        <w:tc>
          <w:tcPr>
            <w:tcW w:w="1100" w:type="dxa"/>
            <w:vAlign w:val="bottom"/>
            <w:tcBorders>
              <w:bottom w:val="single" w:sz="8" w:color="8E939F"/>
            </w:tcBorders>
          </w:tcPr>
          <w:p>
            <w:pPr>
              <w:spacing w:after="0"/>
              <w:rPr>
                <w:sz w:val="21"/>
                <w:szCs w:val="21"/>
                <w:color w:val="auto"/>
              </w:rPr>
            </w:pPr>
          </w:p>
        </w:tc>
        <w:tc>
          <w:tcPr>
            <w:tcW w:w="82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6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16,079</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13,622</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2,053</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3,927</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476</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1,049</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37,206</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8</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62</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56</w:t>
            </w:r>
          </w:p>
        </w:tc>
        <w:tc>
          <w:tcPr>
            <w:tcW w:w="1160" w:type="dxa"/>
            <w:vAlign w:val="bottom"/>
          </w:tcPr>
          <w:p>
            <w:pPr>
              <w:jc w:val="right"/>
              <w:ind w:right="157"/>
              <w:spacing w:after="0"/>
              <w:rPr>
                <w:sz w:val="20"/>
                <w:szCs w:val="20"/>
                <w:color w:val="auto"/>
              </w:rPr>
            </w:pPr>
            <w:r>
              <w:rPr>
                <w:rFonts w:ascii="Arial" w:cs="Arial" w:eastAsia="Arial" w:hAnsi="Arial"/>
                <w:sz w:val="13"/>
                <w:szCs w:val="13"/>
                <w:color w:val="auto"/>
              </w:rPr>
              <w:t>(142)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revenues</w:t>
            </w:r>
            <w:r>
              <w:rPr>
                <w:rFonts w:ascii="Arial" w:cs="Arial" w:eastAsia="Arial" w:hAnsi="Arial"/>
                <w:sz w:val="16"/>
                <w:szCs w:val="16"/>
                <w:b w:val="1"/>
                <w:bCs w:val="1"/>
                <w:color w:val="243782"/>
                <w:vertAlign w:val="superscript"/>
              </w:rPr>
              <w:t>(1)</w:t>
            </w:r>
          </w:p>
        </w:tc>
        <w:tc>
          <w:tcPr>
            <w:tcW w:w="1100" w:type="dxa"/>
            <w:vAlign w:val="bottom"/>
            <w:tcBorders>
              <w:bottom w:val="single" w:sz="8" w:color="8E939F"/>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16,087</w:t>
            </w:r>
          </w:p>
        </w:tc>
        <w:tc>
          <w:tcPr>
            <w:tcW w:w="820" w:type="dxa"/>
            <w:vAlign w:val="bottom"/>
            <w:tcBorders>
              <w:bottom w:val="single" w:sz="8" w:color="8E939F"/>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13,631</w:t>
            </w:r>
          </w:p>
        </w:tc>
        <w:tc>
          <w:tcPr>
            <w:tcW w:w="1140" w:type="dxa"/>
            <w:vAlign w:val="bottom"/>
            <w:tcBorders>
              <w:bottom w:val="single" w:sz="8" w:color="8E939F"/>
            </w:tcBorders>
            <w:shd w:val="clear" w:color="auto" w:fill="F3F3F9"/>
          </w:tcPr>
          <w:p>
            <w:pPr>
              <w:jc w:val="right"/>
              <w:ind w:right="217"/>
              <w:spacing w:after="0"/>
              <w:rPr>
                <w:sz w:val="20"/>
                <w:szCs w:val="20"/>
                <w:color w:val="auto"/>
              </w:rPr>
            </w:pPr>
            <w:r>
              <w:rPr>
                <w:rFonts w:ascii="Arial" w:cs="Arial" w:eastAsia="Arial" w:hAnsi="Arial"/>
                <w:sz w:val="13"/>
                <w:szCs w:val="13"/>
                <w:b w:val="1"/>
                <w:bCs w:val="1"/>
                <w:color w:val="143A84"/>
              </w:rPr>
              <w:t>2,060</w:t>
            </w:r>
          </w:p>
        </w:tc>
        <w:tc>
          <w:tcPr>
            <w:tcW w:w="860" w:type="dxa"/>
            <w:vAlign w:val="bottom"/>
            <w:tcBorders>
              <w:bottom w:val="single" w:sz="8" w:color="8E939F"/>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3,989</w:t>
            </w:r>
          </w:p>
        </w:tc>
        <w:tc>
          <w:tcPr>
            <w:tcW w:w="1060" w:type="dxa"/>
            <w:vAlign w:val="bottom"/>
            <w:tcBorders>
              <w:bottom w:val="single" w:sz="8" w:color="8E939F"/>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476</w:t>
            </w:r>
          </w:p>
        </w:tc>
        <w:tc>
          <w:tcPr>
            <w:tcW w:w="960" w:type="dxa"/>
            <w:vAlign w:val="bottom"/>
            <w:tcBorders>
              <w:bottom w:val="single" w:sz="8" w:color="8E939F"/>
            </w:tcBorders>
            <w:shd w:val="clear" w:color="auto" w:fill="F3F3F9"/>
          </w:tcPr>
          <w:p>
            <w:pPr>
              <w:jc w:val="right"/>
              <w:ind w:right="177"/>
              <w:spacing w:after="0"/>
              <w:rPr>
                <w:sz w:val="20"/>
                <w:szCs w:val="20"/>
                <w:color w:val="auto"/>
              </w:rPr>
            </w:pPr>
            <w:r>
              <w:rPr>
                <w:rFonts w:ascii="Arial" w:cs="Arial" w:eastAsia="Arial" w:hAnsi="Arial"/>
                <w:sz w:val="13"/>
                <w:szCs w:val="13"/>
                <w:b w:val="1"/>
                <w:bCs w:val="1"/>
                <w:color w:val="143A84"/>
              </w:rPr>
              <w:t>1,105</w:t>
            </w:r>
          </w:p>
        </w:tc>
        <w:tc>
          <w:tcPr>
            <w:tcW w:w="1160" w:type="dxa"/>
            <w:vAlign w:val="bottom"/>
            <w:tcBorders>
              <w:bottom w:val="single" w:sz="8" w:color="8E939F"/>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(142)</w:t>
            </w:r>
          </w:p>
        </w:tc>
        <w:tc>
          <w:tcPr>
            <w:tcW w:w="8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37,206</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8E939F"/>
            </w:tcBorders>
          </w:tcPr>
          <w:p>
            <w:pPr>
              <w:spacing w:after="0"/>
              <w:rPr>
                <w:sz w:val="21"/>
                <w:szCs w:val="21"/>
                <w:color w:val="auto"/>
              </w:rPr>
            </w:pPr>
          </w:p>
        </w:tc>
        <w:tc>
          <w:tcPr>
            <w:tcW w:w="1100" w:type="dxa"/>
            <w:vAlign w:val="bottom"/>
            <w:tcBorders>
              <w:bottom w:val="single" w:sz="8" w:color="8E939F"/>
            </w:tcBorders>
          </w:tcPr>
          <w:p>
            <w:pPr>
              <w:spacing w:after="0"/>
              <w:rPr>
                <w:sz w:val="21"/>
                <w:szCs w:val="21"/>
                <w:color w:val="auto"/>
              </w:rPr>
            </w:pPr>
          </w:p>
        </w:tc>
        <w:tc>
          <w:tcPr>
            <w:tcW w:w="82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6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3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profit/(loss)</w:t>
            </w:r>
          </w:p>
        </w:tc>
        <w:tc>
          <w:tcPr>
            <w:tcW w:w="1100" w:type="dxa"/>
            <w:vAlign w:val="bottom"/>
            <w:tcBorders>
              <w:bottom w:val="single" w:sz="8" w:color="F3F3F9"/>
            </w:tcBorders>
            <w:shd w:val="clear" w:color="auto" w:fill="F3F3F9"/>
          </w:tcPr>
          <w:p>
            <w:pPr>
              <w:spacing w:after="0"/>
              <w:rPr>
                <w:sz w:val="18"/>
                <w:szCs w:val="18"/>
                <w:color w:val="auto"/>
              </w:rPr>
            </w:pPr>
          </w:p>
        </w:tc>
        <w:tc>
          <w:tcPr>
            <w:tcW w:w="82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6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(4,532)</w:t>
            </w:r>
          </w:p>
        </w:tc>
        <w:tc>
          <w:tcPr>
            <w:tcW w:w="0" w:type="dxa"/>
            <w:vAlign w:val="bottom"/>
          </w:tcPr>
          <w:p>
            <w:pPr>
              <w:spacing w:after="0"/>
              <w:rPr>
                <w:sz w:val="1"/>
                <w:szCs w:val="1"/>
                <w:color w:val="auto"/>
              </w:rPr>
            </w:pPr>
          </w:p>
        </w:tc>
      </w:tr>
      <w:tr>
        <w:trPr>
          <w:trHeight w:val="182"/>
        </w:trPr>
        <w:tc>
          <w:tcPr>
            <w:tcW w:w="3340" w:type="dxa"/>
            <w:vAlign w:val="bottom"/>
            <w:tcBorders>
              <w:top w:val="single" w:sz="8" w:color="8E939F"/>
            </w:tcBorders>
          </w:tcPr>
          <w:p>
            <w:pPr>
              <w:ind w:left="20"/>
              <w:spacing w:after="0"/>
              <w:rPr>
                <w:sz w:val="20"/>
                <w:szCs w:val="20"/>
                <w:color w:val="auto"/>
              </w:rPr>
            </w:pPr>
            <w:r>
              <w:rPr>
                <w:rFonts w:ascii="Arial" w:cs="Arial" w:eastAsia="Arial" w:hAnsi="Arial"/>
                <w:sz w:val="13"/>
                <w:szCs w:val="13"/>
                <w:color w:val="auto"/>
              </w:rPr>
              <w:t>Tax expense/(benefit)</w:t>
            </w:r>
          </w:p>
        </w:tc>
        <w:tc>
          <w:tcPr>
            <w:tcW w:w="1100" w:type="dxa"/>
            <w:vAlign w:val="bottom"/>
            <w:tcBorders>
              <w:top w:val="single" w:sz="8" w:color="8E939F"/>
            </w:tcBorders>
          </w:tcPr>
          <w:p>
            <w:pPr>
              <w:spacing w:after="0"/>
              <w:rPr>
                <w:sz w:val="15"/>
                <w:szCs w:val="15"/>
                <w:color w:val="auto"/>
              </w:rPr>
            </w:pPr>
          </w:p>
        </w:tc>
        <w:tc>
          <w:tcPr>
            <w:tcW w:w="82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60" w:type="dxa"/>
            <w:vAlign w:val="bottom"/>
            <w:tcBorders>
              <w:top w:val="single" w:sz="8" w:color="8E939F"/>
            </w:tcBorders>
          </w:tcPr>
          <w:p>
            <w:pPr>
              <w:spacing w:after="0"/>
              <w:rPr>
                <w:sz w:val="15"/>
                <w:szCs w:val="15"/>
                <w:color w:val="auto"/>
              </w:rPr>
            </w:pPr>
          </w:p>
        </w:tc>
        <w:tc>
          <w:tcPr>
            <w:tcW w:w="1060" w:type="dxa"/>
            <w:vAlign w:val="bottom"/>
            <w:tcBorders>
              <w:top w:val="single" w:sz="8" w:color="8E939F"/>
            </w:tcBorders>
          </w:tcPr>
          <w:p>
            <w:pPr>
              <w:spacing w:after="0"/>
              <w:rPr>
                <w:sz w:val="15"/>
                <w:szCs w:val="15"/>
                <w:color w:val="auto"/>
              </w:rPr>
            </w:pPr>
          </w:p>
        </w:tc>
        <w:tc>
          <w:tcPr>
            <w:tcW w:w="960" w:type="dxa"/>
            <w:vAlign w:val="bottom"/>
            <w:tcBorders>
              <w:top w:val="single" w:sz="8" w:color="8E939F"/>
            </w:tcBorders>
          </w:tcPr>
          <w:p>
            <w:pPr>
              <w:spacing w:after="0"/>
              <w:rPr>
                <w:sz w:val="15"/>
                <w:szCs w:val="15"/>
                <w:color w:val="auto"/>
              </w:rPr>
            </w:pPr>
          </w:p>
        </w:tc>
        <w:tc>
          <w:tcPr>
            <w:tcW w:w="1160" w:type="dxa"/>
            <w:vAlign w:val="bottom"/>
            <w:tcBorders>
              <w:top w:val="single" w:sz="8" w:color="8E939F"/>
            </w:tcBorders>
          </w:tcPr>
          <w:p>
            <w:pPr>
              <w:spacing w:after="0"/>
              <w:rPr>
                <w:sz w:val="15"/>
                <w:szCs w:val="15"/>
                <w:color w:val="auto"/>
              </w:rPr>
            </w:pPr>
          </w:p>
        </w:tc>
        <w:tc>
          <w:tcPr>
            <w:tcW w:w="800" w:type="dxa"/>
            <w:vAlign w:val="bottom"/>
            <w:tcBorders>
              <w:top w:val="single" w:sz="8" w:color="8E939F"/>
            </w:tcBorders>
          </w:tcPr>
          <w:p>
            <w:pPr>
              <w:jc w:val="right"/>
              <w:spacing w:after="0"/>
              <w:rPr>
                <w:sz w:val="20"/>
                <w:szCs w:val="20"/>
                <w:color w:val="auto"/>
              </w:rPr>
            </w:pPr>
            <w:r>
              <w:rPr>
                <w:rFonts w:ascii="Arial" w:cs="Arial" w:eastAsia="Arial" w:hAnsi="Arial"/>
                <w:sz w:val="13"/>
                <w:szCs w:val="13"/>
                <w:color w:val="auto"/>
              </w:rPr>
              <w:t>(1,163)</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Net financial expenses/(income)</w:t>
            </w: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100" w:type="dxa"/>
            <w:vAlign w:val="bottom"/>
            <w:tcBorders>
              <w:bottom w:val="single" w:sz="8" w:color="F3F3F9"/>
            </w:tcBorders>
            <w:shd w:val="clear" w:color="auto" w:fill="F3F3F9"/>
          </w:tcPr>
          <w:p>
            <w:pPr>
              <w:spacing w:after="0"/>
              <w:rPr>
                <w:sz w:val="18"/>
                <w:szCs w:val="18"/>
                <w:color w:val="auto"/>
              </w:rPr>
            </w:pPr>
          </w:p>
        </w:tc>
        <w:tc>
          <w:tcPr>
            <w:tcW w:w="82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6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(5,701)</w:t>
            </w:r>
          </w:p>
        </w:tc>
        <w:tc>
          <w:tcPr>
            <w:tcW w:w="0" w:type="dxa"/>
            <w:vAlign w:val="bottom"/>
          </w:tcPr>
          <w:p>
            <w:pPr>
              <w:spacing w:after="0"/>
              <w:rPr>
                <w:sz w:val="1"/>
                <w:szCs w:val="1"/>
                <w:color w:val="auto"/>
              </w:rPr>
            </w:pPr>
          </w:p>
        </w:tc>
      </w:tr>
      <w:tr>
        <w:trPr>
          <w:trHeight w:val="250"/>
        </w:trPr>
        <w:tc>
          <w:tcPr>
            <w:tcW w:w="3340" w:type="dxa"/>
            <w:vAlign w:val="bottom"/>
            <w:tcBorders>
              <w:top w:val="single" w:sz="8" w:color="8E939F"/>
              <w:bottom w:val="single" w:sz="8" w:color="8E939F"/>
            </w:tcBorders>
          </w:tcPr>
          <w:p>
            <w:pPr>
              <w:spacing w:after="0"/>
              <w:rPr>
                <w:sz w:val="21"/>
                <w:szCs w:val="21"/>
                <w:color w:val="auto"/>
              </w:rPr>
            </w:pPr>
          </w:p>
        </w:tc>
        <w:tc>
          <w:tcPr>
            <w:tcW w:w="1100" w:type="dxa"/>
            <w:vAlign w:val="bottom"/>
            <w:tcBorders>
              <w:top w:val="single" w:sz="8" w:color="8E939F"/>
              <w:bottom w:val="single" w:sz="8" w:color="8E939F"/>
            </w:tcBorders>
          </w:tcPr>
          <w:p>
            <w:pPr>
              <w:spacing w:after="0"/>
              <w:rPr>
                <w:sz w:val="21"/>
                <w:szCs w:val="21"/>
                <w:color w:val="auto"/>
              </w:rPr>
            </w:pPr>
          </w:p>
        </w:tc>
        <w:tc>
          <w:tcPr>
            <w:tcW w:w="82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6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3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Adjustments:</w:t>
            </w:r>
          </w:p>
        </w:tc>
        <w:tc>
          <w:tcPr>
            <w:tcW w:w="1100" w:type="dxa"/>
            <w:vAlign w:val="bottom"/>
            <w:tcBorders>
              <w:bottom w:val="single" w:sz="8" w:color="F3F3F9"/>
            </w:tcBorders>
            <w:shd w:val="clear" w:color="auto" w:fill="F3F3F9"/>
          </w:tcPr>
          <w:p>
            <w:pPr>
              <w:spacing w:after="0"/>
              <w:rPr>
                <w:sz w:val="18"/>
                <w:szCs w:val="18"/>
                <w:color w:val="auto"/>
              </w:rPr>
            </w:pPr>
          </w:p>
        </w:tc>
        <w:tc>
          <w:tcPr>
            <w:tcW w:w="82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6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3"/>
                <w:szCs w:val="13"/>
                <w:color w:val="auto"/>
              </w:rPr>
              <w:t>Change in estimate for contractual warranties</w:t>
            </w:r>
            <w:r>
              <w:rPr>
                <w:rFonts w:ascii="Arial" w:cs="Arial" w:eastAsia="Arial" w:hAnsi="Arial"/>
                <w:sz w:val="16"/>
                <w:szCs w:val="16"/>
                <w:color w:val="auto"/>
                <w:vertAlign w:val="superscript"/>
              </w:rPr>
              <w:t>(2)</w:t>
            </w:r>
          </w:p>
        </w:tc>
        <w:tc>
          <w:tcPr>
            <w:tcW w:w="110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3,252</w:t>
            </w:r>
          </w:p>
        </w:tc>
        <w:tc>
          <w:tcPr>
            <w:tcW w:w="820" w:type="dxa"/>
            <w:vAlign w:val="bottom"/>
            <w:tcBorders>
              <w:top w:val="single" w:sz="8" w:color="8E939F"/>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8E939F"/>
              <w:bottom w:val="single" w:sz="8" w:color="8E939F"/>
            </w:tcBorders>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8E939F"/>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8E939F"/>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8E939F"/>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3"/>
                <w:szCs w:val="13"/>
                <w:color w:val="auto"/>
              </w:rPr>
              <w:t>3,252</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3"/>
                <w:szCs w:val="13"/>
                <w:color w:val="auto"/>
              </w:rPr>
              <w:t>Costs related to program cancellations</w:t>
            </w:r>
            <w:r>
              <w:rPr>
                <w:rFonts w:ascii="Arial" w:cs="Arial" w:eastAsia="Arial" w:hAnsi="Arial"/>
                <w:sz w:val="16"/>
                <w:szCs w:val="16"/>
                <w:color w:val="auto"/>
                <w:vertAlign w:val="superscript"/>
              </w:rPr>
              <w:t>(3)</w:t>
            </w:r>
          </w:p>
        </w:tc>
        <w:tc>
          <w:tcPr>
            <w:tcW w:w="1100" w:type="dxa"/>
            <w:vAlign w:val="bottom"/>
            <w:vMerge w:val="restart"/>
          </w:tcPr>
          <w:p>
            <w:pPr>
              <w:jc w:val="right"/>
              <w:ind w:right="197"/>
              <w:spacing w:after="0"/>
              <w:rPr>
                <w:sz w:val="20"/>
                <w:szCs w:val="20"/>
                <w:color w:val="auto"/>
              </w:rPr>
            </w:pPr>
            <w:r>
              <w:rPr>
                <w:rFonts w:ascii="Arial" w:cs="Arial" w:eastAsia="Arial" w:hAnsi="Arial"/>
                <w:sz w:val="13"/>
                <w:szCs w:val="13"/>
                <w:color w:val="auto"/>
              </w:rPr>
              <w:t>1,734</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12</w:t>
            </w:r>
          </w:p>
        </w:tc>
        <w:tc>
          <w:tcPr>
            <w:tcW w:w="114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2</w:t>
            </w:r>
          </w:p>
        </w:tc>
        <w:tc>
          <w:tcPr>
            <w:tcW w:w="10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3340" w:type="dxa"/>
            <w:vAlign w:val="bottom"/>
            <w:tcBorders>
              <w:bottom w:val="single" w:sz="8" w:color="8E939F"/>
            </w:tcBorders>
          </w:tcPr>
          <w:p>
            <w:pPr>
              <w:spacing w:after="0"/>
              <w:rPr>
                <w:sz w:val="8"/>
                <w:szCs w:val="8"/>
                <w:color w:val="auto"/>
              </w:rPr>
            </w:pPr>
          </w:p>
        </w:tc>
        <w:tc>
          <w:tcPr>
            <w:tcW w:w="1100" w:type="dxa"/>
            <w:vAlign w:val="bottom"/>
            <w:tcBorders>
              <w:bottom w:val="single" w:sz="8" w:color="8E939F"/>
            </w:tcBorders>
          </w:tcPr>
          <w:p>
            <w:pPr>
              <w:spacing w:after="0"/>
              <w:rPr>
                <w:sz w:val="8"/>
                <w:szCs w:val="8"/>
                <w:color w:val="auto"/>
              </w:rPr>
            </w:pPr>
          </w:p>
        </w:tc>
        <w:tc>
          <w:tcPr>
            <w:tcW w:w="820" w:type="dxa"/>
            <w:vAlign w:val="bottom"/>
            <w:tcBorders>
              <w:bottom w:val="single" w:sz="8" w:color="8E939F"/>
            </w:tcBorders>
          </w:tcPr>
          <w:p>
            <w:pPr>
              <w:spacing w:after="0"/>
              <w:rPr>
                <w:sz w:val="8"/>
                <w:szCs w:val="8"/>
                <w:color w:val="auto"/>
              </w:rPr>
            </w:pPr>
          </w:p>
        </w:tc>
        <w:tc>
          <w:tcPr>
            <w:tcW w:w="1140" w:type="dxa"/>
            <w:vAlign w:val="bottom"/>
            <w:tcBorders>
              <w:bottom w:val="single" w:sz="8" w:color="8E939F"/>
            </w:tcBorders>
          </w:tcPr>
          <w:p>
            <w:pPr>
              <w:spacing w:after="0"/>
              <w:rPr>
                <w:sz w:val="8"/>
                <w:szCs w:val="8"/>
                <w:color w:val="auto"/>
              </w:rPr>
            </w:pPr>
          </w:p>
        </w:tc>
        <w:tc>
          <w:tcPr>
            <w:tcW w:w="860" w:type="dxa"/>
            <w:vAlign w:val="bottom"/>
            <w:tcBorders>
              <w:bottom w:val="single" w:sz="8" w:color="8E939F"/>
            </w:tcBorders>
          </w:tcPr>
          <w:p>
            <w:pPr>
              <w:spacing w:after="0"/>
              <w:rPr>
                <w:sz w:val="8"/>
                <w:szCs w:val="8"/>
                <w:color w:val="auto"/>
              </w:rPr>
            </w:pPr>
          </w:p>
        </w:tc>
        <w:tc>
          <w:tcPr>
            <w:tcW w:w="1060" w:type="dxa"/>
            <w:vAlign w:val="bottom"/>
            <w:tcBorders>
              <w:bottom w:val="single" w:sz="8" w:color="8E939F"/>
            </w:tcBorders>
          </w:tcPr>
          <w:p>
            <w:pPr>
              <w:spacing w:after="0"/>
              <w:rPr>
                <w:sz w:val="8"/>
                <w:szCs w:val="8"/>
                <w:color w:val="auto"/>
              </w:rPr>
            </w:pPr>
          </w:p>
        </w:tc>
        <w:tc>
          <w:tcPr>
            <w:tcW w:w="960" w:type="dxa"/>
            <w:vAlign w:val="bottom"/>
            <w:tcBorders>
              <w:bottom w:val="single" w:sz="8" w:color="8E939F"/>
            </w:tcBorders>
          </w:tcPr>
          <w:p>
            <w:pPr>
              <w:spacing w:after="0"/>
              <w:rPr>
                <w:sz w:val="8"/>
                <w:szCs w:val="8"/>
                <w:color w:val="auto"/>
              </w:rPr>
            </w:pPr>
          </w:p>
        </w:tc>
        <w:tc>
          <w:tcPr>
            <w:tcW w:w="1160" w:type="dxa"/>
            <w:vAlign w:val="bottom"/>
            <w:tcBorders>
              <w:bottom w:val="single" w:sz="8" w:color="8E939F"/>
            </w:tcBorders>
          </w:tcPr>
          <w:p>
            <w:pPr>
              <w:spacing w:after="0"/>
              <w:rPr>
                <w:sz w:val="8"/>
                <w:szCs w:val="8"/>
                <w:color w:val="auto"/>
              </w:rPr>
            </w:pPr>
          </w:p>
        </w:tc>
        <w:tc>
          <w:tcPr>
            <w:tcW w:w="800" w:type="dxa"/>
            <w:vAlign w:val="bottom"/>
            <w:tcBorders>
              <w:bottom w:val="single" w:sz="8" w:color="8E939F"/>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Restructuring and other costs, net of reversals</w:t>
            </w:r>
            <w:r>
              <w:rPr>
                <w:rFonts w:ascii="Arial" w:cs="Arial" w:eastAsia="Arial" w:hAnsi="Arial"/>
                <w:sz w:val="16"/>
                <w:szCs w:val="16"/>
                <w:color w:val="auto"/>
                <w:vertAlign w:val="superscript"/>
              </w:rPr>
              <w:t>(4)</w:t>
            </w:r>
          </w:p>
        </w:tc>
        <w:tc>
          <w:tcPr>
            <w:tcW w:w="110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(31)</w:t>
            </w:r>
          </w:p>
        </w:tc>
        <w:tc>
          <w:tcPr>
            <w:tcW w:w="82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411</w:t>
            </w:r>
          </w:p>
        </w:tc>
        <w:tc>
          <w:tcPr>
            <w:tcW w:w="1140" w:type="dxa"/>
            <w:vAlign w:val="bottom"/>
            <w:tcBorders>
              <w:bottom w:val="single" w:sz="8" w:color="8E939F"/>
            </w:tcBorders>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6</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15</w:t>
            </w:r>
          </w:p>
        </w:tc>
        <w:tc>
          <w:tcPr>
            <w:tcW w:w="11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Fuel cell program discontinuation</w:t>
            </w:r>
            <w:r>
              <w:rPr>
                <w:rFonts w:ascii="Arial" w:cs="Arial" w:eastAsia="Arial" w:hAnsi="Arial"/>
                <w:sz w:val="16"/>
                <w:szCs w:val="16"/>
                <w:color w:val="auto"/>
                <w:vertAlign w:val="superscript"/>
              </w:rPr>
              <w:t>(5)</w:t>
            </w:r>
          </w:p>
        </w:tc>
        <w:tc>
          <w:tcPr>
            <w:tcW w:w="11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79</w:t>
            </w:r>
          </w:p>
        </w:tc>
        <w:tc>
          <w:tcPr>
            <w:tcW w:w="1140" w:type="dxa"/>
            <w:vAlign w:val="bottom"/>
            <w:tcBorders>
              <w:bottom w:val="single" w:sz="8" w:color="8E939F"/>
            </w:tcBorders>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(6)</w:t>
            </w:r>
          </w:p>
        </w:tc>
        <w:tc>
          <w:tcPr>
            <w:tcW w:w="11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50</w:t>
            </w:r>
          </w:p>
        </w:tc>
        <w:tc>
          <w:tcPr>
            <w:tcW w:w="1140" w:type="dxa"/>
            <w:vAlign w:val="bottom"/>
            <w:tcBorders>
              <w:bottom w:val="single" w:sz="8" w:color="8E939F"/>
            </w:tcBorders>
          </w:tcPr>
          <w:p>
            <w:pPr>
              <w:jc w:val="right"/>
              <w:ind w:right="217"/>
              <w:spacing w:after="0"/>
              <w:rPr>
                <w:sz w:val="20"/>
                <w:szCs w:val="20"/>
                <w:color w:val="auto"/>
              </w:rPr>
            </w:pPr>
            <w:r>
              <w:rPr>
                <w:rFonts w:ascii="Arial" w:cs="Arial" w:eastAsia="Arial" w:hAnsi="Arial"/>
                <w:sz w:val="13"/>
                <w:szCs w:val="13"/>
                <w:color w:val="auto"/>
              </w:rPr>
              <w:t>6</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Platform impairments</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(7)</w:t>
            </w:r>
          </w:p>
        </w:tc>
        <w:tc>
          <w:tcPr>
            <w:tcW w:w="11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257</w:t>
            </w:r>
          </w:p>
        </w:tc>
        <w:tc>
          <w:tcPr>
            <w:tcW w:w="82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13</w:t>
            </w:r>
          </w:p>
        </w:tc>
        <w:tc>
          <w:tcPr>
            <w:tcW w:w="1140" w:type="dxa"/>
            <w:vAlign w:val="bottom"/>
            <w:tcBorders>
              <w:bottom w:val="single" w:sz="8" w:color="8E939F"/>
            </w:tcBorders>
          </w:tcPr>
          <w:p>
            <w:pPr>
              <w:jc w:val="right"/>
              <w:ind w:right="2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(5)</w:t>
            </w:r>
          </w:p>
        </w:tc>
        <w:tc>
          <w:tcPr>
            <w:tcW w:w="96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(12)</w:t>
            </w:r>
          </w:p>
        </w:tc>
        <w:tc>
          <w:tcPr>
            <w:tcW w:w="11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2</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E6E7F4"/>
            </w:tcBorders>
            <w:shd w:val="clear" w:color="auto" w:fill="E6E7F4"/>
          </w:tcPr>
          <w:p>
            <w:pPr>
              <w:ind w:left="20"/>
              <w:spacing w:after="0"/>
              <w:rPr>
                <w:sz w:val="20"/>
                <w:szCs w:val="20"/>
                <w:color w:val="auto"/>
              </w:rPr>
            </w:pPr>
            <w:r>
              <w:rPr>
                <w:rFonts w:ascii="Arial" w:cs="Arial" w:eastAsia="Arial" w:hAnsi="Arial"/>
                <w:sz w:val="13"/>
                <w:szCs w:val="13"/>
                <w:b w:val="1"/>
                <w:bCs w:val="1"/>
                <w:color w:val="243782"/>
              </w:rPr>
              <w:t>Total adjustments</w:t>
            </w:r>
          </w:p>
        </w:tc>
        <w:tc>
          <w:tcPr>
            <w:tcW w:w="110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5,212</w:t>
            </w:r>
          </w:p>
        </w:tc>
        <w:tc>
          <w:tcPr>
            <w:tcW w:w="820" w:type="dxa"/>
            <w:vAlign w:val="bottom"/>
            <w:tcBorders>
              <w:bottom w:val="single" w:sz="8" w:color="E6E7F4"/>
            </w:tcBorders>
            <w:shd w:val="clear" w:color="auto" w:fill="E6E7F4"/>
          </w:tcPr>
          <w:p>
            <w:pPr>
              <w:jc w:val="right"/>
              <w:ind w:right="57"/>
              <w:spacing w:after="0"/>
              <w:rPr>
                <w:sz w:val="20"/>
                <w:szCs w:val="20"/>
                <w:color w:val="auto"/>
              </w:rPr>
            </w:pPr>
            <w:r>
              <w:rPr>
                <w:rFonts w:ascii="Arial" w:cs="Arial" w:eastAsia="Arial" w:hAnsi="Arial"/>
                <w:sz w:val="13"/>
                <w:szCs w:val="13"/>
                <w:b w:val="1"/>
                <w:bCs w:val="1"/>
                <w:color w:val="143A84"/>
              </w:rPr>
              <w:t>566</w:t>
            </w:r>
          </w:p>
        </w:tc>
        <w:tc>
          <w:tcPr>
            <w:tcW w:w="1140" w:type="dxa"/>
            <w:vAlign w:val="bottom"/>
            <w:tcBorders>
              <w:bottom w:val="single" w:sz="8" w:color="E6E7F4"/>
            </w:tcBorders>
            <w:shd w:val="clear" w:color="auto" w:fill="E6E7F4"/>
          </w:tcPr>
          <w:p>
            <w:pPr>
              <w:jc w:val="right"/>
              <w:ind w:right="217"/>
              <w:spacing w:after="0"/>
              <w:rPr>
                <w:sz w:val="20"/>
                <w:szCs w:val="20"/>
                <w:color w:val="auto"/>
              </w:rPr>
            </w:pPr>
            <w:r>
              <w:rPr>
                <w:rFonts w:ascii="Arial" w:cs="Arial" w:eastAsia="Arial" w:hAnsi="Arial"/>
                <w:sz w:val="13"/>
                <w:szCs w:val="13"/>
                <w:b w:val="1"/>
                <w:bCs w:val="1"/>
                <w:color w:val="143A84"/>
              </w:rPr>
              <w:t>6</w:t>
            </w:r>
          </w:p>
        </w:tc>
        <w:tc>
          <w:tcPr>
            <w:tcW w:w="860" w:type="dxa"/>
            <w:vAlign w:val="bottom"/>
            <w:tcBorders>
              <w:bottom w:val="single" w:sz="8" w:color="E6E7F4"/>
            </w:tcBorders>
            <w:shd w:val="clear" w:color="auto" w:fill="E6E7F4"/>
          </w:tcPr>
          <w:p>
            <w:pPr>
              <w:jc w:val="right"/>
              <w:ind w:right="117"/>
              <w:spacing w:after="0"/>
              <w:rPr>
                <w:sz w:val="20"/>
                <w:szCs w:val="20"/>
                <w:color w:val="auto"/>
              </w:rPr>
            </w:pPr>
            <w:r>
              <w:rPr>
                <w:rFonts w:ascii="Arial" w:cs="Arial" w:eastAsia="Arial" w:hAnsi="Arial"/>
                <w:sz w:val="13"/>
                <w:szCs w:val="13"/>
                <w:b w:val="1"/>
                <w:bCs w:val="1"/>
                <w:color w:val="143A84"/>
              </w:rPr>
              <w:t>7</w:t>
            </w:r>
          </w:p>
        </w:tc>
        <w:tc>
          <w:tcPr>
            <w:tcW w:w="1060" w:type="dxa"/>
            <w:vAlign w:val="bottom"/>
            <w:tcBorders>
              <w:bottom w:val="single" w:sz="8" w:color="E6E7F4"/>
            </w:tcBorders>
            <w:shd w:val="clear" w:color="auto" w:fill="E6E7F4"/>
          </w:tcPr>
          <w:p>
            <w:pPr>
              <w:jc w:val="right"/>
              <w:ind w:right="157"/>
              <w:spacing w:after="0"/>
              <w:rPr>
                <w:sz w:val="20"/>
                <w:szCs w:val="20"/>
                <w:color w:val="auto"/>
              </w:rPr>
            </w:pPr>
            <w:r>
              <w:rPr>
                <w:rFonts w:ascii="Arial" w:cs="Arial" w:eastAsia="Arial" w:hAnsi="Arial"/>
                <w:sz w:val="13"/>
                <w:szCs w:val="13"/>
                <w:b w:val="1"/>
                <w:bCs w:val="1"/>
                <w:color w:val="143A84"/>
              </w:rPr>
              <w:t>(5)</w:t>
            </w:r>
          </w:p>
        </w:tc>
        <w:tc>
          <w:tcPr>
            <w:tcW w:w="960" w:type="dxa"/>
            <w:vAlign w:val="bottom"/>
            <w:tcBorders>
              <w:bottom w:val="single" w:sz="8" w:color="E6E7F4"/>
            </w:tcBorders>
            <w:shd w:val="clear" w:color="auto" w:fill="E6E7F4"/>
          </w:tcPr>
          <w:p>
            <w:pPr>
              <w:jc w:val="right"/>
              <w:ind w:right="177"/>
              <w:spacing w:after="0"/>
              <w:rPr>
                <w:sz w:val="20"/>
                <w:szCs w:val="20"/>
                <w:color w:val="auto"/>
              </w:rPr>
            </w:pPr>
            <w:r>
              <w:rPr>
                <w:rFonts w:ascii="Arial" w:cs="Arial" w:eastAsia="Arial" w:hAnsi="Arial"/>
                <w:sz w:val="13"/>
                <w:szCs w:val="13"/>
                <w:b w:val="1"/>
                <w:bCs w:val="1"/>
                <w:color w:val="143A84"/>
              </w:rPr>
              <w:t>3</w:t>
            </w:r>
          </w:p>
        </w:tc>
        <w:tc>
          <w:tcPr>
            <w:tcW w:w="1160" w:type="dxa"/>
            <w:vAlign w:val="bottom"/>
            <w:tcBorders>
              <w:bottom w:val="single" w:sz="8" w:color="E6E7F4"/>
            </w:tcBorders>
            <w:shd w:val="clear" w:color="auto" w:fill="E6E7F4"/>
          </w:tcPr>
          <w:p>
            <w:pPr>
              <w:jc w:val="right"/>
              <w:ind w:right="177"/>
              <w:spacing w:after="0"/>
              <w:rPr>
                <w:sz w:val="20"/>
                <w:szCs w:val="20"/>
                <w:color w:val="auto"/>
              </w:rPr>
            </w:pPr>
            <w:r>
              <w:rPr>
                <w:rFonts w:ascii="Arial" w:cs="Arial" w:eastAsia="Arial" w:hAnsi="Arial"/>
                <w:sz w:val="13"/>
                <w:szCs w:val="13"/>
                <w:b w:val="1"/>
                <w:bCs w:val="1"/>
                <w:color w:val="143A84"/>
              </w:rPr>
              <w:t>2</w:t>
            </w:r>
          </w:p>
        </w:tc>
        <w:tc>
          <w:tcPr>
            <w:tcW w:w="80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3"/>
                <w:szCs w:val="13"/>
                <w:b w:val="1"/>
                <w:bCs w:val="1"/>
                <w:color w:val="143A84"/>
              </w:rPr>
              <w:t>5,791</w:t>
            </w:r>
          </w:p>
        </w:tc>
        <w:tc>
          <w:tcPr>
            <w:tcW w:w="0" w:type="dxa"/>
            <w:vAlign w:val="bottom"/>
          </w:tcPr>
          <w:p>
            <w:pPr>
              <w:spacing w:after="0"/>
              <w:rPr>
                <w:sz w:val="1"/>
                <w:szCs w:val="1"/>
                <w:color w:val="auto"/>
              </w:rPr>
            </w:pPr>
          </w:p>
        </w:tc>
      </w:tr>
      <w:tr>
        <w:trPr>
          <w:trHeight w:val="214"/>
        </w:trPr>
        <w:tc>
          <w:tcPr>
            <w:tcW w:w="3340" w:type="dxa"/>
            <w:vAlign w:val="bottom"/>
            <w:tcBorders>
              <w:top w:val="single" w:sz="8" w:color="8E939F"/>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Adjusted operating income/(loss)</w:t>
            </w:r>
          </w:p>
        </w:tc>
        <w:tc>
          <w:tcPr>
            <w:tcW w:w="1100" w:type="dxa"/>
            <w:vAlign w:val="bottom"/>
            <w:tcBorders>
              <w:top w:val="single" w:sz="8" w:color="8E939F"/>
              <w:bottom w:val="single" w:sz="8" w:color="F3F3F9"/>
            </w:tcBorders>
            <w:shd w:val="clear" w:color="auto" w:fill="F3F3F9"/>
          </w:tcPr>
          <w:p>
            <w:pPr>
              <w:jc w:val="right"/>
              <w:ind w:right="177"/>
              <w:spacing w:after="0"/>
              <w:rPr>
                <w:sz w:val="20"/>
                <w:szCs w:val="20"/>
                <w:color w:val="auto"/>
              </w:rPr>
            </w:pPr>
            <w:r>
              <w:rPr>
                <w:rFonts w:ascii="Arial" w:cs="Arial" w:eastAsia="Arial" w:hAnsi="Arial"/>
                <w:sz w:val="13"/>
                <w:szCs w:val="13"/>
                <w:b w:val="1"/>
                <w:bCs w:val="1"/>
                <w:color w:val="143A84"/>
              </w:rPr>
              <w:t>(475)</w:t>
            </w:r>
          </w:p>
        </w:tc>
        <w:tc>
          <w:tcPr>
            <w:tcW w:w="820" w:type="dxa"/>
            <w:vAlign w:val="bottom"/>
            <w:tcBorders>
              <w:top w:val="single" w:sz="8" w:color="8E939F"/>
              <w:bottom w:val="single" w:sz="8" w:color="F3F3F9"/>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157</w:t>
            </w:r>
          </w:p>
        </w:tc>
        <w:tc>
          <w:tcPr>
            <w:tcW w:w="1140" w:type="dxa"/>
            <w:vAlign w:val="bottom"/>
            <w:tcBorders>
              <w:top w:val="single" w:sz="8" w:color="8E939F"/>
              <w:bottom w:val="single" w:sz="8" w:color="F3F3F9"/>
            </w:tcBorders>
            <w:shd w:val="clear" w:color="auto" w:fill="F3F3F9"/>
          </w:tcPr>
          <w:p>
            <w:pPr>
              <w:jc w:val="right"/>
              <w:ind w:right="217"/>
              <w:spacing w:after="0"/>
              <w:rPr>
                <w:sz w:val="20"/>
                <w:szCs w:val="20"/>
                <w:color w:val="auto"/>
              </w:rPr>
            </w:pPr>
            <w:r>
              <w:rPr>
                <w:rFonts w:ascii="Arial" w:cs="Arial" w:eastAsia="Arial" w:hAnsi="Arial"/>
                <w:sz w:val="13"/>
                <w:szCs w:val="13"/>
                <w:b w:val="1"/>
                <w:bCs w:val="1"/>
                <w:color w:val="143A84"/>
              </w:rPr>
              <w:t>272</w:t>
            </w:r>
          </w:p>
        </w:tc>
        <w:tc>
          <w:tcPr>
            <w:tcW w:w="860" w:type="dxa"/>
            <w:vAlign w:val="bottom"/>
            <w:tcBorders>
              <w:top w:val="single" w:sz="8" w:color="8E939F"/>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429</w:t>
            </w:r>
          </w:p>
        </w:tc>
        <w:tc>
          <w:tcPr>
            <w:tcW w:w="106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(4)</w:t>
            </w:r>
          </w:p>
        </w:tc>
        <w:tc>
          <w:tcPr>
            <w:tcW w:w="96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(8)</w:t>
            </w:r>
          </w:p>
        </w:tc>
        <w:tc>
          <w:tcPr>
            <w:tcW w:w="116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(281)</w:t>
            </w:r>
          </w:p>
        </w:tc>
        <w:tc>
          <w:tcPr>
            <w:tcW w:w="80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90</w:t>
            </w:r>
          </w:p>
        </w:tc>
        <w:tc>
          <w:tcPr>
            <w:tcW w:w="0" w:type="dxa"/>
            <w:vAlign w:val="bottom"/>
          </w:tcPr>
          <w:p>
            <w:pPr>
              <w:spacing w:after="0"/>
              <w:rPr>
                <w:sz w:val="1"/>
                <w:szCs w:val="1"/>
                <w:color w:val="auto"/>
              </w:rPr>
            </w:pPr>
          </w:p>
        </w:tc>
      </w:tr>
      <w:tr>
        <w:trPr>
          <w:trHeight w:val="250"/>
        </w:trPr>
        <w:tc>
          <w:tcPr>
            <w:tcW w:w="3340" w:type="dxa"/>
            <w:vAlign w:val="bottom"/>
            <w:tcBorders>
              <w:top w:val="single" w:sz="8" w:color="8E939F"/>
              <w:bottom w:val="single" w:sz="8" w:color="8E939F"/>
            </w:tcBorders>
          </w:tcPr>
          <w:p>
            <w:pPr>
              <w:spacing w:after="0"/>
              <w:rPr>
                <w:sz w:val="21"/>
                <w:szCs w:val="21"/>
                <w:color w:val="auto"/>
              </w:rPr>
            </w:pPr>
          </w:p>
        </w:tc>
        <w:tc>
          <w:tcPr>
            <w:tcW w:w="1100" w:type="dxa"/>
            <w:vAlign w:val="bottom"/>
            <w:tcBorders>
              <w:top w:val="single" w:sz="8" w:color="8E939F"/>
              <w:bottom w:val="single" w:sz="8" w:color="8E939F"/>
            </w:tcBorders>
          </w:tcPr>
          <w:p>
            <w:pPr>
              <w:spacing w:after="0"/>
              <w:rPr>
                <w:sz w:val="21"/>
                <w:szCs w:val="21"/>
                <w:color w:val="auto"/>
              </w:rPr>
            </w:pPr>
          </w:p>
        </w:tc>
        <w:tc>
          <w:tcPr>
            <w:tcW w:w="82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6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340" w:type="dxa"/>
            <w:vAlign w:val="bottom"/>
          </w:tcPr>
          <w:p>
            <w:pPr>
              <w:ind w:left="20"/>
              <w:spacing w:after="0"/>
              <w:rPr>
                <w:sz w:val="20"/>
                <w:szCs w:val="20"/>
                <w:color w:val="auto"/>
              </w:rPr>
            </w:pPr>
            <w:r>
              <w:rPr>
                <w:rFonts w:ascii="Arial" w:cs="Arial" w:eastAsia="Arial" w:hAnsi="Arial"/>
                <w:sz w:val="13"/>
                <w:szCs w:val="13"/>
                <w:color w:val="auto"/>
              </w:rPr>
              <w:t>Share of profit of equity method investees, excluding</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4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(48)</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(65)</w:t>
            </w:r>
          </w:p>
        </w:tc>
        <w:tc>
          <w:tcPr>
            <w:tcW w:w="1140" w:type="dxa"/>
            <w:vAlign w:val="bottom"/>
          </w:tcPr>
          <w:p>
            <w:pPr>
              <w:jc w:val="right"/>
              <w:ind w:right="217"/>
              <w:spacing w:after="0"/>
              <w:rPr>
                <w:sz w:val="20"/>
                <w:szCs w:val="20"/>
                <w:color w:val="auto"/>
              </w:rPr>
            </w:pPr>
            <w:r>
              <w:rPr>
                <w:rFonts w:ascii="Arial" w:cs="Arial" w:eastAsia="Arial" w:hAnsi="Arial"/>
                <w:sz w:val="13"/>
                <w:szCs w:val="13"/>
                <w:color w:val="auto"/>
              </w:rPr>
              <w:t>12</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8</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31</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8"/>
        </w:trPr>
        <w:tc>
          <w:tcPr>
            <w:tcW w:w="3340" w:type="dxa"/>
            <w:vAlign w:val="bottom"/>
            <w:tcBorders>
              <w:bottom w:val="single" w:sz="8" w:color="8E939F"/>
            </w:tcBorders>
          </w:tcPr>
          <w:p>
            <w:pPr>
              <w:spacing w:after="0"/>
              <w:rPr>
                <w:sz w:val="2"/>
                <w:szCs w:val="2"/>
                <w:color w:val="auto"/>
              </w:rPr>
            </w:pPr>
          </w:p>
        </w:tc>
        <w:tc>
          <w:tcPr>
            <w:tcW w:w="1100" w:type="dxa"/>
            <w:vAlign w:val="bottom"/>
            <w:tcBorders>
              <w:bottom w:val="single" w:sz="8" w:color="8E939F"/>
            </w:tcBorders>
          </w:tcPr>
          <w:p>
            <w:pPr>
              <w:spacing w:after="0"/>
              <w:rPr>
                <w:sz w:val="2"/>
                <w:szCs w:val="2"/>
                <w:color w:val="auto"/>
              </w:rPr>
            </w:pPr>
          </w:p>
        </w:tc>
        <w:tc>
          <w:tcPr>
            <w:tcW w:w="82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6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firstLine="8"/>
        <w:spacing w:after="0" w:line="261" w:lineRule="auto"/>
        <w:tabs>
          <w:tab w:leader="none" w:pos="222"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With effect from January 1, 2026, the Company’s segment structure was updated to align with how the CODM reviews performance and allocates resources. Under the revised structure, the CODM reviews the business through the following operating and reporting segments: North America; Enlarged Europe; Middle East &amp; Africa; South America; and Asia Pacific. Refer to Note 1, </w:t>
      </w:r>
      <w:r>
        <w:rPr>
          <w:rFonts w:ascii="Arial" w:cs="Arial" w:eastAsia="Arial" w:hAnsi="Arial"/>
          <w:sz w:val="14"/>
          <w:szCs w:val="14"/>
          <w:i w:val="1"/>
          <w:iCs w:val="1"/>
          <w:color w:val="auto"/>
        </w:rPr>
        <w:t>Basis of Preparation</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14"/>
          <w:szCs w:val="14"/>
          <w:color w:val="auto"/>
        </w:rPr>
      </w:pPr>
    </w:p>
    <w:p>
      <w:pPr>
        <w:ind w:right="100" w:firstLine="8"/>
        <w:spacing w:after="0" w:line="261" w:lineRule="auto"/>
        <w:tabs>
          <w:tab w:leader="none" w:pos="222"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Primarily related to costs incurred as a result of program cancellations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Primarily related to workforce reductions, mainly in Enlarged Europe</w:t>
      </w:r>
    </w:p>
    <w:p>
      <w:pPr>
        <w:spacing w:after="0" w:line="14" w:lineRule="exact"/>
        <w:rPr>
          <w:rFonts w:ascii="Arial" w:cs="Arial" w:eastAsia="Arial" w:hAnsi="Arial"/>
          <w:sz w:val="14"/>
          <w:szCs w:val="14"/>
          <w:color w:val="auto"/>
        </w:rPr>
      </w:pPr>
    </w:p>
    <w:p>
      <w:pPr>
        <w:ind w:right="360" w:firstLine="8"/>
        <w:spacing w:after="0" w:line="261" w:lineRule="auto"/>
        <w:tabs>
          <w:tab w:leader="none" w:pos="222"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Related to the Company’s decision to discontinue its hydrogen fuel cell strategy, comprising €12 million of impairments of capitalized development expenditures and property, plant and equipment, €47 million of provisions for risks, and €20 million of other expenses</w:t>
      </w: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Related to stop-drive campaigns on certain vehicles in Enlarged Europe announced in June 2025</w:t>
      </w:r>
    </w:p>
    <w:p>
      <w:pPr>
        <w:spacing w:after="0" w:line="14" w:lineRule="exact"/>
        <w:rPr>
          <w:rFonts w:ascii="Arial" w:cs="Arial" w:eastAsia="Arial" w:hAnsi="Arial"/>
          <w:sz w:val="14"/>
          <w:szCs w:val="14"/>
          <w:color w:val="auto"/>
        </w:rPr>
      </w:pPr>
    </w:p>
    <w:p>
      <w:pPr>
        <w:ind w:right="40" w:firstLine="8"/>
        <w:spacing w:after="0" w:line="264" w:lineRule="auto"/>
        <w:tabs>
          <w:tab w:leader="none" w:pos="22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Comprised primarily of (i) net costs recognized to support the workforce during the transformation of certain plants in North America, (ii) gains on disposal of investments in Enlarged Europe and (iii) a gain from dilution related to the investment in Archer Aviation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North</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Enlarged</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Middle East &amp;</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South</w:t>
            </w:r>
          </w:p>
        </w:tc>
        <w:tc>
          <w:tcPr>
            <w:tcW w:w="1060" w:type="dxa"/>
            <w:vAlign w:val="bottom"/>
          </w:tcPr>
          <w:p>
            <w:pPr>
              <w:spacing w:after="0"/>
              <w:rPr>
                <w:sz w:val="13"/>
                <w:szCs w:val="13"/>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Other</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243782"/>
              </w:rPr>
              <w:t>Unallocated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40" w:type="dxa"/>
            <w:vAlign w:val="bottom"/>
            <w:vMerge w:val="restart"/>
          </w:tcPr>
          <w:p>
            <w:pPr>
              <w:ind w:left="20"/>
              <w:spacing w:after="0"/>
              <w:rPr>
                <w:sz w:val="20"/>
                <w:szCs w:val="20"/>
                <w:color w:val="auto"/>
              </w:rPr>
            </w:pPr>
            <w:r>
              <w:rPr>
                <w:rFonts w:ascii="Arial" w:cs="Arial" w:eastAsia="Arial" w:hAnsi="Arial"/>
                <w:sz w:val="13"/>
                <w:szCs w:val="13"/>
                <w:b w:val="1"/>
                <w:bCs w:val="1"/>
                <w:color w:val="243782"/>
              </w:rPr>
              <w:t>Nine months ended September 30, 2026</w:t>
            </w:r>
          </w:p>
        </w:tc>
        <w:tc>
          <w:tcPr>
            <w:tcW w:w="10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Asia Pacific</w:t>
            </w:r>
          </w:p>
        </w:tc>
        <w:tc>
          <w:tcPr>
            <w:tcW w:w="960" w:type="dxa"/>
            <w:vAlign w:val="bottom"/>
            <w:vMerge w:val="continue"/>
          </w:tcPr>
          <w:p>
            <w:pPr>
              <w:spacing w:after="0"/>
              <w:rPr>
                <w:sz w:val="7"/>
                <w:szCs w:val="7"/>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items &amp;</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243782"/>
              </w:rPr>
              <w:t>Stellantis</w:t>
            </w:r>
          </w:p>
        </w:tc>
        <w:tc>
          <w:tcPr>
            <w:tcW w:w="0" w:type="dxa"/>
            <w:vAlign w:val="bottom"/>
          </w:tcPr>
          <w:p>
            <w:pPr>
              <w:spacing w:after="0"/>
              <w:rPr>
                <w:sz w:val="1"/>
                <w:szCs w:val="1"/>
                <w:color w:val="auto"/>
              </w:rPr>
            </w:pPr>
          </w:p>
        </w:tc>
      </w:tr>
      <w:tr>
        <w:trPr>
          <w:trHeight w:val="68"/>
        </w:trPr>
        <w:tc>
          <w:tcPr>
            <w:tcW w:w="3440" w:type="dxa"/>
            <w:vAlign w:val="bottom"/>
            <w:vMerge w:val="continue"/>
          </w:tcPr>
          <w:p>
            <w:pPr>
              <w:spacing w:after="0"/>
              <w:rPr>
                <w:sz w:val="5"/>
                <w:szCs w:val="5"/>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America</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Europe</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Africa</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America</w:t>
            </w:r>
          </w:p>
        </w:tc>
        <w:tc>
          <w:tcPr>
            <w:tcW w:w="1060" w:type="dxa"/>
            <w:vAlign w:val="bottom"/>
            <w:vMerge w:val="continue"/>
          </w:tcPr>
          <w:p>
            <w:pPr>
              <w:spacing w:after="0"/>
              <w:rPr>
                <w:sz w:val="5"/>
                <w:szCs w:val="5"/>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activities</w:t>
            </w:r>
          </w:p>
        </w:tc>
        <w:tc>
          <w:tcPr>
            <w:tcW w:w="1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eliminations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40" w:type="dxa"/>
            <w:vAlign w:val="bottom"/>
            <w:tcBorders>
              <w:bottom w:val="single" w:sz="8" w:color="143A84"/>
            </w:tcBorders>
          </w:tcPr>
          <w:p>
            <w:pPr>
              <w:spacing w:after="0"/>
              <w:rPr>
                <w:sz w:val="3"/>
                <w:szCs w:val="3"/>
                <w:color w:val="auto"/>
              </w:rPr>
            </w:pPr>
          </w:p>
        </w:tc>
        <w:tc>
          <w:tcPr>
            <w:tcW w:w="1000" w:type="dxa"/>
            <w:vAlign w:val="bottom"/>
            <w:tcBorders>
              <w:bottom w:val="single" w:sz="8" w:color="143A84"/>
            </w:tcBorders>
          </w:tcPr>
          <w:p>
            <w:pPr>
              <w:spacing w:after="0"/>
              <w:rPr>
                <w:sz w:val="3"/>
                <w:szCs w:val="3"/>
                <w:color w:val="auto"/>
              </w:rPr>
            </w:pPr>
          </w:p>
        </w:tc>
        <w:tc>
          <w:tcPr>
            <w:tcW w:w="840" w:type="dxa"/>
            <w:vAlign w:val="bottom"/>
            <w:tcBorders>
              <w:bottom w:val="single" w:sz="8" w:color="143A84"/>
            </w:tcBorders>
          </w:tcPr>
          <w:p>
            <w:pPr>
              <w:spacing w:after="0"/>
              <w:rPr>
                <w:sz w:val="3"/>
                <w:szCs w:val="3"/>
                <w:color w:val="auto"/>
              </w:rPr>
            </w:pPr>
          </w:p>
        </w:tc>
        <w:tc>
          <w:tcPr>
            <w:tcW w:w="1140" w:type="dxa"/>
            <w:vAlign w:val="bottom"/>
            <w:tcBorders>
              <w:bottom w:val="single" w:sz="8" w:color="143A84"/>
            </w:tcBorders>
          </w:tcPr>
          <w:p>
            <w:pPr>
              <w:spacing w:after="0"/>
              <w:rPr>
                <w:sz w:val="3"/>
                <w:szCs w:val="3"/>
                <w:color w:val="auto"/>
              </w:rPr>
            </w:pPr>
          </w:p>
        </w:tc>
        <w:tc>
          <w:tcPr>
            <w:tcW w:w="860" w:type="dxa"/>
            <w:vAlign w:val="bottom"/>
            <w:tcBorders>
              <w:bottom w:val="single" w:sz="8" w:color="143A84"/>
            </w:tcBorders>
          </w:tcPr>
          <w:p>
            <w:pPr>
              <w:spacing w:after="0"/>
              <w:rPr>
                <w:sz w:val="3"/>
                <w:szCs w:val="3"/>
                <w:color w:val="auto"/>
              </w:rPr>
            </w:pPr>
          </w:p>
        </w:tc>
        <w:tc>
          <w:tcPr>
            <w:tcW w:w="1060" w:type="dxa"/>
            <w:vAlign w:val="bottom"/>
            <w:tcBorders>
              <w:bottom w:val="single" w:sz="8" w:color="143A84"/>
            </w:tcBorders>
          </w:tcPr>
          <w:p>
            <w:pPr>
              <w:spacing w:after="0"/>
              <w:rPr>
                <w:sz w:val="3"/>
                <w:szCs w:val="3"/>
                <w:color w:val="auto"/>
              </w:rPr>
            </w:pPr>
          </w:p>
        </w:tc>
        <w:tc>
          <w:tcPr>
            <w:tcW w:w="960" w:type="dxa"/>
            <w:vAlign w:val="bottom"/>
            <w:tcBorders>
              <w:bottom w:val="single" w:sz="8" w:color="143A84"/>
            </w:tcBorders>
          </w:tcPr>
          <w:p>
            <w:pPr>
              <w:spacing w:after="0"/>
              <w:rPr>
                <w:sz w:val="3"/>
                <w:szCs w:val="3"/>
                <w:color w:val="auto"/>
              </w:rPr>
            </w:pPr>
          </w:p>
        </w:tc>
        <w:tc>
          <w:tcPr>
            <w:tcW w:w="1140" w:type="dxa"/>
            <w:vAlign w:val="bottom"/>
            <w:tcBorders>
              <w:bottom w:val="single" w:sz="8" w:color="143A84"/>
            </w:tcBorders>
          </w:tcPr>
          <w:p>
            <w:pPr>
              <w:spacing w:after="0"/>
              <w:rPr>
                <w:sz w:val="3"/>
                <w:szCs w:val="3"/>
                <w:color w:val="auto"/>
              </w:rPr>
            </w:pPr>
          </w:p>
        </w:tc>
        <w:tc>
          <w:tcPr>
            <w:tcW w:w="800" w:type="dxa"/>
            <w:vAlign w:val="bottom"/>
            <w:tcBorders>
              <w:bottom w:val="single" w:sz="8" w:color="143A8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8E939F"/>
            </w:tcBorders>
          </w:tcPr>
          <w:p>
            <w:pPr>
              <w:spacing w:after="0"/>
              <w:rPr>
                <w:sz w:val="21"/>
                <w:szCs w:val="21"/>
                <w:color w:val="auto"/>
              </w:rPr>
            </w:pPr>
          </w:p>
        </w:tc>
        <w:tc>
          <w:tcPr>
            <w:tcW w:w="1000" w:type="dxa"/>
            <w:vAlign w:val="bottom"/>
            <w:tcBorders>
              <w:bottom w:val="single" w:sz="8" w:color="8E939F"/>
            </w:tcBorders>
          </w:tcPr>
          <w:p>
            <w:pPr>
              <w:spacing w:after="0"/>
              <w:rPr>
                <w:sz w:val="21"/>
                <w:szCs w:val="21"/>
                <w:color w:val="auto"/>
              </w:rPr>
            </w:pPr>
          </w:p>
        </w:tc>
        <w:tc>
          <w:tcPr>
            <w:tcW w:w="84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49,877</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44,859</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6,626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11,965</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1,379</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4,519</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119,225</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16</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116</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196</w:t>
            </w:r>
          </w:p>
        </w:tc>
        <w:tc>
          <w:tcPr>
            <w:tcW w:w="1140" w:type="dxa"/>
            <w:vAlign w:val="bottom"/>
          </w:tcPr>
          <w:p>
            <w:pPr>
              <w:ind w:left="640"/>
              <w:spacing w:after="0"/>
              <w:rPr>
                <w:sz w:val="20"/>
                <w:szCs w:val="20"/>
                <w:color w:val="auto"/>
              </w:rPr>
            </w:pPr>
            <w:r>
              <w:rPr>
                <w:rFonts w:ascii="Arial" w:cs="Arial" w:eastAsia="Arial" w:hAnsi="Arial"/>
                <w:sz w:val="13"/>
                <w:szCs w:val="13"/>
                <w:color w:val="auto"/>
              </w:rPr>
              <w:t>(332)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revenues</w:t>
            </w:r>
          </w:p>
        </w:tc>
        <w:tc>
          <w:tcPr>
            <w:tcW w:w="100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49,893</w:t>
            </w:r>
          </w:p>
        </w:tc>
        <w:tc>
          <w:tcPr>
            <w:tcW w:w="840" w:type="dxa"/>
            <w:vAlign w:val="bottom"/>
            <w:tcBorders>
              <w:bottom w:val="single" w:sz="8" w:color="F3F3F9"/>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44,863</w:t>
            </w:r>
          </w:p>
        </w:tc>
        <w:tc>
          <w:tcPr>
            <w:tcW w:w="1140" w:type="dxa"/>
            <w:vAlign w:val="bottom"/>
            <w:tcBorders>
              <w:bottom w:val="single" w:sz="8" w:color="F3F3F9"/>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6,626</w:t>
            </w:r>
          </w:p>
        </w:tc>
        <w:tc>
          <w:tcPr>
            <w:tcW w:w="860" w:type="dxa"/>
            <w:vAlign w:val="bottom"/>
            <w:tcBorders>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12,081</w:t>
            </w:r>
          </w:p>
        </w:tc>
        <w:tc>
          <w:tcPr>
            <w:tcW w:w="106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1,379</w:t>
            </w:r>
          </w:p>
        </w:tc>
        <w:tc>
          <w:tcPr>
            <w:tcW w:w="960" w:type="dxa"/>
            <w:vAlign w:val="bottom"/>
            <w:tcBorders>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4,715</w:t>
            </w:r>
          </w:p>
        </w:tc>
        <w:tc>
          <w:tcPr>
            <w:tcW w:w="1140" w:type="dxa"/>
            <w:vAlign w:val="bottom"/>
            <w:tcBorders>
              <w:bottom w:val="single" w:sz="8" w:color="F3F3F9"/>
            </w:tcBorders>
            <w:shd w:val="clear" w:color="auto" w:fill="F3F3F9"/>
          </w:tcPr>
          <w:p>
            <w:pPr>
              <w:ind w:left="640"/>
              <w:spacing w:after="0"/>
              <w:rPr>
                <w:sz w:val="20"/>
                <w:szCs w:val="20"/>
                <w:color w:val="auto"/>
              </w:rPr>
            </w:pPr>
            <w:r>
              <w:rPr>
                <w:rFonts w:ascii="Arial" w:cs="Arial" w:eastAsia="Arial" w:hAnsi="Arial"/>
                <w:sz w:val="13"/>
                <w:szCs w:val="13"/>
                <w:b w:val="1"/>
                <w:bCs w:val="1"/>
                <w:color w:val="143A84"/>
              </w:rPr>
              <w:t>(332)</w:t>
            </w: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119,225</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profit/(loss)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217</w:t>
            </w:r>
          </w:p>
        </w:tc>
        <w:tc>
          <w:tcPr>
            <w:tcW w:w="0" w:type="dxa"/>
            <w:vAlign w:val="bottom"/>
          </w:tcPr>
          <w:p>
            <w:pPr>
              <w:spacing w:after="0"/>
              <w:rPr>
                <w:sz w:val="1"/>
                <w:szCs w:val="1"/>
                <w:color w:val="auto"/>
              </w:rPr>
            </w:pPr>
          </w:p>
        </w:tc>
      </w:tr>
      <w:tr>
        <w:trPr>
          <w:trHeight w:val="182"/>
        </w:trPr>
        <w:tc>
          <w:tcPr>
            <w:tcW w:w="3440" w:type="dxa"/>
            <w:vAlign w:val="bottom"/>
            <w:tcBorders>
              <w:top w:val="single" w:sz="8" w:color="8E939F"/>
            </w:tcBorders>
          </w:tcPr>
          <w:p>
            <w:pPr>
              <w:ind w:left="20"/>
              <w:spacing w:after="0"/>
              <w:rPr>
                <w:sz w:val="20"/>
                <w:szCs w:val="20"/>
                <w:color w:val="auto"/>
              </w:rPr>
            </w:pPr>
            <w:r>
              <w:rPr>
                <w:rFonts w:ascii="Arial" w:cs="Arial" w:eastAsia="Arial" w:hAnsi="Arial"/>
                <w:sz w:val="13"/>
                <w:szCs w:val="13"/>
                <w:color w:val="auto"/>
              </w:rPr>
              <w:t>Tax expense/(benefit)</w:t>
            </w:r>
          </w:p>
        </w:tc>
        <w:tc>
          <w:tcPr>
            <w:tcW w:w="1000" w:type="dxa"/>
            <w:vAlign w:val="bottom"/>
            <w:tcBorders>
              <w:top w:val="single" w:sz="8" w:color="8E939F"/>
            </w:tcBorders>
          </w:tcPr>
          <w:p>
            <w:pPr>
              <w:spacing w:after="0"/>
              <w:rPr>
                <w:sz w:val="15"/>
                <w:szCs w:val="15"/>
                <w:color w:val="auto"/>
              </w:rPr>
            </w:pPr>
          </w:p>
        </w:tc>
        <w:tc>
          <w:tcPr>
            <w:tcW w:w="84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60" w:type="dxa"/>
            <w:vAlign w:val="bottom"/>
            <w:tcBorders>
              <w:top w:val="single" w:sz="8" w:color="8E939F"/>
            </w:tcBorders>
          </w:tcPr>
          <w:p>
            <w:pPr>
              <w:spacing w:after="0"/>
              <w:rPr>
                <w:sz w:val="15"/>
                <w:szCs w:val="15"/>
                <w:color w:val="auto"/>
              </w:rPr>
            </w:pPr>
          </w:p>
        </w:tc>
        <w:tc>
          <w:tcPr>
            <w:tcW w:w="1060" w:type="dxa"/>
            <w:vAlign w:val="bottom"/>
            <w:tcBorders>
              <w:top w:val="single" w:sz="8" w:color="8E939F"/>
            </w:tcBorders>
          </w:tcPr>
          <w:p>
            <w:pPr>
              <w:spacing w:after="0"/>
              <w:rPr>
                <w:sz w:val="15"/>
                <w:szCs w:val="15"/>
                <w:color w:val="auto"/>
              </w:rPr>
            </w:pPr>
          </w:p>
        </w:tc>
        <w:tc>
          <w:tcPr>
            <w:tcW w:w="96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00" w:type="dxa"/>
            <w:vAlign w:val="bottom"/>
            <w:tcBorders>
              <w:top w:val="single" w:sz="8" w:color="8E939F"/>
            </w:tcBorders>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3"/>
                <w:szCs w:val="13"/>
                <w:color w:val="auto"/>
              </w:rPr>
              <w:t>Net financial expenses/(income)</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1,059</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4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Adjustments:</w:t>
            </w:r>
          </w:p>
        </w:tc>
        <w:tc>
          <w:tcPr>
            <w:tcW w:w="100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3"/>
                <w:szCs w:val="13"/>
                <w:color w:val="auto"/>
              </w:rPr>
              <w:t>Restructuring and other costs, net of reversals</w:t>
            </w:r>
            <w:r>
              <w:rPr>
                <w:rFonts w:ascii="Arial" w:cs="Arial" w:eastAsia="Arial" w:hAnsi="Arial"/>
                <w:sz w:val="16"/>
                <w:szCs w:val="16"/>
                <w:color w:val="auto"/>
                <w:vertAlign w:val="superscript"/>
              </w:rPr>
              <w:t>(1)</w:t>
            </w:r>
          </w:p>
        </w:tc>
        <w:tc>
          <w:tcPr>
            <w:tcW w:w="1000" w:type="dxa"/>
            <w:vAlign w:val="bottom"/>
            <w:tcBorders>
              <w:top w:val="single" w:sz="8" w:color="8E939F"/>
              <w:bottom w:val="single" w:sz="8" w:color="8E939F"/>
            </w:tcBorders>
          </w:tcPr>
          <w:p>
            <w:pPr>
              <w:jc w:val="right"/>
              <w:ind w:right="157"/>
              <w:spacing w:after="0"/>
              <w:rPr>
                <w:sz w:val="20"/>
                <w:szCs w:val="20"/>
                <w:color w:val="auto"/>
              </w:rPr>
            </w:pPr>
            <w:r>
              <w:rPr>
                <w:rFonts w:ascii="Arial" w:cs="Arial" w:eastAsia="Arial" w:hAnsi="Arial"/>
                <w:sz w:val="13"/>
                <w:szCs w:val="13"/>
                <w:color w:val="auto"/>
              </w:rPr>
              <w:t>(21)</w:t>
            </w:r>
          </w:p>
        </w:tc>
        <w:tc>
          <w:tcPr>
            <w:tcW w:w="840" w:type="dxa"/>
            <w:vAlign w:val="bottom"/>
            <w:tcBorders>
              <w:top w:val="single" w:sz="8" w:color="8E939F"/>
              <w:bottom w:val="single" w:sz="8" w:color="8E939F"/>
            </w:tcBorders>
          </w:tcPr>
          <w:p>
            <w:pPr>
              <w:jc w:val="right"/>
              <w:ind w:right="57"/>
              <w:spacing w:after="0"/>
              <w:rPr>
                <w:sz w:val="20"/>
                <w:szCs w:val="20"/>
                <w:color w:val="auto"/>
              </w:rPr>
            </w:pPr>
            <w:r>
              <w:rPr>
                <w:rFonts w:ascii="Arial" w:cs="Arial" w:eastAsia="Arial" w:hAnsi="Arial"/>
                <w:sz w:val="13"/>
                <w:szCs w:val="13"/>
                <w:color w:val="auto"/>
              </w:rPr>
              <w:t>507</w:t>
            </w:r>
          </w:p>
        </w:tc>
        <w:tc>
          <w:tcPr>
            <w:tcW w:w="1140" w:type="dxa"/>
            <w:vAlign w:val="bottom"/>
            <w:tcBorders>
              <w:top w:val="single" w:sz="8" w:color="8E939F"/>
              <w:bottom w:val="single" w:sz="8" w:color="8E939F"/>
            </w:tcBorders>
          </w:tcPr>
          <w:p>
            <w:pPr>
              <w:jc w:val="right"/>
              <w:ind w:right="237"/>
              <w:spacing w:after="0"/>
              <w:rPr>
                <w:sz w:val="20"/>
                <w:szCs w:val="20"/>
                <w:color w:val="auto"/>
              </w:rPr>
            </w:pPr>
            <w:r>
              <w:rPr>
                <w:rFonts w:ascii="Arial" w:cs="Arial" w:eastAsia="Arial" w:hAnsi="Arial"/>
                <w:sz w:val="13"/>
                <w:szCs w:val="13"/>
                <w:color w:val="auto"/>
              </w:rPr>
              <w:t>4</w:t>
            </w:r>
          </w:p>
        </w:tc>
        <w:tc>
          <w:tcPr>
            <w:tcW w:w="860" w:type="dxa"/>
            <w:vAlign w:val="bottom"/>
            <w:tcBorders>
              <w:top w:val="single" w:sz="8" w:color="8E939F"/>
              <w:bottom w:val="single" w:sz="8" w:color="8E939F"/>
            </w:tcBorders>
          </w:tcPr>
          <w:p>
            <w:pPr>
              <w:jc w:val="right"/>
              <w:ind w:right="117"/>
              <w:spacing w:after="0"/>
              <w:rPr>
                <w:sz w:val="20"/>
                <w:szCs w:val="20"/>
                <w:color w:val="auto"/>
              </w:rPr>
            </w:pPr>
            <w:r>
              <w:rPr>
                <w:rFonts w:ascii="Arial" w:cs="Arial" w:eastAsia="Arial" w:hAnsi="Arial"/>
                <w:sz w:val="13"/>
                <w:szCs w:val="13"/>
                <w:color w:val="auto"/>
              </w:rPr>
              <w:t>52</w:t>
            </w:r>
          </w:p>
        </w:tc>
        <w:tc>
          <w:tcPr>
            <w:tcW w:w="10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2</w:t>
            </w:r>
          </w:p>
        </w:tc>
        <w:tc>
          <w:tcPr>
            <w:tcW w:w="9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4</w:t>
            </w:r>
          </w:p>
        </w:tc>
        <w:tc>
          <w:tcPr>
            <w:tcW w:w="1140" w:type="dxa"/>
            <w:vAlign w:val="bottom"/>
            <w:tcBorders>
              <w:top w:val="single" w:sz="8" w:color="8E939F"/>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(2)</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318</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5</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6</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65"/>
        </w:trPr>
        <w:tc>
          <w:tcPr>
            <w:tcW w:w="3440" w:type="dxa"/>
            <w:vAlign w:val="bottom"/>
          </w:tcPr>
          <w:p>
            <w:pPr>
              <w:ind w:left="20"/>
              <w:spacing w:after="0"/>
              <w:rPr>
                <w:sz w:val="20"/>
                <w:szCs w:val="20"/>
                <w:color w:val="auto"/>
              </w:rPr>
            </w:pPr>
            <w:r>
              <w:rPr>
                <w:rFonts w:ascii="Arial" w:cs="Arial" w:eastAsia="Arial" w:hAnsi="Arial"/>
                <w:sz w:val="13"/>
                <w:szCs w:val="13"/>
                <w:color w:val="auto"/>
              </w:rPr>
              <w:t>Costs related to product plan realignments and program</w:t>
            </w:r>
          </w:p>
        </w:tc>
        <w:tc>
          <w:tcPr>
            <w:tcW w:w="1000" w:type="dxa"/>
            <w:vAlign w:val="bottom"/>
            <w:vMerge w:val="restart"/>
          </w:tcPr>
          <w:p>
            <w:pPr>
              <w:jc w:val="right"/>
              <w:ind w:right="197"/>
              <w:spacing w:after="0"/>
              <w:rPr>
                <w:sz w:val="20"/>
                <w:szCs w:val="20"/>
                <w:color w:val="auto"/>
              </w:rPr>
            </w:pPr>
            <w:r>
              <w:rPr>
                <w:rFonts w:ascii="Arial" w:cs="Arial" w:eastAsia="Arial" w:hAnsi="Arial"/>
                <w:sz w:val="13"/>
                <w:szCs w:val="13"/>
                <w:color w:val="auto"/>
              </w:rPr>
              <w:t>252</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(25)</w:t>
            </w:r>
          </w:p>
        </w:tc>
        <w:tc>
          <w:tcPr>
            <w:tcW w:w="1140" w:type="dxa"/>
            <w:vAlign w:val="bottom"/>
            <w:vMerge w:val="restart"/>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ind w:left="7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85"/>
        </w:trPr>
        <w:tc>
          <w:tcPr>
            <w:tcW w:w="3440" w:type="dxa"/>
            <w:vAlign w:val="bottom"/>
            <w:vMerge w:val="restart"/>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(3)</w:t>
            </w:r>
          </w:p>
        </w:tc>
        <w:tc>
          <w:tcPr>
            <w:tcW w:w="10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440" w:type="dxa"/>
            <w:vAlign w:val="bottom"/>
            <w:tcBorders>
              <w:bottom w:val="single" w:sz="8" w:color="8E939F"/>
            </w:tcBorders>
            <w:vMerge w:val="continue"/>
          </w:tcPr>
          <w:p>
            <w:pPr>
              <w:spacing w:after="0"/>
              <w:rPr>
                <w:sz w:val="9"/>
                <w:szCs w:val="9"/>
                <w:color w:val="auto"/>
              </w:rPr>
            </w:pPr>
          </w:p>
        </w:tc>
        <w:tc>
          <w:tcPr>
            <w:tcW w:w="1000" w:type="dxa"/>
            <w:vAlign w:val="bottom"/>
            <w:tcBorders>
              <w:bottom w:val="single" w:sz="8" w:color="8E939F"/>
            </w:tcBorders>
          </w:tcPr>
          <w:p>
            <w:pPr>
              <w:spacing w:after="0"/>
              <w:rPr>
                <w:sz w:val="9"/>
                <w:szCs w:val="9"/>
                <w:color w:val="auto"/>
              </w:rPr>
            </w:pPr>
          </w:p>
        </w:tc>
        <w:tc>
          <w:tcPr>
            <w:tcW w:w="84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860" w:type="dxa"/>
            <w:vAlign w:val="bottom"/>
            <w:tcBorders>
              <w:bottom w:val="single" w:sz="8" w:color="8E939F"/>
            </w:tcBorders>
          </w:tcPr>
          <w:p>
            <w:pPr>
              <w:spacing w:after="0"/>
              <w:rPr>
                <w:sz w:val="9"/>
                <w:szCs w:val="9"/>
                <w:color w:val="auto"/>
              </w:rPr>
            </w:pPr>
          </w:p>
        </w:tc>
        <w:tc>
          <w:tcPr>
            <w:tcW w:w="1060" w:type="dxa"/>
            <w:vAlign w:val="bottom"/>
            <w:tcBorders>
              <w:bottom w:val="single" w:sz="8" w:color="8E939F"/>
            </w:tcBorders>
          </w:tcPr>
          <w:p>
            <w:pPr>
              <w:spacing w:after="0"/>
              <w:rPr>
                <w:sz w:val="9"/>
                <w:szCs w:val="9"/>
                <w:color w:val="auto"/>
              </w:rPr>
            </w:pPr>
          </w:p>
        </w:tc>
        <w:tc>
          <w:tcPr>
            <w:tcW w:w="96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80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Write-down of investment in Leasys</w:t>
            </w:r>
            <w:r>
              <w:rPr>
                <w:rFonts w:ascii="Arial" w:cs="Arial" w:eastAsia="Arial" w:hAnsi="Arial"/>
                <w:sz w:val="16"/>
                <w:szCs w:val="16"/>
                <w:color w:val="auto"/>
                <w:vertAlign w:val="superscript"/>
              </w:rPr>
              <w:t>(4)</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118</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(Gains)/losses on disposal of investments</w:t>
            </w:r>
            <w:r>
              <w:rPr>
                <w:rFonts w:ascii="Arial" w:cs="Arial" w:eastAsia="Arial" w:hAnsi="Arial"/>
                <w:sz w:val="16"/>
                <w:szCs w:val="16"/>
                <w:color w:val="auto"/>
                <w:vertAlign w:val="superscript"/>
              </w:rPr>
              <w:t>(5)</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12</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77"/>
              <w:spacing w:after="0"/>
              <w:rPr>
                <w:sz w:val="20"/>
                <w:szCs w:val="20"/>
                <w:color w:val="auto"/>
              </w:rPr>
            </w:pPr>
            <w:r>
              <w:rPr>
                <w:rFonts w:ascii="Arial" w:cs="Arial" w:eastAsia="Arial" w:hAnsi="Arial"/>
                <w:sz w:val="13"/>
                <w:szCs w:val="13"/>
                <w:color w:val="auto"/>
              </w:rPr>
              <w:t>(2)</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(69)</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U.S. GHG regulation change</w:t>
            </w:r>
            <w:r>
              <w:rPr>
                <w:rFonts w:ascii="Arial" w:cs="Arial" w:eastAsia="Arial" w:hAnsi="Arial"/>
                <w:sz w:val="16"/>
                <w:szCs w:val="16"/>
                <w:color w:val="auto"/>
                <w:vertAlign w:val="superscript"/>
              </w:rPr>
              <w:t>(6)</w:t>
            </w:r>
          </w:p>
        </w:tc>
        <w:tc>
          <w:tcPr>
            <w:tcW w:w="100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(66)</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5"/>
        </w:trPr>
        <w:tc>
          <w:tcPr>
            <w:tcW w:w="3440" w:type="dxa"/>
            <w:vAlign w:val="bottom"/>
          </w:tcPr>
          <w:p>
            <w:pPr>
              <w:ind w:left="20"/>
              <w:spacing w:after="0"/>
              <w:rPr>
                <w:sz w:val="20"/>
                <w:szCs w:val="20"/>
                <w:color w:val="auto"/>
              </w:rPr>
            </w:pPr>
            <w:r>
              <w:rPr>
                <w:rFonts w:ascii="Arial" w:cs="Arial" w:eastAsia="Arial" w:hAnsi="Arial"/>
                <w:sz w:val="13"/>
                <w:szCs w:val="13"/>
                <w:color w:val="auto"/>
              </w:rPr>
              <w:t>Renegotiated regulatory purchase commitments of</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credits</w:t>
            </w:r>
            <w:r>
              <w:rPr>
                <w:rFonts w:ascii="Arial" w:cs="Arial" w:eastAsia="Arial" w:hAnsi="Arial"/>
                <w:sz w:val="16"/>
                <w:szCs w:val="16"/>
                <w:color w:val="auto"/>
                <w:vertAlign w:val="superscript"/>
              </w:rPr>
              <w:t>(7)</w:t>
            </w:r>
          </w:p>
        </w:tc>
        <w:tc>
          <w:tcPr>
            <w:tcW w:w="100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(317)</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(8)</w:t>
            </w:r>
          </w:p>
        </w:tc>
        <w:tc>
          <w:tcPr>
            <w:tcW w:w="100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91</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67</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1</w:t>
            </w:r>
          </w:p>
        </w:tc>
        <w:tc>
          <w:tcPr>
            <w:tcW w:w="860" w:type="dxa"/>
            <w:vAlign w:val="bottom"/>
            <w:tcBorders>
              <w:bottom w:val="single" w:sz="8" w:color="8E939F"/>
            </w:tcBorders>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(9)</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1</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15"/>
        </w:trPr>
        <w:tc>
          <w:tcPr>
            <w:tcW w:w="3440" w:type="dxa"/>
            <w:vAlign w:val="bottom"/>
            <w:tcBorders>
              <w:bottom w:val="single" w:sz="8" w:color="E6E7F4"/>
            </w:tcBorders>
            <w:shd w:val="clear" w:color="auto" w:fill="E6E7F4"/>
          </w:tcPr>
          <w:p>
            <w:pPr>
              <w:ind w:left="20"/>
              <w:spacing w:after="0"/>
              <w:rPr>
                <w:sz w:val="20"/>
                <w:szCs w:val="20"/>
                <w:color w:val="auto"/>
              </w:rPr>
            </w:pPr>
            <w:r>
              <w:rPr>
                <w:rFonts w:ascii="Arial" w:cs="Arial" w:eastAsia="Arial" w:hAnsi="Arial"/>
                <w:sz w:val="13"/>
                <w:szCs w:val="13"/>
                <w:b w:val="1"/>
                <w:bCs w:val="1"/>
                <w:color w:val="243782"/>
              </w:rPr>
              <w:t>Total adjustments</w:t>
            </w:r>
          </w:p>
        </w:tc>
        <w:tc>
          <w:tcPr>
            <w:tcW w:w="1000" w:type="dxa"/>
            <w:vAlign w:val="bottom"/>
            <w:tcBorders>
              <w:bottom w:val="single" w:sz="8" w:color="E6E7F4"/>
            </w:tcBorders>
            <w:shd w:val="clear" w:color="auto" w:fill="E6E7F4"/>
          </w:tcPr>
          <w:p>
            <w:pPr>
              <w:jc w:val="right"/>
              <w:ind w:right="157"/>
              <w:spacing w:after="0"/>
              <w:rPr>
                <w:sz w:val="20"/>
                <w:szCs w:val="20"/>
                <w:color w:val="auto"/>
              </w:rPr>
            </w:pPr>
            <w:r>
              <w:rPr>
                <w:rFonts w:ascii="Arial" w:cs="Arial" w:eastAsia="Arial" w:hAnsi="Arial"/>
                <w:sz w:val="13"/>
                <w:szCs w:val="13"/>
                <w:b w:val="1"/>
                <w:bCs w:val="1"/>
                <w:color w:val="143A84"/>
              </w:rPr>
              <w:t>(61)</w:t>
            </w:r>
          </w:p>
        </w:tc>
        <w:tc>
          <w:tcPr>
            <w:tcW w:w="840" w:type="dxa"/>
            <w:vAlign w:val="bottom"/>
            <w:tcBorders>
              <w:bottom w:val="single" w:sz="8" w:color="E6E7F4"/>
            </w:tcBorders>
            <w:shd w:val="clear" w:color="auto" w:fill="E6E7F4"/>
          </w:tcPr>
          <w:p>
            <w:pPr>
              <w:jc w:val="right"/>
              <w:ind w:right="57"/>
              <w:spacing w:after="0"/>
              <w:rPr>
                <w:sz w:val="20"/>
                <w:szCs w:val="20"/>
                <w:color w:val="auto"/>
              </w:rPr>
            </w:pPr>
            <w:r>
              <w:rPr>
                <w:rFonts w:ascii="Arial" w:cs="Arial" w:eastAsia="Arial" w:hAnsi="Arial"/>
                <w:sz w:val="13"/>
                <w:szCs w:val="13"/>
                <w:b w:val="1"/>
                <w:bCs w:val="1"/>
                <w:color w:val="143A84"/>
              </w:rPr>
              <w:t>879</w:t>
            </w:r>
          </w:p>
        </w:tc>
        <w:tc>
          <w:tcPr>
            <w:tcW w:w="1140" w:type="dxa"/>
            <w:vAlign w:val="bottom"/>
            <w:tcBorders>
              <w:bottom w:val="single" w:sz="8" w:color="E6E7F4"/>
            </w:tcBorders>
            <w:shd w:val="clear" w:color="auto" w:fill="E6E7F4"/>
          </w:tcPr>
          <w:p>
            <w:pPr>
              <w:jc w:val="right"/>
              <w:ind w:right="237"/>
              <w:spacing w:after="0"/>
              <w:rPr>
                <w:sz w:val="20"/>
                <w:szCs w:val="20"/>
                <w:color w:val="auto"/>
              </w:rPr>
            </w:pPr>
            <w:r>
              <w:rPr>
                <w:rFonts w:ascii="Arial" w:cs="Arial" w:eastAsia="Arial" w:hAnsi="Arial"/>
                <w:sz w:val="13"/>
                <w:szCs w:val="13"/>
                <w:b w:val="1"/>
                <w:bCs w:val="1"/>
                <w:color w:val="143A84"/>
              </w:rPr>
              <w:t>10</w:t>
            </w:r>
          </w:p>
        </w:tc>
        <w:tc>
          <w:tcPr>
            <w:tcW w:w="860" w:type="dxa"/>
            <w:vAlign w:val="bottom"/>
            <w:tcBorders>
              <w:bottom w:val="single" w:sz="8" w:color="E6E7F4"/>
            </w:tcBorders>
            <w:shd w:val="clear" w:color="auto" w:fill="E6E7F4"/>
          </w:tcPr>
          <w:p>
            <w:pPr>
              <w:jc w:val="right"/>
              <w:ind w:right="117"/>
              <w:spacing w:after="0"/>
              <w:rPr>
                <w:sz w:val="20"/>
                <w:szCs w:val="20"/>
                <w:color w:val="auto"/>
              </w:rPr>
            </w:pPr>
            <w:r>
              <w:rPr>
                <w:rFonts w:ascii="Arial" w:cs="Arial" w:eastAsia="Arial" w:hAnsi="Arial"/>
                <w:sz w:val="13"/>
                <w:szCs w:val="13"/>
                <w:b w:val="1"/>
                <w:bCs w:val="1"/>
                <w:color w:val="143A84"/>
              </w:rPr>
              <w:t>55</w:t>
            </w:r>
          </w:p>
        </w:tc>
        <w:tc>
          <w:tcPr>
            <w:tcW w:w="1060" w:type="dxa"/>
            <w:vAlign w:val="bottom"/>
            <w:tcBorders>
              <w:bottom w:val="single" w:sz="8" w:color="E6E7F4"/>
            </w:tcBorders>
            <w:shd w:val="clear" w:color="auto" w:fill="E6E7F4"/>
          </w:tcPr>
          <w:p>
            <w:pPr>
              <w:jc w:val="right"/>
              <w:ind w:right="177"/>
              <w:spacing w:after="0"/>
              <w:rPr>
                <w:sz w:val="20"/>
                <w:szCs w:val="20"/>
                <w:color w:val="auto"/>
              </w:rPr>
            </w:pPr>
            <w:r>
              <w:rPr>
                <w:rFonts w:ascii="Arial" w:cs="Arial" w:eastAsia="Arial" w:hAnsi="Arial"/>
                <w:sz w:val="13"/>
                <w:szCs w:val="13"/>
                <w:b w:val="1"/>
                <w:bCs w:val="1"/>
                <w:color w:val="143A84"/>
              </w:rPr>
              <w:t>(7)</w:t>
            </w:r>
          </w:p>
        </w:tc>
        <w:tc>
          <w:tcPr>
            <w:tcW w:w="96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54</w:t>
            </w:r>
          </w:p>
        </w:tc>
        <w:tc>
          <w:tcPr>
            <w:tcW w:w="1140" w:type="dxa"/>
            <w:vAlign w:val="bottom"/>
            <w:tcBorders>
              <w:bottom w:val="single" w:sz="8" w:color="E6E7F4"/>
            </w:tcBorders>
            <w:shd w:val="clear" w:color="auto" w:fill="E6E7F4"/>
          </w:tcPr>
          <w:p>
            <w:pPr>
              <w:ind w:left="760"/>
              <w:spacing w:after="0"/>
              <w:rPr>
                <w:sz w:val="20"/>
                <w:szCs w:val="20"/>
                <w:color w:val="auto"/>
              </w:rPr>
            </w:pPr>
            <w:r>
              <w:rPr>
                <w:rFonts w:ascii="Arial" w:cs="Arial" w:eastAsia="Arial" w:hAnsi="Arial"/>
                <w:sz w:val="13"/>
                <w:szCs w:val="13"/>
                <w:b w:val="1"/>
                <w:bCs w:val="1"/>
                <w:color w:val="143A84"/>
              </w:rPr>
              <w:t>—</w:t>
            </w:r>
          </w:p>
        </w:tc>
        <w:tc>
          <w:tcPr>
            <w:tcW w:w="80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3"/>
                <w:szCs w:val="13"/>
                <w:b w:val="1"/>
                <w:bCs w:val="1"/>
                <w:color w:val="143A84"/>
              </w:rPr>
              <w:t>930</w:t>
            </w:r>
          </w:p>
        </w:tc>
        <w:tc>
          <w:tcPr>
            <w:tcW w:w="0" w:type="dxa"/>
            <w:vAlign w:val="bottom"/>
          </w:tcPr>
          <w:p>
            <w:pPr>
              <w:spacing w:after="0"/>
              <w:rPr>
                <w:sz w:val="1"/>
                <w:szCs w:val="1"/>
                <w:color w:val="auto"/>
              </w:rPr>
            </w:pPr>
          </w:p>
        </w:tc>
      </w:tr>
      <w:tr>
        <w:trPr>
          <w:trHeight w:val="215"/>
        </w:trPr>
        <w:tc>
          <w:tcPr>
            <w:tcW w:w="3440" w:type="dxa"/>
            <w:vAlign w:val="bottom"/>
            <w:tcBorders>
              <w:top w:val="single" w:sz="8" w:color="8E939F"/>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Adjusted operating income/(loss)</w:t>
            </w:r>
          </w:p>
        </w:tc>
        <w:tc>
          <w:tcPr>
            <w:tcW w:w="100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611</w:t>
            </w:r>
          </w:p>
        </w:tc>
        <w:tc>
          <w:tcPr>
            <w:tcW w:w="840" w:type="dxa"/>
            <w:vAlign w:val="bottom"/>
            <w:tcBorders>
              <w:top w:val="single" w:sz="8" w:color="8E939F"/>
              <w:bottom w:val="single" w:sz="8" w:color="F3F3F9"/>
            </w:tcBorders>
            <w:shd w:val="clear" w:color="auto" w:fill="F3F3F9"/>
          </w:tcPr>
          <w:p>
            <w:pPr>
              <w:jc w:val="right"/>
              <w:ind w:right="17"/>
              <w:spacing w:after="0"/>
              <w:rPr>
                <w:sz w:val="20"/>
                <w:szCs w:val="20"/>
                <w:color w:val="auto"/>
              </w:rPr>
            </w:pPr>
            <w:r>
              <w:rPr>
                <w:rFonts w:ascii="Arial" w:cs="Arial" w:eastAsia="Arial" w:hAnsi="Arial"/>
                <w:sz w:val="13"/>
                <w:szCs w:val="13"/>
                <w:b w:val="1"/>
                <w:bCs w:val="1"/>
                <w:color w:val="143A84"/>
              </w:rPr>
              <w:t>(397)</w:t>
            </w:r>
          </w:p>
        </w:tc>
        <w:tc>
          <w:tcPr>
            <w:tcW w:w="1140" w:type="dxa"/>
            <w:vAlign w:val="bottom"/>
            <w:tcBorders>
              <w:top w:val="single" w:sz="8" w:color="8E939F"/>
              <w:bottom w:val="single" w:sz="8" w:color="F3F3F9"/>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855</w:t>
            </w:r>
          </w:p>
        </w:tc>
        <w:tc>
          <w:tcPr>
            <w:tcW w:w="860" w:type="dxa"/>
            <w:vAlign w:val="bottom"/>
            <w:tcBorders>
              <w:top w:val="single" w:sz="8" w:color="8E939F"/>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1,226</w:t>
            </w:r>
          </w:p>
        </w:tc>
        <w:tc>
          <w:tcPr>
            <w:tcW w:w="106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15</w:t>
            </w:r>
          </w:p>
        </w:tc>
        <w:tc>
          <w:tcPr>
            <w:tcW w:w="960" w:type="dxa"/>
            <w:vAlign w:val="bottom"/>
            <w:tcBorders>
              <w:top w:val="single" w:sz="8" w:color="8E939F"/>
              <w:bottom w:val="single" w:sz="8" w:color="F3F3F9"/>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388</w:t>
            </w:r>
          </w:p>
        </w:tc>
        <w:tc>
          <w:tcPr>
            <w:tcW w:w="1140" w:type="dxa"/>
            <w:vAlign w:val="bottom"/>
            <w:tcBorders>
              <w:top w:val="single" w:sz="8" w:color="8E939F"/>
              <w:bottom w:val="single" w:sz="8" w:color="F3F3F9"/>
            </w:tcBorders>
            <w:shd w:val="clear" w:color="auto" w:fill="F3F3F9"/>
          </w:tcPr>
          <w:p>
            <w:pPr>
              <w:ind w:left="640"/>
              <w:spacing w:after="0"/>
              <w:rPr>
                <w:sz w:val="20"/>
                <w:szCs w:val="20"/>
                <w:color w:val="auto"/>
              </w:rPr>
            </w:pPr>
            <w:r>
              <w:rPr>
                <w:rFonts w:ascii="Arial" w:cs="Arial" w:eastAsia="Arial" w:hAnsi="Arial"/>
                <w:sz w:val="13"/>
                <w:szCs w:val="13"/>
                <w:b w:val="1"/>
                <w:bCs w:val="1"/>
                <w:color w:val="143A84"/>
              </w:rPr>
              <w:t>(709)</w:t>
            </w:r>
          </w:p>
        </w:tc>
        <w:tc>
          <w:tcPr>
            <w:tcW w:w="80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1,989</w:t>
            </w:r>
          </w:p>
        </w:tc>
        <w:tc>
          <w:tcPr>
            <w:tcW w:w="0" w:type="dxa"/>
            <w:vAlign w:val="bottom"/>
          </w:tcPr>
          <w:p>
            <w:pPr>
              <w:spacing w:after="0"/>
              <w:rPr>
                <w:sz w:val="1"/>
                <w:szCs w:val="1"/>
                <w:color w:val="auto"/>
              </w:rPr>
            </w:pPr>
          </w:p>
        </w:tc>
      </w:tr>
      <w:tr>
        <w:trPr>
          <w:trHeight w:val="250"/>
        </w:trPr>
        <w:tc>
          <w:tcPr>
            <w:tcW w:w="3440" w:type="dxa"/>
            <w:vAlign w:val="bottom"/>
            <w:tcBorders>
              <w:top w:val="single" w:sz="8" w:color="8E939F"/>
              <w:bottom w:val="single" w:sz="8" w:color="8E939F"/>
            </w:tcBorders>
          </w:tcPr>
          <w:p>
            <w:pPr>
              <w:spacing w:after="0"/>
              <w:rPr>
                <w:sz w:val="21"/>
                <w:szCs w:val="21"/>
                <w:color w:val="auto"/>
              </w:rPr>
            </w:pPr>
          </w:p>
        </w:tc>
        <w:tc>
          <w:tcPr>
            <w:tcW w:w="100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440" w:type="dxa"/>
            <w:vAlign w:val="bottom"/>
          </w:tcPr>
          <w:p>
            <w:pPr>
              <w:ind w:left="20"/>
              <w:spacing w:after="0"/>
              <w:rPr>
                <w:sz w:val="20"/>
                <w:szCs w:val="20"/>
                <w:color w:val="auto"/>
              </w:rPr>
            </w:pPr>
            <w:r>
              <w:rPr>
                <w:rFonts w:ascii="Arial" w:cs="Arial" w:eastAsia="Arial" w:hAnsi="Arial"/>
                <w:sz w:val="13"/>
                <w:szCs w:val="13"/>
                <w:color w:val="auto"/>
              </w:rPr>
              <w:t>Share of profit of equity method investees, excluding</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4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98</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(166)</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66</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23</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62</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8"/>
        </w:trPr>
        <w:tc>
          <w:tcPr>
            <w:tcW w:w="3440" w:type="dxa"/>
            <w:vAlign w:val="bottom"/>
            <w:tcBorders>
              <w:bottom w:val="single" w:sz="8" w:color="8E939F"/>
            </w:tcBorders>
          </w:tcPr>
          <w:p>
            <w:pPr>
              <w:spacing w:after="0"/>
              <w:rPr>
                <w:sz w:val="2"/>
                <w:szCs w:val="2"/>
                <w:color w:val="auto"/>
              </w:rPr>
            </w:pPr>
          </w:p>
        </w:tc>
        <w:tc>
          <w:tcPr>
            <w:tcW w:w="100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Primarily related to workforce reductions, mainly in Enlarged Europe</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Related to stop-drive campaigns on certain vehicles mainly in Enlarged Europe</w:t>
      </w:r>
    </w:p>
    <w:p>
      <w:pPr>
        <w:spacing w:after="0" w:line="14" w:lineRule="exact"/>
        <w:rPr>
          <w:rFonts w:ascii="Arial" w:cs="Arial" w:eastAsia="Arial" w:hAnsi="Arial"/>
          <w:sz w:val="14"/>
          <w:szCs w:val="14"/>
          <w:color w:val="auto"/>
        </w:rPr>
      </w:pPr>
    </w:p>
    <w:p>
      <w:pPr>
        <w:ind w:right="320" w:firstLine="8"/>
        <w:spacing w:after="0" w:line="261" w:lineRule="auto"/>
        <w:tabs>
          <w:tab w:leader="none" w:pos="222"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Primarily related to costs incurred as result of product plan realignments and program cancellations, including €252 million recognized in North America, as well as a provision reversal of €25 million in Enlarged Europe</w:t>
      </w:r>
    </w:p>
    <w:p>
      <w:pPr>
        <w:ind w:right="360" w:firstLine="8"/>
        <w:spacing w:after="0" w:line="251" w:lineRule="auto"/>
        <w:tabs>
          <w:tab w:leader="none" w:pos="222"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During the nine months ended September 30, 2026, the Company recognized a €118 million charge related to its investment in Leasys (refer to Note 7,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accounted for using equity method </w:t>
      </w:r>
      <w:r>
        <w:rPr>
          <w:rFonts w:ascii="Arial" w:cs="Arial" w:eastAsia="Arial" w:hAnsi="Arial"/>
          <w:sz w:val="14"/>
          <w:szCs w:val="14"/>
          <w:color w:val="auto"/>
        </w:rPr>
        <w:t>for additional information)</w:t>
      </w:r>
    </w:p>
    <w:p>
      <w:pPr>
        <w:ind w:right="140" w:firstLine="8"/>
        <w:spacing w:after="0" w:line="261" w:lineRule="auto"/>
        <w:tabs>
          <w:tab w:leader="none" w:pos="222"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Comprised primarily of (i) gains recognized as a result of the loss of significant influence over Archer and the resulting termination of the equity method (refer to Note 2, Scope of consolidation for additional information), (ii) a dilution gain related to the investment in Comau Group, and (iii) gains/(losses) recognized on the disposal of non-significant assets in Enlarged Europe</w:t>
      </w:r>
    </w:p>
    <w:p>
      <w:pPr>
        <w:spacing w:after="0" w:line="1" w:lineRule="exact"/>
        <w:rPr>
          <w:rFonts w:ascii="Arial" w:cs="Arial" w:eastAsia="Arial" w:hAnsi="Arial"/>
          <w:sz w:val="14"/>
          <w:szCs w:val="14"/>
          <w:color w:val="auto"/>
        </w:rPr>
      </w:pPr>
    </w:p>
    <w:p>
      <w:pPr>
        <w:ind w:right="640" w:firstLine="8"/>
        <w:spacing w:after="0" w:line="251" w:lineRule="auto"/>
        <w:tabs>
          <w:tab w:leader="none" w:pos="222"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Following the repeal of the U.S. GHG emissions standards, the Company recognized a gain of €66 million within Cost of revenues. The net gain consisted of an impairment of GHG-related Other intangible assets of €284 million and the elimination of the related GHG provision of €350 million</w:t>
      </w:r>
    </w:p>
    <w:p>
      <w:pPr>
        <w:ind w:left="220" w:hanging="212"/>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 net gain of €317 million within Cost of revenues related to renegotiated contractual commitments for the purchase of regulatory compliance credits</w:t>
      </w:r>
    </w:p>
    <w:p>
      <w:pPr>
        <w:spacing w:after="0" w:line="14" w:lineRule="exact"/>
        <w:rPr>
          <w:rFonts w:ascii="Arial" w:cs="Arial" w:eastAsia="Arial" w:hAnsi="Arial"/>
          <w:sz w:val="14"/>
          <w:szCs w:val="14"/>
          <w:color w:val="auto"/>
        </w:rPr>
      </w:pPr>
    </w:p>
    <w:p>
      <w:pPr>
        <w:ind w:right="300" w:firstLine="8"/>
        <w:spacing w:after="0" w:line="284" w:lineRule="auto"/>
        <w:tabs>
          <w:tab w:leader="none" w:pos="222"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Comprised primarily of adjustments to costs related to the transformation of certain plants in North America and Enlarged Europe, along with a regulatory impairment charge in North America</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0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North</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Enlarged</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Middle East &amp;</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South</w:t>
            </w:r>
          </w:p>
        </w:tc>
        <w:tc>
          <w:tcPr>
            <w:tcW w:w="1060" w:type="dxa"/>
            <w:vAlign w:val="bottom"/>
          </w:tcPr>
          <w:p>
            <w:pPr>
              <w:spacing w:after="0"/>
              <w:rPr>
                <w:sz w:val="13"/>
                <w:szCs w:val="13"/>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Other</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243782"/>
              </w:rPr>
              <w:t>Unallocated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243782"/>
              </w:rPr>
              <w:t>Nine Months Ended September 30, 2025</w:t>
            </w: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Asia Pacific</w:t>
            </w:r>
          </w:p>
        </w:tc>
        <w:tc>
          <w:tcPr>
            <w:tcW w:w="960" w:type="dxa"/>
            <w:vAlign w:val="bottom"/>
            <w:vMerge w:val="continue"/>
          </w:tcPr>
          <w:p>
            <w:pPr>
              <w:spacing w:after="0"/>
              <w:rPr>
                <w:sz w:val="7"/>
                <w:szCs w:val="7"/>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items &amp;</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243782"/>
              </w:rPr>
              <w:t>Stellantis</w:t>
            </w: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10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America</w:t>
            </w: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43782"/>
              </w:rPr>
              <w:t>Europe</w:t>
            </w:r>
          </w:p>
        </w:tc>
        <w:tc>
          <w:tcPr>
            <w:tcW w:w="11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43782"/>
              </w:rPr>
              <w:t>Africa</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43782"/>
              </w:rPr>
              <w:t>America</w:t>
            </w:r>
          </w:p>
        </w:tc>
        <w:tc>
          <w:tcPr>
            <w:tcW w:w="1060" w:type="dxa"/>
            <w:vAlign w:val="bottom"/>
            <w:vMerge w:val="continue"/>
          </w:tcPr>
          <w:p>
            <w:pPr>
              <w:spacing w:after="0"/>
              <w:rPr>
                <w:sz w:val="5"/>
                <w:szCs w:val="5"/>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43782"/>
              </w:rPr>
              <w:t>activities</w:t>
            </w:r>
          </w:p>
        </w:tc>
        <w:tc>
          <w:tcPr>
            <w:tcW w:w="1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4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243782"/>
              </w:rPr>
              <w:t>eliminations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00" w:type="dxa"/>
            <w:vAlign w:val="bottom"/>
            <w:tcBorders>
              <w:bottom w:val="single" w:sz="8" w:color="143A84"/>
            </w:tcBorders>
          </w:tcPr>
          <w:p>
            <w:pPr>
              <w:spacing w:after="0"/>
              <w:rPr>
                <w:sz w:val="3"/>
                <w:szCs w:val="3"/>
                <w:color w:val="auto"/>
              </w:rPr>
            </w:pPr>
          </w:p>
        </w:tc>
        <w:tc>
          <w:tcPr>
            <w:tcW w:w="1040" w:type="dxa"/>
            <w:vAlign w:val="bottom"/>
            <w:tcBorders>
              <w:bottom w:val="single" w:sz="8" w:color="143A84"/>
            </w:tcBorders>
          </w:tcPr>
          <w:p>
            <w:pPr>
              <w:spacing w:after="0"/>
              <w:rPr>
                <w:sz w:val="3"/>
                <w:szCs w:val="3"/>
                <w:color w:val="auto"/>
              </w:rPr>
            </w:pPr>
          </w:p>
        </w:tc>
        <w:tc>
          <w:tcPr>
            <w:tcW w:w="840" w:type="dxa"/>
            <w:vAlign w:val="bottom"/>
            <w:tcBorders>
              <w:bottom w:val="single" w:sz="8" w:color="143A84"/>
            </w:tcBorders>
          </w:tcPr>
          <w:p>
            <w:pPr>
              <w:spacing w:after="0"/>
              <w:rPr>
                <w:sz w:val="3"/>
                <w:szCs w:val="3"/>
                <w:color w:val="auto"/>
              </w:rPr>
            </w:pPr>
          </w:p>
        </w:tc>
        <w:tc>
          <w:tcPr>
            <w:tcW w:w="1140" w:type="dxa"/>
            <w:vAlign w:val="bottom"/>
            <w:tcBorders>
              <w:bottom w:val="single" w:sz="8" w:color="143A84"/>
            </w:tcBorders>
          </w:tcPr>
          <w:p>
            <w:pPr>
              <w:spacing w:after="0"/>
              <w:rPr>
                <w:sz w:val="3"/>
                <w:szCs w:val="3"/>
                <w:color w:val="auto"/>
              </w:rPr>
            </w:pPr>
          </w:p>
        </w:tc>
        <w:tc>
          <w:tcPr>
            <w:tcW w:w="860" w:type="dxa"/>
            <w:vAlign w:val="bottom"/>
            <w:tcBorders>
              <w:bottom w:val="single" w:sz="8" w:color="143A84"/>
            </w:tcBorders>
          </w:tcPr>
          <w:p>
            <w:pPr>
              <w:spacing w:after="0"/>
              <w:rPr>
                <w:sz w:val="3"/>
                <w:szCs w:val="3"/>
                <w:color w:val="auto"/>
              </w:rPr>
            </w:pPr>
          </w:p>
        </w:tc>
        <w:tc>
          <w:tcPr>
            <w:tcW w:w="1060" w:type="dxa"/>
            <w:vAlign w:val="bottom"/>
            <w:tcBorders>
              <w:bottom w:val="single" w:sz="8" w:color="143A84"/>
            </w:tcBorders>
          </w:tcPr>
          <w:p>
            <w:pPr>
              <w:spacing w:after="0"/>
              <w:rPr>
                <w:sz w:val="3"/>
                <w:szCs w:val="3"/>
                <w:color w:val="auto"/>
              </w:rPr>
            </w:pPr>
          </w:p>
        </w:tc>
        <w:tc>
          <w:tcPr>
            <w:tcW w:w="960" w:type="dxa"/>
            <w:vAlign w:val="bottom"/>
            <w:tcBorders>
              <w:bottom w:val="single" w:sz="8" w:color="143A84"/>
            </w:tcBorders>
          </w:tcPr>
          <w:p>
            <w:pPr>
              <w:spacing w:after="0"/>
              <w:rPr>
                <w:sz w:val="3"/>
                <w:szCs w:val="3"/>
                <w:color w:val="auto"/>
              </w:rPr>
            </w:pPr>
          </w:p>
        </w:tc>
        <w:tc>
          <w:tcPr>
            <w:tcW w:w="1140" w:type="dxa"/>
            <w:vAlign w:val="bottom"/>
            <w:tcBorders>
              <w:bottom w:val="single" w:sz="8" w:color="143A84"/>
            </w:tcBorders>
          </w:tcPr>
          <w:p>
            <w:pPr>
              <w:spacing w:after="0"/>
              <w:rPr>
                <w:sz w:val="3"/>
                <w:szCs w:val="3"/>
                <w:color w:val="auto"/>
              </w:rPr>
            </w:pPr>
          </w:p>
        </w:tc>
        <w:tc>
          <w:tcPr>
            <w:tcW w:w="800" w:type="dxa"/>
            <w:vAlign w:val="bottom"/>
            <w:tcBorders>
              <w:bottom w:val="single" w:sz="8" w:color="143A8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Arial" w:cs="Arial" w:eastAsia="Arial" w:hAnsi="Arial"/>
                <w:sz w:val="13"/>
                <w:szCs w:val="13"/>
                <w:i w:val="1"/>
                <w:iCs w:val="1"/>
                <w:color w:val="auto"/>
              </w:rPr>
              <w:t>(€ million)</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8E939F"/>
            </w:tcBorders>
          </w:tcPr>
          <w:p>
            <w:pPr>
              <w:spacing w:after="0"/>
              <w:rPr>
                <w:sz w:val="21"/>
                <w:szCs w:val="21"/>
                <w:color w:val="auto"/>
              </w:rPr>
            </w:pPr>
          </w:p>
        </w:tc>
        <w:tc>
          <w:tcPr>
            <w:tcW w:w="1040" w:type="dxa"/>
            <w:vAlign w:val="bottom"/>
            <w:tcBorders>
              <w:bottom w:val="single" w:sz="8" w:color="8E939F"/>
            </w:tcBorders>
          </w:tcPr>
          <w:p>
            <w:pPr>
              <w:spacing w:after="0"/>
              <w:rPr>
                <w:sz w:val="21"/>
                <w:szCs w:val="21"/>
                <w:color w:val="auto"/>
              </w:rPr>
            </w:pPr>
          </w:p>
        </w:tc>
        <w:tc>
          <w:tcPr>
            <w:tcW w:w="84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Arial" w:cs="Arial" w:eastAsia="Arial" w:hAnsi="Arial"/>
                <w:sz w:val="13"/>
                <w:szCs w:val="13"/>
                <w:color w:val="auto"/>
              </w:rPr>
              <w:t>Net revenues from external customers</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44,382</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44,177</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7,009</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11,625</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1,482</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2,792</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111,467</w:t>
            </w:r>
          </w:p>
        </w:tc>
        <w:tc>
          <w:tcPr>
            <w:tcW w:w="0" w:type="dxa"/>
            <w:vAlign w:val="bottom"/>
          </w:tcPr>
          <w:p>
            <w:pPr>
              <w:spacing w:after="0"/>
              <w:rPr>
                <w:sz w:val="1"/>
                <w:szCs w:val="1"/>
                <w:color w:val="auto"/>
              </w:rPr>
            </w:pPr>
          </w:p>
        </w:tc>
      </w:tr>
      <w:tr>
        <w:trPr>
          <w:trHeight w:val="28"/>
        </w:trPr>
        <w:tc>
          <w:tcPr>
            <w:tcW w:w="340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Arial" w:cs="Arial" w:eastAsia="Arial" w:hAnsi="Arial"/>
                <w:sz w:val="13"/>
                <w:szCs w:val="13"/>
                <w:color w:val="auto"/>
              </w:rPr>
              <w:t>Net revenues from transactions with other segments</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13</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135</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4</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186</w:t>
            </w:r>
          </w:p>
        </w:tc>
        <w:tc>
          <w:tcPr>
            <w:tcW w:w="1140" w:type="dxa"/>
            <w:vAlign w:val="bottom"/>
          </w:tcPr>
          <w:p>
            <w:pPr>
              <w:ind w:left="640"/>
              <w:spacing w:after="0"/>
              <w:rPr>
                <w:sz w:val="20"/>
                <w:szCs w:val="20"/>
                <w:color w:val="auto"/>
              </w:rPr>
            </w:pPr>
            <w:r>
              <w:rPr>
                <w:rFonts w:ascii="Arial" w:cs="Arial" w:eastAsia="Arial" w:hAnsi="Arial"/>
                <w:sz w:val="13"/>
                <w:szCs w:val="13"/>
                <w:color w:val="auto"/>
              </w:rPr>
              <w:t>(357)</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340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8E939F"/>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revenues</w:t>
            </w:r>
            <w:r>
              <w:rPr>
                <w:rFonts w:ascii="Arial" w:cs="Arial" w:eastAsia="Arial" w:hAnsi="Arial"/>
                <w:sz w:val="16"/>
                <w:szCs w:val="16"/>
                <w:b w:val="1"/>
                <w:bCs w:val="1"/>
                <w:color w:val="243782"/>
                <w:vertAlign w:val="superscript"/>
              </w:rPr>
              <w:t>(1)</w:t>
            </w:r>
          </w:p>
        </w:tc>
        <w:tc>
          <w:tcPr>
            <w:tcW w:w="1040" w:type="dxa"/>
            <w:vAlign w:val="bottom"/>
            <w:tcBorders>
              <w:bottom w:val="single" w:sz="8" w:color="8E939F"/>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44,390</w:t>
            </w:r>
          </w:p>
        </w:tc>
        <w:tc>
          <w:tcPr>
            <w:tcW w:w="840" w:type="dxa"/>
            <w:vAlign w:val="bottom"/>
            <w:tcBorders>
              <w:bottom w:val="single" w:sz="8" w:color="8E939F"/>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44,188</w:t>
            </w:r>
          </w:p>
        </w:tc>
        <w:tc>
          <w:tcPr>
            <w:tcW w:w="1140" w:type="dxa"/>
            <w:vAlign w:val="bottom"/>
            <w:tcBorders>
              <w:bottom w:val="single" w:sz="8" w:color="8E939F"/>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7,022</w:t>
            </w:r>
          </w:p>
        </w:tc>
        <w:tc>
          <w:tcPr>
            <w:tcW w:w="860" w:type="dxa"/>
            <w:vAlign w:val="bottom"/>
            <w:tcBorders>
              <w:bottom w:val="single" w:sz="8" w:color="8E939F"/>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11,760</w:t>
            </w:r>
          </w:p>
        </w:tc>
        <w:tc>
          <w:tcPr>
            <w:tcW w:w="1060" w:type="dxa"/>
            <w:vAlign w:val="bottom"/>
            <w:tcBorders>
              <w:bottom w:val="single" w:sz="8" w:color="8E939F"/>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1,486</w:t>
            </w:r>
          </w:p>
        </w:tc>
        <w:tc>
          <w:tcPr>
            <w:tcW w:w="960" w:type="dxa"/>
            <w:vAlign w:val="bottom"/>
            <w:tcBorders>
              <w:bottom w:val="single" w:sz="8" w:color="8E939F"/>
            </w:tcBorders>
            <w:shd w:val="clear" w:color="auto" w:fill="F3F3F9"/>
          </w:tcPr>
          <w:p>
            <w:pPr>
              <w:jc w:val="right"/>
              <w:ind w:right="197"/>
              <w:spacing w:after="0"/>
              <w:rPr>
                <w:sz w:val="20"/>
                <w:szCs w:val="20"/>
                <w:color w:val="auto"/>
              </w:rPr>
            </w:pPr>
            <w:r>
              <w:rPr>
                <w:rFonts w:ascii="Arial" w:cs="Arial" w:eastAsia="Arial" w:hAnsi="Arial"/>
                <w:sz w:val="13"/>
                <w:szCs w:val="13"/>
                <w:b w:val="1"/>
                <w:bCs w:val="1"/>
                <w:color w:val="143A84"/>
              </w:rPr>
              <w:t>2,978</w:t>
            </w:r>
          </w:p>
        </w:tc>
        <w:tc>
          <w:tcPr>
            <w:tcW w:w="1140" w:type="dxa"/>
            <w:vAlign w:val="bottom"/>
            <w:tcBorders>
              <w:bottom w:val="single" w:sz="8" w:color="8E939F"/>
            </w:tcBorders>
            <w:shd w:val="clear" w:color="auto" w:fill="F3F3F9"/>
          </w:tcPr>
          <w:p>
            <w:pPr>
              <w:ind w:left="640"/>
              <w:spacing w:after="0"/>
              <w:rPr>
                <w:sz w:val="20"/>
                <w:szCs w:val="20"/>
                <w:color w:val="auto"/>
              </w:rPr>
            </w:pPr>
            <w:r>
              <w:rPr>
                <w:rFonts w:ascii="Arial" w:cs="Arial" w:eastAsia="Arial" w:hAnsi="Arial"/>
                <w:sz w:val="13"/>
                <w:szCs w:val="13"/>
                <w:b w:val="1"/>
                <w:bCs w:val="1"/>
                <w:color w:val="143A84"/>
              </w:rPr>
              <w:t>(357)</w:t>
            </w:r>
          </w:p>
        </w:tc>
        <w:tc>
          <w:tcPr>
            <w:tcW w:w="800" w:type="dxa"/>
            <w:vAlign w:val="bottom"/>
            <w:tcBorders>
              <w:bottom w:val="single" w:sz="8" w:color="8E939F"/>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111,467</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8E939F"/>
            </w:tcBorders>
          </w:tcPr>
          <w:p>
            <w:pPr>
              <w:spacing w:after="0"/>
              <w:rPr>
                <w:sz w:val="21"/>
                <w:szCs w:val="21"/>
                <w:color w:val="auto"/>
              </w:rPr>
            </w:pPr>
          </w:p>
        </w:tc>
        <w:tc>
          <w:tcPr>
            <w:tcW w:w="1040" w:type="dxa"/>
            <w:vAlign w:val="bottom"/>
            <w:tcBorders>
              <w:bottom w:val="single" w:sz="8" w:color="8E939F"/>
            </w:tcBorders>
          </w:tcPr>
          <w:p>
            <w:pPr>
              <w:spacing w:after="0"/>
              <w:rPr>
                <w:sz w:val="21"/>
                <w:szCs w:val="21"/>
                <w:color w:val="auto"/>
              </w:rPr>
            </w:pPr>
          </w:p>
        </w:tc>
        <w:tc>
          <w:tcPr>
            <w:tcW w:w="84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60" w:type="dxa"/>
            <w:vAlign w:val="bottom"/>
            <w:tcBorders>
              <w:bottom w:val="single" w:sz="8" w:color="8E939F"/>
            </w:tcBorders>
          </w:tcPr>
          <w:p>
            <w:pPr>
              <w:spacing w:after="0"/>
              <w:rPr>
                <w:sz w:val="21"/>
                <w:szCs w:val="21"/>
                <w:color w:val="auto"/>
              </w:rPr>
            </w:pPr>
          </w:p>
        </w:tc>
        <w:tc>
          <w:tcPr>
            <w:tcW w:w="1060" w:type="dxa"/>
            <w:vAlign w:val="bottom"/>
            <w:tcBorders>
              <w:bottom w:val="single" w:sz="8" w:color="8E939F"/>
            </w:tcBorders>
          </w:tcPr>
          <w:p>
            <w:pPr>
              <w:spacing w:after="0"/>
              <w:rPr>
                <w:sz w:val="21"/>
                <w:szCs w:val="21"/>
                <w:color w:val="auto"/>
              </w:rPr>
            </w:pPr>
          </w:p>
        </w:tc>
        <w:tc>
          <w:tcPr>
            <w:tcW w:w="960" w:type="dxa"/>
            <w:vAlign w:val="bottom"/>
            <w:tcBorders>
              <w:bottom w:val="single" w:sz="8" w:color="8E939F"/>
            </w:tcBorders>
          </w:tcPr>
          <w:p>
            <w:pPr>
              <w:spacing w:after="0"/>
              <w:rPr>
                <w:sz w:val="21"/>
                <w:szCs w:val="21"/>
                <w:color w:val="auto"/>
              </w:rPr>
            </w:pPr>
          </w:p>
        </w:tc>
        <w:tc>
          <w:tcPr>
            <w:tcW w:w="1140" w:type="dxa"/>
            <w:vAlign w:val="bottom"/>
            <w:tcBorders>
              <w:bottom w:val="single" w:sz="8" w:color="8E939F"/>
            </w:tcBorders>
          </w:tcPr>
          <w:p>
            <w:pPr>
              <w:spacing w:after="0"/>
              <w:rPr>
                <w:sz w:val="21"/>
                <w:szCs w:val="21"/>
                <w:color w:val="auto"/>
              </w:rPr>
            </w:pPr>
          </w:p>
        </w:tc>
        <w:tc>
          <w:tcPr>
            <w:tcW w:w="800" w:type="dxa"/>
            <w:vAlign w:val="bottom"/>
            <w:tcBorders>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0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Net profit/(loss)</w:t>
            </w:r>
          </w:p>
        </w:tc>
        <w:tc>
          <w:tcPr>
            <w:tcW w:w="104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(6,788)</w:t>
            </w:r>
          </w:p>
        </w:tc>
        <w:tc>
          <w:tcPr>
            <w:tcW w:w="0" w:type="dxa"/>
            <w:vAlign w:val="bottom"/>
          </w:tcPr>
          <w:p>
            <w:pPr>
              <w:spacing w:after="0"/>
              <w:rPr>
                <w:sz w:val="1"/>
                <w:szCs w:val="1"/>
                <w:color w:val="auto"/>
              </w:rPr>
            </w:pPr>
          </w:p>
        </w:tc>
      </w:tr>
      <w:tr>
        <w:trPr>
          <w:trHeight w:val="182"/>
        </w:trPr>
        <w:tc>
          <w:tcPr>
            <w:tcW w:w="3400" w:type="dxa"/>
            <w:vAlign w:val="bottom"/>
            <w:tcBorders>
              <w:top w:val="single" w:sz="8" w:color="8E939F"/>
            </w:tcBorders>
          </w:tcPr>
          <w:p>
            <w:pPr>
              <w:ind w:left="20"/>
              <w:spacing w:after="0"/>
              <w:rPr>
                <w:sz w:val="20"/>
                <w:szCs w:val="20"/>
                <w:color w:val="auto"/>
              </w:rPr>
            </w:pPr>
            <w:r>
              <w:rPr>
                <w:rFonts w:ascii="Arial" w:cs="Arial" w:eastAsia="Arial" w:hAnsi="Arial"/>
                <w:sz w:val="13"/>
                <w:szCs w:val="13"/>
                <w:color w:val="auto"/>
              </w:rPr>
              <w:t>Tax expense/(benefit)</w:t>
            </w:r>
          </w:p>
        </w:tc>
        <w:tc>
          <w:tcPr>
            <w:tcW w:w="1040" w:type="dxa"/>
            <w:vAlign w:val="bottom"/>
            <w:tcBorders>
              <w:top w:val="single" w:sz="8" w:color="8E939F"/>
            </w:tcBorders>
          </w:tcPr>
          <w:p>
            <w:pPr>
              <w:spacing w:after="0"/>
              <w:rPr>
                <w:sz w:val="15"/>
                <w:szCs w:val="15"/>
                <w:color w:val="auto"/>
              </w:rPr>
            </w:pPr>
          </w:p>
        </w:tc>
        <w:tc>
          <w:tcPr>
            <w:tcW w:w="84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60" w:type="dxa"/>
            <w:vAlign w:val="bottom"/>
            <w:tcBorders>
              <w:top w:val="single" w:sz="8" w:color="8E939F"/>
            </w:tcBorders>
          </w:tcPr>
          <w:p>
            <w:pPr>
              <w:spacing w:after="0"/>
              <w:rPr>
                <w:sz w:val="15"/>
                <w:szCs w:val="15"/>
                <w:color w:val="auto"/>
              </w:rPr>
            </w:pPr>
          </w:p>
        </w:tc>
        <w:tc>
          <w:tcPr>
            <w:tcW w:w="1060" w:type="dxa"/>
            <w:vAlign w:val="bottom"/>
            <w:tcBorders>
              <w:top w:val="single" w:sz="8" w:color="8E939F"/>
            </w:tcBorders>
          </w:tcPr>
          <w:p>
            <w:pPr>
              <w:spacing w:after="0"/>
              <w:rPr>
                <w:sz w:val="15"/>
                <w:szCs w:val="15"/>
                <w:color w:val="auto"/>
              </w:rPr>
            </w:pPr>
          </w:p>
        </w:tc>
        <w:tc>
          <w:tcPr>
            <w:tcW w:w="960" w:type="dxa"/>
            <w:vAlign w:val="bottom"/>
            <w:tcBorders>
              <w:top w:val="single" w:sz="8" w:color="8E939F"/>
            </w:tcBorders>
          </w:tcPr>
          <w:p>
            <w:pPr>
              <w:spacing w:after="0"/>
              <w:rPr>
                <w:sz w:val="15"/>
                <w:szCs w:val="15"/>
                <w:color w:val="auto"/>
              </w:rPr>
            </w:pPr>
          </w:p>
        </w:tc>
        <w:tc>
          <w:tcPr>
            <w:tcW w:w="1140" w:type="dxa"/>
            <w:vAlign w:val="bottom"/>
            <w:tcBorders>
              <w:top w:val="single" w:sz="8" w:color="8E939F"/>
            </w:tcBorders>
          </w:tcPr>
          <w:p>
            <w:pPr>
              <w:spacing w:after="0"/>
              <w:rPr>
                <w:sz w:val="15"/>
                <w:szCs w:val="15"/>
                <w:color w:val="auto"/>
              </w:rPr>
            </w:pPr>
          </w:p>
        </w:tc>
        <w:tc>
          <w:tcPr>
            <w:tcW w:w="800" w:type="dxa"/>
            <w:vAlign w:val="bottom"/>
            <w:tcBorders>
              <w:top w:val="single" w:sz="8" w:color="8E939F"/>
            </w:tcBorders>
          </w:tcPr>
          <w:p>
            <w:pPr>
              <w:jc w:val="right"/>
              <w:spacing w:after="0"/>
              <w:rPr>
                <w:sz w:val="20"/>
                <w:szCs w:val="20"/>
                <w:color w:val="auto"/>
              </w:rPr>
            </w:pPr>
            <w:r>
              <w:rPr>
                <w:rFonts w:ascii="Arial" w:cs="Arial" w:eastAsia="Arial" w:hAnsi="Arial"/>
                <w:sz w:val="13"/>
                <w:szCs w:val="13"/>
                <w:color w:val="auto"/>
              </w:rPr>
              <w:t>(1,777)</w:t>
            </w:r>
          </w:p>
        </w:tc>
        <w:tc>
          <w:tcPr>
            <w:tcW w:w="0" w:type="dxa"/>
            <w:vAlign w:val="bottom"/>
          </w:tcPr>
          <w:p>
            <w:pPr>
              <w:spacing w:after="0"/>
              <w:rPr>
                <w:sz w:val="1"/>
                <w:szCs w:val="1"/>
                <w:color w:val="auto"/>
              </w:rPr>
            </w:pPr>
          </w:p>
        </w:tc>
      </w:tr>
      <w:tr>
        <w:trPr>
          <w:trHeight w:val="28"/>
        </w:trPr>
        <w:tc>
          <w:tcPr>
            <w:tcW w:w="340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0"/>
              <w:spacing w:after="0"/>
              <w:rPr>
                <w:sz w:val="20"/>
                <w:szCs w:val="20"/>
                <w:color w:val="auto"/>
              </w:rPr>
            </w:pPr>
            <w:r>
              <w:rPr>
                <w:rFonts w:ascii="Arial" w:cs="Arial" w:eastAsia="Arial" w:hAnsi="Arial"/>
                <w:sz w:val="13"/>
                <w:szCs w:val="13"/>
                <w:color w:val="auto"/>
              </w:rPr>
              <w:t>Net financial expenses/(income)</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8"/>
        </w:trPr>
        <w:tc>
          <w:tcPr>
            <w:tcW w:w="340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40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Operating income/(loss)</w:t>
            </w:r>
          </w:p>
        </w:tc>
        <w:tc>
          <w:tcPr>
            <w:tcW w:w="104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(8,411)</w:t>
            </w:r>
          </w:p>
        </w:tc>
        <w:tc>
          <w:tcPr>
            <w:tcW w:w="0" w:type="dxa"/>
            <w:vAlign w:val="bottom"/>
          </w:tcPr>
          <w:p>
            <w:pPr>
              <w:spacing w:after="0"/>
              <w:rPr>
                <w:sz w:val="1"/>
                <w:szCs w:val="1"/>
                <w:color w:val="auto"/>
              </w:rPr>
            </w:pPr>
          </w:p>
        </w:tc>
      </w:tr>
      <w:tr>
        <w:trPr>
          <w:trHeight w:val="250"/>
        </w:trPr>
        <w:tc>
          <w:tcPr>
            <w:tcW w:w="3400" w:type="dxa"/>
            <w:vAlign w:val="bottom"/>
            <w:tcBorders>
              <w:top w:val="single" w:sz="8" w:color="8E939F"/>
              <w:bottom w:val="single" w:sz="8" w:color="8E939F"/>
            </w:tcBorders>
          </w:tcPr>
          <w:p>
            <w:pPr>
              <w:spacing w:after="0"/>
              <w:rPr>
                <w:sz w:val="21"/>
                <w:szCs w:val="21"/>
                <w:color w:val="auto"/>
              </w:rPr>
            </w:pPr>
          </w:p>
        </w:tc>
        <w:tc>
          <w:tcPr>
            <w:tcW w:w="104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0" w:type="dxa"/>
            <w:vAlign w:val="bottom"/>
            <w:tcBorders>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Adjustments:</w:t>
            </w:r>
          </w:p>
        </w:tc>
        <w:tc>
          <w:tcPr>
            <w:tcW w:w="1040" w:type="dxa"/>
            <w:vAlign w:val="bottom"/>
            <w:tcBorders>
              <w:bottom w:val="single" w:sz="8" w:color="F3F3F9"/>
            </w:tcBorders>
            <w:shd w:val="clear" w:color="auto" w:fill="F3F3F9"/>
          </w:tcPr>
          <w:p>
            <w:pPr>
              <w:spacing w:after="0"/>
              <w:rPr>
                <w:sz w:val="18"/>
                <w:szCs w:val="18"/>
                <w:color w:val="auto"/>
              </w:rPr>
            </w:pPr>
          </w:p>
        </w:tc>
        <w:tc>
          <w:tcPr>
            <w:tcW w:w="84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60" w:type="dxa"/>
            <w:vAlign w:val="bottom"/>
            <w:tcBorders>
              <w:bottom w:val="single" w:sz="8" w:color="F3F3F9"/>
            </w:tcBorders>
            <w:shd w:val="clear" w:color="auto" w:fill="F3F3F9"/>
          </w:tcPr>
          <w:p>
            <w:pPr>
              <w:spacing w:after="0"/>
              <w:rPr>
                <w:sz w:val="18"/>
                <w:szCs w:val="18"/>
                <w:color w:val="auto"/>
              </w:rPr>
            </w:pPr>
          </w:p>
        </w:tc>
        <w:tc>
          <w:tcPr>
            <w:tcW w:w="1060" w:type="dxa"/>
            <w:vAlign w:val="bottom"/>
            <w:tcBorders>
              <w:bottom w:val="single" w:sz="8" w:color="F3F3F9"/>
            </w:tcBorders>
            <w:shd w:val="clear" w:color="auto" w:fill="F3F3F9"/>
          </w:tcPr>
          <w:p>
            <w:pPr>
              <w:spacing w:after="0"/>
              <w:rPr>
                <w:sz w:val="18"/>
                <w:szCs w:val="18"/>
                <w:color w:val="auto"/>
              </w:rPr>
            </w:pPr>
          </w:p>
        </w:tc>
        <w:tc>
          <w:tcPr>
            <w:tcW w:w="960" w:type="dxa"/>
            <w:vAlign w:val="bottom"/>
            <w:tcBorders>
              <w:bottom w:val="single" w:sz="8" w:color="F3F3F9"/>
            </w:tcBorders>
            <w:shd w:val="clear" w:color="auto" w:fill="F3F3F9"/>
          </w:tcPr>
          <w:p>
            <w:pPr>
              <w:spacing w:after="0"/>
              <w:rPr>
                <w:sz w:val="18"/>
                <w:szCs w:val="18"/>
                <w:color w:val="auto"/>
              </w:rPr>
            </w:pPr>
          </w:p>
        </w:tc>
        <w:tc>
          <w:tcPr>
            <w:tcW w:w="1140" w:type="dxa"/>
            <w:vAlign w:val="bottom"/>
            <w:tcBorders>
              <w:bottom w:val="single" w:sz="8" w:color="F3F3F9"/>
            </w:tcBorders>
            <w:shd w:val="clear" w:color="auto" w:fill="F3F3F9"/>
          </w:tcPr>
          <w:p>
            <w:pPr>
              <w:spacing w:after="0"/>
              <w:rPr>
                <w:sz w:val="18"/>
                <w:szCs w:val="18"/>
                <w:color w:val="auto"/>
              </w:rPr>
            </w:pPr>
          </w:p>
        </w:tc>
        <w:tc>
          <w:tcPr>
            <w:tcW w:w="800" w:type="dxa"/>
            <w:vAlign w:val="bottom"/>
            <w:tcBorders>
              <w:bottom w:val="single" w:sz="8" w:color="F3F3F9"/>
            </w:tcBorders>
            <w:shd w:val="clear" w:color="auto" w:fill="F3F3F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top w:val="single" w:sz="8" w:color="8E939F"/>
              <w:bottom w:val="single" w:sz="8" w:color="8E939F"/>
            </w:tcBorders>
          </w:tcPr>
          <w:p>
            <w:pPr>
              <w:ind w:left="20"/>
              <w:spacing w:after="0"/>
              <w:rPr>
                <w:sz w:val="20"/>
                <w:szCs w:val="20"/>
                <w:color w:val="auto"/>
              </w:rPr>
            </w:pPr>
            <w:r>
              <w:rPr>
                <w:rFonts w:ascii="Arial" w:cs="Arial" w:eastAsia="Arial" w:hAnsi="Arial"/>
                <w:sz w:val="13"/>
                <w:szCs w:val="13"/>
                <w:color w:val="auto"/>
              </w:rPr>
              <w:t>Change in estimate for contractual warranties</w:t>
            </w:r>
            <w:r>
              <w:rPr>
                <w:rFonts w:ascii="Arial" w:cs="Arial" w:eastAsia="Arial" w:hAnsi="Arial"/>
                <w:sz w:val="16"/>
                <w:szCs w:val="16"/>
                <w:color w:val="auto"/>
                <w:vertAlign w:val="superscript"/>
              </w:rPr>
              <w:t>(2)</w:t>
            </w:r>
          </w:p>
        </w:tc>
        <w:tc>
          <w:tcPr>
            <w:tcW w:w="104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3,252</w:t>
            </w:r>
          </w:p>
        </w:tc>
        <w:tc>
          <w:tcPr>
            <w:tcW w:w="840" w:type="dxa"/>
            <w:vAlign w:val="bottom"/>
            <w:tcBorders>
              <w:top w:val="single" w:sz="8" w:color="8E939F"/>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8E939F"/>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8E939F"/>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8E939F"/>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8E939F"/>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8E939F"/>
              <w:bottom w:val="single" w:sz="8" w:color="8E939F"/>
            </w:tcBorders>
          </w:tcPr>
          <w:p>
            <w:pPr>
              <w:jc w:val="right"/>
              <w:spacing w:after="0"/>
              <w:rPr>
                <w:sz w:val="20"/>
                <w:szCs w:val="20"/>
                <w:color w:val="auto"/>
              </w:rPr>
            </w:pPr>
            <w:r>
              <w:rPr>
                <w:rFonts w:ascii="Arial" w:cs="Arial" w:eastAsia="Arial" w:hAnsi="Arial"/>
                <w:sz w:val="13"/>
                <w:szCs w:val="13"/>
                <w:color w:val="auto"/>
              </w:rPr>
              <w:t>3,252</w:t>
            </w: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Arial" w:cs="Arial" w:eastAsia="Arial" w:hAnsi="Arial"/>
                <w:sz w:val="13"/>
                <w:szCs w:val="13"/>
                <w:color w:val="auto"/>
              </w:rPr>
              <w:t>Costs related to product plan realignment and program</w:t>
            </w:r>
          </w:p>
        </w:tc>
        <w:tc>
          <w:tcPr>
            <w:tcW w:w="1040" w:type="dxa"/>
            <w:vAlign w:val="bottom"/>
            <w:vMerge w:val="restart"/>
          </w:tcPr>
          <w:p>
            <w:pPr>
              <w:jc w:val="right"/>
              <w:ind w:right="197"/>
              <w:spacing w:after="0"/>
              <w:rPr>
                <w:sz w:val="20"/>
                <w:szCs w:val="20"/>
                <w:color w:val="auto"/>
              </w:rPr>
            </w:pPr>
            <w:r>
              <w:rPr>
                <w:rFonts w:ascii="Arial" w:cs="Arial" w:eastAsia="Arial" w:hAnsi="Arial"/>
                <w:sz w:val="13"/>
                <w:szCs w:val="13"/>
                <w:color w:val="auto"/>
              </w:rPr>
              <w:t>2,061</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146</w:t>
            </w:r>
          </w:p>
        </w:tc>
        <w:tc>
          <w:tcPr>
            <w:tcW w:w="1140" w:type="dxa"/>
            <w:vAlign w:val="bottom"/>
            <w:vMerge w:val="restart"/>
          </w:tcPr>
          <w:p>
            <w:pPr>
              <w:jc w:val="right"/>
              <w:ind w:right="237"/>
              <w:spacing w:after="0"/>
              <w:rPr>
                <w:sz w:val="20"/>
                <w:szCs w:val="20"/>
                <w:color w:val="auto"/>
              </w:rPr>
            </w:pPr>
            <w:r>
              <w:rPr>
                <w:rFonts w:ascii="Arial" w:cs="Arial" w:eastAsia="Arial" w:hAnsi="Arial"/>
                <w:sz w:val="13"/>
                <w:szCs w:val="13"/>
                <w:color w:val="auto"/>
              </w:rPr>
              <w:t>8</w:t>
            </w: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321</w:t>
            </w:r>
          </w:p>
        </w:tc>
        <w:tc>
          <w:tcPr>
            <w:tcW w:w="1060" w:type="dxa"/>
            <w:vAlign w:val="bottom"/>
            <w:vMerge w:val="restart"/>
          </w:tcPr>
          <w:p>
            <w:pPr>
              <w:jc w:val="right"/>
              <w:ind w:right="197"/>
              <w:spacing w:after="0"/>
              <w:rPr>
                <w:sz w:val="20"/>
                <w:szCs w:val="20"/>
                <w:color w:val="auto"/>
              </w:rPr>
            </w:pPr>
            <w:r>
              <w:rPr>
                <w:rFonts w:ascii="Arial" w:cs="Arial" w:eastAsia="Arial" w:hAnsi="Arial"/>
                <w:sz w:val="13"/>
                <w:szCs w:val="13"/>
                <w:color w:val="auto"/>
              </w:rPr>
              <w:t>1</w:t>
            </w: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ind w:left="7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2,537</w:t>
            </w:r>
          </w:p>
        </w:tc>
        <w:tc>
          <w:tcPr>
            <w:tcW w:w="0" w:type="dxa"/>
            <w:vAlign w:val="bottom"/>
          </w:tcPr>
          <w:p>
            <w:pPr>
              <w:spacing w:after="0"/>
              <w:rPr>
                <w:sz w:val="1"/>
                <w:szCs w:val="1"/>
                <w:color w:val="auto"/>
              </w:rPr>
            </w:pPr>
          </w:p>
        </w:tc>
      </w:tr>
      <w:tr>
        <w:trPr>
          <w:trHeight w:val="232"/>
        </w:trPr>
        <w:tc>
          <w:tcPr>
            <w:tcW w:w="3400" w:type="dxa"/>
            <w:vAlign w:val="bottom"/>
          </w:tcPr>
          <w:p>
            <w:pPr>
              <w:ind w:left="20"/>
              <w:spacing w:after="0"/>
              <w:rPr>
                <w:sz w:val="20"/>
                <w:szCs w:val="20"/>
                <w:color w:val="auto"/>
              </w:rPr>
            </w:pPr>
            <w:r>
              <w:rPr>
                <w:rFonts w:ascii="Arial" w:cs="Arial" w:eastAsia="Arial" w:hAnsi="Arial"/>
                <w:sz w:val="13"/>
                <w:szCs w:val="13"/>
                <w:color w:val="auto"/>
              </w:rPr>
              <w:t>cancellations</w:t>
            </w:r>
            <w:r>
              <w:rPr>
                <w:rFonts w:ascii="Arial" w:cs="Arial" w:eastAsia="Arial" w:hAnsi="Arial"/>
                <w:sz w:val="16"/>
                <w:szCs w:val="16"/>
                <w:color w:val="auto"/>
                <w:vertAlign w:val="superscript"/>
              </w:rPr>
              <w:t>(3)</w:t>
            </w:r>
          </w:p>
        </w:tc>
        <w:tc>
          <w:tcPr>
            <w:tcW w:w="10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3400" w:type="dxa"/>
            <w:vAlign w:val="bottom"/>
            <w:tcBorders>
              <w:bottom w:val="single" w:sz="8" w:color="8E939F"/>
            </w:tcBorders>
          </w:tcPr>
          <w:p>
            <w:pPr>
              <w:spacing w:after="0"/>
              <w:rPr>
                <w:sz w:val="9"/>
                <w:szCs w:val="9"/>
                <w:color w:val="auto"/>
              </w:rPr>
            </w:pPr>
          </w:p>
        </w:tc>
        <w:tc>
          <w:tcPr>
            <w:tcW w:w="1040" w:type="dxa"/>
            <w:vAlign w:val="bottom"/>
            <w:tcBorders>
              <w:bottom w:val="single" w:sz="8" w:color="8E939F"/>
            </w:tcBorders>
          </w:tcPr>
          <w:p>
            <w:pPr>
              <w:spacing w:after="0"/>
              <w:rPr>
                <w:sz w:val="9"/>
                <w:szCs w:val="9"/>
                <w:color w:val="auto"/>
              </w:rPr>
            </w:pPr>
          </w:p>
        </w:tc>
        <w:tc>
          <w:tcPr>
            <w:tcW w:w="84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860" w:type="dxa"/>
            <w:vAlign w:val="bottom"/>
            <w:tcBorders>
              <w:bottom w:val="single" w:sz="8" w:color="8E939F"/>
            </w:tcBorders>
          </w:tcPr>
          <w:p>
            <w:pPr>
              <w:spacing w:after="0"/>
              <w:rPr>
                <w:sz w:val="9"/>
                <w:szCs w:val="9"/>
                <w:color w:val="auto"/>
              </w:rPr>
            </w:pPr>
          </w:p>
        </w:tc>
        <w:tc>
          <w:tcPr>
            <w:tcW w:w="1060" w:type="dxa"/>
            <w:vAlign w:val="bottom"/>
            <w:tcBorders>
              <w:bottom w:val="single" w:sz="8" w:color="8E939F"/>
            </w:tcBorders>
          </w:tcPr>
          <w:p>
            <w:pPr>
              <w:spacing w:after="0"/>
              <w:rPr>
                <w:sz w:val="9"/>
                <w:szCs w:val="9"/>
                <w:color w:val="auto"/>
              </w:rPr>
            </w:pPr>
          </w:p>
        </w:tc>
        <w:tc>
          <w:tcPr>
            <w:tcW w:w="960" w:type="dxa"/>
            <w:vAlign w:val="bottom"/>
            <w:tcBorders>
              <w:bottom w:val="single" w:sz="8" w:color="8E939F"/>
            </w:tcBorders>
          </w:tcPr>
          <w:p>
            <w:pPr>
              <w:spacing w:after="0"/>
              <w:rPr>
                <w:sz w:val="9"/>
                <w:szCs w:val="9"/>
                <w:color w:val="auto"/>
              </w:rPr>
            </w:pPr>
          </w:p>
        </w:tc>
        <w:tc>
          <w:tcPr>
            <w:tcW w:w="1140" w:type="dxa"/>
            <w:vAlign w:val="bottom"/>
            <w:tcBorders>
              <w:bottom w:val="single" w:sz="8" w:color="8E939F"/>
            </w:tcBorders>
          </w:tcPr>
          <w:p>
            <w:pPr>
              <w:spacing w:after="0"/>
              <w:rPr>
                <w:sz w:val="9"/>
                <w:szCs w:val="9"/>
                <w:color w:val="auto"/>
              </w:rPr>
            </w:pPr>
          </w:p>
        </w:tc>
        <w:tc>
          <w:tcPr>
            <w:tcW w:w="800" w:type="dxa"/>
            <w:vAlign w:val="bottom"/>
            <w:tcBorders>
              <w:bottom w:val="single" w:sz="8" w:color="8E939F"/>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Restructuring and other costs, net of reversals</w:t>
            </w:r>
            <w:r>
              <w:rPr>
                <w:rFonts w:ascii="Arial" w:cs="Arial" w:eastAsia="Arial" w:hAnsi="Arial"/>
                <w:sz w:val="16"/>
                <w:szCs w:val="16"/>
                <w:color w:val="auto"/>
                <w:vertAlign w:val="superscript"/>
              </w:rPr>
              <w:t>(4)</w:t>
            </w:r>
          </w:p>
        </w:tc>
        <w:tc>
          <w:tcPr>
            <w:tcW w:w="104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(72)</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942</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10</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43</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923</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Fuel cell program discontinuation</w:t>
            </w:r>
            <w:r>
              <w:rPr>
                <w:rFonts w:ascii="Arial" w:cs="Arial" w:eastAsia="Arial" w:hAnsi="Arial"/>
                <w:sz w:val="16"/>
                <w:szCs w:val="16"/>
                <w:color w:val="auto"/>
                <w:vertAlign w:val="superscript"/>
              </w:rPr>
              <w:t>(5)</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812</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Platform impairments</w:t>
            </w:r>
            <w:r>
              <w:rPr>
                <w:rFonts w:ascii="Arial" w:cs="Arial" w:eastAsia="Arial" w:hAnsi="Arial"/>
                <w:sz w:val="16"/>
                <w:szCs w:val="16"/>
                <w:color w:val="auto"/>
                <w:vertAlign w:val="superscript"/>
              </w:rPr>
              <w:t>(6)</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579</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Takata airbags recall campaign</w:t>
            </w:r>
            <w:r>
              <w:rPr>
                <w:rFonts w:ascii="Arial" w:cs="Arial" w:eastAsia="Arial" w:hAnsi="Arial"/>
                <w:sz w:val="16"/>
                <w:szCs w:val="16"/>
                <w:color w:val="auto"/>
                <w:vertAlign w:val="superscript"/>
              </w:rPr>
              <w:t>(7)</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289</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6</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CAFE penalty rate</w:t>
            </w:r>
            <w:r>
              <w:rPr>
                <w:rFonts w:ascii="Arial" w:cs="Arial" w:eastAsia="Arial" w:hAnsi="Arial"/>
                <w:sz w:val="16"/>
                <w:szCs w:val="16"/>
                <w:color w:val="auto"/>
                <w:vertAlign w:val="superscript"/>
              </w:rPr>
              <w:t>(8)</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269</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Stellantis Türkiye disposal</w:t>
            </w:r>
            <w:r>
              <w:rPr>
                <w:rFonts w:ascii="Arial" w:cs="Arial" w:eastAsia="Arial" w:hAnsi="Arial"/>
                <w:sz w:val="16"/>
                <w:szCs w:val="16"/>
                <w:color w:val="auto"/>
                <w:vertAlign w:val="superscript"/>
              </w:rPr>
              <w:t>(9)</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8E939F"/>
            </w:tcBorders>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246</w:t>
            </w:r>
          </w:p>
        </w:tc>
        <w:tc>
          <w:tcPr>
            <w:tcW w:w="860" w:type="dxa"/>
            <w:vAlign w:val="bottom"/>
            <w:tcBorders>
              <w:bottom w:val="single" w:sz="8" w:color="8E939F"/>
            </w:tcBorders>
          </w:tcPr>
          <w:p>
            <w:pPr>
              <w:jc w:val="right"/>
              <w:ind w:right="11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8E939F"/>
            </w:tcBorders>
          </w:tcPr>
          <w:p>
            <w:pPr>
              <w:ind w:left="7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8E939F"/>
            </w:tcBorders>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(10)</w:t>
            </w:r>
          </w:p>
        </w:tc>
        <w:tc>
          <w:tcPr>
            <w:tcW w:w="1040" w:type="dxa"/>
            <w:vAlign w:val="bottom"/>
            <w:tcBorders>
              <w:bottom w:val="single" w:sz="8" w:color="8E939F"/>
            </w:tcBorders>
          </w:tcPr>
          <w:p>
            <w:pPr>
              <w:jc w:val="right"/>
              <w:ind w:right="197"/>
              <w:spacing w:after="0"/>
              <w:rPr>
                <w:sz w:val="20"/>
                <w:szCs w:val="20"/>
                <w:color w:val="auto"/>
              </w:rPr>
            </w:pPr>
            <w:r>
              <w:rPr>
                <w:rFonts w:ascii="Arial" w:cs="Arial" w:eastAsia="Arial" w:hAnsi="Arial"/>
                <w:sz w:val="13"/>
                <w:szCs w:val="13"/>
                <w:color w:val="auto"/>
              </w:rPr>
              <w:t>174</w:t>
            </w:r>
          </w:p>
        </w:tc>
        <w:tc>
          <w:tcPr>
            <w:tcW w:w="840" w:type="dxa"/>
            <w:vAlign w:val="bottom"/>
            <w:tcBorders>
              <w:bottom w:val="single" w:sz="8" w:color="8E939F"/>
            </w:tcBorders>
          </w:tcPr>
          <w:p>
            <w:pPr>
              <w:jc w:val="right"/>
              <w:ind w:right="17"/>
              <w:spacing w:after="0"/>
              <w:rPr>
                <w:sz w:val="20"/>
                <w:szCs w:val="20"/>
                <w:color w:val="auto"/>
              </w:rPr>
            </w:pPr>
            <w:r>
              <w:rPr>
                <w:rFonts w:ascii="Arial" w:cs="Arial" w:eastAsia="Arial" w:hAnsi="Arial"/>
                <w:sz w:val="13"/>
                <w:szCs w:val="13"/>
                <w:color w:val="auto"/>
              </w:rPr>
              <w:t>(10)</w:t>
            </w:r>
          </w:p>
        </w:tc>
        <w:tc>
          <w:tcPr>
            <w:tcW w:w="1140" w:type="dxa"/>
            <w:vAlign w:val="bottom"/>
            <w:tcBorders>
              <w:bottom w:val="single" w:sz="8" w:color="8E939F"/>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8E939F"/>
            </w:tcBorders>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8E939F"/>
            </w:tcBorders>
          </w:tcPr>
          <w:p>
            <w:pPr>
              <w:jc w:val="right"/>
              <w:ind w:right="177"/>
              <w:spacing w:after="0"/>
              <w:rPr>
                <w:sz w:val="20"/>
                <w:szCs w:val="20"/>
                <w:color w:val="auto"/>
              </w:rPr>
            </w:pPr>
            <w:r>
              <w:rPr>
                <w:rFonts w:ascii="Arial" w:cs="Arial" w:eastAsia="Arial" w:hAnsi="Arial"/>
                <w:sz w:val="13"/>
                <w:szCs w:val="13"/>
                <w:color w:val="auto"/>
              </w:rPr>
              <w:t>(3)</w:t>
            </w:r>
          </w:p>
        </w:tc>
        <w:tc>
          <w:tcPr>
            <w:tcW w:w="960" w:type="dxa"/>
            <w:vAlign w:val="bottom"/>
            <w:tcBorders>
              <w:bottom w:val="single" w:sz="8" w:color="8E939F"/>
            </w:tcBorders>
          </w:tcPr>
          <w:p>
            <w:pPr>
              <w:jc w:val="right"/>
              <w:ind w:right="157"/>
              <w:spacing w:after="0"/>
              <w:rPr>
                <w:sz w:val="20"/>
                <w:szCs w:val="20"/>
                <w:color w:val="auto"/>
              </w:rPr>
            </w:pPr>
            <w:r>
              <w:rPr>
                <w:rFonts w:ascii="Arial" w:cs="Arial" w:eastAsia="Arial" w:hAnsi="Arial"/>
                <w:sz w:val="13"/>
                <w:szCs w:val="13"/>
                <w:color w:val="auto"/>
              </w:rPr>
              <w:t>(29)</w:t>
            </w:r>
          </w:p>
        </w:tc>
        <w:tc>
          <w:tcPr>
            <w:tcW w:w="1140" w:type="dxa"/>
            <w:vAlign w:val="bottom"/>
            <w:tcBorders>
              <w:bottom w:val="single" w:sz="8" w:color="8E939F"/>
            </w:tcBorders>
          </w:tcPr>
          <w:p>
            <w:pPr>
              <w:ind w:left="780"/>
              <w:spacing w:after="0"/>
              <w:rPr>
                <w:sz w:val="20"/>
                <w:szCs w:val="20"/>
                <w:color w:val="auto"/>
              </w:rPr>
            </w:pPr>
            <w:r>
              <w:rPr>
                <w:rFonts w:ascii="Arial" w:cs="Arial" w:eastAsia="Arial" w:hAnsi="Arial"/>
                <w:sz w:val="13"/>
                <w:szCs w:val="13"/>
                <w:color w:val="auto"/>
              </w:rPr>
              <w:t>(3)</w:t>
            </w:r>
          </w:p>
        </w:tc>
        <w:tc>
          <w:tcPr>
            <w:tcW w:w="800" w:type="dxa"/>
            <w:vAlign w:val="bottom"/>
            <w:tcBorders>
              <w:bottom w:val="single" w:sz="8" w:color="8E939F"/>
            </w:tcBorders>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E6E7F4"/>
            </w:tcBorders>
            <w:shd w:val="clear" w:color="auto" w:fill="E6E7F4"/>
          </w:tcPr>
          <w:p>
            <w:pPr>
              <w:ind w:left="20"/>
              <w:spacing w:after="0"/>
              <w:rPr>
                <w:sz w:val="20"/>
                <w:szCs w:val="20"/>
                <w:color w:val="auto"/>
              </w:rPr>
            </w:pPr>
            <w:r>
              <w:rPr>
                <w:rFonts w:ascii="Arial" w:cs="Arial" w:eastAsia="Arial" w:hAnsi="Arial"/>
                <w:sz w:val="13"/>
                <w:szCs w:val="13"/>
                <w:b w:val="1"/>
                <w:bCs w:val="1"/>
                <w:color w:val="243782"/>
              </w:rPr>
              <w:t>Total adjustments</w:t>
            </w:r>
          </w:p>
        </w:tc>
        <w:tc>
          <w:tcPr>
            <w:tcW w:w="104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5,684</w:t>
            </w:r>
          </w:p>
        </w:tc>
        <w:tc>
          <w:tcPr>
            <w:tcW w:w="840" w:type="dxa"/>
            <w:vAlign w:val="bottom"/>
            <w:tcBorders>
              <w:bottom w:val="single" w:sz="8" w:color="E6E7F4"/>
            </w:tcBorders>
            <w:shd w:val="clear" w:color="auto" w:fill="E6E7F4"/>
          </w:tcPr>
          <w:p>
            <w:pPr>
              <w:jc w:val="right"/>
              <w:ind w:right="57"/>
              <w:spacing w:after="0"/>
              <w:rPr>
                <w:sz w:val="20"/>
                <w:szCs w:val="20"/>
                <w:color w:val="auto"/>
              </w:rPr>
            </w:pPr>
            <w:r>
              <w:rPr>
                <w:rFonts w:ascii="Arial" w:cs="Arial" w:eastAsia="Arial" w:hAnsi="Arial"/>
                <w:sz w:val="13"/>
                <w:szCs w:val="13"/>
                <w:b w:val="1"/>
                <w:bCs w:val="1"/>
                <w:color w:val="143A84"/>
              </w:rPr>
              <w:t>2,758</w:t>
            </w:r>
          </w:p>
        </w:tc>
        <w:tc>
          <w:tcPr>
            <w:tcW w:w="1140" w:type="dxa"/>
            <w:vAlign w:val="bottom"/>
            <w:tcBorders>
              <w:bottom w:val="single" w:sz="8" w:color="E6E7F4"/>
            </w:tcBorders>
            <w:shd w:val="clear" w:color="auto" w:fill="E6E7F4"/>
          </w:tcPr>
          <w:p>
            <w:pPr>
              <w:jc w:val="right"/>
              <w:ind w:right="237"/>
              <w:spacing w:after="0"/>
              <w:rPr>
                <w:sz w:val="20"/>
                <w:szCs w:val="20"/>
                <w:color w:val="auto"/>
              </w:rPr>
            </w:pPr>
            <w:r>
              <w:rPr>
                <w:rFonts w:ascii="Arial" w:cs="Arial" w:eastAsia="Arial" w:hAnsi="Arial"/>
                <w:sz w:val="13"/>
                <w:szCs w:val="13"/>
                <w:b w:val="1"/>
                <w:bCs w:val="1"/>
                <w:color w:val="143A84"/>
              </w:rPr>
              <w:t>260</w:t>
            </w:r>
          </w:p>
        </w:tc>
        <w:tc>
          <w:tcPr>
            <w:tcW w:w="860" w:type="dxa"/>
            <w:vAlign w:val="bottom"/>
            <w:tcBorders>
              <w:bottom w:val="single" w:sz="8" w:color="E6E7F4"/>
            </w:tcBorders>
            <w:shd w:val="clear" w:color="auto" w:fill="E6E7F4"/>
          </w:tcPr>
          <w:p>
            <w:pPr>
              <w:jc w:val="right"/>
              <w:ind w:right="117"/>
              <w:spacing w:after="0"/>
              <w:rPr>
                <w:sz w:val="20"/>
                <w:szCs w:val="20"/>
                <w:color w:val="auto"/>
              </w:rPr>
            </w:pPr>
            <w:r>
              <w:rPr>
                <w:rFonts w:ascii="Arial" w:cs="Arial" w:eastAsia="Arial" w:hAnsi="Arial"/>
                <w:sz w:val="13"/>
                <w:szCs w:val="13"/>
                <w:b w:val="1"/>
                <w:bCs w:val="1"/>
                <w:color w:val="143A84"/>
              </w:rPr>
              <w:t>330</w:t>
            </w:r>
          </w:p>
        </w:tc>
        <w:tc>
          <w:tcPr>
            <w:tcW w:w="1060" w:type="dxa"/>
            <w:vAlign w:val="bottom"/>
            <w:tcBorders>
              <w:bottom w:val="single" w:sz="8" w:color="E6E7F4"/>
            </w:tcBorders>
            <w:shd w:val="clear" w:color="auto" w:fill="E6E7F4"/>
          </w:tcPr>
          <w:p>
            <w:pPr>
              <w:jc w:val="right"/>
              <w:ind w:right="177"/>
              <w:spacing w:after="0"/>
              <w:rPr>
                <w:sz w:val="20"/>
                <w:szCs w:val="20"/>
                <w:color w:val="auto"/>
              </w:rPr>
            </w:pPr>
            <w:r>
              <w:rPr>
                <w:rFonts w:ascii="Arial" w:cs="Arial" w:eastAsia="Arial" w:hAnsi="Arial"/>
                <w:sz w:val="13"/>
                <w:szCs w:val="13"/>
                <w:b w:val="1"/>
                <w:bCs w:val="1"/>
                <w:color w:val="143A84"/>
              </w:rPr>
              <w:t>(2)</w:t>
            </w:r>
          </w:p>
        </w:tc>
        <w:tc>
          <w:tcPr>
            <w:tcW w:w="960" w:type="dxa"/>
            <w:vAlign w:val="bottom"/>
            <w:tcBorders>
              <w:bottom w:val="single" w:sz="8" w:color="E6E7F4"/>
            </w:tcBorders>
            <w:shd w:val="clear" w:color="auto" w:fill="E6E7F4"/>
          </w:tcPr>
          <w:p>
            <w:pPr>
              <w:jc w:val="right"/>
              <w:ind w:right="197"/>
              <w:spacing w:after="0"/>
              <w:rPr>
                <w:sz w:val="20"/>
                <w:szCs w:val="20"/>
                <w:color w:val="auto"/>
              </w:rPr>
            </w:pPr>
            <w:r>
              <w:rPr>
                <w:rFonts w:ascii="Arial" w:cs="Arial" w:eastAsia="Arial" w:hAnsi="Arial"/>
                <w:sz w:val="13"/>
                <w:szCs w:val="13"/>
                <w:b w:val="1"/>
                <w:bCs w:val="1"/>
                <w:color w:val="143A84"/>
              </w:rPr>
              <w:t>14</w:t>
            </w:r>
          </w:p>
        </w:tc>
        <w:tc>
          <w:tcPr>
            <w:tcW w:w="1140" w:type="dxa"/>
            <w:vAlign w:val="bottom"/>
            <w:tcBorders>
              <w:bottom w:val="single" w:sz="8" w:color="E6E7F4"/>
            </w:tcBorders>
            <w:shd w:val="clear" w:color="auto" w:fill="E6E7F4"/>
          </w:tcPr>
          <w:p>
            <w:pPr>
              <w:ind w:left="780"/>
              <w:spacing w:after="0"/>
              <w:rPr>
                <w:sz w:val="20"/>
                <w:szCs w:val="20"/>
                <w:color w:val="auto"/>
              </w:rPr>
            </w:pPr>
            <w:r>
              <w:rPr>
                <w:rFonts w:ascii="Arial" w:cs="Arial" w:eastAsia="Arial" w:hAnsi="Arial"/>
                <w:sz w:val="13"/>
                <w:szCs w:val="13"/>
                <w:b w:val="1"/>
                <w:bCs w:val="1"/>
                <w:color w:val="143A84"/>
              </w:rPr>
              <w:t>(3)</w:t>
            </w:r>
          </w:p>
        </w:tc>
        <w:tc>
          <w:tcPr>
            <w:tcW w:w="800" w:type="dxa"/>
            <w:vAlign w:val="bottom"/>
            <w:tcBorders>
              <w:bottom w:val="single" w:sz="8" w:color="E6E7F4"/>
            </w:tcBorders>
            <w:shd w:val="clear" w:color="auto" w:fill="E6E7F4"/>
          </w:tcPr>
          <w:p>
            <w:pPr>
              <w:jc w:val="right"/>
              <w:spacing w:after="0"/>
              <w:rPr>
                <w:sz w:val="20"/>
                <w:szCs w:val="20"/>
                <w:color w:val="auto"/>
              </w:rPr>
            </w:pPr>
            <w:r>
              <w:rPr>
                <w:rFonts w:ascii="Arial" w:cs="Arial" w:eastAsia="Arial" w:hAnsi="Arial"/>
                <w:sz w:val="13"/>
                <w:szCs w:val="13"/>
                <w:b w:val="1"/>
                <w:bCs w:val="1"/>
                <w:color w:val="143A84"/>
              </w:rPr>
              <w:t>9,041</w:t>
            </w:r>
          </w:p>
        </w:tc>
        <w:tc>
          <w:tcPr>
            <w:tcW w:w="0" w:type="dxa"/>
            <w:vAlign w:val="bottom"/>
          </w:tcPr>
          <w:p>
            <w:pPr>
              <w:spacing w:after="0"/>
              <w:rPr>
                <w:sz w:val="1"/>
                <w:szCs w:val="1"/>
                <w:color w:val="auto"/>
              </w:rPr>
            </w:pPr>
          </w:p>
        </w:tc>
      </w:tr>
      <w:tr>
        <w:trPr>
          <w:trHeight w:val="215"/>
        </w:trPr>
        <w:tc>
          <w:tcPr>
            <w:tcW w:w="3400" w:type="dxa"/>
            <w:vAlign w:val="bottom"/>
            <w:tcBorders>
              <w:top w:val="single" w:sz="8" w:color="8E939F"/>
              <w:bottom w:val="single" w:sz="8" w:color="F3F3F9"/>
            </w:tcBorders>
            <w:shd w:val="clear" w:color="auto" w:fill="F3F3F9"/>
          </w:tcPr>
          <w:p>
            <w:pPr>
              <w:ind w:left="20"/>
              <w:spacing w:after="0"/>
              <w:rPr>
                <w:sz w:val="20"/>
                <w:szCs w:val="20"/>
                <w:color w:val="auto"/>
              </w:rPr>
            </w:pPr>
            <w:r>
              <w:rPr>
                <w:rFonts w:ascii="Arial" w:cs="Arial" w:eastAsia="Arial" w:hAnsi="Arial"/>
                <w:sz w:val="13"/>
                <w:szCs w:val="13"/>
                <w:b w:val="1"/>
                <w:bCs w:val="1"/>
                <w:color w:val="243782"/>
              </w:rPr>
              <w:t>Adjusted operating income/(loss)</w:t>
            </w:r>
          </w:p>
        </w:tc>
        <w:tc>
          <w:tcPr>
            <w:tcW w:w="104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(1,457)</w:t>
            </w:r>
          </w:p>
        </w:tc>
        <w:tc>
          <w:tcPr>
            <w:tcW w:w="840" w:type="dxa"/>
            <w:vAlign w:val="bottom"/>
            <w:tcBorders>
              <w:top w:val="single" w:sz="8" w:color="8E939F"/>
              <w:bottom w:val="single" w:sz="8" w:color="F3F3F9"/>
            </w:tcBorders>
            <w:shd w:val="clear" w:color="auto" w:fill="F3F3F9"/>
          </w:tcPr>
          <w:p>
            <w:pPr>
              <w:jc w:val="right"/>
              <w:ind w:right="57"/>
              <w:spacing w:after="0"/>
              <w:rPr>
                <w:sz w:val="20"/>
                <w:szCs w:val="20"/>
                <w:color w:val="auto"/>
              </w:rPr>
            </w:pPr>
            <w:r>
              <w:rPr>
                <w:rFonts w:ascii="Arial" w:cs="Arial" w:eastAsia="Arial" w:hAnsi="Arial"/>
                <w:sz w:val="13"/>
                <w:szCs w:val="13"/>
                <w:b w:val="1"/>
                <w:bCs w:val="1"/>
                <w:color w:val="143A84"/>
              </w:rPr>
              <w:t>90</w:t>
            </w:r>
          </w:p>
        </w:tc>
        <w:tc>
          <w:tcPr>
            <w:tcW w:w="1140" w:type="dxa"/>
            <w:vAlign w:val="bottom"/>
            <w:tcBorders>
              <w:top w:val="single" w:sz="8" w:color="8E939F"/>
              <w:bottom w:val="single" w:sz="8" w:color="F3F3F9"/>
            </w:tcBorders>
            <w:shd w:val="clear" w:color="auto" w:fill="F3F3F9"/>
          </w:tcPr>
          <w:p>
            <w:pPr>
              <w:jc w:val="right"/>
              <w:ind w:right="237"/>
              <w:spacing w:after="0"/>
              <w:rPr>
                <w:sz w:val="20"/>
                <w:szCs w:val="20"/>
                <w:color w:val="auto"/>
              </w:rPr>
            </w:pPr>
            <w:r>
              <w:rPr>
                <w:rFonts w:ascii="Arial" w:cs="Arial" w:eastAsia="Arial" w:hAnsi="Arial"/>
                <w:sz w:val="13"/>
                <w:szCs w:val="13"/>
                <w:b w:val="1"/>
                <w:bCs w:val="1"/>
                <w:color w:val="143A84"/>
              </w:rPr>
              <w:t>1,040</w:t>
            </w:r>
          </w:p>
        </w:tc>
        <w:tc>
          <w:tcPr>
            <w:tcW w:w="860" w:type="dxa"/>
            <w:vAlign w:val="bottom"/>
            <w:tcBorders>
              <w:top w:val="single" w:sz="8" w:color="8E939F"/>
              <w:bottom w:val="single" w:sz="8" w:color="F3F3F9"/>
            </w:tcBorders>
            <w:shd w:val="clear" w:color="auto" w:fill="F3F3F9"/>
          </w:tcPr>
          <w:p>
            <w:pPr>
              <w:jc w:val="right"/>
              <w:ind w:right="117"/>
              <w:spacing w:after="0"/>
              <w:rPr>
                <w:sz w:val="20"/>
                <w:szCs w:val="20"/>
                <w:color w:val="auto"/>
              </w:rPr>
            </w:pPr>
            <w:r>
              <w:rPr>
                <w:rFonts w:ascii="Arial" w:cs="Arial" w:eastAsia="Arial" w:hAnsi="Arial"/>
                <w:sz w:val="13"/>
                <w:szCs w:val="13"/>
                <w:b w:val="1"/>
                <w:bCs w:val="1"/>
                <w:color w:val="143A84"/>
              </w:rPr>
              <w:t>1,618</w:t>
            </w:r>
          </w:p>
        </w:tc>
        <w:tc>
          <w:tcPr>
            <w:tcW w:w="1060" w:type="dxa"/>
            <w:vAlign w:val="bottom"/>
            <w:tcBorders>
              <w:top w:val="single" w:sz="8" w:color="8E939F"/>
              <w:bottom w:val="single" w:sz="8" w:color="F3F3F9"/>
            </w:tcBorders>
            <w:shd w:val="clear" w:color="auto" w:fill="F3F3F9"/>
          </w:tcPr>
          <w:p>
            <w:pPr>
              <w:jc w:val="right"/>
              <w:ind w:right="177"/>
              <w:spacing w:after="0"/>
              <w:rPr>
                <w:sz w:val="20"/>
                <w:szCs w:val="20"/>
                <w:color w:val="auto"/>
              </w:rPr>
            </w:pPr>
            <w:r>
              <w:rPr>
                <w:rFonts w:ascii="Arial" w:cs="Arial" w:eastAsia="Arial" w:hAnsi="Arial"/>
                <w:sz w:val="13"/>
                <w:szCs w:val="13"/>
                <w:b w:val="1"/>
                <w:bCs w:val="1"/>
                <w:color w:val="143A84"/>
              </w:rPr>
              <w:t>(4)</w:t>
            </w:r>
          </w:p>
        </w:tc>
        <w:tc>
          <w:tcPr>
            <w:tcW w:w="960" w:type="dxa"/>
            <w:vAlign w:val="bottom"/>
            <w:tcBorders>
              <w:top w:val="single" w:sz="8" w:color="8E939F"/>
              <w:bottom w:val="single" w:sz="8" w:color="F3F3F9"/>
            </w:tcBorders>
            <w:shd w:val="clear" w:color="auto" w:fill="F3F3F9"/>
          </w:tcPr>
          <w:p>
            <w:pPr>
              <w:jc w:val="right"/>
              <w:ind w:right="157"/>
              <w:spacing w:after="0"/>
              <w:rPr>
                <w:sz w:val="20"/>
                <w:szCs w:val="20"/>
                <w:color w:val="auto"/>
              </w:rPr>
            </w:pPr>
            <w:r>
              <w:rPr>
                <w:rFonts w:ascii="Arial" w:cs="Arial" w:eastAsia="Arial" w:hAnsi="Arial"/>
                <w:sz w:val="13"/>
                <w:szCs w:val="13"/>
                <w:b w:val="1"/>
                <w:bCs w:val="1"/>
                <w:color w:val="143A84"/>
              </w:rPr>
              <w:t>(81)</w:t>
            </w:r>
          </w:p>
        </w:tc>
        <w:tc>
          <w:tcPr>
            <w:tcW w:w="1140" w:type="dxa"/>
            <w:vAlign w:val="bottom"/>
            <w:tcBorders>
              <w:top w:val="single" w:sz="8" w:color="8E939F"/>
              <w:bottom w:val="single" w:sz="8" w:color="F3F3F9"/>
            </w:tcBorders>
            <w:shd w:val="clear" w:color="auto" w:fill="F3F3F9"/>
          </w:tcPr>
          <w:p>
            <w:pPr>
              <w:ind w:left="640"/>
              <w:spacing w:after="0"/>
              <w:rPr>
                <w:sz w:val="20"/>
                <w:szCs w:val="20"/>
                <w:color w:val="auto"/>
              </w:rPr>
            </w:pPr>
            <w:r>
              <w:rPr>
                <w:rFonts w:ascii="Arial" w:cs="Arial" w:eastAsia="Arial" w:hAnsi="Arial"/>
                <w:sz w:val="13"/>
                <w:szCs w:val="13"/>
                <w:b w:val="1"/>
                <w:bCs w:val="1"/>
                <w:color w:val="143A84"/>
              </w:rPr>
              <w:t>(576)</w:t>
            </w:r>
          </w:p>
        </w:tc>
        <w:tc>
          <w:tcPr>
            <w:tcW w:w="800" w:type="dxa"/>
            <w:vAlign w:val="bottom"/>
            <w:tcBorders>
              <w:top w:val="single" w:sz="8" w:color="8E939F"/>
              <w:bottom w:val="single" w:sz="8" w:color="F3F3F9"/>
            </w:tcBorders>
            <w:shd w:val="clear" w:color="auto" w:fill="F3F3F9"/>
          </w:tcPr>
          <w:p>
            <w:pPr>
              <w:jc w:val="right"/>
              <w:spacing w:after="0"/>
              <w:rPr>
                <w:sz w:val="20"/>
                <w:szCs w:val="20"/>
                <w:color w:val="auto"/>
              </w:rPr>
            </w:pPr>
            <w:r>
              <w:rPr>
                <w:rFonts w:ascii="Arial" w:cs="Arial" w:eastAsia="Arial" w:hAnsi="Arial"/>
                <w:sz w:val="13"/>
                <w:szCs w:val="13"/>
                <w:b w:val="1"/>
                <w:bCs w:val="1"/>
                <w:color w:val="143A84"/>
              </w:rPr>
              <w:t>630</w:t>
            </w:r>
          </w:p>
        </w:tc>
        <w:tc>
          <w:tcPr>
            <w:tcW w:w="0" w:type="dxa"/>
            <w:vAlign w:val="bottom"/>
          </w:tcPr>
          <w:p>
            <w:pPr>
              <w:spacing w:after="0"/>
              <w:rPr>
                <w:sz w:val="1"/>
                <w:szCs w:val="1"/>
                <w:color w:val="auto"/>
              </w:rPr>
            </w:pPr>
          </w:p>
        </w:tc>
      </w:tr>
      <w:tr>
        <w:trPr>
          <w:trHeight w:val="250"/>
        </w:trPr>
        <w:tc>
          <w:tcPr>
            <w:tcW w:w="3400" w:type="dxa"/>
            <w:vAlign w:val="bottom"/>
            <w:tcBorders>
              <w:top w:val="single" w:sz="8" w:color="8E939F"/>
              <w:bottom w:val="single" w:sz="8" w:color="8E939F"/>
            </w:tcBorders>
          </w:tcPr>
          <w:p>
            <w:pPr>
              <w:spacing w:after="0"/>
              <w:rPr>
                <w:sz w:val="21"/>
                <w:szCs w:val="21"/>
                <w:color w:val="auto"/>
              </w:rPr>
            </w:pPr>
          </w:p>
        </w:tc>
        <w:tc>
          <w:tcPr>
            <w:tcW w:w="1040" w:type="dxa"/>
            <w:vAlign w:val="bottom"/>
            <w:tcBorders>
              <w:top w:val="single" w:sz="8" w:color="8E939F"/>
              <w:bottom w:val="single" w:sz="8" w:color="8E939F"/>
            </w:tcBorders>
          </w:tcPr>
          <w:p>
            <w:pPr>
              <w:spacing w:after="0"/>
              <w:rPr>
                <w:sz w:val="21"/>
                <w:szCs w:val="21"/>
                <w:color w:val="auto"/>
              </w:rPr>
            </w:pPr>
          </w:p>
        </w:tc>
        <w:tc>
          <w:tcPr>
            <w:tcW w:w="84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60" w:type="dxa"/>
            <w:vAlign w:val="bottom"/>
            <w:tcBorders>
              <w:top w:val="single" w:sz="8" w:color="8E939F"/>
              <w:bottom w:val="single" w:sz="8" w:color="8E939F"/>
            </w:tcBorders>
          </w:tcPr>
          <w:p>
            <w:pPr>
              <w:spacing w:after="0"/>
              <w:rPr>
                <w:sz w:val="21"/>
                <w:szCs w:val="21"/>
                <w:color w:val="auto"/>
              </w:rPr>
            </w:pPr>
          </w:p>
        </w:tc>
        <w:tc>
          <w:tcPr>
            <w:tcW w:w="1060" w:type="dxa"/>
            <w:vAlign w:val="bottom"/>
            <w:tcBorders>
              <w:top w:val="single" w:sz="8" w:color="8E939F"/>
              <w:bottom w:val="single" w:sz="8" w:color="8E939F"/>
            </w:tcBorders>
          </w:tcPr>
          <w:p>
            <w:pPr>
              <w:spacing w:after="0"/>
              <w:rPr>
                <w:sz w:val="21"/>
                <w:szCs w:val="21"/>
                <w:color w:val="auto"/>
              </w:rPr>
            </w:pPr>
          </w:p>
        </w:tc>
        <w:tc>
          <w:tcPr>
            <w:tcW w:w="960" w:type="dxa"/>
            <w:vAlign w:val="bottom"/>
            <w:tcBorders>
              <w:top w:val="single" w:sz="8" w:color="8E939F"/>
              <w:bottom w:val="single" w:sz="8" w:color="8E939F"/>
            </w:tcBorders>
          </w:tcPr>
          <w:p>
            <w:pPr>
              <w:spacing w:after="0"/>
              <w:rPr>
                <w:sz w:val="21"/>
                <w:szCs w:val="21"/>
                <w:color w:val="auto"/>
              </w:rPr>
            </w:pPr>
          </w:p>
        </w:tc>
        <w:tc>
          <w:tcPr>
            <w:tcW w:w="1140" w:type="dxa"/>
            <w:vAlign w:val="bottom"/>
            <w:tcBorders>
              <w:top w:val="single" w:sz="8" w:color="8E939F"/>
              <w:bottom w:val="single" w:sz="8" w:color="8E939F"/>
            </w:tcBorders>
          </w:tcPr>
          <w:p>
            <w:pPr>
              <w:spacing w:after="0"/>
              <w:rPr>
                <w:sz w:val="21"/>
                <w:szCs w:val="21"/>
                <w:color w:val="auto"/>
              </w:rPr>
            </w:pPr>
          </w:p>
        </w:tc>
        <w:tc>
          <w:tcPr>
            <w:tcW w:w="800" w:type="dxa"/>
            <w:vAlign w:val="bottom"/>
            <w:tcBorders>
              <w:top w:val="single" w:sz="8" w:color="8E939F"/>
              <w:bottom w:val="single" w:sz="8" w:color="8E939F"/>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400" w:type="dxa"/>
            <w:vAlign w:val="bottom"/>
          </w:tcPr>
          <w:p>
            <w:pPr>
              <w:ind w:left="20"/>
              <w:spacing w:after="0"/>
              <w:rPr>
                <w:sz w:val="20"/>
                <w:szCs w:val="20"/>
                <w:color w:val="auto"/>
              </w:rPr>
            </w:pPr>
            <w:r>
              <w:rPr>
                <w:rFonts w:ascii="Arial" w:cs="Arial" w:eastAsia="Arial" w:hAnsi="Arial"/>
                <w:sz w:val="13"/>
                <w:szCs w:val="13"/>
                <w:color w:val="auto"/>
              </w:rPr>
              <w:t>Share of profit of equity method investees, excluding</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(42)</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(620)</w:t>
            </w:r>
          </w:p>
        </w:tc>
        <w:tc>
          <w:tcPr>
            <w:tcW w:w="1140" w:type="dxa"/>
            <w:vAlign w:val="bottom"/>
          </w:tcPr>
          <w:p>
            <w:pPr>
              <w:jc w:val="right"/>
              <w:ind w:right="237"/>
              <w:spacing w:after="0"/>
              <w:rPr>
                <w:sz w:val="20"/>
                <w:szCs w:val="20"/>
                <w:color w:val="auto"/>
              </w:rPr>
            </w:pPr>
            <w:r>
              <w:rPr>
                <w:rFonts w:ascii="Arial" w:cs="Arial" w:eastAsia="Arial" w:hAnsi="Arial"/>
                <w:sz w:val="13"/>
                <w:szCs w:val="13"/>
                <w:color w:val="auto"/>
              </w:rPr>
              <w:t>20</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60" w:type="dxa"/>
            <w:vAlign w:val="bottom"/>
          </w:tcPr>
          <w:p>
            <w:pPr>
              <w:jc w:val="right"/>
              <w:ind w:right="177"/>
              <w:spacing w:after="0"/>
              <w:rPr>
                <w:sz w:val="20"/>
                <w:szCs w:val="20"/>
                <w:color w:val="auto"/>
              </w:rPr>
            </w:pPr>
            <w:r>
              <w:rPr>
                <w:rFonts w:ascii="Arial" w:cs="Arial" w:eastAsia="Arial" w:hAnsi="Arial"/>
                <w:sz w:val="13"/>
                <w:szCs w:val="13"/>
                <w:color w:val="auto"/>
              </w:rPr>
              <w:t>(7)</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154</w:t>
            </w:r>
          </w:p>
        </w:tc>
        <w:tc>
          <w:tcPr>
            <w:tcW w:w="1140" w:type="dxa"/>
            <w:vAlign w:val="bottom"/>
          </w:tcPr>
          <w:p>
            <w:pPr>
              <w:ind w:left="7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28"/>
        </w:trPr>
        <w:tc>
          <w:tcPr>
            <w:tcW w:w="3400" w:type="dxa"/>
            <w:vAlign w:val="bottom"/>
            <w:tcBorders>
              <w:bottom w:val="single" w:sz="8" w:color="8E939F"/>
            </w:tcBorders>
          </w:tcPr>
          <w:p>
            <w:pPr>
              <w:spacing w:after="0"/>
              <w:rPr>
                <w:sz w:val="2"/>
                <w:szCs w:val="2"/>
                <w:color w:val="auto"/>
              </w:rPr>
            </w:pPr>
          </w:p>
        </w:tc>
        <w:tc>
          <w:tcPr>
            <w:tcW w:w="1040" w:type="dxa"/>
            <w:vAlign w:val="bottom"/>
            <w:tcBorders>
              <w:bottom w:val="single" w:sz="8" w:color="8E939F"/>
            </w:tcBorders>
          </w:tcPr>
          <w:p>
            <w:pPr>
              <w:spacing w:after="0"/>
              <w:rPr>
                <w:sz w:val="2"/>
                <w:szCs w:val="2"/>
                <w:color w:val="auto"/>
              </w:rPr>
            </w:pPr>
          </w:p>
        </w:tc>
        <w:tc>
          <w:tcPr>
            <w:tcW w:w="84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60" w:type="dxa"/>
            <w:vAlign w:val="bottom"/>
            <w:tcBorders>
              <w:bottom w:val="single" w:sz="8" w:color="8E939F"/>
            </w:tcBorders>
          </w:tcPr>
          <w:p>
            <w:pPr>
              <w:spacing w:after="0"/>
              <w:rPr>
                <w:sz w:val="2"/>
                <w:szCs w:val="2"/>
                <w:color w:val="auto"/>
              </w:rPr>
            </w:pPr>
          </w:p>
        </w:tc>
        <w:tc>
          <w:tcPr>
            <w:tcW w:w="1060" w:type="dxa"/>
            <w:vAlign w:val="bottom"/>
            <w:tcBorders>
              <w:bottom w:val="single" w:sz="8" w:color="8E939F"/>
            </w:tcBorders>
          </w:tcPr>
          <w:p>
            <w:pPr>
              <w:spacing w:after="0"/>
              <w:rPr>
                <w:sz w:val="2"/>
                <w:szCs w:val="2"/>
                <w:color w:val="auto"/>
              </w:rPr>
            </w:pPr>
          </w:p>
        </w:tc>
        <w:tc>
          <w:tcPr>
            <w:tcW w:w="960" w:type="dxa"/>
            <w:vAlign w:val="bottom"/>
            <w:tcBorders>
              <w:bottom w:val="single" w:sz="8" w:color="8E939F"/>
            </w:tcBorders>
          </w:tcPr>
          <w:p>
            <w:pPr>
              <w:spacing w:after="0"/>
              <w:rPr>
                <w:sz w:val="2"/>
                <w:szCs w:val="2"/>
                <w:color w:val="auto"/>
              </w:rPr>
            </w:pPr>
          </w:p>
        </w:tc>
        <w:tc>
          <w:tcPr>
            <w:tcW w:w="1140" w:type="dxa"/>
            <w:vAlign w:val="bottom"/>
            <w:tcBorders>
              <w:bottom w:val="single" w:sz="8" w:color="8E939F"/>
            </w:tcBorders>
          </w:tcPr>
          <w:p>
            <w:pPr>
              <w:spacing w:after="0"/>
              <w:rPr>
                <w:sz w:val="2"/>
                <w:szCs w:val="2"/>
                <w:color w:val="auto"/>
              </w:rPr>
            </w:pPr>
          </w:p>
        </w:tc>
        <w:tc>
          <w:tcPr>
            <w:tcW w:w="800" w:type="dxa"/>
            <w:vAlign w:val="bottom"/>
            <w:tcBorders>
              <w:bottom w:val="single" w:sz="8" w:color="8E939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firstLine="8"/>
        <w:spacing w:after="0" w:line="261" w:lineRule="auto"/>
        <w:tabs>
          <w:tab w:leader="none" w:pos="2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With effect from January 1, 2026, the Company’s segment structure was updated to align with how the CODM reviews performance and allocates resources. Under the revised structure, the CODM reviews the business through the following operating and reporting segments: North America; Enlarged Europe; Middle East &amp; Africa; South America; and Asia Pacific. Refer to Note 1, </w:t>
      </w:r>
      <w:r>
        <w:rPr>
          <w:rFonts w:ascii="Arial" w:cs="Arial" w:eastAsia="Arial" w:hAnsi="Arial"/>
          <w:sz w:val="14"/>
          <w:szCs w:val="14"/>
          <w:i w:val="1"/>
          <w:iCs w:val="1"/>
          <w:color w:val="auto"/>
        </w:rPr>
        <w:t>Basis of Preparation</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14"/>
          <w:szCs w:val="14"/>
          <w:color w:val="auto"/>
        </w:rPr>
      </w:pPr>
    </w:p>
    <w:p>
      <w:pPr>
        <w:ind w:right="100" w:firstLine="8"/>
        <w:spacing w:after="0" w:line="261" w:lineRule="auto"/>
        <w:tabs>
          <w:tab w:leader="none" w:pos="2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Related to the change in estimate for contractual warranty provisions, resulting from the reassessment of the estimation process, taking into account recent increases in cost inflation and a deterioration in quality, as a result of operational choices, which did not deliver the expected quality performance</w:t>
      </w: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Primarily related to costs incurred as result of product plan realignments and program cancellations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Primarily related to workforce reductions, mainly in Enlarged Europe, partially offset by a €72 million reduction in estimated North America restructuring costs</w:t>
      </w:r>
    </w:p>
    <w:p>
      <w:pPr>
        <w:spacing w:after="0" w:line="14" w:lineRule="exact"/>
        <w:rPr>
          <w:rFonts w:ascii="Arial" w:cs="Arial" w:eastAsia="Arial" w:hAnsi="Arial"/>
          <w:sz w:val="14"/>
          <w:szCs w:val="14"/>
          <w:color w:val="auto"/>
        </w:rPr>
      </w:pPr>
    </w:p>
    <w:p>
      <w:pPr>
        <w:ind w:right="120" w:firstLine="8"/>
        <w:spacing w:after="0" w:line="261" w:lineRule="auto"/>
        <w:tabs>
          <w:tab w:leader="none" w:pos="2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During the nine months ended September 30, 2025, Stellantis decided to discontinue its fuel cell strategy. As a result, the following items have been impaired: (i) investment in Symbio (€179 million), (ii) loans granted to Symbio (€162 million), (iii) capitalized development expenditures and property, plant and equipment related to fuel cells (€341 million), (iv) in addition, provisions for risks were recognized (€110 million) and (v) other expenses (€20 million)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Due to reduced volumes, platforms used for Maserati and Alfa Romeo vehicles were impaired and recognized in Enlarged Europe for €579 million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Related to stop-drive campaigns on certain vehicles in Enlarged Europe announced in June 2025</w:t>
      </w:r>
    </w:p>
    <w:p>
      <w:pPr>
        <w:spacing w:after="0" w:line="14" w:lineRule="exact"/>
        <w:rPr>
          <w:rFonts w:ascii="Arial" w:cs="Arial" w:eastAsia="Arial" w:hAnsi="Arial"/>
          <w:sz w:val="14"/>
          <w:szCs w:val="14"/>
          <w:color w:val="auto"/>
        </w:rPr>
      </w:pPr>
    </w:p>
    <w:p>
      <w:pPr>
        <w:ind w:right="340" w:firstLine="8"/>
        <w:spacing w:after="0" w:line="261" w:lineRule="auto"/>
        <w:tabs>
          <w:tab w:leader="none" w:pos="2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a result of the elimination of CAFE fines with the enactment of the OBBB, the Company recognized a net expense of €97 million, comprised of net €172 million of CAFE credits recognized as a reduction of Cost of revenues, which remains included in AOI as these amounts reduced prior year CAFE fines, and a net expense of</w:t>
      </w:r>
    </w:p>
    <w:p>
      <w:pPr>
        <w:ind w:right="20"/>
        <w:spacing w:after="0" w:line="251" w:lineRule="auto"/>
        <w:rPr>
          <w:rFonts w:ascii="Arial" w:cs="Arial" w:eastAsia="Arial" w:hAnsi="Arial"/>
          <w:sz w:val="14"/>
          <w:szCs w:val="14"/>
          <w:color w:val="auto"/>
        </w:rPr>
      </w:pPr>
      <w:r>
        <w:rPr>
          <w:rFonts w:ascii="Arial" w:cs="Arial" w:eastAsia="Arial" w:hAnsi="Arial"/>
          <w:sz w:val="14"/>
          <w:szCs w:val="14"/>
          <w:color w:val="auto"/>
        </w:rPr>
        <w:t>€269 million, which is excluded from AOI and comprised of (i) elimination of the CAFE provision of €844 million, (ii) impairment of the regulatory credit assets of €609 million, and (iii) onerous contracts related to contractual purchase commitments for CAFE credits of €504 million</w:t>
      </w:r>
    </w:p>
    <w:p>
      <w:pPr>
        <w:ind w:right="100" w:firstLine="8"/>
        <w:spacing w:after="0" w:line="261" w:lineRule="auto"/>
        <w:tabs>
          <w:tab w:leader="none" w:pos="222" w:val="left"/>
        </w:tabs>
        <w:numPr>
          <w:ilvl w:val="0"/>
          <w:numId w:val="69"/>
        </w:numPr>
        <w:rPr>
          <w:rFonts w:ascii="Arial" w:cs="Arial" w:eastAsia="Arial" w:hAnsi="Arial"/>
          <w:sz w:val="14"/>
          <w:szCs w:val="14"/>
          <w:color w:val="auto"/>
        </w:rPr>
      </w:pPr>
      <w:r>
        <w:rPr>
          <w:rFonts w:ascii="Arial" w:cs="Arial" w:eastAsia="Arial" w:hAnsi="Arial"/>
          <w:sz w:val="14"/>
          <w:szCs w:val="14"/>
          <w:color w:val="auto"/>
        </w:rPr>
        <w:t>Sale of Stellantis Türkiye to the Company’s joint venture, Tofas, for which the Company recognized an estimated loss on disposal of €246 million, driven primarily by the recycling of the cumulative translation reserve from Equity to the Consolidated Income Statement upon disposal</w:t>
      </w:r>
    </w:p>
    <w:p>
      <w:pPr>
        <w:ind w:right="240" w:firstLine="8"/>
        <w:spacing w:after="0" w:line="284" w:lineRule="auto"/>
        <w:tabs>
          <w:tab w:leader="none" w:pos="303"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Comprised primarily of (i) net costs to support the workforce during the transformation of certain plants in North America, (ii) gains on sales of real estate in Enlarged Europe, and (iii) a gain from dilution related to the investment in Archer Aviation</w:t>
      </w:r>
    </w:p>
    <w:p>
      <w:pPr>
        <w:sectPr>
          <w:pgSz w:w="11900" w:h="16838" w:orient="portrait"/>
          <w:cols w:equalWidth="0" w:num="1">
            <w:col w:w="11240"/>
          </w:cols>
          <w:pgMar w:left="320" w:top="1440"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143A84"/>
        </w:rPr>
        <w:t>22. Subsequent events</w:t>
      </w:r>
    </w:p>
    <w:p>
      <w:pPr>
        <w:spacing w:after="0" w:line="252" w:lineRule="exact"/>
        <w:rPr>
          <w:sz w:val="20"/>
          <w:szCs w:val="20"/>
          <w:color w:val="auto"/>
        </w:rPr>
      </w:pPr>
    </w:p>
    <w:p>
      <w:pPr>
        <w:ind w:right="140"/>
        <w:spacing w:after="0" w:line="309" w:lineRule="auto"/>
        <w:rPr>
          <w:sz w:val="20"/>
          <w:szCs w:val="20"/>
          <w:color w:val="auto"/>
        </w:rPr>
      </w:pPr>
      <w:r>
        <w:rPr>
          <w:rFonts w:ascii="Arial" w:cs="Arial" w:eastAsia="Arial" w:hAnsi="Arial"/>
          <w:sz w:val="18"/>
          <w:szCs w:val="18"/>
          <w:color w:val="auto"/>
        </w:rPr>
        <w:t>Effective October 1, 2026, amendments to the governance arrangements of Shandong UAP Auto Union E-Commerce Co., Ltd. (“UAP”) became effective. Although the Company continues to hold a 53.5 percent equity interest in UAP, the amended arrangements result in the Company no longer having the unilateral ability to direct UAP’s relevant activities. UAP will therefore cease to be consolidated from October 1, 2026 and the retained interest will be accounted for as an investment in an associate using the equity method.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October 2026, SFS U.S., through First Investors Auto Owner Trust 2026-2, issued six classes of ABS Term Notes totaling €456 million</w:t>
      </w:r>
    </w:p>
    <w:p>
      <w:pPr>
        <w:spacing w:after="0" w:line="50"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($518 million) in aggregate. The notes issued in each class bear a fixed rate. The ABS Term Notes are secured by a pool of near prime retail loans.</w:t>
      </w:r>
    </w:p>
    <w:p>
      <w:pPr>
        <w:spacing w:after="0" w:line="153"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In October 2026, the first contractual one-year extension option under the SFS RCF was exercised, extending the maturity of the €1.1 billion tranche (US$1.3 billion) tranche from December 2026 to December 2027 and the €0.8 billion tranche (US$1.0 billion) tranche from December 2028 to December 2029.</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lvl w:ilvl="1">
      <w:lvlJc w:val="left"/>
      <w:lvlText w:val="(%2)"/>
      <w:numFmt w:val="lowerRoman"/>
      <w:start w:val="2"/>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lvl w:ilvl="1">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lvl w:ilvl="1">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lvl w:ilvl="1">
      <w:lvlJc w:val="left"/>
      <w:lvlText w:val="•"/>
      <w:numFmt w:val="bullet"/>
      <w:start w:val="1"/>
    </w:lvl>
  </w:abstractNum>
  <w:abstractNum w:abstractNumId="43">
    <w:nsid w:val="39386575"/>
    <w:multiLevelType w:val="hybridMultilevel"/>
    <w:lvl w:ilvl="0">
      <w:lvlJc w:val="left"/>
      <w:lvlText w:val="•"/>
      <w:numFmt w:val="bullet"/>
      <w:start w:val="1"/>
    </w:lvl>
    <w:lvl w:ilvl="1">
      <w:lvlJc w:val="left"/>
      <w:lvlText w:val="•"/>
      <w:numFmt w:val="bullet"/>
      <w:start w:val="1"/>
    </w:lvl>
  </w:abstractNum>
  <w:abstractNum w:abstractNumId="44">
    <w:nsid w:val="1CF10FD8"/>
    <w:multiLevelType w:val="hybridMultilevel"/>
    <w:lvl w:ilvl="0">
      <w:lvlJc w:val="left"/>
      <w:lvlText w:val="•"/>
      <w:numFmt w:val="bullet"/>
      <w:start w:val="1"/>
    </w:lvl>
    <w:lvl w:ilvl="1">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2"/>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2026-10-28T16:25:40Z</dcterms:created>
  <dcterms:modified xsi:type="dcterms:W3CDTF">2026-10-28T16:25:40Z</dcterms:modified>
</cp:coreProperties>
</file>