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0002093413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Stellantis N.V.</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001-36675</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31237001511</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Joao Laranjo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16947</w:t>
            </w:r>
          </w:p>
        </w:tc>
        <w:tc>
          <w:tcPr>
            <w:tcW w:w="1388" w:type="dxa"/>
            <w:tcBorders/>
            <w:vAlign w:val="center"/>
          </w:tcPr>
          <w:p>
            <w:pPr>
              <w:pStyle w:val="TableContents"/>
              <w:bidi w:val="0"/>
              <w:spacing w:before="0" w:after="283"/>
              <w:jc w:val="left"/>
              <w:rPr/>
            </w:pPr>
            <w:r>
              <w:rPr/>
              <w:t>131543.5</w:t>
            </w:r>
          </w:p>
        </w:tc>
        <w:tc>
          <w:tcPr>
            <w:tcW w:w="1562" w:type="dxa"/>
            <w:tcBorders/>
            <w:vAlign w:val="center"/>
          </w:tcPr>
          <w:p>
            <w:pPr>
              <w:pStyle w:val="TableContents"/>
              <w:bidi w:val="0"/>
              <w:spacing w:before="0" w:after="283"/>
              <w:jc w:val="left"/>
              <w:rPr/>
            </w:pPr>
            <w:r>
              <w:rPr/>
              <w:t>2897483196</w:t>
            </w:r>
          </w:p>
        </w:tc>
        <w:tc>
          <w:tcPr>
            <w:tcW w:w="1573" w:type="dxa"/>
            <w:tcBorders/>
            <w:vAlign w:val="center"/>
          </w:tcPr>
          <w:p>
            <w:pPr>
              <w:pStyle w:val="TableContents"/>
              <w:bidi w:val="0"/>
              <w:spacing w:before="0" w:after="283"/>
              <w:jc w:val="left"/>
              <w:rPr/>
            </w:pPr>
            <w:r>
              <w:rPr/>
              <w:t>06/01/2026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05/28/2026</w:t>
            </w:r>
          </w:p>
        </w:tc>
        <w:tc>
          <w:tcPr>
            <w:tcW w:w="1430" w:type="dxa"/>
            <w:tcBorders/>
            <w:vAlign w:val="center"/>
          </w:tcPr>
          <w:p>
            <w:pPr>
              <w:pStyle w:val="TableContents"/>
              <w:bidi w:val="0"/>
              <w:spacing w:before="0" w:after="283"/>
              <w:jc w:val="left"/>
              <w:rPr/>
            </w:pPr>
            <w:r>
              <w:rPr/>
              <w:t>RSU and PSU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14814</w:t>
            </w:r>
          </w:p>
        </w:tc>
        <w:tc>
          <w:tcPr>
            <w:tcW w:w="1046" w:type="dxa"/>
            <w:tcBorders/>
            <w:vAlign w:val="center"/>
          </w:tcPr>
          <w:p>
            <w:pPr>
              <w:pStyle w:val="TableContents"/>
              <w:bidi w:val="0"/>
              <w:spacing w:before="0" w:after="283"/>
              <w:jc w:val="left"/>
              <w:rPr/>
            </w:pPr>
            <w:r>
              <w:rPr/>
              <w:t>05/28/2026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88"/>
        <w:gridCol w:w="8317"/>
      </w:tblGrid>
      <w:tr>
        <w:trPr/>
        <w:tc>
          <w:tcPr>
            <w:tcW w:w="1888" w:type="dxa"/>
            <w:tcBorders/>
            <w:vAlign w:val="center"/>
          </w:tcPr>
          <w:p>
            <w:pPr>
              <w:pStyle w:val="TableContents"/>
              <w:bidi w:val="0"/>
              <w:spacing w:before="0" w:after="283"/>
              <w:jc w:val="left"/>
              <w:rPr/>
            </w:pPr>
            <w:r>
              <w:rPr/>
              <w:t>Remarks</w:t>
            </w:r>
          </w:p>
        </w:tc>
        <w:tc>
          <w:tcPr>
            <w:tcW w:w="8317" w:type="dxa"/>
            <w:tcBorders/>
            <w:vAlign w:val="center"/>
          </w:tcPr>
          <w:p>
            <w:pPr>
              <w:pStyle w:val="TableContents"/>
              <w:bidi w:val="0"/>
              <w:spacing w:before="0" w:after="283"/>
              <w:jc w:val="left"/>
              <w:rPr>
                <w:sz w:val="4"/>
                <w:szCs w:val="4"/>
              </w:rPr>
            </w:pPr>
            <w:r>
              <w:rPr>
                <w:sz w:val="4"/>
                <w:szCs w:val="4"/>
              </w:rPr>
            </w:r>
          </w:p>
        </w:tc>
      </w:tr>
      <w:tr>
        <w:trPr/>
        <w:tc>
          <w:tcPr>
            <w:tcW w:w="1888" w:type="dxa"/>
            <w:tcBorders/>
            <w:vAlign w:val="center"/>
          </w:tcPr>
          <w:p>
            <w:pPr>
              <w:pStyle w:val="TableContents"/>
              <w:bidi w:val="0"/>
              <w:spacing w:before="0" w:after="283"/>
              <w:jc w:val="left"/>
              <w:rPr/>
            </w:pPr>
            <w:r>
              <w:rPr/>
              <w:t>Date of Notice</w:t>
            </w:r>
          </w:p>
        </w:tc>
        <w:tc>
          <w:tcPr>
            <w:tcW w:w="8317"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88" w:type="dxa"/>
            <w:tcBorders/>
            <w:vAlign w:val="center"/>
          </w:tcPr>
          <w:p>
            <w:pPr>
              <w:pStyle w:val="TableContents"/>
              <w:bidi w:val="0"/>
              <w:spacing w:before="0" w:after="283"/>
              <w:jc w:val="left"/>
              <w:rPr/>
            </w:pPr>
            <w:r>
              <w:rPr/>
              <w:t>Signature</w:t>
            </w:r>
          </w:p>
        </w:tc>
        <w:tc>
          <w:tcPr>
            <w:tcW w:w="8317" w:type="dxa"/>
            <w:tcBorders/>
            <w:vAlign w:val="center"/>
          </w:tcPr>
          <w:p>
            <w:pPr>
              <w:pStyle w:val="TableContents"/>
              <w:bidi w:val="0"/>
              <w:spacing w:before="0" w:after="0"/>
              <w:jc w:val="left"/>
              <w:rPr/>
            </w:pPr>
            <w:r>
              <w:rPr/>
              <w:t>J.P. Morgan Securities LLC, Workplace Solutions, as Agent and Attorney in Fact for Joao Laranjo,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2995</Characters>
  <CharactersWithSpaces>3535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