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216535</wp:posOffset>
            </wp:positionH>
            <wp:positionV relativeFrom="page">
              <wp:posOffset>697230</wp:posOffset>
            </wp:positionV>
            <wp:extent cx="7115175" cy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151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216535</wp:posOffset>
            </wp:positionH>
            <wp:positionV relativeFrom="page">
              <wp:posOffset>662940</wp:posOffset>
            </wp:positionV>
            <wp:extent cx="7115175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151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SECURITIES AND EXCHANGE COMMISSION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b w:val="1"/>
          <w:bCs w:val="1"/>
          <w:color w:val="auto"/>
        </w:rPr>
        <w:t>Washington, D.C. 20549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33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b w:val="1"/>
          <w:bCs w:val="1"/>
          <w:color w:val="auto"/>
        </w:rPr>
        <w:t>_______________________________</w:t>
      </w: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FORM 6-K</w:t>
      </w:r>
    </w:p>
    <w:p>
      <w:pPr>
        <w:spacing w:after="0" w:line="137" w:lineRule="exact"/>
        <w:rPr>
          <w:sz w:val="24"/>
          <w:szCs w:val="24"/>
          <w:color w:val="auto"/>
        </w:rPr>
      </w:pPr>
    </w:p>
    <w:p>
      <w:pPr>
        <w:ind w:left="33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b w:val="1"/>
          <w:bCs w:val="1"/>
          <w:color w:val="auto"/>
        </w:rPr>
        <w:t>_______________________________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jc w:val="center"/>
        <w:ind w:left="420" w:right="439"/>
        <w:spacing w:after="0" w:line="26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REPORT OF FOREIGN PRIVATE ISSUER PURSUANT TO RULE 13a-16 OR 15d-16 OF THE SECURITIES EXCHANGE ACT OF 1934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34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t>For the month of October 2026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34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t>Commission File No. 001-36675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33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b w:val="1"/>
          <w:bCs w:val="1"/>
          <w:color w:val="auto"/>
        </w:rPr>
        <w:t>_______________________________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STELLANTIS N.V.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t>(Translation of Registrant’s Name Into English)</w:t>
      </w:r>
    </w:p>
    <w:p>
      <w:pPr>
        <w:spacing w:after="0" w:line="327" w:lineRule="exact"/>
        <w:rPr>
          <w:sz w:val="24"/>
          <w:szCs w:val="24"/>
          <w:color w:val="auto"/>
        </w:rPr>
      </w:pPr>
    </w:p>
    <w:p>
      <w:pPr>
        <w:ind w:left="33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b w:val="1"/>
          <w:bCs w:val="1"/>
          <w:color w:val="auto"/>
        </w:rPr>
        <w:t>_______________________________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t>Taurusavenue 1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t>2132 LS Hoofddorp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t>The Netherlands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t>Tel. No.: +31 23 700 1511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t>(Address of Principal Executive Offices)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33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b w:val="1"/>
          <w:bCs w:val="1"/>
          <w:color w:val="auto"/>
        </w:rPr>
        <w:t>_______________________________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7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Indicate by check mark whether the registrant files or will file annual reports under cover of Form 20-F or Form 40-F.</w:t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 xml:space="preserve">Form 20-F </w:t>
      </w:r>
      <w:r>
        <w:rPr>
          <w:rFonts w:ascii="Wingdings" w:cs="Wingdings" w:eastAsia="Wingdings" w:hAnsi="Wingdings"/>
          <w:sz w:val="14"/>
          <w:szCs w:val="14"/>
          <w:b w:val="1"/>
          <w:bCs w:val="1"/>
          <w:color w:val="auto"/>
        </w:rPr>
        <w:t>x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 xml:space="preserve"> Form 40-F </w:t>
      </w:r>
      <w:r>
        <w:rPr>
          <w:rFonts w:ascii="Wingdings" w:cs="Wingdings" w:eastAsia="Wingdings" w:hAnsi="Wingdings"/>
          <w:sz w:val="14"/>
          <w:szCs w:val="14"/>
          <w:b w:val="1"/>
          <w:bCs w:val="1"/>
          <w:color w:val="auto"/>
        </w:rPr>
        <w:t>o</w:t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 xml:space="preserve">Indicate by check mark if the registrant is submitting the Form 6-K in paper as permitted by Regulation S-T Rule101(b)(1): </w:t>
      </w:r>
      <w:r>
        <w:rPr>
          <w:rFonts w:ascii="Wingdings" w:cs="Wingdings" w:eastAsia="Wingdings" w:hAnsi="Wingdings"/>
          <w:sz w:val="14"/>
          <w:szCs w:val="14"/>
          <w:b w:val="1"/>
          <w:bCs w:val="1"/>
          <w:color w:val="auto"/>
        </w:rPr>
        <w:t>o</w:t>
      </w: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 xml:space="preserve">Indicate by check mark if the registrant is submitting the Form 6-K in paper as permitted by Regulation S-T Rule101(b)(7): </w:t>
      </w:r>
      <w:r>
        <w:rPr>
          <w:rFonts w:ascii="Wingdings" w:cs="Wingdings" w:eastAsia="Wingdings" w:hAnsi="Wingdings"/>
          <w:sz w:val="14"/>
          <w:szCs w:val="14"/>
          <w:b w:val="1"/>
          <w:bCs w:val="1"/>
          <w:color w:val="auto"/>
        </w:rPr>
        <w:t>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-697230</wp:posOffset>
            </wp:positionH>
            <wp:positionV relativeFrom="paragraph">
              <wp:posOffset>3115310</wp:posOffset>
            </wp:positionV>
            <wp:extent cx="7115175" cy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151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-697230</wp:posOffset>
            </wp:positionH>
            <wp:positionV relativeFrom="paragraph">
              <wp:posOffset>3081020</wp:posOffset>
            </wp:positionV>
            <wp:extent cx="7115175" cy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151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9019"/>
          </w:cols>
          <w:pgMar w:left="1440" w:top="1416" w:right="1440" w:bottom="144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The following exhibit is furnished herewith: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ind w:left="460"/>
        <w:spacing w:after="0"/>
        <w:tabs>
          <w:tab w:leader="none" w:pos="16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Exhibit 99.1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Stellantis N.V. Supplemental Information as of and for the three and nine months ended September 30, 2026</w:t>
      </w:r>
    </w:p>
    <w:p>
      <w:pPr>
        <w:sectPr>
          <w:pgSz w:w="11900" w:h="16838" w:orient="portrait"/>
          <w:cols w:equalWidth="0" w:num="1">
            <w:col w:w="10200"/>
          </w:cols>
          <w:pgMar w:left="320" w:top="1116" w:right="1379" w:bottom="1440" w:gutter="0" w:footer="0" w:header="0"/>
        </w:sectPr>
      </w:pPr>
    </w:p>
    <w:bookmarkStart w:id="2" w:name="page3"/>
    <w:bookmarkEnd w:id="2"/>
    <w:p>
      <w:pPr>
        <w:jc w:val="center"/>
        <w:ind w:right="-37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auto"/>
        </w:rPr>
        <w:t>SIGNATURE</w:t>
      </w:r>
    </w:p>
    <w:p>
      <w:pPr>
        <w:spacing w:after="0" w:line="274" w:lineRule="exact"/>
        <w:rPr>
          <w:sz w:val="20"/>
          <w:szCs w:val="20"/>
          <w:color w:val="auto"/>
        </w:rPr>
      </w:pPr>
    </w:p>
    <w:p>
      <w:pPr>
        <w:ind w:firstLine="648"/>
        <w:spacing w:after="0" w:line="32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Pursuant to the requirements of the Securities Exchange Act of 1934, the registrant has duly caused this report to be signed on its behalf by the undersigned, thereunto duly authorized.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6" w:lineRule="exact"/>
        <w:rPr>
          <w:sz w:val="20"/>
          <w:szCs w:val="20"/>
          <w:color w:val="auto"/>
        </w:rPr>
      </w:pPr>
    </w:p>
    <w:p>
      <w:pPr>
        <w:ind w:left="1100"/>
        <w:spacing w:after="0"/>
        <w:tabs>
          <w:tab w:leader="none" w:pos="54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Date: October 28, 2026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STELLANTIS N.V.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5" w:lineRule="exact"/>
        <w:rPr>
          <w:sz w:val="20"/>
          <w:szCs w:val="20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By: /s/ Joao Laranjo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3965575</wp:posOffset>
            </wp:positionH>
            <wp:positionV relativeFrom="paragraph">
              <wp:posOffset>22860</wp:posOffset>
            </wp:positionV>
            <wp:extent cx="252031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0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63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Name: Joao Laranjo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3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Title: Chief Financial Officer</w:t>
      </w:r>
    </w:p>
    <w:p>
      <w:pPr>
        <w:sectPr>
          <w:pgSz w:w="11900" w:h="16838" w:orient="portrait"/>
          <w:cols w:equalWidth="0" w:num="1">
            <w:col w:w="10880"/>
          </w:cols>
          <w:pgMar w:left="320" w:top="1152" w:right="699" w:bottom="1440" w:gutter="0" w:footer="0" w:header="0"/>
        </w:sectPr>
      </w:pPr>
    </w:p>
    <w:bookmarkStart w:id="3" w:name="page4"/>
    <w:bookmarkEnd w:id="3"/>
    <w:p>
      <w:pPr>
        <w:ind w:left="49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auto"/>
        </w:rPr>
        <w:t>Index of Exhibits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Exhibit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u w:val="single" w:color="auto"/>
          <w:color w:val="auto"/>
        </w:rPr>
        <w:t>Number Description of Exhibit</w:t>
      </w:r>
    </w:p>
    <w:p>
      <w:pPr>
        <w:spacing w:after="0" w:line="227" w:lineRule="exact"/>
        <w:rPr>
          <w:sz w:val="20"/>
          <w:szCs w:val="20"/>
          <w:color w:val="auto"/>
        </w:rPr>
      </w:pPr>
    </w:p>
    <w:p>
      <w:pPr>
        <w:ind w:left="40"/>
        <w:spacing w:after="0"/>
        <w:tabs>
          <w:tab w:leader="none" w:pos="5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99.1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Stellantis N.V. Supplemental Information as of and for the three and nine months ended September 30, 2026</w:t>
      </w:r>
    </w:p>
    <w:p>
      <w:pPr>
        <w:sectPr>
          <w:pgSz w:w="11900" w:h="16838" w:orient="portrait"/>
          <w:cols w:equalWidth="0" w:num="1">
            <w:col w:w="10139"/>
          </w:cols>
          <w:pgMar w:left="320" w:top="909" w:right="1440" w:bottom="1440" w:gutter="0" w:footer="0" w:header="0"/>
        </w:sectPr>
      </w:pPr>
    </w:p>
    <w:bookmarkStart w:id="4" w:name="page5"/>
    <w:bookmarkEnd w:id="4"/>
    <w:p>
      <w:pPr>
        <w:spacing w:after="0" w:line="20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2273935</wp:posOffset>
            </wp:positionH>
            <wp:positionV relativeFrom="page">
              <wp:posOffset>88900</wp:posOffset>
            </wp:positionV>
            <wp:extent cx="3008630" cy="8489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8630" cy="848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Exhibit 99.1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4C639D"/>
        </w:rPr>
        <w:t>Income Statement by activity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i w:val="1"/>
          <w:iCs w:val="1"/>
          <w:color w:val="4C639D"/>
        </w:rPr>
        <w:t>Unaudited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58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4C639D"/>
        </w:rPr>
        <w:t>For the three months ended September 30,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2207895</wp:posOffset>
            </wp:positionH>
            <wp:positionV relativeFrom="paragraph">
              <wp:posOffset>22860</wp:posOffset>
            </wp:positionV>
            <wp:extent cx="492887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88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240"/>
          </w:cols>
          <w:pgMar w:left="320" w:top="1440" w:right="339" w:bottom="144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1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424242"/>
        </w:rPr>
        <w:t>(€ million)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21590</wp:posOffset>
            </wp:positionV>
            <wp:extent cx="213423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42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32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424242"/>
        </w:rPr>
        <w:t>Net revenues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81280</wp:posOffset>
            </wp:positionV>
            <wp:extent cx="213423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42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6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424242"/>
        </w:rPr>
        <w:t>Cost of revenues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81280</wp:posOffset>
            </wp:positionV>
            <wp:extent cx="213423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42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6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424242"/>
        </w:rPr>
        <w:t>Selling, general and other costs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81280</wp:posOffset>
            </wp:positionV>
            <wp:extent cx="2134235" cy="825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42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6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424242"/>
        </w:rPr>
        <w:t>Research and development costs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81280</wp:posOffset>
            </wp:positionV>
            <wp:extent cx="2134235" cy="825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42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6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424242"/>
        </w:rPr>
        <w:t>Gains/(losses) on disposal of investments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81280</wp:posOffset>
            </wp:positionV>
            <wp:extent cx="2134235" cy="889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42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6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424242"/>
        </w:rPr>
        <w:t>Restructuring costs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81280</wp:posOffset>
            </wp:positionV>
            <wp:extent cx="2134235" cy="889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42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32" w:lineRule="exact"/>
        <w:rPr>
          <w:sz w:val="20"/>
          <w:szCs w:val="20"/>
          <w:color w:val="auto"/>
        </w:rPr>
      </w:pPr>
    </w:p>
    <w:p>
      <w:pPr>
        <w:ind w:left="20"/>
        <w:spacing w:after="0" w:line="24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424242"/>
        </w:rPr>
        <w:t>Share of the profit/(loss) of equity method investees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10160</wp:posOffset>
            </wp:positionV>
            <wp:extent cx="2134235" cy="8255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42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4C639D"/>
        </w:rPr>
        <w:t>Operating income/(loss)</w:t>
      </w:r>
      <w:r>
        <w:rPr>
          <w:rFonts w:ascii="Arial" w:cs="Arial" w:eastAsia="Arial" w:hAnsi="Arial"/>
          <w:sz w:val="19"/>
          <w:szCs w:val="19"/>
          <w:b w:val="1"/>
          <w:bCs w:val="1"/>
          <w:color w:val="4C639D"/>
          <w:vertAlign w:val="superscript"/>
        </w:rPr>
        <w:t>(1)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-5715</wp:posOffset>
            </wp:positionV>
            <wp:extent cx="2134235" cy="17145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4235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424242"/>
        </w:rPr>
        <w:t>Net financial expenses/(income)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81280</wp:posOffset>
            </wp:positionV>
            <wp:extent cx="2134235" cy="8255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42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4C639D"/>
        </w:rPr>
        <w:t>Profit/(loss) before taxes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82550</wp:posOffset>
            </wp:positionV>
            <wp:extent cx="2134235" cy="17145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4235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2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424242"/>
        </w:rPr>
        <w:t>Tax expense/(benefit)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81280</wp:posOffset>
            </wp:positionV>
            <wp:extent cx="2134235" cy="8255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42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32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424242"/>
        </w:rPr>
        <w:t>Result from intersegment investments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21590</wp:posOffset>
            </wp:positionV>
            <wp:extent cx="2134235" cy="8255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42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30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4C639D"/>
        </w:rPr>
        <w:t>Net profit/(loss)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262890</wp:posOffset>
            </wp:positionV>
            <wp:extent cx="2134235" cy="889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42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82550</wp:posOffset>
            </wp:positionV>
            <wp:extent cx="2134235" cy="17145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4235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0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4C639D"/>
        </w:rPr>
        <w:t>Adjusted operating income/(loss)</w:t>
      </w:r>
      <w:r>
        <w:rPr>
          <w:rFonts w:ascii="Arial" w:cs="Arial" w:eastAsia="Arial" w:hAnsi="Arial"/>
          <w:sz w:val="19"/>
          <w:szCs w:val="19"/>
          <w:b w:val="1"/>
          <w:bCs w:val="1"/>
          <w:color w:val="4C639D"/>
          <w:vertAlign w:val="superscript"/>
        </w:rPr>
        <w:t>(1)(2)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53340</wp:posOffset>
            </wp:positionV>
            <wp:extent cx="2134235" cy="17145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4235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8"/>
        </w:trPr>
        <w:tc>
          <w:tcPr>
            <w:tcW w:w="1220" w:type="dxa"/>
            <w:vAlign w:val="bottom"/>
            <w:tcBorders>
              <w:bottom w:val="single" w:sz="8" w:color="616161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616161"/>
            </w:tcBorders>
            <w:gridSpan w:val="2"/>
          </w:tcPr>
          <w:p>
            <w:pPr>
              <w:jc w:val="center"/>
              <w:ind w:lef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4C639D"/>
              </w:rPr>
              <w:t>2026</w:t>
            </w:r>
          </w:p>
        </w:tc>
        <w:tc>
          <w:tcPr>
            <w:tcW w:w="100" w:type="dxa"/>
            <w:vAlign w:val="bottom"/>
            <w:tcBorders>
              <w:bottom w:val="single" w:sz="8" w:color="616161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616161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616161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616161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616161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4C639D"/>
              </w:rPr>
              <w:t>2025</w:t>
            </w:r>
          </w:p>
        </w:tc>
        <w:tc>
          <w:tcPr>
            <w:tcW w:w="80" w:type="dxa"/>
            <w:vAlign w:val="bottom"/>
            <w:tcBorders>
              <w:bottom w:val="single" w:sz="8" w:color="616161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616161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1220" w:type="dxa"/>
            <w:vAlign w:val="bottom"/>
            <w:vMerge w:val="restart"/>
          </w:tcPr>
          <w:p>
            <w:pPr>
              <w:jc w:val="right"/>
              <w:ind w:righ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4C639D"/>
              </w:rPr>
              <w:t>Stellantis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jc w:val="center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4C639D"/>
              </w:rPr>
              <w:t>Industrial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jc w:val="right"/>
              <w:ind w:right="204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4C639D"/>
              </w:rPr>
              <w:t>Financial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jc w:val="right"/>
              <w:ind w:right="1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4C639D"/>
              </w:rPr>
              <w:t>Stellantis</w:t>
            </w: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jc w:val="center"/>
              <w:ind w:right="100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4C639D"/>
              </w:rPr>
              <w:t>Industrial</w:t>
            </w:r>
          </w:p>
        </w:tc>
        <w:tc>
          <w:tcPr>
            <w:tcW w:w="1220" w:type="dxa"/>
            <w:vAlign w:val="bottom"/>
          </w:tcPr>
          <w:p>
            <w:pPr>
              <w:jc w:val="right"/>
              <w:ind w:right="204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4C639D"/>
              </w:rPr>
              <w:t>Financial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1220" w:type="dxa"/>
            <w:vAlign w:val="bottom"/>
            <w:tcBorders>
              <w:bottom w:val="single" w:sz="8" w:color="616161"/>
            </w:tcBorders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616161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4C639D"/>
              </w:rPr>
              <w:t>activities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616161"/>
            </w:tcBorders>
          </w:tcPr>
          <w:p>
            <w:pPr>
              <w:jc w:val="right"/>
              <w:ind w:right="2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4C639D"/>
              </w:rPr>
              <w:t>services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616161"/>
            </w:tcBorders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616161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4C639D"/>
              </w:rPr>
              <w:t>activities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616161"/>
            </w:tcBorders>
          </w:tcPr>
          <w:p>
            <w:pPr>
              <w:jc w:val="right"/>
              <w:ind w:right="2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4C639D"/>
              </w:rPr>
              <w:t>services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5"/>
        </w:trPr>
        <w:tc>
          <w:tcPr>
            <w:tcW w:w="1220" w:type="dxa"/>
            <w:vAlign w:val="bottom"/>
            <w:tcBorders>
              <w:bottom w:val="single" w:sz="8" w:color="828282"/>
            </w:tcBorders>
            <w:shd w:val="clear" w:color="auto" w:fill="D9DEEC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4C639D"/>
              </w:rPr>
              <w:t>37,611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28282"/>
            </w:tcBorders>
            <w:shd w:val="clear" w:color="auto" w:fill="D9DEE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4C639D"/>
              </w:rPr>
              <w:t>35,981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616161"/>
            </w:tcBorders>
            <w:shd w:val="clear" w:color="auto" w:fill="D9DEEC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4C639D"/>
              </w:rPr>
              <w:t>1,745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28282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4C639D"/>
              </w:rPr>
              <w:t>37,206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28282"/>
            </w:tcBorders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4C639D"/>
              </w:rPr>
              <w:t>36,296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28282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4C639D"/>
              </w:rPr>
              <w:t>1,020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9"/>
        </w:trPr>
        <w:tc>
          <w:tcPr>
            <w:tcW w:w="1220" w:type="dxa"/>
            <w:vAlign w:val="bottom"/>
            <w:tcBorders>
              <w:bottom w:val="single" w:sz="8" w:color="828282"/>
            </w:tcBorders>
            <w:shd w:val="clear" w:color="auto" w:fill="D9DEEC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4C639D"/>
              </w:rPr>
              <w:t>34,190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28282"/>
            </w:tcBorders>
            <w:shd w:val="clear" w:color="auto" w:fill="D9DEE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4C639D"/>
              </w:rPr>
              <w:t>32,715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28282"/>
            </w:tcBorders>
            <w:shd w:val="clear" w:color="auto" w:fill="D9DEEC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4C639D"/>
              </w:rPr>
              <w:t>1,590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28282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4C639D"/>
              </w:rPr>
              <w:t>38,291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28282"/>
            </w:tcBorders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4C639D"/>
              </w:rPr>
              <w:t>37,499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28282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4C639D"/>
              </w:rPr>
              <w:t>902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8"/>
        </w:trPr>
        <w:tc>
          <w:tcPr>
            <w:tcW w:w="1220" w:type="dxa"/>
            <w:vAlign w:val="bottom"/>
            <w:tcBorders>
              <w:bottom w:val="single" w:sz="8" w:color="828282"/>
            </w:tcBorders>
            <w:shd w:val="clear" w:color="auto" w:fill="D9DEEC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4C639D"/>
              </w:rPr>
              <w:t>2,303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28282"/>
            </w:tcBorders>
            <w:shd w:val="clear" w:color="auto" w:fill="D9DEE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4C639D"/>
              </w:rPr>
              <w:t>2,186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28282"/>
            </w:tcBorders>
            <w:shd w:val="clear" w:color="auto" w:fill="D9DEEC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4C639D"/>
              </w:rPr>
              <w:t>117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28282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4C639D"/>
              </w:rPr>
              <w:t>2,221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28282"/>
            </w:tcBorders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4C639D"/>
              </w:rPr>
              <w:t>2,141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28282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4C639D"/>
              </w:rPr>
              <w:t>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9"/>
        </w:trPr>
        <w:tc>
          <w:tcPr>
            <w:tcW w:w="1220" w:type="dxa"/>
            <w:vAlign w:val="bottom"/>
            <w:tcBorders>
              <w:bottom w:val="single" w:sz="8" w:color="828282"/>
            </w:tcBorders>
            <w:shd w:val="clear" w:color="auto" w:fill="D9DEEC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4C639D"/>
              </w:rPr>
              <w:t>1,326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28282"/>
            </w:tcBorders>
            <w:shd w:val="clear" w:color="auto" w:fill="D9DEE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4C639D"/>
              </w:rPr>
              <w:t>1,326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28282"/>
            </w:tcBorders>
            <w:shd w:val="clear" w:color="auto" w:fill="D9DEEC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4C639D"/>
              </w:rPr>
              <w:t>—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28282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4C639D"/>
              </w:rPr>
              <w:t>1,942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28282"/>
            </w:tcBorders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4C639D"/>
              </w:rPr>
              <w:t>1,942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28282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4C639D"/>
              </w:rPr>
              <w:t>—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8"/>
        </w:trPr>
        <w:tc>
          <w:tcPr>
            <w:tcW w:w="1220" w:type="dxa"/>
            <w:vAlign w:val="bottom"/>
            <w:tcBorders>
              <w:bottom w:val="single" w:sz="8" w:color="828282"/>
            </w:tcBorders>
            <w:shd w:val="clear" w:color="auto" w:fill="D9DEEC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4C639D"/>
              </w:rPr>
              <w:t>—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28282"/>
            </w:tcBorders>
            <w:shd w:val="clear" w:color="auto" w:fill="D9DEE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4C639D"/>
              </w:rPr>
              <w:t>—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28282"/>
            </w:tcBorders>
            <w:shd w:val="clear" w:color="auto" w:fill="D9DEEC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4C639D"/>
              </w:rPr>
              <w:t>—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28282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4C639D"/>
              </w:rPr>
              <w:t>13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28282"/>
            </w:tcBorders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4C639D"/>
              </w:rPr>
              <w:t>13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28282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4C639D"/>
              </w:rPr>
              <w:t>—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8"/>
        </w:trPr>
        <w:tc>
          <w:tcPr>
            <w:tcW w:w="1220" w:type="dxa"/>
            <w:vAlign w:val="bottom"/>
            <w:tcBorders>
              <w:bottom w:val="single" w:sz="8" w:color="929292"/>
            </w:tcBorders>
            <w:shd w:val="clear" w:color="auto" w:fill="D9DEEC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4C639D"/>
              </w:rPr>
              <w:t>66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29292"/>
            </w:tcBorders>
            <w:shd w:val="clear" w:color="auto" w:fill="D9DEE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4C639D"/>
              </w:rPr>
              <w:t>66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29292"/>
            </w:tcBorders>
            <w:shd w:val="clear" w:color="auto" w:fill="D9DEEC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4C639D"/>
              </w:rPr>
              <w:t>—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29292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4C639D"/>
              </w:rPr>
              <w:t>401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29292"/>
            </w:tcBorders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4C639D"/>
              </w:rPr>
              <w:t>401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29292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4C639D"/>
              </w:rPr>
              <w:t>—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1220" w:type="dxa"/>
            <w:vAlign w:val="bottom"/>
            <w:tcBorders>
              <w:bottom w:val="single" w:sz="8" w:color="929292"/>
            </w:tcBorders>
            <w:shd w:val="clear" w:color="auto" w:fill="D9DEE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4C639D"/>
              </w:rPr>
              <w:t>(57)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29292"/>
            </w:tcBorders>
            <w:shd w:val="clear" w:color="auto" w:fill="D9DEE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4C639D"/>
              </w:rPr>
              <w:t>(13)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29292"/>
            </w:tcBorders>
            <w:shd w:val="clear" w:color="auto" w:fill="D9DEE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4C639D"/>
              </w:rPr>
              <w:t>(44)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29292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4C639D"/>
              </w:rPr>
              <w:t>(65)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29292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4C639D"/>
              </w:rPr>
              <w:t>(118)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29292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4C639D"/>
              </w:rPr>
              <w:t>53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1220" w:type="dxa"/>
            <w:vAlign w:val="bottom"/>
            <w:tcBorders>
              <w:bottom w:val="single" w:sz="8" w:color="45639D"/>
            </w:tcBorders>
            <w:shd w:val="clear" w:color="auto" w:fill="D9DEE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4C639D"/>
              </w:rPr>
              <w:t>(331)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45639D"/>
            </w:tcBorders>
            <w:shd w:val="clear" w:color="auto" w:fill="D9DEE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4C639D"/>
              </w:rPr>
              <w:t>(325)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45639D"/>
            </w:tcBorders>
            <w:shd w:val="clear" w:color="auto" w:fill="D9DEE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4C639D"/>
              </w:rPr>
              <w:t>(6)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45639D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4C639D"/>
              </w:rPr>
              <w:t>(5,701)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45639D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4C639D"/>
              </w:rPr>
              <w:t>(5,792)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45639D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4C639D"/>
              </w:rPr>
              <w:t>91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2"/>
        </w:trPr>
        <w:tc>
          <w:tcPr>
            <w:tcW w:w="1220" w:type="dxa"/>
            <w:vAlign w:val="bottom"/>
            <w:tcBorders>
              <w:bottom w:val="single" w:sz="8" w:color="828282"/>
            </w:tcBorders>
            <w:shd w:val="clear" w:color="auto" w:fill="D9DEEC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4C639D"/>
              </w:rPr>
              <w:t>201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28282"/>
            </w:tcBorders>
            <w:shd w:val="clear" w:color="auto" w:fill="D9DEE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4C639D"/>
              </w:rPr>
              <w:t>201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28282"/>
            </w:tcBorders>
            <w:shd w:val="clear" w:color="auto" w:fill="D9DEEC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4C639D"/>
              </w:rPr>
              <w:t>—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28282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4C639D"/>
              </w:rPr>
              <w:t>(6)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28282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4C639D"/>
              </w:rPr>
              <w:t>(6)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28282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4C639D"/>
              </w:rPr>
              <w:t>—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9"/>
        </w:trPr>
        <w:tc>
          <w:tcPr>
            <w:tcW w:w="1220" w:type="dxa"/>
            <w:vAlign w:val="bottom"/>
            <w:tcBorders>
              <w:bottom w:val="single" w:sz="8" w:color="45639D"/>
            </w:tcBorders>
            <w:shd w:val="clear" w:color="auto" w:fill="D9DEE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4C639D"/>
              </w:rPr>
              <w:t>(532)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45639D"/>
            </w:tcBorders>
            <w:shd w:val="clear" w:color="auto" w:fill="D9DEE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4C639D"/>
              </w:rPr>
              <w:t>(526)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45639D"/>
            </w:tcBorders>
            <w:shd w:val="clear" w:color="auto" w:fill="D9DEE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4C639D"/>
              </w:rPr>
              <w:t>(6)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45639D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4C639D"/>
              </w:rPr>
              <w:t>(5,695)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45639D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4C639D"/>
              </w:rPr>
              <w:t>(5,786)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45639D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4C639D"/>
              </w:rPr>
              <w:t>91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2"/>
        </w:trPr>
        <w:tc>
          <w:tcPr>
            <w:tcW w:w="1220" w:type="dxa"/>
            <w:vAlign w:val="bottom"/>
            <w:tcBorders>
              <w:bottom w:val="single" w:sz="8" w:color="828282"/>
            </w:tcBorders>
            <w:shd w:val="clear" w:color="auto" w:fill="D9DEE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4C639D"/>
              </w:rPr>
              <w:t>(79)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28282"/>
            </w:tcBorders>
            <w:shd w:val="clear" w:color="auto" w:fill="D9DEE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4C639D"/>
              </w:rPr>
              <w:t>(99)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28282"/>
            </w:tcBorders>
            <w:shd w:val="clear" w:color="auto" w:fill="D9DEEC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4C639D"/>
              </w:rPr>
              <w:t>20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28282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4C639D"/>
              </w:rPr>
              <w:t>(1,163)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28282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4C639D"/>
              </w:rPr>
              <w:t>(1,122)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28282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4C639D"/>
              </w:rPr>
              <w:t>(41)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1220" w:type="dxa"/>
            <w:vAlign w:val="bottom"/>
            <w:tcBorders>
              <w:bottom w:val="single" w:sz="8" w:color="828282"/>
            </w:tcBorders>
            <w:shd w:val="clear" w:color="auto" w:fill="D9DEEC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4C639D"/>
              </w:rPr>
              <w:t>—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28282"/>
            </w:tcBorders>
            <w:shd w:val="clear" w:color="auto" w:fill="D9DEE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4C639D"/>
              </w:rPr>
              <w:t>(26)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28282"/>
            </w:tcBorders>
            <w:shd w:val="clear" w:color="auto" w:fill="D9DEEC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4C639D"/>
              </w:rPr>
              <w:t>—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616161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4C639D"/>
              </w:rPr>
              <w:t>—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616161"/>
            </w:tcBorders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4C639D"/>
              </w:rPr>
              <w:t>132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616161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4C639D"/>
              </w:rPr>
              <w:t>—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9"/>
        </w:trPr>
        <w:tc>
          <w:tcPr>
            <w:tcW w:w="1220" w:type="dxa"/>
            <w:vAlign w:val="bottom"/>
            <w:shd w:val="clear" w:color="auto" w:fill="D9DEE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4C639D"/>
              </w:rPr>
              <w:t>(453)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shd w:val="clear" w:color="auto" w:fill="D9DEE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4C639D"/>
              </w:rPr>
              <w:t>(453)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shd w:val="clear" w:color="auto" w:fill="D9DEE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4C639D"/>
              </w:rPr>
              <w:t>(26)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4C639D"/>
              </w:rPr>
              <w:t>(4,532)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4C639D"/>
              </w:rPr>
              <w:t>(4,532)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4C639D"/>
              </w:rPr>
              <w:t>132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1220" w:type="dxa"/>
            <w:vAlign w:val="bottom"/>
            <w:tcBorders>
              <w:top w:val="single" w:sz="8" w:color="45639D"/>
              <w:bottom w:val="single" w:sz="8" w:color="828282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45639D"/>
              <w:bottom w:val="single" w:sz="8" w:color="828282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45639D"/>
              <w:bottom w:val="single" w:sz="8" w:color="828282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45639D"/>
              <w:bottom w:val="single" w:sz="8" w:color="828282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45639D"/>
              <w:bottom w:val="single" w:sz="8" w:color="828282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45639D"/>
              <w:bottom w:val="single" w:sz="8" w:color="828282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6"/>
        </w:trPr>
        <w:tc>
          <w:tcPr>
            <w:tcW w:w="1220" w:type="dxa"/>
            <w:vAlign w:val="bottom"/>
            <w:tcBorders>
              <w:bottom w:val="single" w:sz="8" w:color="45639D"/>
            </w:tcBorders>
            <w:shd w:val="clear" w:color="auto" w:fill="D9DEEC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4C639D"/>
              </w:rPr>
              <w:t>256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45639D"/>
            </w:tcBorders>
            <w:shd w:val="clear" w:color="auto" w:fill="D9DEE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4C639D"/>
              </w:rPr>
              <w:t>144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45639D"/>
            </w:tcBorders>
            <w:shd w:val="clear" w:color="auto" w:fill="D9DEEC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4C639D"/>
              </w:rPr>
              <w:t>112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45639D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4C639D"/>
              </w:rPr>
              <w:t>90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45639D"/>
            </w:tcBorders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4C639D"/>
              </w:rPr>
              <w:t>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45639D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4C639D"/>
              </w:rPr>
              <w:t>87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2840" w:space="640"/>
            <w:col w:w="7760"/>
          </w:cols>
          <w:pgMar w:left="320" w:top="1440" w:right="339" w:bottom="1440" w:gutter="0" w:footer="0" w:header="0"/>
          <w:type w:val="continuous"/>
        </w:sect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Figures presented for Industrial activities and Financial services include intersegment transactions</w:t>
      </w:r>
    </w:p>
    <w:p>
      <w:pPr>
        <w:spacing w:after="0" w:line="134" w:lineRule="exact"/>
        <w:rPr>
          <w:sz w:val="20"/>
          <w:szCs w:val="20"/>
          <w:color w:val="auto"/>
        </w:rPr>
      </w:pPr>
    </w:p>
    <w:p>
      <w:pPr>
        <w:ind w:left="200" w:hanging="192"/>
        <w:spacing w:after="0"/>
        <w:tabs>
          <w:tab w:leader="none" w:pos="20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i w:val="1"/>
          <w:iCs w:val="1"/>
          <w:color w:val="auto"/>
        </w:rPr>
      </w:pP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Refer to the Stellantis N.V. Interim Report for the three and nine months ended September 30, 2026 - Non-GAAP Financial Measures</w:t>
      </w:r>
    </w:p>
    <w:p>
      <w:pPr>
        <w:spacing w:after="0" w:line="14" w:lineRule="exact"/>
        <w:rPr>
          <w:rFonts w:ascii="Arial" w:cs="Arial" w:eastAsia="Arial" w:hAnsi="Arial"/>
          <w:sz w:val="13"/>
          <w:szCs w:val="13"/>
          <w:i w:val="1"/>
          <w:iCs w:val="1"/>
          <w:color w:val="auto"/>
        </w:rPr>
      </w:pPr>
    </w:p>
    <w:p>
      <w:pPr>
        <w:ind w:right="20" w:firstLine="8"/>
        <w:spacing w:after="0" w:line="258" w:lineRule="auto"/>
        <w:tabs>
          <w:tab w:leader="none" w:pos="18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i w:val="1"/>
          <w:iCs w:val="1"/>
          <w:color w:val="auto"/>
        </w:rPr>
      </w:pP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The reconciliation of Net profit to Adjusted operating income for the Company is included in the Stellantis N.V. Interim Report for the three and nine months ended September 30, 2026 - Management discussion and analysis - Company results</w:t>
      </w:r>
    </w:p>
    <w:p>
      <w:pPr>
        <w:sectPr>
          <w:pgSz w:w="11900" w:h="16838" w:orient="portrait"/>
          <w:cols w:equalWidth="0" w:num="1">
            <w:col w:w="11240"/>
          </w:cols>
          <w:pgMar w:left="320" w:top="1440" w:right="339" w:bottom="1440" w:gutter="0" w:footer="0" w:header="0"/>
          <w:type w:val="continuous"/>
        </w:sectPr>
      </w:pPr>
    </w:p>
    <w:bookmarkStart w:id="5" w:name="page6"/>
    <w:bookmarkEnd w:id="5"/>
    <w:p>
      <w:pPr>
        <w:spacing w:after="0" w:line="20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2273935</wp:posOffset>
            </wp:positionH>
            <wp:positionV relativeFrom="page">
              <wp:posOffset>148590</wp:posOffset>
            </wp:positionV>
            <wp:extent cx="3008630" cy="848995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8630" cy="848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3" w:lineRule="exact"/>
        <w:rPr>
          <w:sz w:val="20"/>
          <w:szCs w:val="20"/>
          <w:color w:val="auto"/>
        </w:rPr>
      </w:pPr>
    </w:p>
    <w:p>
      <w:pPr>
        <w:ind w:left="5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4C639D"/>
        </w:rPr>
        <w:t>For the nine months ended September 30,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2207895</wp:posOffset>
            </wp:positionH>
            <wp:positionV relativeFrom="paragraph">
              <wp:posOffset>22860</wp:posOffset>
            </wp:positionV>
            <wp:extent cx="4928870" cy="8255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88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240"/>
          </w:cols>
          <w:pgMar w:left="320" w:top="1440" w:right="339" w:bottom="144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1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424242"/>
        </w:rPr>
        <w:t>(€ million)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21590</wp:posOffset>
            </wp:positionV>
            <wp:extent cx="2134235" cy="8255"/>
            <wp:wrapNone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42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424242"/>
        </w:rPr>
        <w:t>Net revenues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90170</wp:posOffset>
            </wp:positionV>
            <wp:extent cx="2134235" cy="8890"/>
            <wp:wrapNone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42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6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424242"/>
        </w:rPr>
        <w:t>Cost of revenues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90170</wp:posOffset>
            </wp:positionV>
            <wp:extent cx="2134235" cy="8255"/>
            <wp:wrapNone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42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6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424242"/>
        </w:rPr>
        <w:t>Selling, general and other costs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90170</wp:posOffset>
            </wp:positionV>
            <wp:extent cx="2134235" cy="8255"/>
            <wp:wrapNone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42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6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424242"/>
        </w:rPr>
        <w:t>Research and development costs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90170</wp:posOffset>
            </wp:positionV>
            <wp:extent cx="2134235" cy="8255"/>
            <wp:wrapNone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42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6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424242"/>
        </w:rPr>
        <w:t>Gains/(losses) on disposal of investments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90170</wp:posOffset>
            </wp:positionV>
            <wp:extent cx="2134235" cy="8255"/>
            <wp:wrapNone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42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6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424242"/>
        </w:rPr>
        <w:t>Restructuring costs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90170</wp:posOffset>
            </wp:positionV>
            <wp:extent cx="2134235" cy="8255"/>
            <wp:wrapNone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42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45" w:lineRule="exact"/>
        <w:rPr>
          <w:sz w:val="20"/>
          <w:szCs w:val="20"/>
          <w:color w:val="auto"/>
        </w:rPr>
      </w:pPr>
    </w:p>
    <w:p>
      <w:pPr>
        <w:ind w:left="20"/>
        <w:spacing w:after="0" w:line="24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424242"/>
        </w:rPr>
        <w:t>Share of the profit/(loss) of equity method investees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10160</wp:posOffset>
            </wp:positionV>
            <wp:extent cx="2134235" cy="8255"/>
            <wp:wrapNone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42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4C639D"/>
        </w:rPr>
        <w:t>Operating income/(loss)</w:t>
      </w:r>
      <w:r>
        <w:rPr>
          <w:rFonts w:ascii="Arial" w:cs="Arial" w:eastAsia="Arial" w:hAnsi="Arial"/>
          <w:sz w:val="19"/>
          <w:szCs w:val="19"/>
          <w:b w:val="1"/>
          <w:bCs w:val="1"/>
          <w:color w:val="4C639D"/>
          <w:vertAlign w:val="superscript"/>
        </w:rPr>
        <w:t>(1)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-5715</wp:posOffset>
            </wp:positionV>
            <wp:extent cx="2134235" cy="17145"/>
            <wp:wrapNone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4235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8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424242"/>
        </w:rPr>
        <w:t>Net financial expenses/(income)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90170</wp:posOffset>
            </wp:positionV>
            <wp:extent cx="2134235" cy="8890"/>
            <wp:wrapNone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42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4C639D"/>
        </w:rPr>
        <w:t>Profit/(loss) before taxes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91440</wp:posOffset>
            </wp:positionV>
            <wp:extent cx="2134235" cy="17145"/>
            <wp:wrapNone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4235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2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424242"/>
        </w:rPr>
        <w:t>Tax expense/(benefit)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90170</wp:posOffset>
            </wp:positionV>
            <wp:extent cx="2134235" cy="8890"/>
            <wp:wrapNone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42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45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424242"/>
        </w:rPr>
        <w:t>Result from intersegment investments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21590</wp:posOffset>
            </wp:positionV>
            <wp:extent cx="2134235" cy="8890"/>
            <wp:wrapNone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42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6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4C639D"/>
        </w:rPr>
        <w:t>Net profit/(loss)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271145</wp:posOffset>
            </wp:positionV>
            <wp:extent cx="2134235" cy="8255"/>
            <wp:wrapNone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42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91440</wp:posOffset>
            </wp:positionV>
            <wp:extent cx="2134235" cy="17145"/>
            <wp:wrapNone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4235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0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4C639D"/>
        </w:rPr>
        <w:t>Adjusted operating income/(loss)</w:t>
      </w:r>
      <w:r>
        <w:rPr>
          <w:rFonts w:ascii="Arial" w:cs="Arial" w:eastAsia="Arial" w:hAnsi="Arial"/>
          <w:sz w:val="19"/>
          <w:szCs w:val="19"/>
          <w:b w:val="1"/>
          <w:bCs w:val="1"/>
          <w:color w:val="4C639D"/>
          <w:vertAlign w:val="superscript"/>
        </w:rPr>
        <w:t>(1)(2)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62230</wp:posOffset>
            </wp:positionV>
            <wp:extent cx="2134235" cy="17145"/>
            <wp:wrapNone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4235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8"/>
        </w:trPr>
        <w:tc>
          <w:tcPr>
            <w:tcW w:w="1220" w:type="dxa"/>
            <w:vAlign w:val="bottom"/>
            <w:tcBorders>
              <w:bottom w:val="single" w:sz="8" w:color="616161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616161"/>
            </w:tcBorders>
            <w:gridSpan w:val="2"/>
          </w:tcPr>
          <w:p>
            <w:pPr>
              <w:jc w:val="center"/>
              <w:ind w:lef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4C639D"/>
              </w:rPr>
              <w:t>2026</w:t>
            </w:r>
          </w:p>
        </w:tc>
        <w:tc>
          <w:tcPr>
            <w:tcW w:w="100" w:type="dxa"/>
            <w:vAlign w:val="bottom"/>
            <w:tcBorders>
              <w:bottom w:val="single" w:sz="8" w:color="616161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616161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616161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616161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616161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4C639D"/>
              </w:rPr>
              <w:t>2025</w:t>
            </w:r>
          </w:p>
        </w:tc>
        <w:tc>
          <w:tcPr>
            <w:tcW w:w="80" w:type="dxa"/>
            <w:vAlign w:val="bottom"/>
            <w:tcBorders>
              <w:bottom w:val="single" w:sz="8" w:color="616161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616161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1220" w:type="dxa"/>
            <w:vAlign w:val="bottom"/>
            <w:vMerge w:val="restart"/>
          </w:tcPr>
          <w:p>
            <w:pPr>
              <w:jc w:val="right"/>
              <w:ind w:righ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4C639D"/>
              </w:rPr>
              <w:t>Stellantis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jc w:val="center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4C639D"/>
              </w:rPr>
              <w:t>Industrial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jc w:val="right"/>
              <w:ind w:right="204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4C639D"/>
              </w:rPr>
              <w:t>Financial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jc w:val="right"/>
              <w:ind w:right="1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4C639D"/>
              </w:rPr>
              <w:t>Stellantis</w:t>
            </w: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jc w:val="center"/>
              <w:ind w:right="100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4C639D"/>
              </w:rPr>
              <w:t>Industrial</w:t>
            </w:r>
          </w:p>
        </w:tc>
        <w:tc>
          <w:tcPr>
            <w:tcW w:w="1220" w:type="dxa"/>
            <w:vAlign w:val="bottom"/>
          </w:tcPr>
          <w:p>
            <w:pPr>
              <w:jc w:val="right"/>
              <w:ind w:right="204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4C639D"/>
              </w:rPr>
              <w:t>Financial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1220" w:type="dxa"/>
            <w:vAlign w:val="bottom"/>
            <w:tcBorders>
              <w:bottom w:val="single" w:sz="8" w:color="616161"/>
            </w:tcBorders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616161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4C639D"/>
              </w:rPr>
              <w:t>activities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616161"/>
            </w:tcBorders>
          </w:tcPr>
          <w:p>
            <w:pPr>
              <w:jc w:val="right"/>
              <w:ind w:right="2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4C639D"/>
              </w:rPr>
              <w:t>services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616161"/>
            </w:tcBorders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616161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4C639D"/>
              </w:rPr>
              <w:t>activities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616161"/>
            </w:tcBorders>
          </w:tcPr>
          <w:p>
            <w:pPr>
              <w:jc w:val="right"/>
              <w:ind w:right="2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4C639D"/>
              </w:rPr>
              <w:t>services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6"/>
        </w:trPr>
        <w:tc>
          <w:tcPr>
            <w:tcW w:w="1220" w:type="dxa"/>
            <w:vAlign w:val="bottom"/>
            <w:tcBorders>
              <w:bottom w:val="single" w:sz="8" w:color="828282"/>
            </w:tcBorders>
            <w:shd w:val="clear" w:color="auto" w:fill="D9DEEC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4C639D"/>
              </w:rPr>
              <w:t>119,225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28282"/>
            </w:tcBorders>
            <w:shd w:val="clear" w:color="auto" w:fill="D9DEE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4C639D"/>
              </w:rPr>
              <w:t>115,122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616161"/>
            </w:tcBorders>
            <w:shd w:val="clear" w:color="auto" w:fill="D9DEEC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4C639D"/>
              </w:rPr>
              <w:t>4,434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28282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4C639D"/>
              </w:rPr>
              <w:t>111,467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28282"/>
            </w:tcBorders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4C639D"/>
              </w:rPr>
              <w:t>109,065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28282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4C639D"/>
              </w:rPr>
              <w:t>2,708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8"/>
        </w:trPr>
        <w:tc>
          <w:tcPr>
            <w:tcW w:w="1220" w:type="dxa"/>
            <w:vAlign w:val="bottom"/>
            <w:tcBorders>
              <w:bottom w:val="single" w:sz="8" w:color="828282"/>
            </w:tcBorders>
            <w:shd w:val="clear" w:color="auto" w:fill="D9DEEC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4C639D"/>
              </w:rPr>
              <w:t>106,601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28282"/>
            </w:tcBorders>
            <w:shd w:val="clear" w:color="auto" w:fill="D9DEE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4C639D"/>
              </w:rPr>
              <w:t>102,911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28282"/>
            </w:tcBorders>
            <w:shd w:val="clear" w:color="auto" w:fill="D9DEEC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4C639D"/>
              </w:rPr>
              <w:t>4,021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28282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4C639D"/>
              </w:rPr>
              <w:t>106,558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28282"/>
            </w:tcBorders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4C639D"/>
              </w:rPr>
              <w:t>104,495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28282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4C639D"/>
              </w:rPr>
              <w:t>2,369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9"/>
        </w:trPr>
        <w:tc>
          <w:tcPr>
            <w:tcW w:w="1220" w:type="dxa"/>
            <w:vAlign w:val="bottom"/>
            <w:tcBorders>
              <w:bottom w:val="single" w:sz="8" w:color="828282"/>
            </w:tcBorders>
            <w:shd w:val="clear" w:color="auto" w:fill="D9DEEC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4C639D"/>
              </w:rPr>
              <w:t>7,088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28282"/>
            </w:tcBorders>
            <w:shd w:val="clear" w:color="auto" w:fill="D9DEE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4C639D"/>
              </w:rPr>
              <w:t>6,804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28282"/>
            </w:tcBorders>
            <w:shd w:val="clear" w:color="auto" w:fill="D9DEEC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4C639D"/>
              </w:rPr>
              <w:t>284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28282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4C639D"/>
              </w:rPr>
              <w:t>6,395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28282"/>
            </w:tcBorders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4C639D"/>
              </w:rPr>
              <w:t>6,183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28282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4C639D"/>
              </w:rPr>
              <w:t>212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8"/>
        </w:trPr>
        <w:tc>
          <w:tcPr>
            <w:tcW w:w="1220" w:type="dxa"/>
            <w:vAlign w:val="bottom"/>
            <w:tcBorders>
              <w:bottom w:val="single" w:sz="8" w:color="828282"/>
            </w:tcBorders>
            <w:shd w:val="clear" w:color="auto" w:fill="D9DEEC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4C639D"/>
              </w:rPr>
              <w:t>4,074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28282"/>
            </w:tcBorders>
            <w:shd w:val="clear" w:color="auto" w:fill="D9DEE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4C639D"/>
              </w:rPr>
              <w:t>4,074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28282"/>
            </w:tcBorders>
            <w:shd w:val="clear" w:color="auto" w:fill="D9DEEC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4C639D"/>
              </w:rPr>
              <w:t>—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28282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4C639D"/>
              </w:rPr>
              <w:t>5,313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28282"/>
            </w:tcBorders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4C639D"/>
              </w:rPr>
              <w:t>5,313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28282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4C639D"/>
              </w:rPr>
              <w:t>—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9"/>
        </w:trPr>
        <w:tc>
          <w:tcPr>
            <w:tcW w:w="1220" w:type="dxa"/>
            <w:vAlign w:val="bottom"/>
            <w:tcBorders>
              <w:bottom w:val="single" w:sz="8" w:color="828282"/>
            </w:tcBorders>
            <w:shd w:val="clear" w:color="auto" w:fill="D9DEEC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4C639D"/>
              </w:rPr>
              <w:t>59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28282"/>
            </w:tcBorders>
            <w:shd w:val="clear" w:color="auto" w:fill="D9DEE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4C639D"/>
              </w:rPr>
              <w:t>59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28282"/>
            </w:tcBorders>
            <w:shd w:val="clear" w:color="auto" w:fill="D9DEEC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4C639D"/>
              </w:rPr>
              <w:t>—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28282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4C639D"/>
              </w:rPr>
              <w:t>(191)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28282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4C639D"/>
              </w:rPr>
              <w:t>(190)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28282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4C639D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8"/>
        </w:trPr>
        <w:tc>
          <w:tcPr>
            <w:tcW w:w="1220" w:type="dxa"/>
            <w:vAlign w:val="bottom"/>
            <w:tcBorders>
              <w:bottom w:val="single" w:sz="8" w:color="929292"/>
            </w:tcBorders>
            <w:shd w:val="clear" w:color="auto" w:fill="D9DEEC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4C639D"/>
              </w:rPr>
              <w:t>548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29292"/>
            </w:tcBorders>
            <w:shd w:val="clear" w:color="auto" w:fill="D9DEE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4C639D"/>
              </w:rPr>
              <w:t>548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29292"/>
            </w:tcBorders>
            <w:shd w:val="clear" w:color="auto" w:fill="D9DEEC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4C639D"/>
              </w:rPr>
              <w:t>—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29292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4C639D"/>
              </w:rPr>
              <w:t>923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29292"/>
            </w:tcBorders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4C639D"/>
              </w:rPr>
              <w:t>923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29292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4C639D"/>
              </w:rPr>
              <w:t>—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2"/>
        </w:trPr>
        <w:tc>
          <w:tcPr>
            <w:tcW w:w="1220" w:type="dxa"/>
            <w:vAlign w:val="bottom"/>
            <w:tcBorders>
              <w:bottom w:val="single" w:sz="8" w:color="929292"/>
            </w:tcBorders>
            <w:shd w:val="clear" w:color="auto" w:fill="D9DEEC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4C639D"/>
              </w:rPr>
              <w:t>86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29292"/>
            </w:tcBorders>
            <w:shd w:val="clear" w:color="auto" w:fill="D9DEE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4C639D"/>
              </w:rPr>
              <w:t>(33)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29292"/>
            </w:tcBorders>
            <w:shd w:val="clear" w:color="auto" w:fill="D9DEEC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4C639D"/>
              </w:rPr>
              <w:t>119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29292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4C639D"/>
              </w:rPr>
              <w:t>(498)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29292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4C639D"/>
              </w:rPr>
              <w:t>(725)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29292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4C639D"/>
              </w:rPr>
              <w:t>227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1220" w:type="dxa"/>
            <w:vAlign w:val="bottom"/>
            <w:tcBorders>
              <w:bottom w:val="single" w:sz="8" w:color="45639D"/>
            </w:tcBorders>
            <w:shd w:val="clear" w:color="auto" w:fill="D9DEEC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4C639D"/>
              </w:rPr>
              <w:t>1,059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45639D"/>
            </w:tcBorders>
            <w:shd w:val="clear" w:color="auto" w:fill="D9DEE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4C639D"/>
              </w:rPr>
              <w:t>811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45639D"/>
            </w:tcBorders>
            <w:shd w:val="clear" w:color="auto" w:fill="D9DEEC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4C639D"/>
              </w:rPr>
              <w:t>248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45639D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4C639D"/>
              </w:rPr>
              <w:t>(8,411)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45639D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4C639D"/>
              </w:rPr>
              <w:t>(8,764)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45639D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4C639D"/>
              </w:rPr>
              <w:t>353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2"/>
        </w:trPr>
        <w:tc>
          <w:tcPr>
            <w:tcW w:w="1220" w:type="dxa"/>
            <w:vAlign w:val="bottom"/>
            <w:tcBorders>
              <w:bottom w:val="single" w:sz="8" w:color="828282"/>
            </w:tcBorders>
            <w:shd w:val="clear" w:color="auto" w:fill="D9DEEC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4C639D"/>
              </w:rPr>
              <w:t>553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28282"/>
            </w:tcBorders>
            <w:shd w:val="clear" w:color="auto" w:fill="D9DEE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4C639D"/>
              </w:rPr>
              <w:t>553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28282"/>
            </w:tcBorders>
            <w:shd w:val="clear" w:color="auto" w:fill="D9DEEC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4C639D"/>
              </w:rPr>
              <w:t>—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28282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4C639D"/>
              </w:rPr>
              <w:t>154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28282"/>
            </w:tcBorders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4C639D"/>
              </w:rPr>
              <w:t>154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28282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4C639D"/>
              </w:rPr>
              <w:t>—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8"/>
        </w:trPr>
        <w:tc>
          <w:tcPr>
            <w:tcW w:w="1220" w:type="dxa"/>
            <w:vAlign w:val="bottom"/>
            <w:tcBorders>
              <w:bottom w:val="single" w:sz="8" w:color="45639D"/>
            </w:tcBorders>
            <w:shd w:val="clear" w:color="auto" w:fill="D9DEEC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4C639D"/>
              </w:rPr>
              <w:t>506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45639D"/>
            </w:tcBorders>
            <w:shd w:val="clear" w:color="auto" w:fill="D9DEE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4C639D"/>
              </w:rPr>
              <w:t>258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45639D"/>
            </w:tcBorders>
            <w:shd w:val="clear" w:color="auto" w:fill="D9DEEC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4C639D"/>
              </w:rPr>
              <w:t>248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45639D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4C639D"/>
              </w:rPr>
              <w:t>(8,565)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45639D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4C639D"/>
              </w:rPr>
              <w:t>(8,918)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45639D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4C639D"/>
              </w:rPr>
              <w:t>353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2"/>
        </w:trPr>
        <w:tc>
          <w:tcPr>
            <w:tcW w:w="1220" w:type="dxa"/>
            <w:vAlign w:val="bottom"/>
            <w:tcBorders>
              <w:bottom w:val="single" w:sz="8" w:color="828282"/>
            </w:tcBorders>
            <w:shd w:val="clear" w:color="auto" w:fill="D9DEEC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4C639D"/>
              </w:rPr>
              <w:t>289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28282"/>
            </w:tcBorders>
            <w:shd w:val="clear" w:color="auto" w:fill="D9DEE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4C639D"/>
              </w:rPr>
              <w:t>221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28282"/>
            </w:tcBorders>
            <w:shd w:val="clear" w:color="auto" w:fill="D9DEEC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4C639D"/>
              </w:rPr>
              <w:t>68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28282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4C639D"/>
              </w:rPr>
              <w:t>(1,777)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28282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4C639D"/>
              </w:rPr>
              <w:t>(1,644)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28282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4C639D"/>
              </w:rPr>
              <w:t>(133)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1220" w:type="dxa"/>
            <w:vAlign w:val="bottom"/>
            <w:tcBorders>
              <w:bottom w:val="single" w:sz="8" w:color="828282"/>
            </w:tcBorders>
            <w:shd w:val="clear" w:color="auto" w:fill="D9DEEC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4C639D"/>
              </w:rPr>
              <w:t>—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28282"/>
            </w:tcBorders>
            <w:shd w:val="clear" w:color="auto" w:fill="D9DEE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4C639D"/>
              </w:rPr>
              <w:t>180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28282"/>
            </w:tcBorders>
            <w:shd w:val="clear" w:color="auto" w:fill="D9DEEC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4C639D"/>
              </w:rPr>
              <w:t>—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616161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4C639D"/>
              </w:rPr>
              <w:t>—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616161"/>
            </w:tcBorders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4C639D"/>
              </w:rPr>
              <w:t>486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616161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4C639D"/>
              </w:rPr>
              <w:t>—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8"/>
        </w:trPr>
        <w:tc>
          <w:tcPr>
            <w:tcW w:w="1220" w:type="dxa"/>
            <w:vAlign w:val="bottom"/>
            <w:shd w:val="clear" w:color="auto" w:fill="D9DEEC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4C639D"/>
              </w:rPr>
              <w:t>217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shd w:val="clear" w:color="auto" w:fill="D9DEE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4C639D"/>
              </w:rPr>
              <w:t>217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shd w:val="clear" w:color="auto" w:fill="D9DEEC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4C639D"/>
              </w:rPr>
              <w:t>180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4C639D"/>
              </w:rPr>
              <w:t>(6,788)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4C639D"/>
              </w:rPr>
              <w:t>(6,788)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4C639D"/>
              </w:rPr>
              <w:t>486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1220" w:type="dxa"/>
            <w:vAlign w:val="bottom"/>
            <w:tcBorders>
              <w:top w:val="single" w:sz="8" w:color="45639D"/>
              <w:bottom w:val="single" w:sz="8" w:color="828282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45639D"/>
              <w:bottom w:val="single" w:sz="8" w:color="828282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45639D"/>
              <w:bottom w:val="single" w:sz="8" w:color="828282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45639D"/>
              <w:bottom w:val="single" w:sz="8" w:color="828282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45639D"/>
              <w:bottom w:val="single" w:sz="8" w:color="828282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45639D"/>
              <w:bottom w:val="single" w:sz="8" w:color="828282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5"/>
        </w:trPr>
        <w:tc>
          <w:tcPr>
            <w:tcW w:w="1220" w:type="dxa"/>
            <w:vAlign w:val="bottom"/>
            <w:tcBorders>
              <w:bottom w:val="single" w:sz="8" w:color="45639D"/>
            </w:tcBorders>
            <w:shd w:val="clear" w:color="auto" w:fill="D9DEEC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4C639D"/>
              </w:rPr>
              <w:t>1,989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45639D"/>
            </w:tcBorders>
            <w:shd w:val="clear" w:color="auto" w:fill="D9DEE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4C639D"/>
              </w:rPr>
              <w:t>1,626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45639D"/>
            </w:tcBorders>
            <w:shd w:val="clear" w:color="auto" w:fill="D9DEEC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4C639D"/>
              </w:rPr>
              <w:t>363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45639D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4C639D"/>
              </w:rPr>
              <w:t>630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45639D"/>
            </w:tcBorders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4C639D"/>
              </w:rPr>
              <w:t>287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45639D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4C639D"/>
              </w:rPr>
              <w:t>343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2840" w:space="640"/>
            <w:col w:w="7760"/>
          </w:cols>
          <w:pgMar w:left="320" w:top="1440" w:right="339" w:bottom="1440" w:gutter="0" w:footer="0" w:header="0"/>
          <w:type w:val="continuous"/>
        </w:sect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Figures presented for Industrial activities and Financial services include intersegment transactions</w:t>
      </w:r>
    </w:p>
    <w:p>
      <w:pPr>
        <w:spacing w:after="0" w:line="148" w:lineRule="exact"/>
        <w:rPr>
          <w:sz w:val="20"/>
          <w:szCs w:val="20"/>
          <w:color w:val="auto"/>
        </w:rPr>
      </w:pPr>
    </w:p>
    <w:p>
      <w:pPr>
        <w:ind w:left="200" w:hanging="192"/>
        <w:spacing w:after="0"/>
        <w:tabs>
          <w:tab w:leader="none" w:pos="20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i w:val="1"/>
          <w:iCs w:val="1"/>
          <w:color w:val="auto"/>
        </w:rPr>
      </w:pP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Refer to the Stellantis N.V. Interim Report for the three and nine months ended September 30, 2026 - Non-GAAP Financial Measures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i w:val="1"/>
          <w:iCs w:val="1"/>
          <w:color w:val="auto"/>
        </w:rPr>
      </w:pPr>
    </w:p>
    <w:p>
      <w:pPr>
        <w:ind w:left="200" w:hanging="192"/>
        <w:spacing w:after="0"/>
        <w:tabs>
          <w:tab w:leader="none" w:pos="20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i w:val="1"/>
          <w:iCs w:val="1"/>
          <w:color w:val="auto"/>
        </w:rPr>
      </w:pP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The reconciliation of Net profit to Adjusted operating income for the Company is included in the Stellantis N.V. Interim Report for the three and nine months ended September 30, 2026 - Management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discussion and analysis - Company results</w:t>
      </w:r>
    </w:p>
    <w:p>
      <w:pPr>
        <w:sectPr>
          <w:pgSz w:w="11900" w:h="16838" w:orient="portrait"/>
          <w:cols w:equalWidth="0" w:num="1">
            <w:col w:w="11240"/>
          </w:cols>
          <w:pgMar w:left="320" w:top="1440" w:right="339" w:bottom="1440" w:gutter="0" w:footer="0" w:header="0"/>
          <w:type w:val="continuous"/>
        </w:sectPr>
      </w:pPr>
    </w:p>
    <w:bookmarkStart w:id="6" w:name="page7"/>
    <w:bookmarkEnd w:id="6"/>
    <w:p>
      <w:pPr>
        <w:spacing w:after="0" w:line="20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2273935</wp:posOffset>
            </wp:positionH>
            <wp:positionV relativeFrom="page">
              <wp:posOffset>148590</wp:posOffset>
            </wp:positionV>
            <wp:extent cx="3008630" cy="848995"/>
            <wp:wrapNone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8630" cy="848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4C639D"/>
        </w:rPr>
        <w:t>Statement of Financial Position by activity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i w:val="1"/>
          <w:iCs w:val="1"/>
          <w:color w:val="4C639D"/>
        </w:rPr>
        <w:t>Unaudited</w:t>
      </w:r>
    </w:p>
    <w:p>
      <w:pPr>
        <w:sectPr>
          <w:pgSz w:w="11900" w:h="16838" w:orient="portrait"/>
          <w:cols w:equalWidth="0" w:num="1">
            <w:col w:w="11240"/>
          </w:cols>
          <w:pgMar w:left="320" w:top="1440" w:right="339" w:bottom="144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5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424242"/>
        </w:rPr>
        <w:t>(€ million)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21590</wp:posOffset>
            </wp:positionV>
            <wp:extent cx="2674620" cy="8890"/>
            <wp:wrapNone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4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424242"/>
        </w:rPr>
        <w:t>Assets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22860</wp:posOffset>
            </wp:positionV>
            <wp:extent cx="2674620" cy="8255"/>
            <wp:wrapNone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46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424242"/>
        </w:rPr>
        <w:t>Goodwill and intangible assets with indefinite useful lives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21590</wp:posOffset>
            </wp:positionV>
            <wp:extent cx="2674620" cy="8255"/>
            <wp:wrapNone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46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32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424242"/>
        </w:rPr>
        <w:t>Other intangible assets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81280</wp:posOffset>
            </wp:positionV>
            <wp:extent cx="2674620" cy="8890"/>
            <wp:wrapNone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4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6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424242"/>
        </w:rPr>
        <w:t>Property, plant and equipment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81280</wp:posOffset>
            </wp:positionV>
            <wp:extent cx="2674620" cy="8890"/>
            <wp:wrapNone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4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6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424242"/>
        </w:rPr>
        <w:t>Equity method investments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81280</wp:posOffset>
            </wp:positionV>
            <wp:extent cx="2674620" cy="8255"/>
            <wp:wrapNone/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5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46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6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424242"/>
        </w:rPr>
        <w:t>Deferred tax assets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81280</wp:posOffset>
            </wp:positionV>
            <wp:extent cx="2674620" cy="8255"/>
            <wp:wrapNone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5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46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6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424242"/>
        </w:rPr>
        <w:t>Inventories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81280</wp:posOffset>
            </wp:positionV>
            <wp:extent cx="2674620" cy="8255"/>
            <wp:wrapNone/>
            <wp:docPr id="50" name="Pictur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5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46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32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424242"/>
        </w:rPr>
        <w:t>Assets sold with a buy-back commitment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21590</wp:posOffset>
            </wp:positionV>
            <wp:extent cx="2674620" cy="8890"/>
            <wp:wrapNone/>
            <wp:docPr id="51" name="Pictur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5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4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424242"/>
        </w:rPr>
        <w:t>Trade receivables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21590</wp:posOffset>
            </wp:positionV>
            <wp:extent cx="2674620" cy="8255"/>
            <wp:wrapNone/>
            <wp:docPr id="52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5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46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424242"/>
        </w:rPr>
        <w:t>Tax receivables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21590</wp:posOffset>
            </wp:positionV>
            <wp:extent cx="2674620" cy="8255"/>
            <wp:wrapNone/>
            <wp:docPr id="53" name="Picture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/>
                    <pic:cNvPicPr>
                      <a:picLocks noChangeAspect="1" noChangeArrowheads="1"/>
                    </pic:cNvPicPr>
                  </pic:nvPicPr>
                  <pic:blipFill>
                    <a:blip r:embed="rId6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46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424242"/>
        </w:rPr>
        <w:t>Other assets and prepaid expenses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21590</wp:posOffset>
            </wp:positionV>
            <wp:extent cx="2674620" cy="8255"/>
            <wp:wrapNone/>
            <wp:docPr id="54" name="Picture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/>
                    <pic:cNvPicPr>
                      <a:picLocks noChangeAspect="1" noChangeArrowheads="1"/>
                    </pic:cNvPicPr>
                  </pic:nvPicPr>
                  <pic:blipFill>
                    <a:blip r:embed="rId6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46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424242"/>
        </w:rPr>
        <w:t>Financial assets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21590</wp:posOffset>
            </wp:positionV>
            <wp:extent cx="2674620" cy="8255"/>
            <wp:wrapNone/>
            <wp:docPr id="55" name="Picture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6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46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424242"/>
        </w:rPr>
        <w:t>Cash and cash equivalents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21590</wp:posOffset>
            </wp:positionV>
            <wp:extent cx="2674620" cy="8890"/>
            <wp:wrapNone/>
            <wp:docPr id="56" name="Picture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/>
                    <pic:cNvPicPr>
                      <a:picLocks noChangeAspect="1" noChangeArrowheads="1"/>
                    </pic:cNvPicPr>
                  </pic:nvPicPr>
                  <pic:blipFill>
                    <a:blip r:embed="rId6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4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424242"/>
        </w:rPr>
        <w:t>Assets held for sale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21590</wp:posOffset>
            </wp:positionV>
            <wp:extent cx="2674620" cy="8890"/>
            <wp:wrapNone/>
            <wp:docPr id="57" name="Picture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/>
                    <pic:cNvPicPr>
                      <a:picLocks noChangeAspect="1" noChangeArrowheads="1"/>
                    </pic:cNvPicPr>
                  </pic:nvPicPr>
                  <pic:blipFill>
                    <a:blip r:embed="rId6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4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30" w:lineRule="exact"/>
        <w:rPr>
          <w:sz w:val="20"/>
          <w:szCs w:val="20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4C639D"/>
        </w:rPr>
        <w:t>TOTAL ASSETS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82550</wp:posOffset>
            </wp:positionV>
            <wp:extent cx="2674620" cy="17145"/>
            <wp:wrapNone/>
            <wp:docPr id="58" name="Picture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6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46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45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424242"/>
        </w:rPr>
        <w:t>Equity and Liabilities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22860</wp:posOffset>
            </wp:positionV>
            <wp:extent cx="2674620" cy="8255"/>
            <wp:wrapNone/>
            <wp:docPr id="59" name="Picture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/>
                    <pic:cNvPicPr>
                      <a:picLocks noChangeAspect="1" noChangeArrowheads="1"/>
                    </pic:cNvPicPr>
                  </pic:nvPicPr>
                  <pic:blipFill>
                    <a:blip r:embed="rId6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46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424242"/>
        </w:rPr>
        <w:t>Equity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21590</wp:posOffset>
            </wp:positionV>
            <wp:extent cx="2674620" cy="8890"/>
            <wp:wrapNone/>
            <wp:docPr id="60" name="Picture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/>
                    <pic:cNvPicPr>
                      <a:picLocks noChangeAspect="1" noChangeArrowheads="1"/>
                    </pic:cNvPicPr>
                  </pic:nvPicPr>
                  <pic:blipFill>
                    <a:blip r:embed="rId6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4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424242"/>
        </w:rPr>
        <w:t>Employee benefits liabilities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21590</wp:posOffset>
            </wp:positionV>
            <wp:extent cx="2674620" cy="8890"/>
            <wp:wrapNone/>
            <wp:docPr id="61" name="Picture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6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4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424242"/>
        </w:rPr>
        <w:t>Provisions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21590</wp:posOffset>
            </wp:positionV>
            <wp:extent cx="2674620" cy="8255"/>
            <wp:wrapNone/>
            <wp:docPr id="62" name="Picture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/>
                    <pic:cNvPicPr>
                      <a:picLocks noChangeAspect="1" noChangeArrowheads="1"/>
                    </pic:cNvPicPr>
                  </pic:nvPicPr>
                  <pic:blipFill>
                    <a:blip r:embed="rId6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46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424242"/>
        </w:rPr>
        <w:t>Deferred tax liabilities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21590</wp:posOffset>
            </wp:positionV>
            <wp:extent cx="2674620" cy="8255"/>
            <wp:wrapNone/>
            <wp:docPr id="63" name="Picture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/>
                    <pic:cNvPicPr>
                      <a:picLocks noChangeAspect="1" noChangeArrowheads="1"/>
                    </pic:cNvPicPr>
                  </pic:nvPicPr>
                  <pic:blipFill>
                    <a:blip r:embed="rId7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46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424242"/>
        </w:rPr>
        <w:t>Debt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21590</wp:posOffset>
            </wp:positionV>
            <wp:extent cx="2674620" cy="8890"/>
            <wp:wrapNone/>
            <wp:docPr id="64" name="Picture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/>
                    <pic:cNvPicPr>
                      <a:picLocks noChangeAspect="1" noChangeArrowheads="1"/>
                    </pic:cNvPicPr>
                  </pic:nvPicPr>
                  <pic:blipFill>
                    <a:blip r:embed="rId7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4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424242"/>
        </w:rPr>
        <w:t>Trade payables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21590</wp:posOffset>
            </wp:positionV>
            <wp:extent cx="2674620" cy="8890"/>
            <wp:wrapNone/>
            <wp:docPr id="65" name="Picture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/>
                    <pic:cNvPicPr>
                      <a:picLocks noChangeAspect="1" noChangeArrowheads="1"/>
                    </pic:cNvPicPr>
                  </pic:nvPicPr>
                  <pic:blipFill>
                    <a:blip r:embed="rId7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4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424242"/>
        </w:rPr>
        <w:t>Other financial liabilities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21590</wp:posOffset>
            </wp:positionV>
            <wp:extent cx="2674620" cy="8255"/>
            <wp:wrapNone/>
            <wp:docPr id="66" name="Picture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/>
                    <pic:cNvPicPr>
                      <a:picLocks noChangeAspect="1" noChangeArrowheads="1"/>
                    </pic:cNvPicPr>
                  </pic:nvPicPr>
                  <pic:blipFill>
                    <a:blip r:embed="rId7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46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424242"/>
        </w:rPr>
        <w:t>Tax liabilities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21590</wp:posOffset>
            </wp:positionV>
            <wp:extent cx="2674620" cy="8255"/>
            <wp:wrapNone/>
            <wp:docPr id="67" name="Picture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/>
                    <pic:cNvPicPr>
                      <a:picLocks noChangeAspect="1" noChangeArrowheads="1"/>
                    </pic:cNvPicPr>
                  </pic:nvPicPr>
                  <pic:blipFill>
                    <a:blip r:embed="rId7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46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424242"/>
        </w:rPr>
        <w:t>Other liabilities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21590</wp:posOffset>
            </wp:positionV>
            <wp:extent cx="2674620" cy="8255"/>
            <wp:wrapNone/>
            <wp:docPr id="68" name="Picture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/>
                    <pic:cNvPicPr>
                      <a:picLocks noChangeAspect="1" noChangeArrowheads="1"/>
                    </pic:cNvPicPr>
                  </pic:nvPicPr>
                  <pic:blipFill>
                    <a:blip r:embed="rId7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46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424242"/>
        </w:rPr>
        <w:t>Liabilities held for sale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21590</wp:posOffset>
            </wp:positionV>
            <wp:extent cx="2674620" cy="8890"/>
            <wp:wrapNone/>
            <wp:docPr id="69" name="Picture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/>
                    <pic:cNvPicPr>
                      <a:picLocks noChangeAspect="1" noChangeArrowheads="1"/>
                    </pic:cNvPicPr>
                  </pic:nvPicPr>
                  <pic:blipFill>
                    <a:blip r:embed="rId7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4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30" w:lineRule="exact"/>
        <w:rPr>
          <w:sz w:val="20"/>
          <w:szCs w:val="20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4C639D"/>
        </w:rPr>
        <w:t>TOTAL EQUITY AND LIABILITIES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82550</wp:posOffset>
            </wp:positionV>
            <wp:extent cx="2674620" cy="17145"/>
            <wp:wrapNone/>
            <wp:docPr id="70" name="Picture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/>
                    <pic:cNvPicPr>
                      <a:picLocks noChangeAspect="1" noChangeArrowheads="1"/>
                    </pic:cNvPicPr>
                  </pic:nvPicPr>
                  <pic:blipFill>
                    <a:blip r:embed="rId7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46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19" w:lineRule="exact"/>
        <w:rPr>
          <w:sz w:val="20"/>
          <w:szCs w:val="20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8"/>
        </w:trPr>
        <w:tc>
          <w:tcPr>
            <w:tcW w:w="2520" w:type="dxa"/>
            <w:vAlign w:val="bottom"/>
            <w:tcBorders>
              <w:bottom w:val="single" w:sz="8" w:color="616161"/>
            </w:tcBorders>
            <w:gridSpan w:val="5"/>
          </w:tcPr>
          <w:p>
            <w:pPr>
              <w:jc w:val="center"/>
              <w:ind w:left="7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4C639D"/>
              </w:rPr>
              <w:t>At September 30, 2026</w:t>
            </w:r>
          </w:p>
        </w:tc>
        <w:tc>
          <w:tcPr>
            <w:tcW w:w="860" w:type="dxa"/>
            <w:vAlign w:val="bottom"/>
            <w:tcBorders>
              <w:bottom w:val="single" w:sz="8" w:color="616161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616161"/>
            </w:tcBorders>
            <w:gridSpan w:val="5"/>
          </w:tcPr>
          <w:p>
            <w:pPr>
              <w:jc w:val="center"/>
              <w:ind w:left="8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4C639D"/>
              </w:rPr>
              <w:t>At December 31, 2025</w:t>
            </w:r>
          </w:p>
        </w:tc>
        <w:tc>
          <w:tcPr>
            <w:tcW w:w="880" w:type="dxa"/>
            <w:vAlign w:val="bottom"/>
            <w:tcBorders>
              <w:bottom w:val="single" w:sz="8" w:color="616161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1060" w:type="dxa"/>
            <w:vAlign w:val="bottom"/>
            <w:vMerge w:val="restart"/>
          </w:tcPr>
          <w:p>
            <w:pPr>
              <w:jc w:val="right"/>
              <w:ind w:right="1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4C639D"/>
              </w:rPr>
              <w:t>Stellantis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jc w:val="center"/>
              <w:ind w:right="300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4C639D"/>
              </w:rPr>
              <w:t>Industrial</w:t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ind w:right="144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4C639D"/>
              </w:rPr>
              <w:t>Financial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4C639D"/>
              </w:rPr>
              <w:t>Stellantis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jc w:val="center"/>
              <w:ind w:right="300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4C639D"/>
              </w:rPr>
              <w:t>Industrial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ind w:right="144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4C639D"/>
              </w:rPr>
              <w:t>Financial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4C639D"/>
              </w:rPr>
              <w:t>activities</w:t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ind w:right="1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4C639D"/>
              </w:rPr>
              <w:t>services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4C639D"/>
              </w:rPr>
              <w:t>activities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ind w:right="1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4C639D"/>
              </w:rPr>
              <w:t>services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1060" w:type="dxa"/>
            <w:vAlign w:val="bottom"/>
            <w:tcBorders>
              <w:top w:val="single" w:sz="8" w:color="828282"/>
              <w:bottom w:val="single" w:sz="8" w:color="828282"/>
            </w:tcBorders>
            <w:shd w:val="clear" w:color="auto" w:fill="D9DEEC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828282"/>
              <w:bottom w:val="single" w:sz="8" w:color="828282"/>
            </w:tcBorders>
            <w:shd w:val="clear" w:color="auto" w:fill="D9DEEC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828282"/>
              <w:bottom w:val="single" w:sz="8" w:color="828282"/>
            </w:tcBorders>
            <w:shd w:val="clear" w:color="auto" w:fill="D9DEEC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828282"/>
              <w:bottom w:val="single" w:sz="8" w:color="828282"/>
            </w:tcBorders>
            <w:shd w:val="clear" w:color="auto" w:fill="D9DEEC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828282"/>
              <w:bottom w:val="single" w:sz="8" w:color="828282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828282"/>
              <w:bottom w:val="single" w:sz="8" w:color="828282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828282"/>
              <w:bottom w:val="single" w:sz="8" w:color="828282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828282"/>
              <w:bottom w:val="single" w:sz="8" w:color="828282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1060" w:type="dxa"/>
            <w:vAlign w:val="bottom"/>
            <w:tcBorders>
              <w:bottom w:val="single" w:sz="8" w:color="828282"/>
            </w:tcBorders>
            <w:shd w:val="clear" w:color="auto" w:fill="D9DEE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4C639D"/>
              </w:rPr>
              <w:t>30,015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828282"/>
            </w:tcBorders>
            <w:shd w:val="clear" w:color="auto" w:fill="D9DEE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4C639D"/>
              </w:rPr>
              <w:t>29,881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28282"/>
            </w:tcBorders>
            <w:shd w:val="clear" w:color="auto" w:fill="D9DEEC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828282"/>
            </w:tcBorders>
            <w:shd w:val="clear" w:color="auto" w:fill="D9DEE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4C639D"/>
              </w:rPr>
              <w:t>134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828282"/>
            </w:tcBorders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4C639D"/>
              </w:rPr>
              <w:t>29,176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828282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4C639D"/>
              </w:rPr>
              <w:t>29,046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28282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828282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4C639D"/>
              </w:rPr>
              <w:t>130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9"/>
        </w:trPr>
        <w:tc>
          <w:tcPr>
            <w:tcW w:w="1060" w:type="dxa"/>
            <w:vAlign w:val="bottom"/>
            <w:tcBorders>
              <w:bottom w:val="single" w:sz="8" w:color="828282"/>
            </w:tcBorders>
            <w:shd w:val="clear" w:color="auto" w:fill="D9DEE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4C639D"/>
              </w:rPr>
              <w:t>16,042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828282"/>
            </w:tcBorders>
            <w:shd w:val="clear" w:color="auto" w:fill="D9DEE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4C639D"/>
              </w:rPr>
              <w:t>15,867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28282"/>
            </w:tcBorders>
            <w:shd w:val="clear" w:color="auto" w:fill="D9DEEC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828282"/>
            </w:tcBorders>
            <w:shd w:val="clear" w:color="auto" w:fill="D9DEE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4C639D"/>
              </w:rPr>
              <w:t>175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828282"/>
            </w:tcBorders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4C639D"/>
              </w:rPr>
              <w:t>15,709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828282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4C639D"/>
              </w:rPr>
              <w:t>15,540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28282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828282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4C639D"/>
              </w:rPr>
              <w:t>169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8"/>
        </w:trPr>
        <w:tc>
          <w:tcPr>
            <w:tcW w:w="1060" w:type="dxa"/>
            <w:vAlign w:val="bottom"/>
            <w:tcBorders>
              <w:bottom w:val="single" w:sz="8" w:color="828282"/>
            </w:tcBorders>
            <w:shd w:val="clear" w:color="auto" w:fill="D9DEE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4C639D"/>
              </w:rPr>
              <w:t>47,110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828282"/>
            </w:tcBorders>
            <w:shd w:val="clear" w:color="auto" w:fill="D9DEE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4C639D"/>
              </w:rPr>
              <w:t>32,932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28282"/>
            </w:tcBorders>
            <w:shd w:val="clear" w:color="auto" w:fill="D9DEEC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828282"/>
            </w:tcBorders>
            <w:shd w:val="clear" w:color="auto" w:fill="D9DEE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4C639D"/>
              </w:rPr>
              <w:t>14,178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828282"/>
            </w:tcBorders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4C639D"/>
              </w:rPr>
              <w:t>42,958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828282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4C639D"/>
              </w:rPr>
              <w:t>32,108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28282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828282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4C639D"/>
              </w:rPr>
              <w:t>10,850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8"/>
        </w:trPr>
        <w:tc>
          <w:tcPr>
            <w:tcW w:w="1060" w:type="dxa"/>
            <w:vAlign w:val="bottom"/>
            <w:tcBorders>
              <w:bottom w:val="single" w:sz="8" w:color="828282"/>
            </w:tcBorders>
            <w:shd w:val="clear" w:color="auto" w:fill="D9DEE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4C639D"/>
              </w:rPr>
              <w:t>7,507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828282"/>
            </w:tcBorders>
            <w:shd w:val="clear" w:color="auto" w:fill="D9DEE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4C639D"/>
              </w:rPr>
              <w:t>13,545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28282"/>
            </w:tcBorders>
            <w:shd w:val="clear" w:color="auto" w:fill="D9DEEC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828282"/>
            </w:tcBorders>
            <w:shd w:val="clear" w:color="auto" w:fill="D9DEE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4C639D"/>
              </w:rPr>
              <w:t>3,567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828282"/>
            </w:tcBorders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4C639D"/>
              </w:rPr>
              <w:t>7,276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828282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4C639D"/>
              </w:rPr>
              <w:t>12,336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28282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828282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4C639D"/>
              </w:rPr>
              <w:t>3,516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9"/>
        </w:trPr>
        <w:tc>
          <w:tcPr>
            <w:tcW w:w="1060" w:type="dxa"/>
            <w:vAlign w:val="bottom"/>
            <w:tcBorders>
              <w:bottom w:val="single" w:sz="8" w:color="828282"/>
            </w:tcBorders>
            <w:shd w:val="clear" w:color="auto" w:fill="D9DEE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4C639D"/>
              </w:rPr>
              <w:t>6,596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828282"/>
            </w:tcBorders>
            <w:shd w:val="clear" w:color="auto" w:fill="D9DEE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4C639D"/>
              </w:rPr>
              <w:t>6,490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28282"/>
            </w:tcBorders>
            <w:shd w:val="clear" w:color="auto" w:fill="D9DEEC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828282"/>
            </w:tcBorders>
            <w:shd w:val="clear" w:color="auto" w:fill="D9DEE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4C639D"/>
              </w:rPr>
              <w:t>106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828282"/>
            </w:tcBorders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4C639D"/>
              </w:rPr>
              <w:t>6,383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828282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4C639D"/>
              </w:rPr>
              <w:t>6,297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28282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828282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4C639D"/>
              </w:rPr>
              <w:t>86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8"/>
        </w:trPr>
        <w:tc>
          <w:tcPr>
            <w:tcW w:w="1060" w:type="dxa"/>
            <w:vAlign w:val="bottom"/>
            <w:tcBorders>
              <w:bottom w:val="single" w:sz="8" w:color="828282"/>
            </w:tcBorders>
            <w:shd w:val="clear" w:color="auto" w:fill="D9DEE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4C639D"/>
              </w:rPr>
              <w:t>25,289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828282"/>
            </w:tcBorders>
            <w:shd w:val="clear" w:color="auto" w:fill="D9DEE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4C639D"/>
              </w:rPr>
              <w:t>25,031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28282"/>
            </w:tcBorders>
            <w:shd w:val="clear" w:color="auto" w:fill="D9DEEC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828282"/>
            </w:tcBorders>
            <w:shd w:val="clear" w:color="auto" w:fill="D9DEE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4C639D"/>
              </w:rPr>
              <w:t>258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828282"/>
            </w:tcBorders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4C639D"/>
              </w:rPr>
              <w:t>22,153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828282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4C639D"/>
              </w:rPr>
              <w:t>22,080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28282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828282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4C639D"/>
              </w:rPr>
              <w:t>73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1060" w:type="dxa"/>
            <w:vAlign w:val="bottom"/>
            <w:tcBorders>
              <w:bottom w:val="single" w:sz="8" w:color="828282"/>
            </w:tcBorders>
            <w:shd w:val="clear" w:color="auto" w:fill="D9DEE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4C639D"/>
              </w:rPr>
              <w:t>4,697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828282"/>
            </w:tcBorders>
            <w:shd w:val="clear" w:color="auto" w:fill="D9DEE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4C639D"/>
              </w:rPr>
              <w:t>4,697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28282"/>
            </w:tcBorders>
            <w:shd w:val="clear" w:color="auto" w:fill="D9DEEC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828282"/>
            </w:tcBorders>
            <w:shd w:val="clear" w:color="auto" w:fill="D9DEE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4C639D"/>
              </w:rPr>
              <w:t>—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828282"/>
            </w:tcBorders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4C639D"/>
              </w:rPr>
              <w:t>3,616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828282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4C639D"/>
              </w:rPr>
              <w:t>3,616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28282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828282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4C639D"/>
              </w:rPr>
              <w:t>—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1060" w:type="dxa"/>
            <w:vAlign w:val="bottom"/>
            <w:tcBorders>
              <w:bottom w:val="single" w:sz="8" w:color="828282"/>
            </w:tcBorders>
            <w:shd w:val="clear" w:color="auto" w:fill="D9DEE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4C639D"/>
              </w:rPr>
              <w:t>6,063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828282"/>
            </w:tcBorders>
            <w:shd w:val="clear" w:color="auto" w:fill="D9DEE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4C639D"/>
              </w:rPr>
              <w:t>6,179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28282"/>
            </w:tcBorders>
            <w:shd w:val="clear" w:color="auto" w:fill="D9DEEC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828282"/>
            </w:tcBorders>
            <w:shd w:val="clear" w:color="auto" w:fill="D9DEE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4C639D"/>
              </w:rPr>
              <w:t>96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828282"/>
            </w:tcBorders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4C639D"/>
              </w:rPr>
              <w:t>5,662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828282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4C639D"/>
              </w:rPr>
              <w:t>5,812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28282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828282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4C639D"/>
              </w:rPr>
              <w:t>115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1060" w:type="dxa"/>
            <w:vAlign w:val="bottom"/>
            <w:tcBorders>
              <w:bottom w:val="single" w:sz="8" w:color="828282"/>
            </w:tcBorders>
            <w:shd w:val="clear" w:color="auto" w:fill="D9DEE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4C639D"/>
              </w:rPr>
              <w:t>1,615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828282"/>
            </w:tcBorders>
            <w:shd w:val="clear" w:color="auto" w:fill="D9DEE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4C639D"/>
              </w:rPr>
              <w:t>1,565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28282"/>
            </w:tcBorders>
            <w:shd w:val="clear" w:color="auto" w:fill="D9DEEC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828282"/>
            </w:tcBorders>
            <w:shd w:val="clear" w:color="auto" w:fill="D9DEE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4C639D"/>
              </w:rPr>
              <w:t>50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828282"/>
            </w:tcBorders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4C639D"/>
              </w:rPr>
              <w:t>1,393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828282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4C639D"/>
              </w:rPr>
              <w:t>1,464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28282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828282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4C639D"/>
              </w:rPr>
              <w:t>53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1060" w:type="dxa"/>
            <w:vAlign w:val="bottom"/>
            <w:tcBorders>
              <w:bottom w:val="single" w:sz="8" w:color="828282"/>
            </w:tcBorders>
            <w:shd w:val="clear" w:color="auto" w:fill="D9DEE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4C639D"/>
              </w:rPr>
              <w:t>33,904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828282"/>
            </w:tcBorders>
            <w:shd w:val="clear" w:color="auto" w:fill="D9DEE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4C639D"/>
              </w:rPr>
              <w:t>14,741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28282"/>
            </w:tcBorders>
            <w:shd w:val="clear" w:color="auto" w:fill="D9DEEC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828282"/>
            </w:tcBorders>
            <w:shd w:val="clear" w:color="auto" w:fill="D9DEE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4C639D"/>
              </w:rPr>
              <w:t>21,648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828282"/>
            </w:tcBorders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4C639D"/>
              </w:rPr>
              <w:t>26,895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828282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4C639D"/>
              </w:rPr>
              <w:t>13,773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28282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828282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4C639D"/>
              </w:rPr>
              <w:t>15,937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1060" w:type="dxa"/>
            <w:vAlign w:val="bottom"/>
            <w:tcBorders>
              <w:bottom w:val="single" w:sz="8" w:color="828282"/>
            </w:tcBorders>
            <w:shd w:val="clear" w:color="auto" w:fill="D9DEE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4C639D"/>
              </w:rPr>
              <w:t>6,200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828282"/>
            </w:tcBorders>
            <w:shd w:val="clear" w:color="auto" w:fill="D9DEE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4C639D"/>
              </w:rPr>
              <w:t>5,621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28282"/>
            </w:tcBorders>
            <w:shd w:val="clear" w:color="auto" w:fill="D9DEEC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828282"/>
            </w:tcBorders>
            <w:shd w:val="clear" w:color="auto" w:fill="D9DEE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4C639D"/>
              </w:rPr>
              <w:t>579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828282"/>
            </w:tcBorders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4C639D"/>
              </w:rPr>
              <w:t>3,781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828282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4C639D"/>
              </w:rPr>
              <w:t>3,235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28282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828282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4C639D"/>
              </w:rPr>
              <w:t>546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1060" w:type="dxa"/>
            <w:vAlign w:val="bottom"/>
            <w:tcBorders>
              <w:bottom w:val="single" w:sz="8" w:color="828282"/>
            </w:tcBorders>
            <w:shd w:val="clear" w:color="auto" w:fill="D9DEE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4C639D"/>
              </w:rPr>
              <w:t>29,046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828282"/>
            </w:tcBorders>
            <w:shd w:val="clear" w:color="auto" w:fill="D9DEE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4C639D"/>
              </w:rPr>
              <w:t>27,012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28282"/>
            </w:tcBorders>
            <w:shd w:val="clear" w:color="auto" w:fill="D9DEEC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828282"/>
            </w:tcBorders>
            <w:shd w:val="clear" w:color="auto" w:fill="D9DEE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4C639D"/>
              </w:rPr>
              <w:t>2,034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828282"/>
            </w:tcBorders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4C639D"/>
              </w:rPr>
              <w:t>30,146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828282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4C639D"/>
              </w:rPr>
              <w:t>28,198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28282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828282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4C639D"/>
              </w:rPr>
              <w:t>1,948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1060" w:type="dxa"/>
            <w:vAlign w:val="bottom"/>
            <w:tcBorders>
              <w:bottom w:val="single" w:sz="8" w:color="828282"/>
            </w:tcBorders>
            <w:shd w:val="clear" w:color="auto" w:fill="D9DEE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4C639D"/>
              </w:rPr>
              <w:t>323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828282"/>
            </w:tcBorders>
            <w:shd w:val="clear" w:color="auto" w:fill="D9DEE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4C639D"/>
              </w:rPr>
              <w:t>323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28282"/>
            </w:tcBorders>
            <w:shd w:val="clear" w:color="auto" w:fill="D9DEEC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828282"/>
            </w:tcBorders>
            <w:shd w:val="clear" w:color="auto" w:fill="D9DEE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4C639D"/>
              </w:rPr>
              <w:t>—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828282"/>
            </w:tcBorders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4C639D"/>
              </w:rPr>
              <w:t>5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828282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4C639D"/>
              </w:rPr>
              <w:t>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28282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828282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4C639D"/>
              </w:rPr>
              <w:t>—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8"/>
        </w:trPr>
        <w:tc>
          <w:tcPr>
            <w:tcW w:w="1060" w:type="dxa"/>
            <w:vAlign w:val="bottom"/>
            <w:shd w:val="clear" w:color="auto" w:fill="D9DEE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4C639D"/>
              </w:rPr>
              <w:t>214,407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D9DEE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4C639D"/>
              </w:rPr>
              <w:t>183,884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D9DEEC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shd w:val="clear" w:color="auto" w:fill="D9DEE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4C639D"/>
              </w:rPr>
              <w:t>42,825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4C639D"/>
              </w:rPr>
              <w:t>195,153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4C639D"/>
              </w:rPr>
              <w:t>173,510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4C639D"/>
              </w:rPr>
              <w:t>33,423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1060" w:type="dxa"/>
            <w:vAlign w:val="bottom"/>
            <w:tcBorders>
              <w:top w:val="single" w:sz="8" w:color="45639D"/>
              <w:bottom w:val="single" w:sz="8" w:color="828282"/>
            </w:tcBorders>
            <w:shd w:val="clear" w:color="auto" w:fill="D9DEEC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45639D"/>
              <w:bottom w:val="single" w:sz="8" w:color="828282"/>
            </w:tcBorders>
            <w:shd w:val="clear" w:color="auto" w:fill="D9DEEC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45639D"/>
              <w:bottom w:val="single" w:sz="8" w:color="828282"/>
            </w:tcBorders>
            <w:shd w:val="clear" w:color="auto" w:fill="D9DEEC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45639D"/>
              <w:bottom w:val="single" w:sz="8" w:color="828282"/>
            </w:tcBorders>
            <w:shd w:val="clear" w:color="auto" w:fill="D9DEEC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45639D"/>
              <w:bottom w:val="single" w:sz="8" w:color="828282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45639D"/>
              <w:bottom w:val="single" w:sz="8" w:color="828282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45639D"/>
              <w:bottom w:val="single" w:sz="8" w:color="828282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45639D"/>
              <w:bottom w:val="single" w:sz="8" w:color="828282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1060" w:type="dxa"/>
            <w:vAlign w:val="bottom"/>
            <w:tcBorders>
              <w:bottom w:val="single" w:sz="8" w:color="828282"/>
            </w:tcBorders>
            <w:shd w:val="clear" w:color="auto" w:fill="D9DEE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4C639D"/>
              </w:rPr>
              <w:t>61,763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828282"/>
            </w:tcBorders>
            <w:shd w:val="clear" w:color="auto" w:fill="D9DEE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4C639D"/>
              </w:rPr>
              <w:t>61,763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28282"/>
            </w:tcBorders>
            <w:shd w:val="clear" w:color="auto" w:fill="D9DEEC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828282"/>
            </w:tcBorders>
            <w:shd w:val="clear" w:color="auto" w:fill="D9DEE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4C639D"/>
              </w:rPr>
              <w:t>9,605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828282"/>
            </w:tcBorders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4C639D"/>
              </w:rPr>
              <w:t>54,001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828282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4C639D"/>
              </w:rPr>
              <w:t>54,001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28282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828282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4C639D"/>
              </w:rPr>
              <w:t>8,576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1060" w:type="dxa"/>
            <w:vAlign w:val="bottom"/>
            <w:tcBorders>
              <w:bottom w:val="single" w:sz="8" w:color="616161"/>
            </w:tcBorders>
            <w:shd w:val="clear" w:color="auto" w:fill="D9DEE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4C639D"/>
              </w:rPr>
              <w:t>5,003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616161"/>
            </w:tcBorders>
            <w:shd w:val="clear" w:color="auto" w:fill="D9DEE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4C639D"/>
              </w:rPr>
              <w:t>4,999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616161"/>
            </w:tcBorders>
            <w:shd w:val="clear" w:color="auto" w:fill="D9DEEC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616161"/>
            </w:tcBorders>
            <w:shd w:val="clear" w:color="auto" w:fill="D9DEE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4C639D"/>
              </w:rPr>
              <w:t>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616161"/>
            </w:tcBorders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4C639D"/>
              </w:rPr>
              <w:t>5,312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616161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4C639D"/>
              </w:rPr>
              <w:t>5,308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616161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616161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4C639D"/>
              </w:rPr>
              <w:t>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1060" w:type="dxa"/>
            <w:vAlign w:val="bottom"/>
            <w:tcBorders>
              <w:bottom w:val="single" w:sz="8" w:color="616161"/>
            </w:tcBorders>
            <w:shd w:val="clear" w:color="auto" w:fill="D9DEE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4C639D"/>
              </w:rPr>
              <w:t>30,789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616161"/>
            </w:tcBorders>
            <w:shd w:val="clear" w:color="auto" w:fill="D9DEE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4C639D"/>
              </w:rPr>
              <w:t>30,628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616161"/>
            </w:tcBorders>
            <w:shd w:val="clear" w:color="auto" w:fill="D9DEEC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616161"/>
            </w:tcBorders>
            <w:shd w:val="clear" w:color="auto" w:fill="D9DEE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4C639D"/>
              </w:rPr>
              <w:t>161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616161"/>
            </w:tcBorders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4C639D"/>
              </w:rPr>
              <w:t>32,913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616161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4C639D"/>
              </w:rPr>
              <w:t>32,809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616161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616161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4C639D"/>
              </w:rPr>
              <w:t>104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1060" w:type="dxa"/>
            <w:vAlign w:val="bottom"/>
            <w:tcBorders>
              <w:bottom w:val="single" w:sz="8" w:color="616161"/>
            </w:tcBorders>
            <w:shd w:val="clear" w:color="auto" w:fill="D9DEE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4C639D"/>
              </w:rPr>
              <w:t>1,260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616161"/>
            </w:tcBorders>
            <w:shd w:val="clear" w:color="auto" w:fill="D9DEE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4C639D"/>
              </w:rPr>
              <w:t>826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616161"/>
            </w:tcBorders>
            <w:shd w:val="clear" w:color="auto" w:fill="D9DEEC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616161"/>
            </w:tcBorders>
            <w:shd w:val="clear" w:color="auto" w:fill="D9DEE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4C639D"/>
              </w:rPr>
              <w:t>434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616161"/>
            </w:tcBorders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4C639D"/>
              </w:rPr>
              <w:t>1,294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616161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4C639D"/>
              </w:rPr>
              <w:t>874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616161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616161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4C639D"/>
              </w:rPr>
              <w:t>420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1060" w:type="dxa"/>
            <w:vAlign w:val="bottom"/>
            <w:tcBorders>
              <w:bottom w:val="single" w:sz="8" w:color="616161"/>
            </w:tcBorders>
            <w:shd w:val="clear" w:color="auto" w:fill="D9DEE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4C639D"/>
              </w:rPr>
              <w:t>55,999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616161"/>
            </w:tcBorders>
            <w:shd w:val="clear" w:color="auto" w:fill="D9DEE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4C639D"/>
              </w:rPr>
              <w:t>26,998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616161"/>
            </w:tcBorders>
            <w:shd w:val="clear" w:color="auto" w:fill="D9DEEC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616161"/>
            </w:tcBorders>
            <w:shd w:val="clear" w:color="auto" w:fill="D9DEE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4C639D"/>
              </w:rPr>
              <w:t>31,390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616161"/>
            </w:tcBorders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4C639D"/>
              </w:rPr>
              <w:t>45,947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616161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4C639D"/>
              </w:rPr>
              <w:t>25,630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616161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616161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4C639D"/>
              </w:rPr>
              <w:t>23,035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1060" w:type="dxa"/>
            <w:vAlign w:val="bottom"/>
            <w:tcBorders>
              <w:bottom w:val="single" w:sz="8" w:color="616161"/>
            </w:tcBorders>
            <w:shd w:val="clear" w:color="auto" w:fill="D9DEE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4C639D"/>
              </w:rPr>
              <w:t>30,973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616161"/>
            </w:tcBorders>
            <w:shd w:val="clear" w:color="auto" w:fill="D9DEE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4C639D"/>
              </w:rPr>
              <w:t>31,062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616161"/>
            </w:tcBorders>
            <w:shd w:val="clear" w:color="auto" w:fill="D9DEEC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616161"/>
            </w:tcBorders>
            <w:shd w:val="clear" w:color="auto" w:fill="D9DEE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4C639D"/>
              </w:rPr>
              <w:t>175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616161"/>
            </w:tcBorders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4C639D"/>
              </w:rPr>
              <w:t>29,999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616161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4C639D"/>
              </w:rPr>
              <w:t>30,082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616161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616161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4C639D"/>
              </w:rPr>
              <w:t>211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1060" w:type="dxa"/>
            <w:vAlign w:val="bottom"/>
            <w:tcBorders>
              <w:bottom w:val="single" w:sz="8" w:color="616161"/>
            </w:tcBorders>
            <w:shd w:val="clear" w:color="auto" w:fill="D9DEE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4C639D"/>
              </w:rPr>
              <w:t>60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616161"/>
            </w:tcBorders>
            <w:shd w:val="clear" w:color="auto" w:fill="D9DEE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4C639D"/>
              </w:rPr>
              <w:t>43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616161"/>
            </w:tcBorders>
            <w:shd w:val="clear" w:color="auto" w:fill="D9DEEC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616161"/>
            </w:tcBorders>
            <w:shd w:val="clear" w:color="auto" w:fill="D9DEE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4C639D"/>
              </w:rPr>
              <w:t>17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616161"/>
            </w:tcBorders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4C639D"/>
              </w:rPr>
              <w:t>36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616161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4C639D"/>
              </w:rPr>
              <w:t>19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616161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616161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4C639D"/>
              </w:rPr>
              <w:t>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1060" w:type="dxa"/>
            <w:vAlign w:val="bottom"/>
            <w:tcBorders>
              <w:bottom w:val="single" w:sz="8" w:color="616161"/>
            </w:tcBorders>
            <w:shd w:val="clear" w:color="auto" w:fill="D9DEE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4C639D"/>
              </w:rPr>
              <w:t>1,120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616161"/>
            </w:tcBorders>
            <w:shd w:val="clear" w:color="auto" w:fill="D9DEE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4C639D"/>
              </w:rPr>
              <w:t>1,001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616161"/>
            </w:tcBorders>
            <w:shd w:val="clear" w:color="auto" w:fill="D9DEEC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616161"/>
            </w:tcBorders>
            <w:shd w:val="clear" w:color="auto" w:fill="D9DEE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4C639D"/>
              </w:rPr>
              <w:t>119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616161"/>
            </w:tcBorders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4C639D"/>
              </w:rPr>
              <w:t>911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616161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4C639D"/>
              </w:rPr>
              <w:t>826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616161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616161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4C639D"/>
              </w:rPr>
              <w:t>209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1060" w:type="dxa"/>
            <w:vAlign w:val="bottom"/>
            <w:tcBorders>
              <w:bottom w:val="single" w:sz="8" w:color="616161"/>
            </w:tcBorders>
            <w:shd w:val="clear" w:color="auto" w:fill="D9DEE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4C639D"/>
              </w:rPr>
              <w:t>27,262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616161"/>
            </w:tcBorders>
            <w:shd w:val="clear" w:color="auto" w:fill="D9DEE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4C639D"/>
              </w:rPr>
              <w:t>26,386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616161"/>
            </w:tcBorders>
            <w:shd w:val="clear" w:color="auto" w:fill="D9DEEC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616161"/>
            </w:tcBorders>
            <w:shd w:val="clear" w:color="auto" w:fill="D9DEE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4C639D"/>
              </w:rPr>
              <w:t>920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616161"/>
            </w:tcBorders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4C639D"/>
              </w:rPr>
              <w:t>24,740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616161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4C639D"/>
              </w:rPr>
              <w:t>23,961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616161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616161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4C639D"/>
              </w:rPr>
              <w:t>847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1060" w:type="dxa"/>
            <w:vAlign w:val="bottom"/>
            <w:tcBorders>
              <w:bottom w:val="single" w:sz="8" w:color="616161"/>
            </w:tcBorders>
            <w:shd w:val="clear" w:color="auto" w:fill="D9DEE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4C639D"/>
              </w:rPr>
              <w:t>178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616161"/>
            </w:tcBorders>
            <w:shd w:val="clear" w:color="auto" w:fill="D9DEE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4C639D"/>
              </w:rPr>
              <w:t>178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616161"/>
            </w:tcBorders>
            <w:shd w:val="clear" w:color="auto" w:fill="D9DEEC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616161"/>
            </w:tcBorders>
            <w:shd w:val="clear" w:color="auto" w:fill="D9DEE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4C639D"/>
              </w:rPr>
              <w:t>—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616161"/>
            </w:tcBorders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4C639D"/>
              </w:rPr>
              <w:t>—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616161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4C639D"/>
              </w:rPr>
              <w:t>—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616161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616161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4C639D"/>
              </w:rPr>
              <w:t>—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8"/>
        </w:trPr>
        <w:tc>
          <w:tcPr>
            <w:tcW w:w="1060" w:type="dxa"/>
            <w:vAlign w:val="bottom"/>
            <w:tcBorders>
              <w:bottom w:val="single" w:sz="8" w:color="4C639D"/>
            </w:tcBorders>
            <w:shd w:val="clear" w:color="auto" w:fill="D9DEE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4C639D"/>
              </w:rPr>
              <w:t>214,407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4C639D"/>
            </w:tcBorders>
            <w:shd w:val="clear" w:color="auto" w:fill="D9DEE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4C639D"/>
              </w:rPr>
              <w:t>183,884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45639D"/>
            </w:tcBorders>
            <w:shd w:val="clear" w:color="auto" w:fill="D9DEEC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45639D"/>
            </w:tcBorders>
            <w:shd w:val="clear" w:color="auto" w:fill="D9DEE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4C639D"/>
              </w:rPr>
              <w:t>42,825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4C639D"/>
            </w:tcBorders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4C639D"/>
              </w:rPr>
              <w:t>195,153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4C639D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4C639D"/>
              </w:rPr>
              <w:t>173,510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45639D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45639D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4C639D"/>
              </w:rPr>
              <w:t>33,423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860" w:space="460"/>
            <w:col w:w="6920"/>
          </w:cols>
          <w:pgMar w:left="320" w:top="1440" w:right="339" w:bottom="1440" w:gutter="0" w:footer="0" w:header="0"/>
          <w:type w:val="continuous"/>
        </w:sect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Figures presented for Industrial activities and Financial services include intersegment transactions</w:t>
      </w:r>
    </w:p>
    <w:p>
      <w:pPr>
        <w:sectPr>
          <w:pgSz w:w="11900" w:h="16838" w:orient="portrait"/>
          <w:cols w:equalWidth="0" w:num="1">
            <w:col w:w="11240"/>
          </w:cols>
          <w:pgMar w:left="320" w:top="1440" w:right="339" w:bottom="1440" w:gutter="0" w:footer="0" w:header="0"/>
          <w:type w:val="continuous"/>
        </w:sectPr>
      </w:pPr>
    </w:p>
    <w:bookmarkStart w:id="7" w:name="page8"/>
    <w:bookmarkEnd w:id="7"/>
    <w:p>
      <w:pPr>
        <w:spacing w:after="0" w:line="20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2273935</wp:posOffset>
            </wp:positionH>
            <wp:positionV relativeFrom="page">
              <wp:posOffset>148590</wp:posOffset>
            </wp:positionV>
            <wp:extent cx="3008630" cy="848995"/>
            <wp:wrapNone/>
            <wp:docPr id="71" name="Picture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/>
                    <pic:cNvPicPr>
                      <a:picLocks noChangeAspect="1" noChangeArrowheads="1"/>
                    </pic:cNvPicPr>
                  </pic:nvPicPr>
                  <pic:blipFill>
                    <a:blip r:embed="rId7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8630" cy="848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4C639D"/>
        </w:rPr>
        <w:t>Statement of Cash Flows by activity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i w:val="1"/>
          <w:iCs w:val="1"/>
          <w:color w:val="4C639D"/>
        </w:rPr>
        <w:t>Unaudited</w:t>
      </w:r>
    </w:p>
    <w:p>
      <w:pPr>
        <w:spacing w:after="0" w:line="4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4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4C639D"/>
              </w:rPr>
              <w:t>Nine months ended September 30,</w:t>
            </w: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4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616161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616161"/>
            </w:tcBorders>
            <w:gridSpan w:val="2"/>
          </w:tcPr>
          <w:p>
            <w:pPr>
              <w:jc w:val="center"/>
              <w:ind w:lef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4C639D"/>
                <w:w w:val="97"/>
              </w:rPr>
              <w:t>2026</w:t>
            </w:r>
          </w:p>
        </w:tc>
        <w:tc>
          <w:tcPr>
            <w:tcW w:w="120" w:type="dxa"/>
            <w:vAlign w:val="bottom"/>
            <w:tcBorders>
              <w:bottom w:val="single" w:sz="8" w:color="616161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616161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616161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616161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616161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4C639D"/>
                <w:w w:val="97"/>
              </w:rPr>
              <w:t>2025</w:t>
            </w:r>
          </w:p>
        </w:tc>
        <w:tc>
          <w:tcPr>
            <w:tcW w:w="100" w:type="dxa"/>
            <w:vAlign w:val="bottom"/>
            <w:tcBorders>
              <w:bottom w:val="single" w:sz="8" w:color="616161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616161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47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(€ million)</w:t>
            </w: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jc w:val="right"/>
              <w:ind w:right="2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4C639D"/>
              </w:rPr>
              <w:t>Stellantis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4C639D"/>
                <w:w w:val="96"/>
              </w:rPr>
              <w:t>Industrial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jc w:val="right"/>
              <w:ind w:right="206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4C639D"/>
              </w:rPr>
              <w:t>Financial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jc w:val="right"/>
              <w:ind w:right="2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4C639D"/>
              </w:rPr>
              <w:t>Stellantis</w:t>
            </w: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jc w:val="center"/>
              <w:ind w:right="10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4C639D"/>
              </w:rPr>
              <w:t>Industrial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4C639D"/>
                <w:w w:val="99"/>
              </w:rPr>
              <w:t>Financial services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720" w:type="dxa"/>
            <w:vAlign w:val="bottom"/>
            <w:tcBorders>
              <w:bottom w:val="single" w:sz="8" w:color="828282"/>
            </w:tcBorders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828282"/>
            </w:tcBorders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828282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4C639D"/>
                <w:w w:val="97"/>
              </w:rPr>
              <w:t>activities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828282"/>
            </w:tcBorders>
          </w:tcPr>
          <w:p>
            <w:pPr>
              <w:jc w:val="right"/>
              <w:ind w:right="2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4C639D"/>
              </w:rPr>
              <w:t>services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99999"/>
            </w:tcBorders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828282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4C639D"/>
                <w:w w:val="97"/>
              </w:rPr>
              <w:t>activities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828282"/>
            </w:tcBorders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4720" w:type="dxa"/>
            <w:vAlign w:val="bottom"/>
            <w:tcBorders>
              <w:bottom w:val="single" w:sz="8" w:color="828282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424242"/>
              </w:rPr>
              <w:t>Profit/(loss) before taxes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828282"/>
              <w:right w:val="single" w:sz="8" w:color="D9DEEC"/>
            </w:tcBorders>
            <w:shd w:val="clear" w:color="auto" w:fill="D9DEEC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4C639D"/>
              </w:rPr>
              <w:t>506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828282"/>
            </w:tcBorders>
            <w:shd w:val="clear" w:color="auto" w:fill="D9DEEC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4C639D"/>
              </w:rPr>
              <w:t>438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828282"/>
            </w:tcBorders>
            <w:shd w:val="clear" w:color="auto" w:fill="D9DEEC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4C639D"/>
              </w:rPr>
              <w:t>248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99999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4C639D"/>
              </w:rPr>
              <w:t>(8,565)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99999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4C639D"/>
              </w:rPr>
              <w:t>(8,432)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99999"/>
            </w:tcBorders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4C639D"/>
              </w:rPr>
              <w:t>353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4720" w:type="dxa"/>
            <w:vAlign w:val="bottom"/>
            <w:tcBorders>
              <w:bottom w:val="single" w:sz="8" w:color="999999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Adjustments for non-cash items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828282"/>
              <w:right w:val="single" w:sz="8" w:color="D9DEEC"/>
            </w:tcBorders>
            <w:shd w:val="clear" w:color="auto" w:fill="D9DEEC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828282"/>
            </w:tcBorders>
            <w:shd w:val="clear" w:color="auto" w:fill="D9DEEC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99999"/>
            </w:tcBorders>
            <w:shd w:val="clear" w:color="auto" w:fill="D9DEEC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99999"/>
            </w:tcBorders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4C639D"/>
              </w:rPr>
              <w:t>—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99999"/>
            </w:tcBorders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4C639D"/>
              </w:rPr>
              <w:t>—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828282"/>
            </w:tcBorders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4C639D"/>
              </w:rPr>
              <w:t>—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4720" w:type="dxa"/>
            <w:vAlign w:val="bottom"/>
            <w:tcBorders>
              <w:bottom w:val="single" w:sz="8" w:color="999999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depreciation and amortization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828282"/>
              <w:right w:val="single" w:sz="8" w:color="D9DEEC"/>
            </w:tcBorders>
            <w:shd w:val="clear" w:color="auto" w:fill="D9DEEC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4C639D"/>
              </w:rPr>
              <w:t>4,736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828282"/>
            </w:tcBorders>
            <w:shd w:val="clear" w:color="auto" w:fill="D9DEEC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4C639D"/>
              </w:rPr>
              <w:t>4,702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828282"/>
            </w:tcBorders>
            <w:shd w:val="clear" w:color="auto" w:fill="D9DEEC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4C639D"/>
              </w:rPr>
              <w:t>34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99999"/>
            </w:tcBorders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4C639D"/>
              </w:rPr>
              <w:t>5,301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99999"/>
            </w:tcBorders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4C639D"/>
              </w:rPr>
              <w:t>5,260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828282"/>
            </w:tcBorders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4C639D"/>
              </w:rPr>
              <w:t>41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4820" w:type="dxa"/>
            <w:vAlign w:val="bottom"/>
            <w:tcBorders>
              <w:bottom w:val="single" w:sz="8" w:color="999999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other non-cash items</w:t>
            </w:r>
          </w:p>
        </w:tc>
        <w:tc>
          <w:tcPr>
            <w:tcW w:w="1000" w:type="dxa"/>
            <w:vAlign w:val="bottom"/>
            <w:tcBorders>
              <w:bottom w:val="single" w:sz="8" w:color="828282"/>
              <w:right w:val="single" w:sz="8" w:color="D9DEEC"/>
            </w:tcBorders>
            <w:shd w:val="clear" w:color="auto" w:fill="D9DEEC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4C639D"/>
              </w:rPr>
              <w:t>1,071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99999"/>
            </w:tcBorders>
            <w:shd w:val="clear" w:color="auto" w:fill="D9DEEC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4C639D"/>
              </w:rPr>
              <w:t>842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99999"/>
            </w:tcBorders>
            <w:shd w:val="clear" w:color="auto" w:fill="D9DEEC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4C639D"/>
              </w:rPr>
              <w:t>229</w:t>
            </w:r>
          </w:p>
        </w:tc>
        <w:tc>
          <w:tcPr>
            <w:tcW w:w="1080" w:type="dxa"/>
            <w:vAlign w:val="bottom"/>
            <w:tcBorders>
              <w:bottom w:val="single" w:sz="8" w:color="999999"/>
            </w:tcBorders>
            <w:gridSpan w:val="2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4C639D"/>
              </w:rPr>
              <w:t>3,267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99999"/>
            </w:tcBorders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4C639D"/>
              </w:rPr>
              <w:t>3,082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828282"/>
            </w:tcBorders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4C639D"/>
              </w:rPr>
              <w:t>185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4720" w:type="dxa"/>
            <w:vAlign w:val="bottom"/>
            <w:tcBorders>
              <w:bottom w:val="single" w:sz="8" w:color="999999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(gains)/losses on disposals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99999"/>
              <w:right w:val="single" w:sz="8" w:color="D9DEEC"/>
            </w:tcBorders>
            <w:shd w:val="clear" w:color="auto" w:fill="D9DEE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4C639D"/>
              </w:rPr>
              <w:t>(61)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828282"/>
            </w:tcBorders>
            <w:shd w:val="clear" w:color="auto" w:fill="D9DEE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4C639D"/>
              </w:rPr>
              <w:t>(61)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99999"/>
            </w:tcBorders>
            <w:shd w:val="clear" w:color="auto" w:fill="D9DEEC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4C639D"/>
              </w:rPr>
              <w:t>—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99999"/>
            </w:tcBorders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4C639D"/>
              </w:rPr>
              <w:t>137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99999"/>
            </w:tcBorders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4C639D"/>
              </w:rPr>
              <w:t>138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828282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4C639D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4820" w:type="dxa"/>
            <w:vAlign w:val="bottom"/>
            <w:tcBorders>
              <w:bottom w:val="single" w:sz="8" w:color="999999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share of the (profit)/loss of equity method investees</w:t>
            </w:r>
          </w:p>
        </w:tc>
        <w:tc>
          <w:tcPr>
            <w:tcW w:w="1000" w:type="dxa"/>
            <w:vAlign w:val="bottom"/>
            <w:tcBorders>
              <w:bottom w:val="single" w:sz="8" w:color="999999"/>
              <w:right w:val="single" w:sz="8" w:color="D9DEEC"/>
            </w:tcBorders>
            <w:shd w:val="clear" w:color="auto" w:fill="D9DEE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4C639D"/>
              </w:rPr>
              <w:t>(81)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99999"/>
            </w:tcBorders>
            <w:shd w:val="clear" w:color="auto" w:fill="D9DEE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4C639D"/>
              </w:rPr>
              <w:t>(142)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99999"/>
            </w:tcBorders>
            <w:shd w:val="clear" w:color="auto" w:fill="D9DEE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4C639D"/>
              </w:rPr>
              <w:t>(119)</w:t>
            </w:r>
          </w:p>
        </w:tc>
        <w:tc>
          <w:tcPr>
            <w:tcW w:w="1080" w:type="dxa"/>
            <w:vAlign w:val="bottom"/>
            <w:tcBorders>
              <w:bottom w:val="single" w:sz="8" w:color="999999"/>
            </w:tcBorders>
            <w:gridSpan w:val="2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4C639D"/>
              </w:rPr>
              <w:t>498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99999"/>
            </w:tcBorders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4C639D"/>
              </w:rPr>
              <w:t>239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828282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4C639D"/>
              </w:rPr>
              <w:t>(227)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4820" w:type="dxa"/>
            <w:vAlign w:val="bottom"/>
            <w:tcBorders>
              <w:bottom w:val="single" w:sz="8" w:color="999999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Change in provisions and employee benefits liabilities</w:t>
            </w:r>
          </w:p>
        </w:tc>
        <w:tc>
          <w:tcPr>
            <w:tcW w:w="1000" w:type="dxa"/>
            <w:vAlign w:val="bottom"/>
            <w:tcBorders>
              <w:bottom w:val="single" w:sz="8" w:color="999999"/>
              <w:right w:val="single" w:sz="8" w:color="D9DEEC"/>
            </w:tcBorders>
            <w:shd w:val="clear" w:color="auto" w:fill="D9DEE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4C639D"/>
              </w:rPr>
              <w:t>(2,414)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99999"/>
            </w:tcBorders>
            <w:shd w:val="clear" w:color="auto" w:fill="D9DEE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4C639D"/>
              </w:rPr>
              <w:t>(2,422)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99999"/>
            </w:tcBorders>
            <w:shd w:val="clear" w:color="auto" w:fill="D9DEEC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4C639D"/>
              </w:rPr>
              <w:t>8</w:t>
            </w:r>
          </w:p>
        </w:tc>
        <w:tc>
          <w:tcPr>
            <w:tcW w:w="1080" w:type="dxa"/>
            <w:vAlign w:val="bottom"/>
            <w:tcBorders>
              <w:bottom w:val="single" w:sz="8" w:color="999999"/>
            </w:tcBorders>
            <w:gridSpan w:val="2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4C639D"/>
              </w:rPr>
              <w:t>2,693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99999"/>
            </w:tcBorders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4C639D"/>
              </w:rPr>
              <w:t>2,690</w:t>
            </w:r>
          </w:p>
        </w:tc>
        <w:tc>
          <w:tcPr>
            <w:tcW w:w="100" w:type="dxa"/>
            <w:vAlign w:val="bottom"/>
            <w:tcBorders>
              <w:bottom w:val="single" w:sz="8" w:color="999999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828282"/>
            </w:tcBorders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4C639D"/>
              </w:rPr>
              <w:t>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48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Net change in receivables related to financial services activities</w:t>
            </w:r>
          </w:p>
        </w:tc>
        <w:tc>
          <w:tcPr>
            <w:tcW w:w="1000" w:type="dxa"/>
            <w:vAlign w:val="bottom"/>
            <w:tcBorders>
              <w:right w:val="single" w:sz="8" w:color="D9DEEC"/>
            </w:tcBorders>
            <w:shd w:val="clear" w:color="auto" w:fill="D9DEE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4C639D"/>
              </w:rPr>
              <w:t>(4,281)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D9DEEC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4C639D"/>
              </w:rPr>
              <w:t>—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D9DEE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4C639D"/>
              </w:rPr>
              <w:t>(4,281)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4C639D"/>
              </w:rPr>
              <w:t>(3,281)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4C639D"/>
              </w:rPr>
              <w:t>—</w:t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4C639D"/>
              </w:rPr>
              <w:t>(3,281)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4720" w:type="dxa"/>
            <w:vAlign w:val="bottom"/>
            <w:tcBorders>
              <w:top w:val="single" w:sz="8" w:color="999999"/>
              <w:bottom w:val="single" w:sz="8" w:color="999999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Change in carrying amount of leased vehicles</w:t>
            </w:r>
          </w:p>
        </w:tc>
        <w:tc>
          <w:tcPr>
            <w:tcW w:w="100" w:type="dxa"/>
            <w:vAlign w:val="bottom"/>
            <w:tcBorders>
              <w:top w:val="single" w:sz="8" w:color="999999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828282"/>
              <w:bottom w:val="single" w:sz="8" w:color="828282"/>
              <w:right w:val="single" w:sz="8" w:color="D9DEEC"/>
            </w:tcBorders>
            <w:shd w:val="clear" w:color="auto" w:fill="D9DEE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4C639D"/>
              </w:rPr>
              <w:t>(2,591)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28282"/>
              <w:bottom w:val="single" w:sz="8" w:color="828282"/>
            </w:tcBorders>
            <w:shd w:val="clear" w:color="auto" w:fill="D9DEEC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4C639D"/>
              </w:rPr>
              <w:t>334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999999"/>
              <w:bottom w:val="single" w:sz="8" w:color="999999"/>
            </w:tcBorders>
            <w:shd w:val="clear" w:color="auto" w:fill="D9DEE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4C639D"/>
              </w:rPr>
              <w:t>(2,925)</w:t>
            </w:r>
          </w:p>
        </w:tc>
        <w:tc>
          <w:tcPr>
            <w:tcW w:w="100" w:type="dxa"/>
            <w:vAlign w:val="bottom"/>
            <w:tcBorders>
              <w:top w:val="single" w:sz="8" w:color="999999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999999"/>
              <w:bottom w:val="single" w:sz="8" w:color="999999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4C639D"/>
              </w:rPr>
              <w:t>(4,225)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999999"/>
              <w:bottom w:val="single" w:sz="8" w:color="999999"/>
            </w:tcBorders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4C639D"/>
              </w:rPr>
              <w:t>241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28282"/>
              <w:bottom w:val="single" w:sz="8" w:color="828282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4C639D"/>
              </w:rPr>
              <w:t>(4,466)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4820" w:type="dxa"/>
            <w:vAlign w:val="bottom"/>
            <w:tcBorders>
              <w:bottom w:val="single" w:sz="8" w:color="999999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Dividends received</w:t>
            </w:r>
          </w:p>
        </w:tc>
        <w:tc>
          <w:tcPr>
            <w:tcW w:w="1000" w:type="dxa"/>
            <w:vAlign w:val="bottom"/>
            <w:tcBorders>
              <w:bottom w:val="single" w:sz="8" w:color="828282"/>
              <w:right w:val="single" w:sz="8" w:color="D9DEEC"/>
            </w:tcBorders>
            <w:shd w:val="clear" w:color="auto" w:fill="D9DEEC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4C639D"/>
              </w:rPr>
              <w:t>192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828282"/>
            </w:tcBorders>
            <w:shd w:val="clear" w:color="auto" w:fill="D9DEEC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4C639D"/>
              </w:rPr>
              <w:t>300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99999"/>
            </w:tcBorders>
            <w:shd w:val="clear" w:color="auto" w:fill="D9DEEC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4C639D"/>
              </w:rPr>
              <w:t>112</w:t>
            </w:r>
          </w:p>
        </w:tc>
        <w:tc>
          <w:tcPr>
            <w:tcW w:w="1080" w:type="dxa"/>
            <w:vAlign w:val="bottom"/>
            <w:tcBorders>
              <w:bottom w:val="single" w:sz="8" w:color="999999"/>
            </w:tcBorders>
            <w:gridSpan w:val="2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4C639D"/>
              </w:rPr>
              <w:t>227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99999"/>
            </w:tcBorders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4C639D"/>
              </w:rPr>
              <w:t>208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828282"/>
            </w:tcBorders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4C639D"/>
              </w:rPr>
              <w:t>171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4820" w:type="dxa"/>
            <w:vAlign w:val="bottom"/>
            <w:tcBorders>
              <w:bottom w:val="single" w:sz="8" w:color="999999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Income tax received/(paid), net</w:t>
            </w:r>
          </w:p>
        </w:tc>
        <w:tc>
          <w:tcPr>
            <w:tcW w:w="1000" w:type="dxa"/>
            <w:vAlign w:val="bottom"/>
            <w:tcBorders>
              <w:bottom w:val="single" w:sz="8" w:color="999999"/>
              <w:right w:val="single" w:sz="8" w:color="D9DEEC"/>
            </w:tcBorders>
            <w:shd w:val="clear" w:color="auto" w:fill="D9DEE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4C639D"/>
              </w:rPr>
              <w:t>(2)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828282"/>
            </w:tcBorders>
            <w:shd w:val="clear" w:color="auto" w:fill="D9DEEC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4C639D"/>
              </w:rPr>
              <w:t>62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99999"/>
            </w:tcBorders>
            <w:shd w:val="clear" w:color="auto" w:fill="D9DEE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4C639D"/>
              </w:rPr>
              <w:t>(64)</w:t>
            </w:r>
          </w:p>
        </w:tc>
        <w:tc>
          <w:tcPr>
            <w:tcW w:w="1080" w:type="dxa"/>
            <w:vAlign w:val="bottom"/>
            <w:tcBorders>
              <w:bottom w:val="single" w:sz="8" w:color="999999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4C639D"/>
              </w:rPr>
              <w:t>(80)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99999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4C639D"/>
              </w:rPr>
              <w:t>(236)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828282"/>
            </w:tcBorders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4C639D"/>
              </w:rPr>
              <w:t>156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48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Change in working capital</w:t>
            </w:r>
          </w:p>
        </w:tc>
        <w:tc>
          <w:tcPr>
            <w:tcW w:w="1000" w:type="dxa"/>
            <w:vAlign w:val="bottom"/>
            <w:tcBorders>
              <w:right w:val="single" w:sz="8" w:color="D9DEEC"/>
            </w:tcBorders>
            <w:shd w:val="clear" w:color="auto" w:fill="D9DEE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4C639D"/>
              </w:rPr>
              <w:t>(3,892)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D9DEE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4C639D"/>
              </w:rPr>
              <w:t>(3,693)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D9DEE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4C639D"/>
              </w:rPr>
              <w:t>(199)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4C639D"/>
              </w:rPr>
              <w:t>(2,810)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4C639D"/>
              </w:rPr>
              <w:t>(3,082)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4C639D"/>
              </w:rPr>
              <w:t>272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4820" w:type="dxa"/>
            <w:vAlign w:val="bottom"/>
            <w:tcBorders>
              <w:top w:val="single" w:sz="8" w:color="999999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Net cash from/(used in) operating activities of discontinued operations</w:t>
            </w:r>
          </w:p>
        </w:tc>
        <w:tc>
          <w:tcPr>
            <w:tcW w:w="1000" w:type="dxa"/>
            <w:vAlign w:val="bottom"/>
            <w:tcBorders>
              <w:top w:val="single" w:sz="8" w:color="828282"/>
              <w:right w:val="single" w:sz="8" w:color="D9DEEC"/>
            </w:tcBorders>
            <w:shd w:val="clear" w:color="auto" w:fill="D9DEEC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4C639D"/>
              </w:rPr>
              <w:t>—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28282"/>
            </w:tcBorders>
            <w:shd w:val="clear" w:color="auto" w:fill="D9DEEC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4C639D"/>
              </w:rPr>
              <w:t>—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999999"/>
            </w:tcBorders>
            <w:shd w:val="clear" w:color="auto" w:fill="D9DEEC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4C639D"/>
              </w:rPr>
              <w:t>—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999999"/>
            </w:tcBorders>
            <w:gridSpan w:val="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4C639D"/>
              </w:rPr>
              <w:t>—</w:t>
            </w:r>
          </w:p>
        </w:tc>
        <w:tc>
          <w:tcPr>
            <w:tcW w:w="1080" w:type="dxa"/>
            <w:vAlign w:val="bottom"/>
            <w:tcBorders>
              <w:top w:val="single" w:sz="8" w:color="999999"/>
            </w:tcBorders>
            <w:gridSpan w:val="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4C639D"/>
              </w:rPr>
              <w:t>—</w:t>
            </w:r>
          </w:p>
        </w:tc>
        <w:tc>
          <w:tcPr>
            <w:tcW w:w="980" w:type="dxa"/>
            <w:vAlign w:val="bottom"/>
            <w:tcBorders>
              <w:top w:val="single" w:sz="8" w:color="999999"/>
            </w:tcBorders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4C639D"/>
              </w:rPr>
              <w:t>—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4720" w:type="dxa"/>
            <w:vAlign w:val="bottom"/>
            <w:tcBorders>
              <w:top w:val="single" w:sz="8" w:color="999999"/>
              <w:bottom w:val="single" w:sz="8" w:color="4C639D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4C639D"/>
              </w:rPr>
              <w:t>Net cash from/(used in) operating activities</w:t>
            </w:r>
          </w:p>
        </w:tc>
        <w:tc>
          <w:tcPr>
            <w:tcW w:w="100" w:type="dxa"/>
            <w:vAlign w:val="bottom"/>
            <w:tcBorders>
              <w:top w:val="single" w:sz="8" w:color="999999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999999"/>
              <w:bottom w:val="single" w:sz="8" w:color="4C639D"/>
              <w:right w:val="single" w:sz="8" w:color="D9DEEC"/>
            </w:tcBorders>
            <w:shd w:val="clear" w:color="auto" w:fill="D9DEE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4C639D"/>
              </w:rPr>
              <w:t>(6,817)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999999"/>
              <w:bottom w:val="single" w:sz="8" w:color="4C639D"/>
            </w:tcBorders>
            <w:shd w:val="clear" w:color="auto" w:fill="D9DEEC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4C639D"/>
              </w:rPr>
              <w:t>360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999999"/>
              <w:bottom w:val="single" w:sz="8" w:color="4C639D"/>
            </w:tcBorders>
            <w:shd w:val="clear" w:color="auto" w:fill="D9DEE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4C639D"/>
              </w:rPr>
              <w:t>(6,957)</w:t>
            </w:r>
          </w:p>
        </w:tc>
        <w:tc>
          <w:tcPr>
            <w:tcW w:w="100" w:type="dxa"/>
            <w:vAlign w:val="bottom"/>
            <w:tcBorders>
              <w:top w:val="single" w:sz="8" w:color="999999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999999"/>
              <w:bottom w:val="single" w:sz="8" w:color="4C639D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4C639D"/>
              </w:rPr>
              <w:t>(6,838)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999999"/>
              <w:bottom w:val="single" w:sz="8" w:color="4C639D"/>
            </w:tcBorders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4C639D"/>
              </w:rPr>
              <w:t>108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999999"/>
              <w:bottom w:val="single" w:sz="8" w:color="4C639D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4C639D"/>
              </w:rPr>
              <w:t>(6,794)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4820" w:type="dxa"/>
            <w:vAlign w:val="bottom"/>
            <w:gridSpan w:val="2"/>
          </w:tcPr>
          <w:p>
            <w:pPr>
              <w:ind w:left="1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Proceeds from disposals of shares in consolidated companies and of investments in non-</w:t>
            </w:r>
          </w:p>
        </w:tc>
        <w:tc>
          <w:tcPr>
            <w:tcW w:w="1000" w:type="dxa"/>
            <w:vAlign w:val="bottom"/>
            <w:tcBorders>
              <w:right w:val="single" w:sz="8" w:color="D9DEEC"/>
            </w:tcBorders>
            <w:vMerge w:val="restart"/>
            <w:shd w:val="clear" w:color="auto" w:fill="D9DEEC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4C639D"/>
              </w:rPr>
              <w:t>36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  <w:shd w:val="clear" w:color="auto" w:fill="D9DEE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4C639D"/>
              </w:rPr>
              <w:t>(27)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  <w:shd w:val="clear" w:color="auto" w:fill="D9DEEC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4C639D"/>
              </w:rPr>
              <w:t>63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8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consolidated companies</w:t>
            </w:r>
          </w:p>
        </w:tc>
        <w:tc>
          <w:tcPr>
            <w:tcW w:w="1000" w:type="dxa"/>
            <w:vAlign w:val="bottom"/>
            <w:tcBorders>
              <w:bottom w:val="single" w:sz="8" w:color="D9DEEC"/>
              <w:right w:val="single" w:sz="8" w:color="D9DEEC"/>
            </w:tcBorders>
            <w:vMerge w:val="continue"/>
            <w:shd w:val="clear" w:color="auto" w:fill="D9DEEC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D9DEEC"/>
            </w:tcBorders>
            <w:vMerge w:val="continue"/>
            <w:shd w:val="clear" w:color="auto" w:fill="D9DEEC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D9DEEC"/>
            </w:tcBorders>
            <w:vMerge w:val="continue"/>
            <w:shd w:val="clear" w:color="auto" w:fill="D9DEEC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4C639D"/>
              </w:rPr>
              <w:t>415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4C639D"/>
              </w:rPr>
              <w:t>310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4C639D"/>
              </w:rPr>
              <w:t>105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4820" w:type="dxa"/>
            <w:vAlign w:val="bottom"/>
            <w:tcBorders>
              <w:top w:val="single" w:sz="8" w:color="999999"/>
              <w:bottom w:val="single" w:sz="8" w:color="999999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Acquisitions of consolidated subsidiaries and equity method investments</w:t>
            </w:r>
          </w:p>
        </w:tc>
        <w:tc>
          <w:tcPr>
            <w:tcW w:w="1000" w:type="dxa"/>
            <w:vAlign w:val="bottom"/>
            <w:tcBorders>
              <w:top w:val="single" w:sz="8" w:color="828282"/>
              <w:bottom w:val="single" w:sz="8" w:color="828282"/>
              <w:right w:val="single" w:sz="8" w:color="D9DEEC"/>
            </w:tcBorders>
            <w:shd w:val="clear" w:color="auto" w:fill="D9DEE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4C639D"/>
              </w:rPr>
              <w:t>(354)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28282"/>
              <w:bottom w:val="single" w:sz="8" w:color="999999"/>
            </w:tcBorders>
            <w:shd w:val="clear" w:color="auto" w:fill="D9DEE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4C639D"/>
              </w:rPr>
              <w:t>(520)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999999"/>
              <w:bottom w:val="single" w:sz="8" w:color="999999"/>
            </w:tcBorders>
            <w:shd w:val="clear" w:color="auto" w:fill="D9DEE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4C639D"/>
              </w:rPr>
              <w:t>(29)</w:t>
            </w:r>
          </w:p>
        </w:tc>
        <w:tc>
          <w:tcPr>
            <w:tcW w:w="1080" w:type="dxa"/>
            <w:vAlign w:val="bottom"/>
            <w:tcBorders>
              <w:top w:val="single" w:sz="8" w:color="999999"/>
              <w:bottom w:val="single" w:sz="8" w:color="999999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4C639D"/>
              </w:rPr>
              <w:t>(324)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999999"/>
              <w:bottom w:val="single" w:sz="8" w:color="999999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4C639D"/>
              </w:rPr>
              <w:t>(935)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28282"/>
              <w:bottom w:val="single" w:sz="8" w:color="999999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4C639D"/>
              </w:rPr>
              <w:t>(87)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4720" w:type="dxa"/>
            <w:vAlign w:val="bottom"/>
            <w:tcBorders>
              <w:bottom w:val="single" w:sz="8" w:color="999999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Proceeds from disposals of property, plant and equipment and intangible assets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828282"/>
              <w:right w:val="single" w:sz="8" w:color="D9DEEC"/>
            </w:tcBorders>
            <w:shd w:val="clear" w:color="auto" w:fill="D9DEEC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4C639D"/>
              </w:rPr>
              <w:t>29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828282"/>
            </w:tcBorders>
            <w:shd w:val="clear" w:color="auto" w:fill="D9DEEC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4C639D"/>
              </w:rPr>
              <w:t>29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99999"/>
            </w:tcBorders>
            <w:shd w:val="clear" w:color="auto" w:fill="D9DEEC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4C639D"/>
              </w:rPr>
              <w:t>—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99999"/>
            </w:tcBorders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4C639D"/>
              </w:rPr>
              <w:t>172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99999"/>
            </w:tcBorders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4C639D"/>
              </w:rPr>
              <w:t>172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99999"/>
            </w:tcBorders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4C639D"/>
              </w:rPr>
              <w:t>—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4720" w:type="dxa"/>
            <w:vAlign w:val="bottom"/>
            <w:tcBorders>
              <w:bottom w:val="single" w:sz="8" w:color="999999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Investments in property, plant and equipment and intangible assets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828282"/>
              <w:right w:val="single" w:sz="8" w:color="D9DEEC"/>
            </w:tcBorders>
            <w:shd w:val="clear" w:color="auto" w:fill="D9DEE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4C639D"/>
              </w:rPr>
              <w:t>(4,551)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99999"/>
            </w:tcBorders>
            <w:shd w:val="clear" w:color="auto" w:fill="D9DEE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4C639D"/>
              </w:rPr>
              <w:t>(4,516)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99999"/>
            </w:tcBorders>
            <w:shd w:val="clear" w:color="auto" w:fill="D9DEE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4C639D"/>
              </w:rPr>
              <w:t>(35)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99999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4C639D"/>
              </w:rPr>
              <w:t>(6,187)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99999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4C639D"/>
              </w:rPr>
              <w:t>(6,153)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99999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4C639D"/>
              </w:rPr>
              <w:t>(34)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4820" w:type="dxa"/>
            <w:vAlign w:val="bottom"/>
            <w:tcBorders>
              <w:bottom w:val="single" w:sz="8" w:color="999999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Change in amounts payable on property, plant and equipment and intangible assets</w:t>
            </w:r>
          </w:p>
        </w:tc>
        <w:tc>
          <w:tcPr>
            <w:tcW w:w="1000" w:type="dxa"/>
            <w:vAlign w:val="bottom"/>
            <w:tcBorders>
              <w:bottom w:val="single" w:sz="8" w:color="999999"/>
              <w:right w:val="single" w:sz="8" w:color="D9DEEC"/>
            </w:tcBorders>
            <w:shd w:val="clear" w:color="auto" w:fill="D9DEE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4C639D"/>
              </w:rPr>
              <w:t>(295)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99999"/>
            </w:tcBorders>
            <w:shd w:val="clear" w:color="auto" w:fill="D9DEE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4C639D"/>
              </w:rPr>
              <w:t>(295)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828282"/>
            </w:tcBorders>
            <w:shd w:val="clear" w:color="auto" w:fill="D9DEEC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4C639D"/>
              </w:rPr>
              <w:t>—</w:t>
            </w:r>
          </w:p>
        </w:tc>
        <w:tc>
          <w:tcPr>
            <w:tcW w:w="1080" w:type="dxa"/>
            <w:vAlign w:val="bottom"/>
            <w:tcBorders>
              <w:bottom w:val="single" w:sz="8" w:color="999999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4C639D"/>
              </w:rPr>
              <w:t>(856)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99999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4C639D"/>
              </w:rPr>
              <w:t>(856)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99999"/>
            </w:tcBorders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4C639D"/>
              </w:rPr>
              <w:t>—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4720" w:type="dxa"/>
            <w:vAlign w:val="bottom"/>
            <w:tcBorders>
              <w:bottom w:val="single" w:sz="8" w:color="999999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Changes in loans to joint ventures and associates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99999"/>
              <w:right w:val="single" w:sz="8" w:color="D9DEEC"/>
            </w:tcBorders>
            <w:shd w:val="clear" w:color="auto" w:fill="D9DEE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4C639D"/>
              </w:rPr>
              <w:t>(213)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99999"/>
            </w:tcBorders>
            <w:shd w:val="clear" w:color="auto" w:fill="D9DEE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4C639D"/>
              </w:rPr>
              <w:t>(213)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99999"/>
            </w:tcBorders>
            <w:shd w:val="clear" w:color="auto" w:fill="D9DEEC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4C639D"/>
              </w:rPr>
              <w:t>—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99999"/>
            </w:tcBorders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4C639D"/>
              </w:rPr>
              <w:t>172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99999"/>
            </w:tcBorders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4C639D"/>
              </w:rPr>
              <w:t>134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99999"/>
            </w:tcBorders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4C639D"/>
              </w:rPr>
              <w:t>38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4820" w:type="dxa"/>
            <w:vAlign w:val="bottom"/>
            <w:tcBorders>
              <w:bottom w:val="single" w:sz="8" w:color="999999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Change in securities</w:t>
            </w:r>
          </w:p>
        </w:tc>
        <w:tc>
          <w:tcPr>
            <w:tcW w:w="1000" w:type="dxa"/>
            <w:vAlign w:val="bottom"/>
            <w:tcBorders>
              <w:bottom w:val="single" w:sz="8" w:color="999999"/>
              <w:right w:val="single" w:sz="8" w:color="D9DEEC"/>
            </w:tcBorders>
            <w:shd w:val="clear" w:color="auto" w:fill="D9DEE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4C639D"/>
              </w:rPr>
              <w:t>(2,006)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828282"/>
            </w:tcBorders>
            <w:shd w:val="clear" w:color="auto" w:fill="D9DEE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4C639D"/>
              </w:rPr>
              <w:t>(2,083)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828282"/>
            </w:tcBorders>
            <w:shd w:val="clear" w:color="auto" w:fill="D9DEEC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4C639D"/>
              </w:rPr>
              <w:t>77</w:t>
            </w:r>
          </w:p>
        </w:tc>
        <w:tc>
          <w:tcPr>
            <w:tcW w:w="1080" w:type="dxa"/>
            <w:vAlign w:val="bottom"/>
            <w:tcBorders>
              <w:bottom w:val="single" w:sz="8" w:color="999999"/>
            </w:tcBorders>
            <w:gridSpan w:val="2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4C639D"/>
              </w:rPr>
              <w:t>2,959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99999"/>
            </w:tcBorders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4C639D"/>
              </w:rPr>
              <w:t>3,082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828282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4C639D"/>
              </w:rPr>
              <w:t>(123)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4720" w:type="dxa"/>
            <w:vAlign w:val="bottom"/>
            <w:tcBorders>
              <w:bottom w:val="single" w:sz="8" w:color="999999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Other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828282"/>
              <w:right w:val="single" w:sz="8" w:color="D9DEEC"/>
            </w:tcBorders>
            <w:shd w:val="clear" w:color="auto" w:fill="D9DEEC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4C639D"/>
              </w:rPr>
              <w:t>8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828282"/>
            </w:tcBorders>
            <w:shd w:val="clear" w:color="auto" w:fill="D9DEEC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4C639D"/>
              </w:rPr>
              <w:t>9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99999"/>
            </w:tcBorders>
            <w:shd w:val="clear" w:color="auto" w:fill="D9DEE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4C639D"/>
              </w:rPr>
              <w:t>(1)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99999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4C639D"/>
              </w:rPr>
              <w:t>(2)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99999"/>
            </w:tcBorders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4C639D"/>
              </w:rPr>
              <w:t>10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828282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4C639D"/>
              </w:rPr>
              <w:t>(12)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48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Net cash from/(used in) investing activities of discontinued operations</w:t>
            </w:r>
          </w:p>
        </w:tc>
        <w:tc>
          <w:tcPr>
            <w:tcW w:w="1000" w:type="dxa"/>
            <w:vAlign w:val="bottom"/>
            <w:tcBorders>
              <w:right w:val="single" w:sz="8" w:color="D9DEEC"/>
            </w:tcBorders>
            <w:shd w:val="clear" w:color="auto" w:fill="D9DEEC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4C639D"/>
              </w:rPr>
              <w:t>—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D9DEEC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4C639D"/>
              </w:rPr>
              <w:t>—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D9DEEC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4C639D"/>
              </w:rPr>
              <w:t>—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4C639D"/>
              </w:rPr>
              <w:t>—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4C639D"/>
              </w:rPr>
              <w:t>—</w:t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4C639D"/>
              </w:rPr>
              <w:t>—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4720" w:type="dxa"/>
            <w:vAlign w:val="bottom"/>
            <w:tcBorders>
              <w:top w:val="single" w:sz="8" w:color="999999"/>
              <w:bottom w:val="single" w:sz="8" w:color="4C639D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4C639D"/>
              </w:rPr>
              <w:t>Net cash from/(used in) investing activities</w:t>
            </w:r>
          </w:p>
        </w:tc>
        <w:tc>
          <w:tcPr>
            <w:tcW w:w="100" w:type="dxa"/>
            <w:vAlign w:val="bottom"/>
            <w:tcBorders>
              <w:top w:val="single" w:sz="8" w:color="999999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999999"/>
              <w:bottom w:val="single" w:sz="8" w:color="4C639D"/>
              <w:right w:val="single" w:sz="8" w:color="D9DEEC"/>
            </w:tcBorders>
            <w:shd w:val="clear" w:color="auto" w:fill="D9DEE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4C639D"/>
              </w:rPr>
              <w:t>(7,346)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999999"/>
              <w:bottom w:val="single" w:sz="8" w:color="4C639D"/>
            </w:tcBorders>
            <w:shd w:val="clear" w:color="auto" w:fill="D9DEE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4C639D"/>
              </w:rPr>
              <w:t>(7,616)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999999"/>
              <w:bottom w:val="single" w:sz="8" w:color="4C639D"/>
            </w:tcBorders>
            <w:shd w:val="clear" w:color="auto" w:fill="D9DEEC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4C639D"/>
              </w:rPr>
              <w:t>75</w:t>
            </w:r>
          </w:p>
        </w:tc>
        <w:tc>
          <w:tcPr>
            <w:tcW w:w="100" w:type="dxa"/>
            <w:vAlign w:val="bottom"/>
            <w:tcBorders>
              <w:top w:val="single" w:sz="8" w:color="999999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999999"/>
              <w:bottom w:val="single" w:sz="8" w:color="4C639D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4C639D"/>
              </w:rPr>
              <w:t>(3,651)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999999"/>
              <w:bottom w:val="single" w:sz="8" w:color="4C639D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4C639D"/>
              </w:rPr>
              <w:t>(4,236)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999999"/>
              <w:bottom w:val="single" w:sz="8" w:color="4C639D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4C639D"/>
              </w:rPr>
              <w:t>(113)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4720" w:type="dxa"/>
            <w:vAlign w:val="bottom"/>
            <w:tcBorders>
              <w:bottom w:val="single" w:sz="8" w:color="828282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Distributions paid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99999"/>
              <w:right w:val="single" w:sz="8" w:color="D9DEEC"/>
            </w:tcBorders>
            <w:shd w:val="clear" w:color="auto" w:fill="D9DEE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4C639D"/>
              </w:rPr>
              <w:t>(2)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828282"/>
            </w:tcBorders>
            <w:shd w:val="clear" w:color="auto" w:fill="D9DEE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4C639D"/>
              </w:rPr>
              <w:t>(2)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99999"/>
            </w:tcBorders>
            <w:shd w:val="clear" w:color="auto" w:fill="D9DEE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4C639D"/>
              </w:rPr>
              <w:t>(220)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99999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4C639D"/>
              </w:rPr>
              <w:t>(1,962)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99999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4C639D"/>
              </w:rPr>
              <w:t>(1,962)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828282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4C639D"/>
              </w:rPr>
              <w:t>(152)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4820" w:type="dxa"/>
            <w:vAlign w:val="bottom"/>
            <w:tcBorders>
              <w:bottom w:val="single" w:sz="8" w:color="828282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Proceeds from issuance of shares</w:t>
            </w:r>
          </w:p>
        </w:tc>
        <w:tc>
          <w:tcPr>
            <w:tcW w:w="1000" w:type="dxa"/>
            <w:vAlign w:val="bottom"/>
            <w:tcBorders>
              <w:bottom w:val="single" w:sz="8" w:color="999999"/>
              <w:right w:val="single" w:sz="8" w:color="D9DEEC"/>
            </w:tcBorders>
            <w:shd w:val="clear" w:color="auto" w:fill="D9DEEC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4C639D"/>
              </w:rPr>
              <w:t>15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99999"/>
            </w:tcBorders>
            <w:shd w:val="clear" w:color="auto" w:fill="D9DEEC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4C639D"/>
              </w:rPr>
              <w:t>15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828282"/>
            </w:tcBorders>
            <w:shd w:val="clear" w:color="auto" w:fill="D9DEEC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4C639D"/>
              </w:rPr>
              <w:t>195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99999"/>
            </w:tcBorders>
            <w:gridSpan w:val="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4C639D"/>
              </w:rPr>
              <w:t>—</w:t>
            </w:r>
          </w:p>
        </w:tc>
        <w:tc>
          <w:tcPr>
            <w:tcW w:w="1080" w:type="dxa"/>
            <w:vAlign w:val="bottom"/>
            <w:tcBorders>
              <w:bottom w:val="single" w:sz="8" w:color="999999"/>
            </w:tcBorders>
            <w:gridSpan w:val="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4C639D"/>
              </w:rPr>
              <w:t>—</w:t>
            </w:r>
          </w:p>
        </w:tc>
        <w:tc>
          <w:tcPr>
            <w:tcW w:w="980" w:type="dxa"/>
            <w:vAlign w:val="bottom"/>
            <w:tcBorders>
              <w:bottom w:val="single" w:sz="8" w:color="828282"/>
            </w:tcBorders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4C639D"/>
              </w:rPr>
              <w:t>586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4720" w:type="dxa"/>
            <w:vAlign w:val="bottom"/>
            <w:tcBorders>
              <w:bottom w:val="single" w:sz="8" w:color="828282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(Purchases)/sales of treasury 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828282"/>
              <w:right w:val="single" w:sz="8" w:color="D9DEEC"/>
            </w:tcBorders>
            <w:shd w:val="clear" w:color="auto" w:fill="D9DEEC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4C639D"/>
              </w:rPr>
              <w:t>—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828282"/>
            </w:tcBorders>
            <w:shd w:val="clear" w:color="auto" w:fill="D9DEEC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4C639D"/>
              </w:rPr>
              <w:t>—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99999"/>
            </w:tcBorders>
            <w:shd w:val="clear" w:color="auto" w:fill="D9DEEC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4C639D"/>
              </w:rPr>
              <w:t>—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99999"/>
            </w:tcBorders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4C639D"/>
              </w:rPr>
              <w:t>—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99999"/>
            </w:tcBorders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4C639D"/>
              </w:rPr>
              <w:t>—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828282"/>
            </w:tcBorders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4C639D"/>
              </w:rPr>
              <w:t>—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48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Changes in debt and other financial assets and liabilities</w:t>
            </w:r>
          </w:p>
        </w:tc>
        <w:tc>
          <w:tcPr>
            <w:tcW w:w="1000" w:type="dxa"/>
            <w:vAlign w:val="bottom"/>
            <w:tcBorders>
              <w:right w:val="single" w:sz="8" w:color="D9DEEC"/>
            </w:tcBorders>
            <w:shd w:val="clear" w:color="auto" w:fill="D9DEEC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4C639D"/>
              </w:rPr>
              <w:t>7,909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D9DEEC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4C639D"/>
              </w:rPr>
              <w:t>989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D9DEEC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4C639D"/>
              </w:rPr>
              <w:t>6,920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4C639D"/>
              </w:rPr>
              <w:t>6,625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4C639D"/>
              </w:rPr>
              <w:t>(362)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4C639D"/>
              </w:rPr>
              <w:t>7,099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4720" w:type="dxa"/>
            <w:vAlign w:val="bottom"/>
            <w:tcBorders>
              <w:top w:val="single" w:sz="8" w:color="999999"/>
              <w:bottom w:val="single" w:sz="8" w:color="999999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Issuance/(repayment) of perpetual notes</w:t>
            </w:r>
          </w:p>
        </w:tc>
        <w:tc>
          <w:tcPr>
            <w:tcW w:w="100" w:type="dxa"/>
            <w:vAlign w:val="bottom"/>
            <w:tcBorders>
              <w:top w:val="single" w:sz="8" w:color="999999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999999"/>
              <w:bottom w:val="single" w:sz="8" w:color="999999"/>
              <w:right w:val="single" w:sz="8" w:color="D9DEEC"/>
            </w:tcBorders>
            <w:shd w:val="clear" w:color="auto" w:fill="D9DEEC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4C639D"/>
              </w:rPr>
              <w:t>4,927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999999"/>
              <w:bottom w:val="single" w:sz="8" w:color="999999"/>
            </w:tcBorders>
            <w:shd w:val="clear" w:color="auto" w:fill="D9DEEC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4C639D"/>
              </w:rPr>
              <w:t>4,927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28282"/>
              <w:bottom w:val="single" w:sz="8" w:color="828282"/>
            </w:tcBorders>
            <w:shd w:val="clear" w:color="auto" w:fill="D9DEEC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4C639D"/>
              </w:rPr>
              <w:t>—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999999"/>
              <w:bottom w:val="single" w:sz="8" w:color="999999"/>
            </w:tcBorders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4C639D"/>
              </w:rPr>
              <w:t>—</w:t>
            </w:r>
          </w:p>
        </w:tc>
        <w:tc>
          <w:tcPr>
            <w:tcW w:w="100" w:type="dxa"/>
            <w:vAlign w:val="bottom"/>
            <w:tcBorders>
              <w:top w:val="single" w:sz="8" w:color="999999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999999"/>
              <w:bottom w:val="single" w:sz="8" w:color="999999"/>
            </w:tcBorders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4C639D"/>
              </w:rPr>
              <w:t>—</w:t>
            </w:r>
          </w:p>
        </w:tc>
        <w:tc>
          <w:tcPr>
            <w:tcW w:w="100" w:type="dxa"/>
            <w:vAlign w:val="bottom"/>
            <w:tcBorders>
              <w:top w:val="single" w:sz="8" w:color="999999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28282"/>
              <w:bottom w:val="single" w:sz="8" w:color="828282"/>
            </w:tcBorders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4C639D"/>
              </w:rPr>
              <w:t>—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4820" w:type="dxa"/>
            <w:vAlign w:val="bottom"/>
            <w:tcBorders>
              <w:bottom w:val="single" w:sz="8" w:color="999999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Coupon paid on perpetual notes</w:t>
            </w:r>
          </w:p>
        </w:tc>
        <w:tc>
          <w:tcPr>
            <w:tcW w:w="1000" w:type="dxa"/>
            <w:vAlign w:val="bottom"/>
            <w:tcBorders>
              <w:bottom w:val="single" w:sz="8" w:color="999999"/>
              <w:right w:val="single" w:sz="8" w:color="D9DEEC"/>
            </w:tcBorders>
            <w:shd w:val="clear" w:color="auto" w:fill="D9DEE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4C639D"/>
              </w:rPr>
              <w:t>(77)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99999"/>
            </w:tcBorders>
            <w:shd w:val="clear" w:color="auto" w:fill="D9DEE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4C639D"/>
              </w:rPr>
              <w:t>(77)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828282"/>
            </w:tcBorders>
            <w:shd w:val="clear" w:color="auto" w:fill="D9DEEC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4C639D"/>
              </w:rPr>
              <w:t>—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99999"/>
            </w:tcBorders>
            <w:gridSpan w:val="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4C639D"/>
              </w:rPr>
              <w:t>—</w:t>
            </w:r>
          </w:p>
        </w:tc>
        <w:tc>
          <w:tcPr>
            <w:tcW w:w="1080" w:type="dxa"/>
            <w:vAlign w:val="bottom"/>
            <w:tcBorders>
              <w:bottom w:val="single" w:sz="8" w:color="999999"/>
            </w:tcBorders>
            <w:gridSpan w:val="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4C639D"/>
              </w:rPr>
              <w:t>—</w:t>
            </w:r>
          </w:p>
        </w:tc>
        <w:tc>
          <w:tcPr>
            <w:tcW w:w="980" w:type="dxa"/>
            <w:vAlign w:val="bottom"/>
            <w:tcBorders>
              <w:bottom w:val="single" w:sz="8" w:color="828282"/>
            </w:tcBorders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4C639D"/>
              </w:rPr>
              <w:t>—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4820" w:type="dxa"/>
            <w:vAlign w:val="bottom"/>
            <w:tcBorders>
              <w:bottom w:val="single" w:sz="8" w:color="999999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Other</w:t>
            </w:r>
          </w:p>
        </w:tc>
        <w:tc>
          <w:tcPr>
            <w:tcW w:w="1000" w:type="dxa"/>
            <w:vAlign w:val="bottom"/>
            <w:tcBorders>
              <w:bottom w:val="single" w:sz="8" w:color="999999"/>
              <w:right w:val="single" w:sz="8" w:color="D9DEEC"/>
            </w:tcBorders>
            <w:shd w:val="clear" w:color="auto" w:fill="D9DEE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4C639D"/>
              </w:rPr>
              <w:t>(47)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99999"/>
            </w:tcBorders>
            <w:shd w:val="clear" w:color="auto" w:fill="D9DEE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4C639D"/>
              </w:rPr>
              <w:t>(47)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99999"/>
            </w:tcBorders>
            <w:shd w:val="clear" w:color="auto" w:fill="D9DEEC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4C639D"/>
              </w:rPr>
              <w:t>—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99999"/>
            </w:tcBorders>
            <w:gridSpan w:val="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4C639D"/>
              </w:rPr>
              <w:t>—</w:t>
            </w:r>
          </w:p>
        </w:tc>
        <w:tc>
          <w:tcPr>
            <w:tcW w:w="1080" w:type="dxa"/>
            <w:vAlign w:val="bottom"/>
            <w:tcBorders>
              <w:bottom w:val="single" w:sz="8" w:color="999999"/>
            </w:tcBorders>
            <w:gridSpan w:val="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4C639D"/>
              </w:rPr>
              <w:t>—</w:t>
            </w:r>
          </w:p>
        </w:tc>
        <w:tc>
          <w:tcPr>
            <w:tcW w:w="980" w:type="dxa"/>
            <w:vAlign w:val="bottom"/>
            <w:tcBorders>
              <w:bottom w:val="single" w:sz="8" w:color="828282"/>
            </w:tcBorders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4C639D"/>
              </w:rPr>
              <w:t>—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4720" w:type="dxa"/>
            <w:vAlign w:val="bottom"/>
            <w:tcBorders>
              <w:bottom w:val="single" w:sz="8" w:color="999999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Net cash from/(used in) financing activities of discontinued operations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99999"/>
              <w:right w:val="single" w:sz="8" w:color="D9DEEC"/>
            </w:tcBorders>
            <w:shd w:val="clear" w:color="auto" w:fill="D9DEEC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4C639D"/>
              </w:rPr>
              <w:t>—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99999"/>
            </w:tcBorders>
            <w:shd w:val="clear" w:color="auto" w:fill="D9DEEC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4C639D"/>
              </w:rPr>
              <w:t>—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99999"/>
            </w:tcBorders>
            <w:shd w:val="clear" w:color="auto" w:fill="D9DEEC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4C639D"/>
              </w:rPr>
              <w:t>—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99999"/>
            </w:tcBorders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4C639D"/>
              </w:rPr>
              <w:t>—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99999"/>
            </w:tcBorders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4C639D"/>
              </w:rPr>
              <w:t>—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99999"/>
            </w:tcBorders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4C639D"/>
              </w:rPr>
              <w:t>—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4720" w:type="dxa"/>
            <w:vAlign w:val="bottom"/>
            <w:tcBorders>
              <w:bottom w:val="single" w:sz="8" w:color="4C639D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4C639D"/>
              </w:rPr>
              <w:t>Net cash from/(used in) financing activities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4C639D"/>
              <w:right w:val="single" w:sz="8" w:color="D9DEEC"/>
            </w:tcBorders>
            <w:shd w:val="clear" w:color="auto" w:fill="D9DEEC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4C639D"/>
              </w:rPr>
              <w:t>12,725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4C639D"/>
            </w:tcBorders>
            <w:shd w:val="clear" w:color="auto" w:fill="D9DEEC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4C639D"/>
              </w:rPr>
              <w:t>5,805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4C639D"/>
            </w:tcBorders>
            <w:shd w:val="clear" w:color="auto" w:fill="D9DEEC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4C639D"/>
              </w:rPr>
              <w:t>6,895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4C639D"/>
            </w:tcBorders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4C639D"/>
              </w:rPr>
              <w:t>4,663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4C639D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4C639D"/>
              </w:rPr>
              <w:t>(2,324)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4C639D"/>
            </w:tcBorders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4C639D"/>
              </w:rPr>
              <w:t>7,533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4720" w:type="dxa"/>
            <w:vAlign w:val="bottom"/>
            <w:tcBorders>
              <w:bottom w:val="single" w:sz="8" w:color="999999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Effect of changes in exchange rates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828282"/>
              <w:right w:val="single" w:sz="8" w:color="D9DEEC"/>
            </w:tcBorders>
            <w:shd w:val="clear" w:color="auto" w:fill="D9DEEC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4C639D"/>
              </w:rPr>
              <w:t>470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99999"/>
            </w:tcBorders>
            <w:shd w:val="clear" w:color="auto" w:fill="D9DEEC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4C639D"/>
              </w:rPr>
              <w:t>397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828282"/>
            </w:tcBorders>
            <w:shd w:val="clear" w:color="auto" w:fill="D9DEEC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4C639D"/>
              </w:rPr>
              <w:t>73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99999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4C639D"/>
              </w:rPr>
              <w:t>(1,254)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99999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4C639D"/>
              </w:rPr>
              <w:t>(1,189)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828282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4C639D"/>
              </w:rPr>
              <w:t>(65)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4820" w:type="dxa"/>
            <w:vAlign w:val="bottom"/>
            <w:tcBorders>
              <w:bottom w:val="single" w:sz="8" w:color="999999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Less: increase/(decrease) in cash and cash equivalents included in asset held for sale</w:t>
            </w:r>
          </w:p>
        </w:tc>
        <w:tc>
          <w:tcPr>
            <w:tcW w:w="1000" w:type="dxa"/>
            <w:vAlign w:val="bottom"/>
            <w:tcBorders>
              <w:bottom w:val="single" w:sz="8" w:color="999999"/>
              <w:right w:val="single" w:sz="8" w:color="D9DEEC"/>
            </w:tcBorders>
            <w:shd w:val="clear" w:color="auto" w:fill="D9DEE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4C639D"/>
              </w:rPr>
              <w:t>(132)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99999"/>
            </w:tcBorders>
            <w:shd w:val="clear" w:color="auto" w:fill="D9DEE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4C639D"/>
              </w:rPr>
              <w:t>(132)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99999"/>
            </w:tcBorders>
            <w:shd w:val="clear" w:color="auto" w:fill="D9DEEC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4C639D"/>
              </w:rPr>
              <w:t>—</w:t>
            </w:r>
          </w:p>
        </w:tc>
        <w:tc>
          <w:tcPr>
            <w:tcW w:w="1080" w:type="dxa"/>
            <w:vAlign w:val="bottom"/>
            <w:tcBorders>
              <w:bottom w:val="single" w:sz="8" w:color="999999"/>
            </w:tcBorders>
            <w:gridSpan w:val="2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4C639D"/>
              </w:rPr>
              <w:t>294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99999"/>
            </w:tcBorders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4C639D"/>
              </w:rPr>
              <w:t>295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99999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4C639D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4720" w:type="dxa"/>
            <w:vAlign w:val="bottom"/>
            <w:tcBorders>
              <w:bottom w:val="single" w:sz="8" w:color="4C639D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4C639D"/>
              </w:rPr>
              <w:t>Increase/(decrease) in cash and cash equivalents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4C639D"/>
              <w:right w:val="single" w:sz="8" w:color="D9DEEC"/>
            </w:tcBorders>
            <w:shd w:val="clear" w:color="auto" w:fill="D9DEE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4C639D"/>
              </w:rPr>
              <w:t>(1,100)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4C639D"/>
            </w:tcBorders>
            <w:shd w:val="clear" w:color="auto" w:fill="D9DEE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4C639D"/>
              </w:rPr>
              <w:t>(1,186)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4C639D"/>
            </w:tcBorders>
            <w:shd w:val="clear" w:color="auto" w:fill="D9DEEC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4C639D"/>
              </w:rPr>
              <w:t>86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4C639D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4C639D"/>
              </w:rPr>
              <w:t>(6,786)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4C639D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4C639D"/>
              </w:rPr>
              <w:t>(7,346)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4C639D"/>
            </w:tcBorders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4C639D"/>
              </w:rPr>
              <w:t>560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4720" w:type="dxa"/>
            <w:vAlign w:val="bottom"/>
            <w:tcBorders>
              <w:bottom w:val="single" w:sz="8" w:color="999999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Net cash and cash equivalents at beginning of period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99999"/>
              <w:right w:val="single" w:sz="8" w:color="D9DEEC"/>
            </w:tcBorders>
            <w:shd w:val="clear" w:color="auto" w:fill="D9DEEC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4C639D"/>
              </w:rPr>
              <w:t>30,146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99999"/>
            </w:tcBorders>
            <w:shd w:val="clear" w:color="auto" w:fill="D9DEEC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4C639D"/>
              </w:rPr>
              <w:t>28,198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99999"/>
            </w:tcBorders>
            <w:shd w:val="clear" w:color="auto" w:fill="D9DEEC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4C639D"/>
              </w:rPr>
              <w:t>1,948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99999"/>
            </w:tcBorders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4C639D"/>
              </w:rPr>
              <w:t>34,100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99999"/>
            </w:tcBorders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4C639D"/>
              </w:rPr>
              <w:t>32,409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99999"/>
            </w:tcBorders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4C639D"/>
              </w:rPr>
              <w:t>1,691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720" w:type="dxa"/>
            <w:vAlign w:val="bottom"/>
            <w:tcBorders>
              <w:bottom w:val="single" w:sz="8" w:color="45639D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4C639D"/>
              </w:rPr>
              <w:t>NET CASH AND CASH EQUIVALENTS AT END OF PERIOD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4C639D"/>
              <w:right w:val="single" w:sz="8" w:color="D9DEEC"/>
            </w:tcBorders>
            <w:shd w:val="clear" w:color="auto" w:fill="D9DEEC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4C639D"/>
              </w:rPr>
              <w:t>29,046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4C639D"/>
            </w:tcBorders>
            <w:shd w:val="clear" w:color="auto" w:fill="D9DEEC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4C639D"/>
              </w:rPr>
              <w:t>27,012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4C639D"/>
            </w:tcBorders>
            <w:shd w:val="clear" w:color="auto" w:fill="D9DEEC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4C639D"/>
              </w:rPr>
              <w:t>2,034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4C639D"/>
            </w:tcBorders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4C639D"/>
              </w:rPr>
              <w:t>27,314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4C639D"/>
            </w:tcBorders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4C639D"/>
              </w:rPr>
              <w:t>25,063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4C639D"/>
            </w:tcBorders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4C639D"/>
              </w:rPr>
              <w:t>2,251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7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Figures presented for Industrial activities and Financial services include intersegment transactions</w:t>
      </w:r>
    </w:p>
    <w:sectPr>
      <w:pgSz w:w="11900" w:h="16838" w:orient="portrait"/>
      <w:cols w:equalWidth="0" w:num="1">
        <w:col w:w="11240"/>
      </w:cols>
      <w:pgMar w:left="320" w:top="1440" w:right="3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Wingdings">
    <w:panose1 w:val="05000000000000000000"/>
    <w:charset w:val="00"/>
    <w:family w:val="auto"/>
    <w:pitch w:val="variable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(%1)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(%1)"/>
      <w:numFmt w:val="decimal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jpe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png"/><Relationship Id="rId22" Type="http://schemas.openxmlformats.org/officeDocument/2006/relationships/image" Target="media/image15.png"/><Relationship Id="rId23" Type="http://schemas.openxmlformats.org/officeDocument/2006/relationships/image" Target="media/image16.png"/><Relationship Id="rId24" Type="http://schemas.openxmlformats.org/officeDocument/2006/relationships/image" Target="media/image17.png"/><Relationship Id="rId25" Type="http://schemas.openxmlformats.org/officeDocument/2006/relationships/image" Target="media/image18.png"/><Relationship Id="rId26" Type="http://schemas.openxmlformats.org/officeDocument/2006/relationships/image" Target="media/image19.png"/><Relationship Id="rId27" Type="http://schemas.openxmlformats.org/officeDocument/2006/relationships/image" Target="media/image20.png"/><Relationship Id="rId28" Type="http://schemas.openxmlformats.org/officeDocument/2006/relationships/image" Target="media/image21.png"/><Relationship Id="rId29" Type="http://schemas.openxmlformats.org/officeDocument/2006/relationships/image" Target="media/image22.png"/><Relationship Id="rId30" Type="http://schemas.openxmlformats.org/officeDocument/2006/relationships/image" Target="media/image23.png"/><Relationship Id="rId31" Type="http://schemas.openxmlformats.org/officeDocument/2006/relationships/image" Target="media/image24.jpeg"/><Relationship Id="rId32" Type="http://schemas.openxmlformats.org/officeDocument/2006/relationships/image" Target="media/image25.png"/><Relationship Id="rId33" Type="http://schemas.openxmlformats.org/officeDocument/2006/relationships/image" Target="media/image26.png"/><Relationship Id="rId34" Type="http://schemas.openxmlformats.org/officeDocument/2006/relationships/image" Target="media/image27.png"/><Relationship Id="rId35" Type="http://schemas.openxmlformats.org/officeDocument/2006/relationships/image" Target="media/image28.png"/><Relationship Id="rId36" Type="http://schemas.openxmlformats.org/officeDocument/2006/relationships/image" Target="media/image29.png"/><Relationship Id="rId37" Type="http://schemas.openxmlformats.org/officeDocument/2006/relationships/image" Target="media/image30.png"/><Relationship Id="rId38" Type="http://schemas.openxmlformats.org/officeDocument/2006/relationships/image" Target="media/image31.png"/><Relationship Id="rId39" Type="http://schemas.openxmlformats.org/officeDocument/2006/relationships/image" Target="media/image32.png"/><Relationship Id="rId40" Type="http://schemas.openxmlformats.org/officeDocument/2006/relationships/image" Target="media/image33.png"/><Relationship Id="rId41" Type="http://schemas.openxmlformats.org/officeDocument/2006/relationships/image" Target="media/image34.png"/><Relationship Id="rId42" Type="http://schemas.openxmlformats.org/officeDocument/2006/relationships/image" Target="media/image35.png"/><Relationship Id="rId43" Type="http://schemas.openxmlformats.org/officeDocument/2006/relationships/image" Target="media/image36.png"/><Relationship Id="rId44" Type="http://schemas.openxmlformats.org/officeDocument/2006/relationships/image" Target="media/image37.png"/><Relationship Id="rId45" Type="http://schemas.openxmlformats.org/officeDocument/2006/relationships/image" Target="media/image38.png"/><Relationship Id="rId46" Type="http://schemas.openxmlformats.org/officeDocument/2006/relationships/image" Target="media/image39.png"/><Relationship Id="rId47" Type="http://schemas.openxmlformats.org/officeDocument/2006/relationships/image" Target="media/image40.png"/><Relationship Id="rId48" Type="http://schemas.openxmlformats.org/officeDocument/2006/relationships/image" Target="media/image41.png"/><Relationship Id="rId49" Type="http://schemas.openxmlformats.org/officeDocument/2006/relationships/image" Target="media/image42.jpeg"/><Relationship Id="rId50" Type="http://schemas.openxmlformats.org/officeDocument/2006/relationships/image" Target="media/image43.png"/><Relationship Id="rId51" Type="http://schemas.openxmlformats.org/officeDocument/2006/relationships/image" Target="media/image44.png"/><Relationship Id="rId52" Type="http://schemas.openxmlformats.org/officeDocument/2006/relationships/image" Target="media/image45.png"/><Relationship Id="rId53" Type="http://schemas.openxmlformats.org/officeDocument/2006/relationships/image" Target="media/image46.png"/><Relationship Id="rId54" Type="http://schemas.openxmlformats.org/officeDocument/2006/relationships/image" Target="media/image47.png"/><Relationship Id="rId55" Type="http://schemas.openxmlformats.org/officeDocument/2006/relationships/image" Target="media/image48.png"/><Relationship Id="rId56" Type="http://schemas.openxmlformats.org/officeDocument/2006/relationships/image" Target="media/image49.png"/><Relationship Id="rId57" Type="http://schemas.openxmlformats.org/officeDocument/2006/relationships/image" Target="media/image50.png"/><Relationship Id="rId58" Type="http://schemas.openxmlformats.org/officeDocument/2006/relationships/image" Target="media/image51.png"/><Relationship Id="rId59" Type="http://schemas.openxmlformats.org/officeDocument/2006/relationships/image" Target="media/image52.png"/><Relationship Id="rId60" Type="http://schemas.openxmlformats.org/officeDocument/2006/relationships/image" Target="media/image53.png"/><Relationship Id="rId61" Type="http://schemas.openxmlformats.org/officeDocument/2006/relationships/image" Target="media/image54.png"/><Relationship Id="rId62" Type="http://schemas.openxmlformats.org/officeDocument/2006/relationships/image" Target="media/image55.png"/><Relationship Id="rId63" Type="http://schemas.openxmlformats.org/officeDocument/2006/relationships/image" Target="media/image56.png"/><Relationship Id="rId64" Type="http://schemas.openxmlformats.org/officeDocument/2006/relationships/image" Target="media/image57.png"/><Relationship Id="rId65" Type="http://schemas.openxmlformats.org/officeDocument/2006/relationships/image" Target="media/image58.png"/><Relationship Id="rId66" Type="http://schemas.openxmlformats.org/officeDocument/2006/relationships/image" Target="media/image59.png"/><Relationship Id="rId67" Type="http://schemas.openxmlformats.org/officeDocument/2006/relationships/image" Target="media/image60.png"/><Relationship Id="rId68" Type="http://schemas.openxmlformats.org/officeDocument/2006/relationships/image" Target="media/image61.png"/><Relationship Id="rId69" Type="http://schemas.openxmlformats.org/officeDocument/2006/relationships/image" Target="media/image62.png"/><Relationship Id="rId70" Type="http://schemas.openxmlformats.org/officeDocument/2006/relationships/image" Target="media/image63.png"/><Relationship Id="rId71" Type="http://schemas.openxmlformats.org/officeDocument/2006/relationships/image" Target="media/image64.png"/><Relationship Id="rId72" Type="http://schemas.openxmlformats.org/officeDocument/2006/relationships/image" Target="media/image65.png"/><Relationship Id="rId73" Type="http://schemas.openxmlformats.org/officeDocument/2006/relationships/image" Target="media/image66.png"/><Relationship Id="rId74" Type="http://schemas.openxmlformats.org/officeDocument/2006/relationships/image" Target="media/image67.png"/><Relationship Id="rId75" Type="http://schemas.openxmlformats.org/officeDocument/2006/relationships/image" Target="media/image68.png"/><Relationship Id="rId76" Type="http://schemas.openxmlformats.org/officeDocument/2006/relationships/image" Target="media/image69.png"/><Relationship Id="rId77" Type="http://schemas.openxmlformats.org/officeDocument/2006/relationships/image" Target="media/image70.png"/><Relationship Id="rId78" Type="http://schemas.openxmlformats.org/officeDocument/2006/relationships/image" Target="media/image7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2026-10-28T16:30:00Z</dcterms:created>
  <dcterms:modified xsi:type="dcterms:W3CDTF">2026-10-28T16:30:00Z</dcterms:modified>
</cp:coreProperties>
</file>