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7"/>
        </w:rPr>
      </w:pPr>
      <w:r>
        <w:rPr>
          <w:rFonts w:ascii="Times New Roman;serif" w:hAnsi="Times New Roman;serif"/>
          <w:b/>
          <w:color w:val="000000"/>
          <w:sz w:val="27"/>
        </w:rPr>
        <w:t>UNITED STATES</w:t>
      </w:r>
    </w:p>
    <w:p>
      <w:pPr>
        <w:pStyle w:val="TextBody"/>
        <w:bidi w:val="0"/>
        <w:spacing w:lineRule="auto" w:line="288" w:before="0" w:after="0"/>
        <w:jc w:val="center"/>
        <w:rPr/>
      </w:pPr>
      <w:r>
        <w:rPr>
          <w:rFonts w:ascii="Times New Roman;serif" w:hAnsi="Times New Roman;serif"/>
          <w:b/>
          <w:color w:val="000000"/>
          <w:sz w:val="27"/>
        </w:rPr>
        <w:t>SECURITIES AND EXCHANGE COMMISSION</w:t>
      </w:r>
      <w:r>
        <w:rPr>
          <w:color w:val="000000"/>
        </w:rPr>
        <w:t xml:space="preserve"> </w:t>
      </w:r>
    </w:p>
    <w:p>
      <w:pPr>
        <w:pStyle w:val="TextBody"/>
        <w:bidi w:val="0"/>
        <w:spacing w:lineRule="auto" w:line="288" w:before="0" w:after="0"/>
        <w:jc w:val="center"/>
        <w:rPr>
          <w:rFonts w:ascii="Times New Roman;serif" w:hAnsi="Times New Roman;serif"/>
          <w:b/>
          <w:color w:val="000000"/>
          <w:sz w:val="23"/>
        </w:rPr>
      </w:pPr>
      <w:r>
        <w:rPr>
          <w:rFonts w:ascii="Times New Roman;serif" w:hAnsi="Times New Roman;serif"/>
          <w:b/>
          <w:color w:val="000000"/>
          <w:sz w:val="23"/>
        </w:rPr>
        <w:t>Washington, D.C. 20549</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_______________________________</w:t>
      </w:r>
    </w:p>
    <w:p>
      <w:pPr>
        <w:pStyle w:val="TextBody"/>
        <w:bidi w:val="0"/>
        <w:spacing w:lineRule="auto" w:line="288" w:before="240" w:after="120"/>
        <w:jc w:val="center"/>
        <w:rPr>
          <w:rFonts w:ascii="Times New Roman;serif" w:hAnsi="Times New Roman;serif"/>
          <w:b/>
          <w:color w:val="000000"/>
          <w:sz w:val="27"/>
        </w:rPr>
      </w:pPr>
      <w:r>
        <w:rPr>
          <w:rFonts w:ascii="Times New Roman;serif" w:hAnsi="Times New Roman;serif"/>
          <w:b/>
          <w:color w:val="000000"/>
          <w:sz w:val="27"/>
        </w:rPr>
        <w:t>FORM 6-K</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_______________________________</w:t>
      </w:r>
    </w:p>
    <w:p>
      <w:pPr>
        <w:pStyle w:val="TextBody"/>
        <w:bidi w:val="0"/>
        <w:spacing w:lineRule="auto" w:line="288" w:before="0" w:after="0"/>
        <w:jc w:val="center"/>
        <w:rPr>
          <w:rFonts w:ascii="Times New Roman;serif" w:hAnsi="Times New Roman;serif"/>
          <w:b/>
          <w:color w:val="000000"/>
          <w:sz w:val="27"/>
        </w:rPr>
      </w:pPr>
      <w:r>
        <w:rPr>
          <w:rFonts w:ascii="Times New Roman;serif" w:hAnsi="Times New Roman;serif"/>
          <w:b/>
          <w:color w:val="000000"/>
          <w:sz w:val="27"/>
        </w:rPr>
        <w:t xml:space="preserve">REPORT OF FOREIGN PRIVATE ISSUER </w:t>
        <w:br/>
        <w:t xml:space="preserve">PURSUANT TO RULE 13a-16 OR 15d-16 OF </w:t>
        <w:br/>
        <w:t>THE SECURITIES EXCHANGE ACT OF 1934</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 the month of October 2026</w:t>
      </w:r>
    </w:p>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Commission File No. 001-36675</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_______________________________</w:t>
      </w:r>
    </w:p>
    <w:p>
      <w:pPr>
        <w:pStyle w:val="TextBody"/>
        <w:bidi w:val="0"/>
        <w:spacing w:lineRule="auto" w:line="259" w:before="0" w:after="0"/>
        <w:jc w:val="center"/>
        <w:rPr>
          <w:rFonts w:ascii="Times New Roman;serif" w:hAnsi="Times New Roman;serif"/>
          <w:b/>
          <w:color w:val="000000"/>
          <w:sz w:val="36"/>
        </w:rPr>
      </w:pPr>
      <w:r>
        <w:rPr>
          <w:rFonts w:ascii="Times New Roman;serif" w:hAnsi="Times New Roman;serif"/>
          <w:b/>
          <w:color w:val="000000"/>
          <w:sz w:val="36"/>
        </w:rPr>
        <w:t xml:space="preserve">STELLANTIS N.V.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(Translation of Registrant’s Name Into English)</w:t>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_______________________________</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Taurusavenue 1</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2132LS, Hoofddorp</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The Netherlands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Tel. No.: +31 237001511</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(Address of Principal Executive Offices)</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_______________________________</w:t>
      </w:r>
    </w:p>
    <w:p>
      <w:pPr>
        <w:pStyle w:val="TextBody"/>
        <w:bidi w:val="0"/>
        <w:spacing w:before="0" w:after="120"/>
        <w:jc w:val="center"/>
        <w:rPr/>
      </w:pPr>
      <w:r>
        <w:rPr/>
      </w:r>
    </w:p>
    <w:p>
      <w:pPr>
        <w:pStyle w:val="TextBody"/>
        <w:bidi w:val="0"/>
        <w:spacing w:lineRule="auto" w:line="288" w:before="240" w:after="120"/>
        <w:jc w:val="center"/>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files or will file annual reports under cover of Form 20-F or Form 40-F.</w:t>
      </w:r>
    </w:p>
    <w:p>
      <w:pPr>
        <w:pStyle w:val="TextBody"/>
        <w:bidi w:val="0"/>
        <w:spacing w:lineRule="auto" w:line="288" w:before="240" w:after="120"/>
        <w:jc w:val="center"/>
        <w:rPr/>
      </w:pPr>
      <w:r>
        <w:rPr>
          <w:rFonts w:ascii="Times New Roman;serif" w:hAnsi="Times New Roman;serif"/>
          <w:b w:val="false"/>
          <w:color w:val="000000"/>
          <w:sz w:val="18"/>
        </w:rPr>
        <w:t xml:space="preserve">Form 20-F </w:t>
      </w:r>
      <w:r>
        <w:rPr>
          <w:rFonts w:ascii="Wingdings;sans-serif" w:hAnsi="Wingdings;sans-serif"/>
          <w:b w:val="false"/>
          <w:color w:val="000000"/>
          <w:sz w:val="16"/>
        </w:rPr>
        <w:t>x</w:t>
      </w:r>
      <w:r>
        <w:rPr>
          <w:color w:val="000000"/>
        </w:rPr>
        <w:t xml:space="preserve"> </w:t>
      </w:r>
      <w:r>
        <w:rPr>
          <w:rFonts w:ascii="Times New Roman;serif" w:hAnsi="Times New Roman;serif"/>
          <w:b w:val="false"/>
          <w:color w:val="000000"/>
          <w:sz w:val="18"/>
        </w:rPr>
        <w:t xml:space="preserve">Form 40-F </w:t>
      </w:r>
      <w:r>
        <w:rPr>
          <w:rFonts w:ascii="Wingdings;sans-serif" w:hAnsi="Wingdings;sans-serif"/>
          <w:b w:val="false"/>
          <w:color w:val="000000"/>
          <w:sz w:val="16"/>
        </w:rPr>
        <w:t>o</w:t>
      </w:r>
    </w:p>
    <w:p>
      <w:pPr>
        <w:pStyle w:val="TextBody"/>
        <w:bidi w:val="0"/>
        <w:spacing w:lineRule="auto" w:line="288" w:before="240" w:after="120"/>
        <w:jc w:val="center"/>
        <w:rPr/>
      </w:pPr>
      <w:r>
        <w:rPr>
          <w:rFonts w:ascii="Times New Roman;serif" w:hAnsi="Times New Roman;serif"/>
          <w:b w:val="false"/>
          <w:color w:val="000000"/>
          <w:sz w:val="18"/>
        </w:rPr>
        <w:t xml:space="preserve">Indicate by check mark if the registrant is submitting the Form 6-K in paper as permitted by Regulation S-T Rule101(b)(1): </w:t>
      </w:r>
      <w:r>
        <w:rPr>
          <w:rFonts w:ascii="Wingdings;sans-serif" w:hAnsi="Wingdings;sans-serif"/>
          <w:b w:val="false"/>
          <w:color w:val="000000"/>
          <w:sz w:val="16"/>
        </w:rPr>
        <w:t>o</w:t>
      </w:r>
    </w:p>
    <w:p>
      <w:pPr>
        <w:pStyle w:val="TextBody"/>
        <w:bidi w:val="0"/>
        <w:spacing w:lineRule="auto" w:line="288" w:before="240" w:after="120"/>
        <w:jc w:val="center"/>
        <w:rPr/>
      </w:pPr>
      <w:r>
        <w:rPr>
          <w:rFonts w:ascii="Times New Roman;serif" w:hAnsi="Times New Roman;serif"/>
          <w:b w:val="false"/>
          <w:color w:val="000000"/>
          <w:sz w:val="18"/>
        </w:rPr>
        <w:t xml:space="preserve">Indicate by check mark if the registrant is submitting the Form 6-K in paper as permitted by Regulation S-T Rule101(b)(7): </w:t>
      </w:r>
      <w:r>
        <w:rPr>
          <w:rFonts w:ascii="Wingdings;sans-serif" w:hAnsi="Wingdings;sans-serif"/>
          <w:b w:val="false"/>
          <w:color w:val="000000"/>
          <w:sz w:val="16"/>
        </w:rPr>
        <w:t>o</w:t>
      </w:r>
    </w:p>
    <w:p>
      <w:pPr>
        <w:pStyle w:val="TextBody"/>
        <w:bidi w:val="0"/>
        <w:spacing w:before="240" w:after="120"/>
        <w:jc w:val="center"/>
        <w:rPr/>
      </w:pPr>
      <w:r>
        <w:rPr/>
      </w:r>
    </w:p>
    <w:p>
      <w:pPr>
        <w:pStyle w:val="TextBody"/>
        <w:bidi w:val="0"/>
        <w:spacing w:before="240" w:after="120"/>
        <w:jc w:val="center"/>
        <w:rPr/>
      </w:pPr>
      <w:r>
        <w:rPr/>
      </w:r>
    </w:p>
    <w:p>
      <w:pPr>
        <w:pStyle w:val="TextBody"/>
        <w:bidi w:val="0"/>
        <w:spacing w:before="240" w:after="120"/>
        <w:jc w:val="center"/>
        <w:rPr/>
      </w:pPr>
      <w:r>
        <w:rPr/>
      </w:r>
    </w:p>
    <w:p>
      <w:pPr>
        <w:pStyle w:val="TextBody"/>
        <w:bidi w:val="0"/>
        <w:spacing w:before="240" w:after="120"/>
        <w:jc w:val="center"/>
        <w:rPr/>
      </w:pPr>
      <w:r>
        <w:rPr/>
      </w:r>
    </w:p>
    <w:p>
      <w:pPr>
        <w:pStyle w:val="TextBody"/>
        <w:bidi w:val="0"/>
        <w:spacing w:before="240" w:after="120"/>
        <w:jc w:val="center"/>
        <w:rPr/>
      </w:pPr>
      <w:r>
        <w:rPr/>
      </w:r>
    </w:p>
    <w:p>
      <w:pPr>
        <w:pStyle w:val="TextBody"/>
        <w:bidi w:val="0"/>
        <w:spacing w:before="240" w:after="120"/>
        <w:jc w:val="center"/>
        <w:rPr/>
      </w:pPr>
      <w:r>
        <w:rPr/>
      </w:r>
    </w:p>
    <w:p>
      <w:pPr>
        <w:pStyle w:val="TextBody"/>
        <w:bidi w:val="0"/>
        <w:spacing w:before="240" w:after="12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345" w:before="0" w:after="240"/>
        <w:jc w:val="left"/>
        <w:rPr>
          <w:rFonts w:ascii="Times New Roman;serif" w:hAnsi="Times New Roman;serif"/>
          <w:b w:val="false"/>
          <w:color w:val="000000"/>
          <w:sz w:val="22"/>
        </w:rPr>
      </w:pPr>
      <w:r>
        <w:rPr>
          <w:rFonts w:ascii="Times New Roman;serif" w:hAnsi="Times New Roman;serif"/>
          <w:b w:val="false"/>
          <w:color w:val="000000"/>
          <w:sz w:val="22"/>
        </w:rPr>
        <w:t>The following exhibit is furnished herewith:</w:t>
      </w:r>
    </w:p>
    <w:tbl>
      <w:tblPr>
        <w:tblW w:w="7303" w:type="dxa"/>
        <w:jc w:val="left"/>
        <w:tblInd w:w="0" w:type="dxa"/>
        <w:tblLayout w:type="fixed"/>
        <w:tblCellMar>
          <w:top w:w="28" w:type="dxa"/>
          <w:left w:w="28" w:type="dxa"/>
          <w:bottom w:w="28" w:type="dxa"/>
          <w:right w:w="28" w:type="dxa"/>
        </w:tblCellMar>
      </w:tblPr>
      <w:tblGrid>
        <w:gridCol w:w="462"/>
        <w:gridCol w:w="406"/>
        <w:gridCol w:w="406"/>
        <w:gridCol w:w="1764"/>
        <w:gridCol w:w="1764"/>
        <w:gridCol w:w="2501"/>
      </w:tblGrid>
      <w:tr>
        <w:trPr/>
        <w:tc>
          <w:tcPr>
            <w:tcW w:w="462"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sz w:val="4"/>
                <w:szCs w:val="4"/>
              </w:rPr>
            </w:pPr>
            <w:r>
              <w:rPr>
                <w:sz w:val="4"/>
                <w:szCs w:val="4"/>
              </w:rPr>
            </w:r>
          </w:p>
        </w:tc>
      </w:tr>
      <w:tr>
        <w:trPr/>
        <w:tc>
          <w:tcPr>
            <w:tcW w:w="127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305"/>
              <w:jc w:val="left"/>
              <w:rPr>
                <w:rFonts w:ascii="Times New Roman;serif" w:hAnsi="Times New Roman;serif"/>
                <w:b w:val="false"/>
                <w:color w:val="000000"/>
                <w:sz w:val="22"/>
              </w:rPr>
            </w:pPr>
            <w:r>
              <w:rPr>
                <w:rFonts w:ascii="Times New Roman;serif" w:hAnsi="Times New Roman;serif"/>
                <w:b w:val="false"/>
                <w:color w:val="000000"/>
                <w:sz w:val="22"/>
              </w:rPr>
              <w:t>Exhibit 99.1</w:t>
            </w:r>
          </w:p>
        </w:tc>
        <w:tc>
          <w:tcPr>
            <w:tcW w:w="6029" w:type="dxa"/>
            <w:gridSpan w:val="3"/>
            <w:tcBorders/>
            <w:tcMar>
              <w:top w:w="0" w:type="dxa"/>
              <w:left w:w="0" w:type="dxa"/>
              <w:bottom w:w="0" w:type="dxa"/>
              <w:right w:w="0" w:type="dxa"/>
            </w:tcMar>
            <w:vAlign w:val="center"/>
          </w:tcPr>
          <w:p>
            <w:pPr>
              <w:pStyle w:val="TableContents"/>
              <w:bidi w:val="0"/>
              <w:spacing w:lineRule="auto" w:line="417" w:before="0" w:after="283"/>
              <w:jc w:val="left"/>
              <w:rPr>
                <w:rFonts w:ascii="Times New Roman;serif" w:hAnsi="Times New Roman;serif"/>
                <w:b w:val="false"/>
                <w:color w:val="000000"/>
                <w:sz w:val="22"/>
              </w:rPr>
            </w:pPr>
            <w:r>
              <w:rPr>
                <w:rFonts w:ascii="Times New Roman;serif" w:hAnsi="Times New Roman;serif"/>
                <w:b w:val="false"/>
                <w:color w:val="000000"/>
                <w:sz w:val="22"/>
              </w:rPr>
              <w:t>Press release issued by Stellantis N.V. dated October 15, 2026.</w:t>
            </w:r>
          </w:p>
        </w:tc>
      </w:tr>
    </w:tbl>
    <w:p>
      <w:pPr>
        <w:pStyle w:val="TextBody"/>
        <w:bidi w:val="0"/>
        <w:spacing w:before="0" w:after="120"/>
        <w:ind w:left="0" w:right="0" w:hanging="1305"/>
        <w:jc w:val="left"/>
        <w:rPr/>
      </w:pPr>
      <w:r>
        <w:rPr/>
      </w:r>
    </w:p>
    <w:p>
      <w:pPr>
        <w:pStyle w:val="TextBody"/>
        <w:bidi w:val="0"/>
        <w:spacing w:before="0" w:after="0"/>
        <w:ind w:left="0" w:right="0" w:hanging="1305"/>
        <w:jc w:val="left"/>
        <w:rPr/>
      </w:pPr>
      <w:r>
        <w:rPr/>
      </w:r>
    </w:p>
    <w:p>
      <w:pPr>
        <w:pStyle w:val="TextBody"/>
        <w:bidi w:val="0"/>
        <w:spacing w:before="0" w:after="0"/>
        <w:ind w:left="0" w:right="0" w:hanging="1305"/>
        <w:jc w:val="left"/>
        <w:rPr/>
      </w:pPr>
      <w:r>
        <w:rPr/>
      </w:r>
    </w:p>
    <w:p>
      <w:pPr>
        <w:pStyle w:val="TextBody"/>
        <w:bidi w:val="0"/>
        <w:spacing w:before="0" w:after="0"/>
        <w:ind w:left="0" w:right="0" w:hanging="1305"/>
        <w:jc w:val="left"/>
        <w:rPr/>
      </w:pPr>
      <w:r>
        <w:rPr/>
      </w:r>
    </w:p>
    <w:p>
      <w:pPr>
        <w:pStyle w:val="TextBody"/>
        <w:bidi w:val="0"/>
        <w:spacing w:before="0" w:after="0"/>
        <w:ind w:left="0" w:right="0" w:hanging="1305"/>
        <w:jc w:val="left"/>
        <w:rPr/>
      </w:pPr>
      <w:r>
        <w:rPr/>
      </w:r>
    </w:p>
    <w:p>
      <w:pPr>
        <w:pStyle w:val="TextBody"/>
        <w:bidi w:val="0"/>
        <w:spacing w:before="0" w:after="0"/>
        <w:ind w:left="0" w:right="0" w:hanging="1305"/>
        <w:jc w:val="left"/>
        <w:rPr/>
      </w:pPr>
      <w:r>
        <w:rPr/>
      </w:r>
    </w:p>
    <w:p>
      <w:pPr>
        <w:pStyle w:val="TextBody"/>
        <w:bidi w:val="0"/>
        <w:spacing w:before="0" w:after="0"/>
        <w:ind w:left="0" w:right="0" w:hanging="1305"/>
        <w:jc w:val="left"/>
        <w:rPr/>
      </w:pPr>
      <w:r>
        <w:rPr/>
      </w:r>
    </w:p>
    <w:p>
      <w:pPr>
        <w:pStyle w:val="TextBody"/>
        <w:bidi w:val="0"/>
        <w:spacing w:before="0" w:after="0"/>
        <w:ind w:left="0" w:right="0" w:hanging="1305"/>
        <w:jc w:val="left"/>
        <w:rPr/>
      </w:pPr>
      <w:r>
        <w:rPr/>
      </w:r>
    </w:p>
    <w:p>
      <w:pPr>
        <w:pStyle w:val="TextBody"/>
        <w:bidi w:val="0"/>
        <w:spacing w:before="0" w:after="240"/>
        <w:ind w:left="0" w:right="0" w:hanging="1665"/>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45" w:before="0" w:after="240"/>
        <w:jc w:val="center"/>
        <w:rPr>
          <w:rFonts w:ascii="Times New Roman;serif" w:hAnsi="Times New Roman;serif"/>
          <w:b/>
          <w:color w:val="000000"/>
          <w:sz w:val="22"/>
        </w:rPr>
      </w:pPr>
      <w:r>
        <w:rPr>
          <w:rFonts w:ascii="Times New Roman;serif" w:hAnsi="Times New Roman;serif"/>
          <w:b/>
          <w:color w:val="000000"/>
          <w:sz w:val="22"/>
        </w:rPr>
        <w:t>SIGNATURE</w:t>
      </w:r>
    </w:p>
    <w:p>
      <w:pPr>
        <w:pStyle w:val="TextBody"/>
        <w:bidi w:val="0"/>
        <w:spacing w:lineRule="auto" w:line="345"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Exchange Act of 1934, the registrant has duly caused this report to be signed on its behalf by the undersigned, thereunto duly authorized.</w:t>
      </w:r>
    </w:p>
    <w:p>
      <w:pPr>
        <w:pStyle w:val="TextBody"/>
        <w:bidi w:val="0"/>
        <w:spacing w:before="0" w:after="240"/>
        <w:ind w:left="0" w:right="0" w:firstLine="720"/>
        <w:jc w:val="left"/>
        <w:rPr/>
      </w:pPr>
      <w:r>
        <w:rPr/>
      </w:r>
    </w:p>
    <w:tbl>
      <w:tblPr>
        <w:tblW w:w="5394" w:type="dxa"/>
        <w:jc w:val="left"/>
        <w:tblInd w:w="0" w:type="dxa"/>
        <w:tblLayout w:type="fixed"/>
        <w:tblCellMar>
          <w:top w:w="28" w:type="dxa"/>
          <w:left w:w="28" w:type="dxa"/>
          <w:bottom w:w="28" w:type="dxa"/>
          <w:right w:w="28" w:type="dxa"/>
        </w:tblCellMar>
      </w:tblPr>
      <w:tblGrid>
        <w:gridCol w:w="842"/>
        <w:gridCol w:w="740"/>
        <w:gridCol w:w="743"/>
        <w:gridCol w:w="274"/>
        <w:gridCol w:w="274"/>
        <w:gridCol w:w="274"/>
        <w:gridCol w:w="350"/>
        <w:gridCol w:w="350"/>
        <w:gridCol w:w="350"/>
        <w:gridCol w:w="350"/>
        <w:gridCol w:w="350"/>
        <w:gridCol w:w="497"/>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Date: October 15, 2026</w:t>
            </w:r>
          </w:p>
        </w:tc>
        <w:tc>
          <w:tcPr>
            <w:tcW w:w="3069" w:type="dxa"/>
            <w:gridSpan w:val="9"/>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2"/>
              </w:rPr>
              <w:t>STELLANTIS N.V.</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2"/>
              </w:rPr>
            </w:pPr>
            <w:r>
              <w:rPr>
                <w:rFonts w:ascii="Times New Roman;serif" w:hAnsi="Times New Roman;serif"/>
                <w:b w:val="false"/>
                <w:color w:val="000000"/>
                <w:sz w:val="22"/>
              </w:rPr>
              <w:t>By:</w:t>
            </w:r>
          </w:p>
        </w:tc>
        <w:tc>
          <w:tcPr>
            <w:tcW w:w="2247"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/s/ Giorgio Fossati</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Name: Giorgio Fossati</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6"/>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Title: General Counsel</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4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45" w:before="0" w:after="240"/>
        <w:jc w:val="center"/>
        <w:rPr>
          <w:rFonts w:ascii="Times New Roman;serif" w:hAnsi="Times New Roman;serif"/>
          <w:b/>
          <w:color w:val="000000"/>
          <w:sz w:val="22"/>
        </w:rPr>
      </w:pPr>
      <w:r>
        <w:rPr>
          <w:rFonts w:ascii="Times New Roman;serif" w:hAnsi="Times New Roman;serif"/>
          <w:b/>
          <w:color w:val="000000"/>
          <w:sz w:val="22"/>
        </w:rPr>
        <w:t>Index of Exhibits</w:t>
      </w:r>
    </w:p>
    <w:p>
      <w:pPr>
        <w:pStyle w:val="TextBody"/>
        <w:bidi w:val="0"/>
        <w:spacing w:before="0" w:after="240"/>
        <w:jc w:val="left"/>
        <w:rPr/>
      </w:pPr>
      <w:r>
        <w:rPr/>
      </w:r>
    </w:p>
    <w:p>
      <w:pPr>
        <w:pStyle w:val="TextBody"/>
        <w:bidi w:val="0"/>
        <w:spacing w:before="0" w:after="0"/>
        <w:ind w:left="0" w:right="0" w:hanging="945"/>
        <w:jc w:val="left"/>
        <w:rPr/>
      </w:pPr>
      <w:r>
        <w:rPr/>
      </w:r>
    </w:p>
    <w:tbl>
      <w:tblPr>
        <w:tblW w:w="6913" w:type="dxa"/>
        <w:jc w:val="left"/>
        <w:tblInd w:w="0" w:type="dxa"/>
        <w:tblLayout w:type="fixed"/>
        <w:tblCellMar>
          <w:top w:w="28" w:type="dxa"/>
          <w:left w:w="28" w:type="dxa"/>
          <w:bottom w:w="28" w:type="dxa"/>
          <w:right w:w="28" w:type="dxa"/>
        </w:tblCellMar>
      </w:tblPr>
      <w:tblGrid>
        <w:gridCol w:w="320"/>
        <w:gridCol w:w="281"/>
        <w:gridCol w:w="283"/>
        <w:gridCol w:w="1763"/>
        <w:gridCol w:w="1763"/>
        <w:gridCol w:w="2503"/>
      </w:tblGrid>
      <w:tr>
        <w:trPr/>
        <w:tc>
          <w:tcPr>
            <w:tcW w:w="3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763" w:type="dxa"/>
            <w:tcBorders/>
            <w:vAlign w:val="center"/>
          </w:tcPr>
          <w:p>
            <w:pPr>
              <w:pStyle w:val="TableContents"/>
              <w:bidi w:val="0"/>
              <w:spacing w:before="0" w:after="283"/>
              <w:jc w:val="left"/>
              <w:rPr>
                <w:sz w:val="4"/>
                <w:szCs w:val="4"/>
              </w:rPr>
            </w:pPr>
            <w:r>
              <w:rPr>
                <w:sz w:val="4"/>
                <w:szCs w:val="4"/>
              </w:rPr>
            </w:r>
          </w:p>
        </w:tc>
        <w:tc>
          <w:tcPr>
            <w:tcW w:w="1763"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Exhibit</w:t>
            </w:r>
          </w:p>
          <w:p>
            <w:pPr>
              <w:pStyle w:val="TableContents"/>
              <w:bidi w:val="0"/>
              <w:spacing w:lineRule="auto" w:line="240" w:before="0" w:after="0"/>
              <w:ind w:left="0" w:right="0" w:hanging="1305"/>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Number</w:t>
            </w:r>
          </w:p>
        </w:tc>
        <w:tc>
          <w:tcPr>
            <w:tcW w:w="6029" w:type="dxa"/>
            <w:gridSpan w:val="3"/>
            <w:tcBorders/>
            <w:tcMar>
              <w:top w:w="0" w:type="dxa"/>
              <w:left w:w="0" w:type="dxa"/>
              <w:bottom w:w="0" w:type="dxa"/>
              <w:right w:w="0" w:type="dxa"/>
            </w:tcMar>
            <w:vAlign w:val="center"/>
          </w:tcPr>
          <w:p>
            <w:pPr>
              <w:pStyle w:val="TableContents"/>
              <w:bidi w:val="0"/>
              <w:spacing w:lineRule="auto" w:line="417" w:before="0" w:after="283"/>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Description of Exhibit</w:t>
            </w:r>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305"/>
              <w:jc w:val="left"/>
              <w:rPr>
                <w:rFonts w:ascii="Times New Roman;serif" w:hAnsi="Times New Roman;serif"/>
                <w:b w:val="false"/>
                <w:color w:val="000000"/>
                <w:sz w:val="22"/>
              </w:rPr>
            </w:pPr>
            <w:r>
              <w:rPr>
                <w:rFonts w:ascii="Times New Roman;serif" w:hAnsi="Times New Roman;serif"/>
                <w:b w:val="false"/>
                <w:color w:val="000000"/>
                <w:sz w:val="22"/>
              </w:rPr>
              <w:t>99.1</w:t>
            </w:r>
          </w:p>
        </w:tc>
        <w:tc>
          <w:tcPr>
            <w:tcW w:w="6029" w:type="dxa"/>
            <w:gridSpan w:val="3"/>
            <w:tcBorders/>
            <w:tcMar>
              <w:top w:w="0" w:type="dxa"/>
              <w:left w:w="0" w:type="dxa"/>
              <w:bottom w:w="0" w:type="dxa"/>
              <w:right w:w="0" w:type="dxa"/>
            </w:tcMar>
            <w:vAlign w:val="center"/>
          </w:tcPr>
          <w:p>
            <w:pPr>
              <w:pStyle w:val="TableContents"/>
              <w:bidi w:val="0"/>
              <w:spacing w:lineRule="auto" w:line="417" w:before="0" w:after="283"/>
              <w:jc w:val="left"/>
              <w:rPr>
                <w:rFonts w:ascii="Times New Roman;serif" w:hAnsi="Times New Roman;serif"/>
                <w:b w:val="false"/>
                <w:color w:val="000000"/>
                <w:sz w:val="22"/>
              </w:rPr>
            </w:pPr>
            <w:r>
              <w:rPr>
                <w:rFonts w:ascii="Times New Roman;serif" w:hAnsi="Times New Roman;serif"/>
                <w:b w:val="false"/>
                <w:color w:val="000000"/>
                <w:sz w:val="22"/>
              </w:rPr>
              <w:t>Press release issued by Stellantis N.V. dated October 15, 2026.</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99.1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68" w:before="0" w:after="0"/>
        <w:ind w:left="0" w:right="0" w:firstLine="720"/>
        <w:jc w:val="center"/>
        <w:rPr>
          <w:rFonts w:ascii="Arial;sans-serif" w:hAnsi="Arial;sans-serif"/>
          <w:b/>
          <w:color w:val="243782"/>
          <w:sz w:val="24"/>
        </w:rPr>
      </w:pPr>
      <w:r>
        <w:rPr>
          <w:rFonts w:ascii="Arial;sans-serif" w:hAnsi="Arial;sans-serif"/>
          <w:b/>
          <w:color w:val="243782"/>
          <w:sz w:val="24"/>
        </w:rPr>
        <w:t xml:space="preserve">Stellantis to Announce Third Quarter 2026 </w:t>
      </w:r>
    </w:p>
    <w:p>
      <w:pPr>
        <w:pStyle w:val="TextBody"/>
        <w:bidi w:val="0"/>
        <w:spacing w:lineRule="auto" w:line="268" w:before="0" w:after="0"/>
        <w:jc w:val="center"/>
        <w:rPr>
          <w:rFonts w:ascii="Arial;sans-serif" w:hAnsi="Arial;sans-serif"/>
          <w:b/>
          <w:color w:val="243782"/>
          <w:sz w:val="24"/>
        </w:rPr>
      </w:pPr>
      <w:r>
        <w:rPr>
          <w:rFonts w:ascii="Arial;sans-serif" w:hAnsi="Arial;sans-serif"/>
          <w:b/>
          <w:color w:val="243782"/>
          <w:sz w:val="24"/>
        </w:rPr>
        <w:t>Financial Results on October 28</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4"/>
        </w:rPr>
      </w:pPr>
      <w:r>
        <w:rPr>
          <w:rFonts w:ascii="Arial;sans-serif" w:hAnsi="Arial;sans-serif"/>
          <w:b w:val="false"/>
          <w:color w:val="000000"/>
          <w:sz w:val="24"/>
        </w:rPr>
        <w:t>AMSTERDAM, October 15, 2026 – Stellantis N.V. announced that it will release its Third Quarter 2026 Financial Results on Wednesday, October 28, 2026.</w:t>
      </w:r>
    </w:p>
    <w:p>
      <w:pPr>
        <w:pStyle w:val="TextBody"/>
        <w:bidi w:val="0"/>
        <w:spacing w:before="0" w:after="0"/>
        <w:jc w:val="both"/>
        <w:rPr/>
      </w:pPr>
      <w:r>
        <w:rPr/>
      </w:r>
    </w:p>
    <w:p>
      <w:pPr>
        <w:pStyle w:val="TextBody"/>
        <w:bidi w:val="0"/>
        <w:spacing w:lineRule="auto" w:line="256" w:before="0" w:after="0"/>
        <w:jc w:val="both"/>
        <w:rPr/>
      </w:pPr>
      <w:r>
        <w:rPr>
          <w:rFonts w:ascii="Arial;sans-serif" w:hAnsi="Arial;sans-serif"/>
          <w:b w:val="false"/>
          <w:color w:val="000000"/>
          <w:sz w:val="24"/>
        </w:rPr>
        <w:t xml:space="preserve">A live audio webcast and conference call will take place at 1:00 p.m. CET / 8:00 a.m. EDT, with the related press release and presentation materials expected to be posted in the </w:t>
      </w:r>
      <w:r>
        <w:rPr>
          <w:rFonts w:ascii="Arial;sans-serif" w:hAnsi="Arial;sans-serif"/>
          <w:b w:val="false"/>
          <w:color w:val="0E32E1"/>
          <w:sz w:val="24"/>
        </w:rPr>
        <w:t xml:space="preserve">Investors </w:t>
      </w:r>
      <w:r>
        <w:rPr>
          <w:rFonts w:ascii="Arial;sans-serif" w:hAnsi="Arial;sans-serif"/>
          <w:b w:val="false"/>
          <w:color w:val="000000"/>
          <w:sz w:val="24"/>
        </w:rPr>
        <w:t>section of the Company’s website at approximately 8:00 a.m. CET / 3:00 a.m. EDT.</w:t>
      </w:r>
    </w:p>
    <w:p>
      <w:pPr>
        <w:pStyle w:val="TextBody"/>
        <w:bidi w:val="0"/>
        <w:spacing w:before="0" w:after="0"/>
        <w:jc w:val="both"/>
        <w:rPr/>
      </w:pPr>
      <w:r>
        <w:rPr/>
      </w:r>
    </w:p>
    <w:p>
      <w:pPr>
        <w:pStyle w:val="TextBody"/>
        <w:bidi w:val="0"/>
        <w:spacing w:lineRule="auto" w:line="268" w:before="0" w:after="0"/>
        <w:jc w:val="left"/>
        <w:rPr/>
      </w:pPr>
      <w:r>
        <w:rPr>
          <w:rFonts w:ascii="Arial;sans-serif" w:hAnsi="Arial;sans-serif"/>
          <w:b w:val="false"/>
          <w:color w:val="000000"/>
          <w:sz w:val="24"/>
        </w:rPr>
        <w:t xml:space="preserve">Access to details for the presentation are available in the </w:t>
      </w:r>
      <w:r>
        <w:rPr>
          <w:rFonts w:ascii="Arial;sans-serif" w:hAnsi="Arial;sans-serif"/>
          <w:b w:val="false"/>
          <w:color w:val="0E32E1"/>
          <w:sz w:val="24"/>
        </w:rPr>
        <w:t xml:space="preserve">Investors </w:t>
      </w:r>
      <w:r>
        <w:rPr>
          <w:rFonts w:ascii="Arial;sans-serif" w:hAnsi="Arial;sans-serif"/>
          <w:b w:val="false"/>
          <w:color w:val="000000"/>
          <w:sz w:val="24"/>
        </w:rPr>
        <w:t xml:space="preserve">section of the Company’s corporate website. A </w:t>
      </w:r>
      <w:r>
        <w:rPr>
          <w:rFonts w:ascii="Arial;sans-serif" w:hAnsi="Arial;sans-serif"/>
          <w:b w:val="false"/>
          <w:color w:val="243782"/>
          <w:sz w:val="24"/>
        </w:rPr>
        <w:t>replay</w:t>
      </w:r>
      <w:r>
        <w:rPr>
          <w:color w:val="000000"/>
        </w:rPr>
        <w:t xml:space="preserve"> </w:t>
      </w:r>
      <w:r>
        <w:rPr>
          <w:rFonts w:ascii="Arial;sans-serif" w:hAnsi="Arial;sans-serif"/>
          <w:b w:val="false"/>
          <w:color w:val="000000"/>
          <w:sz w:val="24"/>
        </w:rPr>
        <w:t xml:space="preserve">will be available following the live event. </w:t>
      </w:r>
    </w:p>
    <w:p>
      <w:pPr>
        <w:pStyle w:val="TextBody"/>
        <w:bidi w:val="0"/>
        <w:spacing w:before="0" w:after="0"/>
        <w:jc w:val="left"/>
        <w:rPr/>
      </w:pPr>
      <w:r>
        <w:rPr/>
      </w:r>
    </w:p>
    <w:p>
      <w:pPr>
        <w:pStyle w:val="TextBody"/>
        <w:bidi w:val="0"/>
        <w:spacing w:lineRule="auto" w:line="268" w:before="0" w:after="0"/>
        <w:jc w:val="center"/>
        <w:rPr>
          <w:rFonts w:ascii="Arial;sans-serif" w:hAnsi="Arial;sans-serif"/>
          <w:b w:val="false"/>
          <w:color w:val="000000"/>
          <w:sz w:val="24"/>
        </w:rPr>
      </w:pPr>
      <w:r>
        <w:rPr>
          <w:rFonts w:ascii="Arial;sans-serif" w:hAnsi="Arial;sans-serif"/>
          <w:b w:val="false"/>
          <w:color w:val="000000"/>
          <w:sz w:val="24"/>
        </w:rPr>
        <w:t># #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76" w:before="0" w:after="0"/>
        <w:jc w:val="both"/>
        <w:rPr>
          <w:rFonts w:ascii="Times New Roman;serif" w:hAnsi="Times New Roman;serif"/>
          <w:b/>
          <w:color w:val="243782"/>
          <w:sz w:val="22"/>
        </w:rPr>
      </w:pPr>
      <w:r>
        <w:rPr>
          <w:rFonts w:ascii="Times New Roman;serif" w:hAnsi="Times New Roman;serif"/>
          <w:b/>
          <w:color w:val="243782"/>
          <w:sz w:val="22"/>
        </w:rPr>
        <w:t>About Stellantis</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i/>
          <w:color w:val="000000"/>
          <w:sz w:val="22"/>
        </w:rPr>
        <w:t>Stellantis N.V. (NYSE: STLA / Euronext Milan: STLAM / Euronext Paris: STLAP) is a leading global automaker, dedicated to giving its customers the freedom to choose the way they move, embracing the latest technologies and creating value for all its stakeholders. Its unique portfolio of iconic and innovative brands includes Abarth, Alfa Romeo, Chrysler, Citroën, Dodge, DS Automobiles, FIAT, Jeep</w:t>
      </w:r>
      <w:r>
        <w:rPr>
          <w:rFonts w:ascii="Times New Roman;serif" w:hAnsi="Times New Roman;serif"/>
          <w:b w:val="false"/>
          <w:i/>
          <w:color w:val="000000"/>
          <w:sz w:val="14"/>
        </w:rPr>
        <w:t>®</w:t>
      </w:r>
      <w:r>
        <w:rPr>
          <w:rFonts w:ascii="Times New Roman;serif" w:hAnsi="Times New Roman;serif"/>
          <w:b w:val="false"/>
          <w:i/>
          <w:color w:val="000000"/>
          <w:sz w:val="22"/>
        </w:rPr>
        <w:t xml:space="preserve">, Lancia, Maserati, Opel, Peugeot, Ram, Vauxhall, Free2move and Leasys. For more information, visit </w:t>
      </w:r>
      <w:r>
        <w:rPr>
          <w:rFonts w:ascii="Times New Roman;serif" w:hAnsi="Times New Roman;serif"/>
          <w:b w:val="false"/>
          <w:i/>
          <w:color w:val="243782"/>
          <w:sz w:val="22"/>
        </w:rPr>
        <w:t>www.stellantis.com.</w:t>
      </w:r>
    </w:p>
    <w:p>
      <w:pPr>
        <w:pStyle w:val="TextBody"/>
        <w:bidi w:val="0"/>
        <w:spacing w:before="0" w:after="0"/>
        <w:jc w:val="both"/>
        <w:rPr/>
      </w:pPr>
      <w:r>
        <w:rPr/>
      </w:r>
    </w:p>
    <w:tbl>
      <w:tblPr>
        <w:tblW w:w="5546" w:type="dxa"/>
        <w:jc w:val="left"/>
        <w:tblInd w:w="0" w:type="dxa"/>
        <w:tblLayout w:type="fixed"/>
        <w:tblCellMar>
          <w:top w:w="28" w:type="dxa"/>
          <w:left w:w="28" w:type="dxa"/>
          <w:bottom w:w="28" w:type="dxa"/>
          <w:right w:w="28" w:type="dxa"/>
        </w:tblCellMar>
      </w:tblPr>
      <w:tblGrid>
        <w:gridCol w:w="559"/>
        <w:gridCol w:w="492"/>
        <w:gridCol w:w="493"/>
        <w:gridCol w:w="439"/>
        <w:gridCol w:w="439"/>
        <w:gridCol w:w="441"/>
        <w:gridCol w:w="439"/>
        <w:gridCol w:w="439"/>
        <w:gridCol w:w="441"/>
        <w:gridCol w:w="399"/>
        <w:gridCol w:w="399"/>
        <w:gridCol w:w="566"/>
      </w:tblGrid>
      <w:tr>
        <w:trPr/>
        <w:tc>
          <w:tcPr>
            <w:tcW w:w="55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top w:val="single" w:sz="8" w:space="0" w:color="FFFFFF"/>
              <w:left w:val="single" w:sz="8" w:space="0" w:color="FFFFFF"/>
              <w:bottom w:val="single" w:sz="8" w:space="0" w:color="FFFFFF"/>
            </w:tcBorders>
            <w:tcMar>
              <w:top w:w="30" w:type="dxa"/>
              <w:bottom w:w="30" w:type="dxa"/>
              <w:right w:w="0" w:type="dxa"/>
            </w:tcMar>
            <w:vAlign w:val="center"/>
          </w:tcPr>
          <w:p>
            <w:pPr>
              <w:pStyle w:val="TableContents"/>
              <w:bidi w:val="0"/>
              <w:spacing w:lineRule="auto" w:line="276" w:before="0" w:after="0"/>
              <w:jc w:val="center"/>
              <w:rPr/>
            </w:pPr>
            <w:r>
              <w:rPr/>
              <w:drawing>
                <wp:inline distT="0" distB="0" distL="0" distR="0">
                  <wp:extent cx="238125" cy="228600"/>
                  <wp:effectExtent l="0" t="0" r="0" b="0"/>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2"/>
                          <a:stretch>
                            <a:fillRect/>
                          </a:stretch>
                        </pic:blipFill>
                        <pic:spPr bwMode="auto">
                          <a:xfrm>
                            <a:off x="0" y="0"/>
                            <a:ext cx="238125" cy="228600"/>
                          </a:xfrm>
                          <a:prstGeom prst="rect">
                            <a:avLst/>
                          </a:prstGeom>
                        </pic:spPr>
                      </pic:pic>
                    </a:graphicData>
                  </a:graphic>
                </wp:inline>
              </w:drawing>
            </w:r>
            <w:r>
              <w:rPr>
                <w:rFonts w:ascii="Times New Roman;serif" w:hAnsi="Times New Roman;serif"/>
                <w:b w:val="false"/>
                <w:color w:val="243782"/>
                <w:sz w:val="22"/>
              </w:rPr>
              <w:t>@Stellantis</w:t>
            </w:r>
          </w:p>
        </w:tc>
        <w:tc>
          <w:tcPr>
            <w:tcW w:w="1319" w:type="dxa"/>
            <w:gridSpan w:val="3"/>
            <w:tcBorders>
              <w:top w:val="single" w:sz="8" w:space="0" w:color="FFFFFF"/>
              <w:left w:val="single" w:sz="8" w:space="0" w:color="FFFFFF"/>
              <w:bottom w:val="single" w:sz="8" w:space="0" w:color="FFFFFF"/>
            </w:tcBorders>
            <w:tcMar>
              <w:top w:w="30" w:type="dxa"/>
              <w:bottom w:w="30" w:type="dxa"/>
              <w:right w:w="0" w:type="dxa"/>
            </w:tcMar>
            <w:vAlign w:val="center"/>
          </w:tcPr>
          <w:p>
            <w:pPr>
              <w:pStyle w:val="TableContents"/>
              <w:bidi w:val="0"/>
              <w:spacing w:lineRule="auto" w:line="276" w:before="0" w:after="0"/>
              <w:jc w:val="center"/>
              <w:rPr/>
            </w:pPr>
            <w:r>
              <w:rPr/>
              <w:drawing>
                <wp:inline distT="0" distB="0" distL="0" distR="0">
                  <wp:extent cx="238125" cy="238125"/>
                  <wp:effectExtent l="0" t="0" r="0" b="0"/>
                  <wp:docPr id="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 descr=""/>
                          <pic:cNvPicPr>
                            <a:picLocks noChangeAspect="1" noChangeArrowheads="1"/>
                          </pic:cNvPicPr>
                        </pic:nvPicPr>
                        <pic:blipFill>
                          <a:blip r:embed="rId3"/>
                          <a:stretch>
                            <a:fillRect/>
                          </a:stretch>
                        </pic:blipFill>
                        <pic:spPr bwMode="auto">
                          <a:xfrm>
                            <a:off x="0" y="0"/>
                            <a:ext cx="238125" cy="238125"/>
                          </a:xfrm>
                          <a:prstGeom prst="rect">
                            <a:avLst/>
                          </a:prstGeom>
                        </pic:spPr>
                      </pic:pic>
                    </a:graphicData>
                  </a:graphic>
                </wp:inline>
              </w:drawing>
            </w:r>
            <w:r>
              <w:rPr>
                <w:rFonts w:ascii="Times New Roman;serif" w:hAnsi="Times New Roman;serif"/>
                <w:b w:val="false"/>
                <w:color w:val="243782"/>
                <w:sz w:val="22"/>
              </w:rPr>
              <w:t>Stellantis</w:t>
            </w:r>
          </w:p>
        </w:tc>
        <w:tc>
          <w:tcPr>
            <w:tcW w:w="1319" w:type="dxa"/>
            <w:gridSpan w:val="3"/>
            <w:tcBorders>
              <w:top w:val="single" w:sz="8" w:space="0" w:color="FFFFFF"/>
              <w:left w:val="single" w:sz="8" w:space="0" w:color="FFFFFF"/>
              <w:bottom w:val="single" w:sz="8" w:space="0" w:color="FFFFFF"/>
            </w:tcBorders>
            <w:tcMar>
              <w:top w:w="30" w:type="dxa"/>
              <w:bottom w:w="30" w:type="dxa"/>
              <w:right w:w="0" w:type="dxa"/>
            </w:tcMar>
            <w:vAlign w:val="center"/>
          </w:tcPr>
          <w:p>
            <w:pPr>
              <w:pStyle w:val="TableContents"/>
              <w:bidi w:val="0"/>
              <w:spacing w:lineRule="auto" w:line="276" w:before="0" w:after="0"/>
              <w:jc w:val="center"/>
              <w:rPr/>
            </w:pPr>
            <w:r>
              <w:rPr/>
              <w:drawing>
                <wp:inline distT="0" distB="0" distL="0" distR="0">
                  <wp:extent cx="238125" cy="238125"/>
                  <wp:effectExtent l="0" t="0" r="0" b="0"/>
                  <wp:docPr id="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 descr=""/>
                          <pic:cNvPicPr>
                            <a:picLocks noChangeAspect="1" noChangeArrowheads="1"/>
                          </pic:cNvPicPr>
                        </pic:nvPicPr>
                        <pic:blipFill>
                          <a:blip r:embed="rId4"/>
                          <a:stretch>
                            <a:fillRect/>
                          </a:stretch>
                        </pic:blipFill>
                        <pic:spPr bwMode="auto">
                          <a:xfrm>
                            <a:off x="0" y="0"/>
                            <a:ext cx="238125" cy="238125"/>
                          </a:xfrm>
                          <a:prstGeom prst="rect">
                            <a:avLst/>
                          </a:prstGeom>
                        </pic:spPr>
                      </pic:pic>
                    </a:graphicData>
                  </a:graphic>
                </wp:inline>
              </w:drawing>
            </w:r>
            <w:r>
              <w:rPr>
                <w:rFonts w:ascii="Times New Roman;serif" w:hAnsi="Times New Roman;serif"/>
                <w:b w:val="false"/>
                <w:color w:val="243782"/>
                <w:sz w:val="22"/>
              </w:rPr>
              <w:t>Stellantis</w:t>
            </w:r>
          </w:p>
        </w:tc>
        <w:tc>
          <w:tcPr>
            <w:tcW w:w="1364" w:type="dxa"/>
            <w:gridSpan w:val="3"/>
            <w:tcBorders>
              <w:top w:val="single" w:sz="8" w:space="0" w:color="FFFFFF"/>
              <w:left w:val="single" w:sz="8" w:space="0" w:color="FFFFFF"/>
              <w:bottom w:val="single" w:sz="8" w:space="0" w:color="FFFFFF"/>
              <w:right w:val="single" w:sz="8" w:space="0" w:color="FFFFFF"/>
            </w:tcBorders>
            <w:tcMar>
              <w:top w:w="30" w:type="dxa"/>
              <w:bottom w:w="30" w:type="dxa"/>
            </w:tcMar>
            <w:vAlign w:val="center"/>
          </w:tcPr>
          <w:p>
            <w:pPr>
              <w:pStyle w:val="TableContents"/>
              <w:bidi w:val="0"/>
              <w:spacing w:lineRule="auto" w:line="276" w:before="0" w:after="0"/>
              <w:jc w:val="center"/>
              <w:rPr/>
            </w:pPr>
            <w:r>
              <w:rPr/>
              <w:drawing>
                <wp:inline distT="0" distB="0" distL="0" distR="0">
                  <wp:extent cx="238125" cy="228600"/>
                  <wp:effectExtent l="0" t="0" r="0" b="0"/>
                  <wp:docPr id="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4" descr=""/>
                          <pic:cNvPicPr>
                            <a:picLocks noChangeAspect="1" noChangeArrowheads="1"/>
                          </pic:cNvPicPr>
                        </pic:nvPicPr>
                        <pic:blipFill>
                          <a:blip r:embed="rId5"/>
                          <a:stretch>
                            <a:fillRect/>
                          </a:stretch>
                        </pic:blipFill>
                        <pic:spPr bwMode="auto">
                          <a:xfrm>
                            <a:off x="0" y="0"/>
                            <a:ext cx="238125" cy="228600"/>
                          </a:xfrm>
                          <a:prstGeom prst="rect">
                            <a:avLst/>
                          </a:prstGeom>
                        </pic:spPr>
                      </pic:pic>
                    </a:graphicData>
                  </a:graphic>
                </wp:inline>
              </w:drawing>
            </w:r>
            <w:r>
              <w:rPr>
                <w:rFonts w:ascii="Times New Roman;serif" w:hAnsi="Times New Roman;serif"/>
                <w:b w:val="false"/>
                <w:color w:val="243782"/>
                <w:sz w:val="22"/>
              </w:rPr>
              <w:t>Stellantis</w:t>
            </w:r>
          </w:p>
        </w:tc>
      </w:tr>
    </w:tbl>
    <w:p>
      <w:pPr>
        <w:pStyle w:val="TextBody"/>
        <w:bidi w:val="0"/>
        <w:spacing w:before="0" w:after="0"/>
        <w:jc w:val="left"/>
        <w:rPr/>
      </w:pPr>
      <w:r>
        <w:rPr/>
      </w:r>
    </w:p>
    <w:p>
      <w:pPr>
        <w:pStyle w:val="TextBody"/>
        <w:bidi w:val="0"/>
        <w:spacing w:before="0" w:after="0"/>
        <w:jc w:val="left"/>
        <w:rPr/>
      </w:pPr>
      <w:r>
        <w:rPr/>
      </w:r>
    </w:p>
    <w:tbl>
      <w:tblPr>
        <w:tblW w:w="7080" w:type="dxa"/>
        <w:jc w:val="left"/>
        <w:tblInd w:w="0" w:type="dxa"/>
        <w:tblLayout w:type="fixed"/>
        <w:tblCellMar>
          <w:top w:w="28" w:type="dxa"/>
          <w:left w:w="28" w:type="dxa"/>
          <w:bottom w:w="28" w:type="dxa"/>
          <w:right w:w="28" w:type="dxa"/>
        </w:tblCellMar>
      </w:tblPr>
      <w:tblGrid>
        <w:gridCol w:w="2266"/>
        <w:gridCol w:w="1988"/>
        <w:gridCol w:w="2826"/>
      </w:tblGrid>
      <w:tr>
        <w:trPr/>
        <w:tc>
          <w:tcPr>
            <w:tcW w:w="2266" w:type="dxa"/>
            <w:tcBorders/>
            <w:vAlign w:val="center"/>
          </w:tcPr>
          <w:p>
            <w:pPr>
              <w:pStyle w:val="TableContents"/>
              <w:bidi w:val="0"/>
              <w:spacing w:before="0" w:after="283"/>
              <w:jc w:val="left"/>
              <w:rPr>
                <w:sz w:val="4"/>
                <w:szCs w:val="4"/>
              </w:rPr>
            </w:pPr>
            <w:r>
              <w:rPr>
                <w:sz w:val="4"/>
                <w:szCs w:val="4"/>
              </w:rPr>
            </w:r>
          </w:p>
        </w:tc>
        <w:tc>
          <w:tcPr>
            <w:tcW w:w="1988" w:type="dxa"/>
            <w:tcBorders/>
            <w:vAlign w:val="center"/>
          </w:tcPr>
          <w:p>
            <w:pPr>
              <w:pStyle w:val="TableContents"/>
              <w:bidi w:val="0"/>
              <w:spacing w:before="0" w:after="283"/>
              <w:jc w:val="left"/>
              <w:rPr>
                <w:sz w:val="4"/>
                <w:szCs w:val="4"/>
              </w:rPr>
            </w:pPr>
            <w:r>
              <w:rPr>
                <w:sz w:val="4"/>
                <w:szCs w:val="4"/>
              </w:rPr>
            </w:r>
          </w:p>
        </w:tc>
        <w:tc>
          <w:tcPr>
            <w:tcW w:w="2826" w:type="dxa"/>
            <w:tcBorders/>
            <w:vAlign w:val="center"/>
          </w:tcPr>
          <w:p>
            <w:pPr>
              <w:pStyle w:val="TableContents"/>
              <w:bidi w:val="0"/>
              <w:spacing w:before="0" w:after="283"/>
              <w:jc w:val="left"/>
              <w:rPr>
                <w:sz w:val="4"/>
                <w:szCs w:val="4"/>
              </w:rPr>
            </w:pPr>
            <w:r>
              <w:rPr>
                <w:sz w:val="4"/>
                <w:szCs w:val="4"/>
              </w:rPr>
            </w:r>
          </w:p>
        </w:tc>
      </w:tr>
      <w:tr>
        <w:trPr/>
        <w:tc>
          <w:tcPr>
            <w:tcW w:w="7080"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color w:val="243782"/>
                <w:sz w:val="22"/>
              </w:rPr>
            </w:pPr>
            <w:r>
              <w:rPr>
                <w:rFonts w:ascii="Times New Roman;serif" w:hAnsi="Times New Roman;serif"/>
                <w:b/>
                <w:color w:val="243782"/>
                <w:sz w:val="22"/>
              </w:rPr>
              <w:t>For more information, contact:</w:t>
            </w:r>
          </w:p>
          <w:p>
            <w:pPr>
              <w:pStyle w:val="TableContents"/>
              <w:bidi w:val="0"/>
              <w:spacing w:before="0" w:after="0"/>
              <w:jc w:val="left"/>
              <w:rPr/>
            </w:pPr>
            <w:r>
              <w:rPr/>
            </w:r>
          </w:p>
        </w:tc>
      </w:tr>
      <w:tr>
        <w:trPr/>
        <w:tc>
          <w:tcPr>
            <w:tcW w:w="7080" w:type="dxa"/>
            <w:gridSpan w:val="3"/>
            <w:tcBorders/>
            <w:tcMar>
              <w:top w:w="0" w:type="dxa"/>
              <w:left w:w="0" w:type="dxa"/>
              <w:bottom w:w="0" w:type="dxa"/>
              <w:right w:w="0" w:type="dxa"/>
            </w:tcMar>
            <w:vAlign w:val="center"/>
          </w:tcPr>
          <w:p>
            <w:pPr>
              <w:pStyle w:val="TableContents"/>
              <w:bidi w:val="0"/>
              <w:spacing w:lineRule="auto" w:line="556" w:before="0" w:after="0"/>
              <w:jc w:val="left"/>
              <w:rPr/>
            </w:pPr>
            <w:r>
              <w:rPr>
                <w:rFonts w:ascii="Times New Roman;serif" w:hAnsi="Times New Roman;serif"/>
                <w:b/>
                <w:color w:val="243782"/>
                <w:sz w:val="22"/>
              </w:rPr>
              <w:t xml:space="preserve">Fernão SILVEIRA </w:t>
            </w:r>
            <w:r>
              <w:rPr>
                <w:rFonts w:ascii="Times New Roman;serif" w:hAnsi="Times New Roman;serif"/>
                <w:b w:val="false"/>
                <w:color w:val="243782"/>
                <w:sz w:val="22"/>
              </w:rPr>
              <w:t>+1 947 252 3969 – fernao.silveira@stellantis.com</w:t>
            </w:r>
          </w:p>
        </w:tc>
      </w:tr>
      <w:tr>
        <w:trPr/>
        <w:tc>
          <w:tcPr>
            <w:tcW w:w="7080" w:type="dxa"/>
            <w:gridSpan w:val="3"/>
            <w:tcBorders/>
            <w:tcMar>
              <w:top w:w="0" w:type="dxa"/>
              <w:left w:w="0" w:type="dxa"/>
              <w:bottom w:w="0" w:type="dxa"/>
              <w:right w:w="0" w:type="dxa"/>
            </w:tcMar>
            <w:vAlign w:val="center"/>
          </w:tcPr>
          <w:p>
            <w:pPr>
              <w:pStyle w:val="TableContents"/>
              <w:bidi w:val="0"/>
              <w:spacing w:lineRule="auto" w:line="556" w:before="0" w:after="0"/>
              <w:jc w:val="left"/>
              <w:rPr/>
            </w:pPr>
            <w:r>
              <w:rPr>
                <w:rFonts w:ascii="Times New Roman;serif" w:hAnsi="Times New Roman;serif"/>
                <w:b/>
                <w:color w:val="243782"/>
                <w:sz w:val="22"/>
              </w:rPr>
              <w:t xml:space="preserve">Nathalie ROUSSEL </w:t>
            </w:r>
            <w:r>
              <w:rPr>
                <w:rFonts w:ascii="Times New Roman;serif" w:hAnsi="Times New Roman;serif"/>
                <w:b w:val="false"/>
                <w:color w:val="243782"/>
                <w:sz w:val="22"/>
              </w:rPr>
              <w:t>+33 6 87 77 41 82 – nathalie.roussel@stellantis.com</w:t>
            </w:r>
          </w:p>
        </w:tc>
      </w:tr>
      <w:tr>
        <w:trPr/>
        <w:tc>
          <w:tcPr>
            <w:tcW w:w="7080" w:type="dxa"/>
            <w:gridSpan w:val="3"/>
            <w:tcBorders/>
            <w:tcMar>
              <w:top w:w="0" w:type="dxa"/>
              <w:left w:w="0" w:type="dxa"/>
              <w:bottom w:w="0" w:type="dxa"/>
              <w:right w:w="0" w:type="dxa"/>
            </w:tcMar>
            <w:vAlign w:val="center"/>
          </w:tcPr>
          <w:p>
            <w:pPr>
              <w:pStyle w:val="TableContents"/>
              <w:bidi w:val="0"/>
              <w:spacing w:lineRule="auto" w:line="556" w:before="0" w:after="0"/>
              <w:jc w:val="both"/>
              <w:rPr>
                <w:rFonts w:ascii="Times New Roman;serif" w:hAnsi="Times New Roman;serif"/>
                <w:b w:val="false"/>
                <w:color w:val="243782"/>
                <w:sz w:val="22"/>
              </w:rPr>
            </w:pPr>
            <w:r>
              <w:rPr>
                <w:rFonts w:ascii="Times New Roman;serif" w:hAnsi="Times New Roman;serif"/>
                <w:b w:val="false"/>
                <w:color w:val="243782"/>
                <w:sz w:val="22"/>
              </w:rPr>
              <w:t>communications@stellantis.com</w:t>
            </w:r>
          </w:p>
        </w:tc>
      </w:tr>
      <w:tr>
        <w:trPr/>
        <w:tc>
          <w:tcPr>
            <w:tcW w:w="7080" w:type="dxa"/>
            <w:gridSpan w:val="3"/>
            <w:tcBorders/>
            <w:tcMar>
              <w:top w:w="0" w:type="dxa"/>
              <w:left w:w="0" w:type="dxa"/>
              <w:bottom w:w="0" w:type="dxa"/>
              <w:right w:w="0" w:type="dxa"/>
            </w:tcMar>
            <w:vAlign w:val="center"/>
          </w:tcPr>
          <w:p>
            <w:pPr>
              <w:pStyle w:val="TableContents"/>
              <w:bidi w:val="0"/>
              <w:spacing w:lineRule="auto" w:line="556" w:before="0" w:after="0"/>
              <w:jc w:val="left"/>
              <w:rPr>
                <w:rFonts w:ascii="Times New Roman;serif" w:hAnsi="Times New Roman;serif"/>
                <w:b w:val="false"/>
                <w:color w:val="243782"/>
                <w:sz w:val="22"/>
              </w:rPr>
            </w:pPr>
            <w:r>
              <w:rPr>
                <w:rFonts w:ascii="Times New Roman;serif" w:hAnsi="Times New Roman;serif"/>
                <w:b w:val="false"/>
                <w:color w:val="243782"/>
                <w:sz w:val="22"/>
              </w:rPr>
              <w:t>www.stellantis.com</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pn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433</Words>
  <Characters>2565</Characters>
  <CharactersWithSpaces>2959</CharactersWithSpaces>
  <Paragraphs>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