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13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01" w:lineRule="exact"/>
        <w:rPr>
          <w:sz w:val="24"/>
          <w:szCs w:val="24"/>
          <w:color w:val="auto"/>
        </w:rPr>
      </w:pPr>
    </w:p>
    <w:p>
      <w:pPr>
        <w:jc w:val="center"/>
        <w:ind w:left="420" w:right="439"/>
        <w:spacing w:after="0" w:line="264" w:lineRule="auto"/>
        <w:rPr>
          <w:sz w:val="20"/>
          <w:szCs w:val="20"/>
          <w:color w:val="auto"/>
        </w:rPr>
      </w:pPr>
      <w:r>
        <w:rPr>
          <w:rFonts w:ascii="Times New Roman" w:cs="Times New Roman" w:eastAsia="Times New Roman" w:hAnsi="Times New Roman"/>
          <w:sz w:val="24"/>
          <w:szCs w:val="24"/>
          <w:b w:val="1"/>
          <w:bCs w:val="1"/>
          <w:color w:val="auto"/>
        </w:rPr>
        <w:t>REPORT OF FOREIGN PRIVATE ISSUER PURSUANT TO RULE 13a-16 OR 15d-16 OF THE SECURITIES EXCHANGE ACT OF 1934</w:t>
      </w:r>
    </w:p>
    <w:p>
      <w:pPr>
        <w:spacing w:after="0" w:line="3"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For the month of October 2026</w:t>
      </w:r>
    </w:p>
    <w:p>
      <w:pPr>
        <w:spacing w:after="0" w:line="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Commission File No. 001-36675</w:t>
      </w:r>
    </w:p>
    <w:p>
      <w:pPr>
        <w:spacing w:after="0" w:line="9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STELLANTIS N.V.</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32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Taurusavenue 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2132 LS Hoofddorp</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No.: +31 23 700 1511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Form 20-F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Form 40-F </w:t>
      </w:r>
      <w:r>
        <w:rPr>
          <w:rFonts w:ascii="Wingdings" w:cs="Wingdings" w:eastAsia="Wingdings" w:hAnsi="Wingdings"/>
          <w:sz w:val="14"/>
          <w:szCs w:val="14"/>
          <w:b w:val="1"/>
          <w:bCs w:val="1"/>
          <w:color w:val="auto"/>
        </w:rPr>
        <w: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Rule101(b)(1): </w:t>
      </w:r>
      <w:r>
        <w:rPr>
          <w:rFonts w:ascii="Wingdings" w:cs="Wingdings" w:eastAsia="Wingdings" w:hAnsi="Wingdings"/>
          <w:sz w:val="14"/>
          <w:szCs w:val="14"/>
          <w:b w:val="1"/>
          <w:bCs w:val="1"/>
          <w:color w:val="auto"/>
        </w:rPr>
        <w:t>o</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Rule101(b)(7):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3115310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3081020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019"/>
          </w:cols>
          <w:pgMar w:left="1440" w:top="14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The following exhibit is furnished herewith:</w:t>
      </w:r>
    </w:p>
    <w:p>
      <w:pPr>
        <w:spacing w:after="0" w:line="20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20"/>
          <w:szCs w:val="20"/>
          <w:color w:val="auto"/>
        </w:rPr>
        <w:t>Exhibit 99.1</w:t>
      </w:r>
      <w:r>
        <w:rPr>
          <w:sz w:val="20"/>
          <w:szCs w:val="20"/>
          <w:color w:val="auto"/>
        </w:rPr>
        <w:tab/>
      </w:r>
      <w:r>
        <w:rPr>
          <w:rFonts w:ascii="Times New Roman" w:cs="Times New Roman" w:eastAsia="Times New Roman" w:hAnsi="Times New Roman"/>
          <w:sz w:val="19"/>
          <w:szCs w:val="19"/>
          <w:color w:val="auto"/>
        </w:rPr>
        <w:t>Press release issued by Stellantis N.V. dated October 28, 2026.</w:t>
      </w:r>
    </w:p>
    <w:p>
      <w:pPr>
        <w:sectPr>
          <w:pgSz w:w="11900" w:h="16838" w:orient="portrait"/>
          <w:cols w:equalWidth="0" w:num="1">
            <w:col w:w="10139"/>
          </w:cols>
          <w:pgMar w:left="320" w:top="1116" w:right="1440"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74"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0"/>
        <w:spacing w:after="0"/>
        <w:tabs>
          <w:tab w:leader="none" w:pos="5460" w:val="left"/>
        </w:tabs>
        <w:rPr>
          <w:sz w:val="20"/>
          <w:szCs w:val="20"/>
          <w:color w:val="auto"/>
        </w:rPr>
      </w:pPr>
      <w:r>
        <w:rPr>
          <w:rFonts w:ascii="Times New Roman" w:cs="Times New Roman" w:eastAsia="Times New Roman" w:hAnsi="Times New Roman"/>
          <w:sz w:val="20"/>
          <w:szCs w:val="20"/>
          <w:color w:val="auto"/>
        </w:rPr>
        <w:t>Date: October 28, 2026</w:t>
      </w:r>
      <w:r>
        <w:rPr>
          <w:sz w:val="20"/>
          <w:szCs w:val="20"/>
          <w:color w:val="auto"/>
        </w:rPr>
        <w:tab/>
      </w:r>
      <w:r>
        <w:rPr>
          <w:rFonts w:ascii="Times New Roman" w:cs="Times New Roman" w:eastAsia="Times New Roman" w:hAnsi="Times New Roman"/>
          <w:sz w:val="19"/>
          <w:szCs w:val="19"/>
          <w:color w:val="auto"/>
        </w:rPr>
        <w:t>STELLANTIS N.V.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By: /s/ Joao Laranjo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22860</wp:posOffset>
            </wp:positionV>
            <wp:extent cx="2520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Name: Joao Laranjo</w:t>
      </w:r>
    </w:p>
    <w:p>
      <w:pPr>
        <w:spacing w:after="0" w:line="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0880"/>
          </w:cols>
          <w:pgMar w:left="320" w:top="1152" w:right="699" w:bottom="1440" w:gutter="0" w:footer="0" w:header="0"/>
        </w:sectPr>
      </w:pPr>
    </w:p>
    <w:bookmarkStart w:id="3" w:name="page4"/>
    <w:bookmarkEnd w:id="3"/>
    <w:p>
      <w:pPr>
        <w:jc w:val="right"/>
        <w:ind w:right="3799"/>
        <w:spacing w:after="0"/>
        <w:rPr>
          <w:sz w:val="20"/>
          <w:szCs w:val="20"/>
          <w:color w:val="auto"/>
        </w:rPr>
      </w:pPr>
      <w:r>
        <w:rPr>
          <w:rFonts w:ascii="Times New Roman" w:cs="Times New Roman" w:eastAsia="Times New Roman" w:hAnsi="Times New Roman"/>
          <w:sz w:val="20"/>
          <w:szCs w:val="20"/>
          <w:b w:val="1"/>
          <w:bCs w:val="1"/>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w:t>
      </w:r>
    </w:p>
    <w:p>
      <w:pPr>
        <w:spacing w:after="0" w:line="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u w:val="single" w:color="auto"/>
          <w:color w:val="auto"/>
        </w:rPr>
        <w:t>Number</w:t>
        <w:tab/>
        <w:t>Description of Exhibit</w:t>
      </w:r>
    </w:p>
    <w:p>
      <w:pPr>
        <w:spacing w:after="0" w:line="227"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color w:val="auto"/>
        </w:rPr>
        <w:t>Press release issued by Stellantis N.V. dated October 28, 2026.</w:t>
      </w:r>
    </w:p>
    <w:p>
      <w:pPr>
        <w:sectPr>
          <w:pgSz w:w="11900" w:h="16838" w:orient="portrait"/>
          <w:cols w:equalWidth="0" w:num="1">
            <w:col w:w="10139"/>
          </w:cols>
          <w:pgMar w:left="320" w:top="909"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0"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243782"/>
        </w:rPr>
        <w:t>Stellantis Reports Q3 2026 Financial Results</w:t>
      </w:r>
    </w:p>
    <w:p>
      <w:pPr>
        <w:spacing w:after="0" w:line="19" w:lineRule="exact"/>
        <w:rPr>
          <w:sz w:val="20"/>
          <w:szCs w:val="20"/>
          <w:color w:val="auto"/>
        </w:rPr>
      </w:pPr>
    </w:p>
    <w:p>
      <w:pPr>
        <w:ind w:left="1680"/>
        <w:spacing w:after="0"/>
        <w:rPr>
          <w:sz w:val="20"/>
          <w:szCs w:val="20"/>
          <w:color w:val="auto"/>
        </w:rPr>
      </w:pPr>
      <w:r>
        <w:rPr>
          <w:rFonts w:ascii="Arial" w:cs="Arial" w:eastAsia="Arial" w:hAnsi="Arial"/>
          <w:sz w:val="20"/>
          <w:szCs w:val="20"/>
          <w:color w:val="243782"/>
        </w:rPr>
        <w:t>FaSTLAne 2030 Execution Continues, with All Financial Metrics Improved Year-over-Year;</w:t>
      </w:r>
    </w:p>
    <w:p>
      <w:pPr>
        <w:jc w:val="center"/>
        <w:spacing w:after="0"/>
        <w:rPr>
          <w:sz w:val="20"/>
          <w:szCs w:val="20"/>
          <w:color w:val="auto"/>
        </w:rPr>
      </w:pPr>
      <w:r>
        <w:rPr>
          <w:rFonts w:ascii="Arial" w:cs="Arial" w:eastAsia="Arial" w:hAnsi="Arial"/>
          <w:sz w:val="20"/>
          <w:szCs w:val="20"/>
          <w:color w:val="243782"/>
        </w:rPr>
        <w:t>Guidance Reaffirmed, Value Creation Program Ramping Up</w:t>
      </w:r>
    </w:p>
    <w:p>
      <w:pPr>
        <w:spacing w:after="0" w:line="200" w:lineRule="exact"/>
        <w:rPr>
          <w:sz w:val="20"/>
          <w:szCs w:val="20"/>
          <w:color w:val="auto"/>
        </w:rPr>
      </w:pPr>
    </w:p>
    <w:p>
      <w:pPr>
        <w:spacing w:after="0" w:line="374" w:lineRule="exact"/>
        <w:rPr>
          <w:sz w:val="20"/>
          <w:szCs w:val="20"/>
          <w:color w:val="auto"/>
        </w:rPr>
      </w:pPr>
    </w:p>
    <w:p>
      <w:pPr>
        <w:ind w:left="180" w:right="120" w:hanging="172"/>
        <w:spacing w:after="0" w:line="314" w:lineRule="auto"/>
        <w:tabs>
          <w:tab w:leader="none" w:pos="163"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Net revenues increased to €37.6 billion, up 1.0% versus Q3 2025. Enlarged Europe +3%, South America +3%, North America -3%, Middle East &amp; Africa -19%, Asia Pacific -7%</w:t>
      </w:r>
    </w:p>
    <w:p>
      <w:pPr>
        <w:spacing w:after="0" w:line="37" w:lineRule="exact"/>
        <w:rPr>
          <w:rFonts w:ascii="Arial" w:cs="Arial" w:eastAsia="Arial" w:hAnsi="Arial"/>
          <w:sz w:val="14"/>
          <w:szCs w:val="14"/>
          <w:b w:val="1"/>
          <w:bCs w:val="1"/>
          <w:color w:val="auto"/>
        </w:rPr>
      </w:pPr>
    </w:p>
    <w:p>
      <w:pPr>
        <w:ind w:left="160" w:hanging="152"/>
        <w:spacing w:after="0"/>
        <w:tabs>
          <w:tab w:leader="none" w:pos="16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Net loss was €(0.5) billion in Q3 2026, a 90% improvement over the prior year, which was impacted by significant items</w:t>
      </w:r>
    </w:p>
    <w:p>
      <w:pPr>
        <w:spacing w:after="0" w:line="120" w:lineRule="exact"/>
        <w:rPr>
          <w:rFonts w:ascii="Arial" w:cs="Arial" w:eastAsia="Arial" w:hAnsi="Arial"/>
          <w:sz w:val="14"/>
          <w:szCs w:val="14"/>
          <w:b w:val="1"/>
          <w:bCs w:val="1"/>
          <w:color w:val="auto"/>
        </w:rPr>
      </w:pPr>
    </w:p>
    <w:p>
      <w:pPr>
        <w:ind w:left="180" w:right="180" w:hanging="172"/>
        <w:spacing w:after="0" w:line="249" w:lineRule="auto"/>
        <w:tabs>
          <w:tab w:leader="none" w:pos="163"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Adjusted operating income</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was €0.3 billion in Q3 2026, with AOI margin</w:t>
      </w:r>
      <w:r>
        <w:rPr>
          <w:rFonts w:ascii="Arial" w:cs="Arial" w:eastAsia="Arial" w:hAnsi="Arial"/>
          <w:sz w:val="18"/>
          <w:szCs w:val="18"/>
          <w:b w:val="1"/>
          <w:bCs w:val="1"/>
          <w:color w:val="auto"/>
          <w:vertAlign w:val="superscript"/>
        </w:rPr>
        <w:t>(2)</w:t>
      </w:r>
      <w:r>
        <w:rPr>
          <w:rFonts w:ascii="Arial" w:cs="Arial" w:eastAsia="Arial" w:hAnsi="Arial"/>
          <w:sz w:val="14"/>
          <w:szCs w:val="14"/>
          <w:b w:val="1"/>
          <w:bCs w:val="1"/>
          <w:color w:val="auto"/>
        </w:rPr>
        <w:t xml:space="preserve"> of 0.7%, up 50 bps year-over-year. This represents a €0.2 billion improvement versus Q3 2025, with all regions delivering positive AOI margins with the exception of Enlarged Europe</w:t>
      </w:r>
    </w:p>
    <w:p>
      <w:pPr>
        <w:spacing w:after="0" w:line="66" w:lineRule="exact"/>
        <w:rPr>
          <w:rFonts w:ascii="Arial" w:cs="Arial" w:eastAsia="Arial" w:hAnsi="Arial"/>
          <w:sz w:val="14"/>
          <w:szCs w:val="14"/>
          <w:b w:val="1"/>
          <w:bCs w:val="1"/>
          <w:color w:val="auto"/>
        </w:rPr>
      </w:pPr>
    </w:p>
    <w:p>
      <w:pPr>
        <w:ind w:left="160" w:hanging="152"/>
        <w:spacing w:after="0"/>
        <w:tabs>
          <w:tab w:leader="none" w:pos="16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Industrial free cash flows</w:t>
      </w:r>
      <w:r>
        <w:rPr>
          <w:rFonts w:ascii="Arial" w:cs="Arial" w:eastAsia="Arial" w:hAnsi="Arial"/>
          <w:sz w:val="9"/>
          <w:szCs w:val="9"/>
          <w:b w:val="1"/>
          <w:bCs w:val="1"/>
          <w:color w:val="auto"/>
        </w:rPr>
        <w:t>(3)</w:t>
      </w:r>
      <w:r>
        <w:rPr>
          <w:rFonts w:ascii="Arial" w:cs="Arial" w:eastAsia="Arial" w:hAnsi="Arial"/>
          <w:sz w:val="14"/>
          <w:szCs w:val="14"/>
          <w:b w:val="1"/>
          <w:bCs w:val="1"/>
          <w:color w:val="auto"/>
        </w:rPr>
        <w:t xml:space="preserve"> improved €0.3 billion to negative €(4.0) billion in Q3 2026</w:t>
      </w:r>
    </w:p>
    <w:p>
      <w:pPr>
        <w:spacing w:after="0" w:line="122" w:lineRule="exact"/>
        <w:rPr>
          <w:rFonts w:ascii="Arial" w:cs="Arial" w:eastAsia="Arial" w:hAnsi="Arial"/>
          <w:sz w:val="14"/>
          <w:szCs w:val="14"/>
          <w:b w:val="1"/>
          <w:bCs w:val="1"/>
          <w:color w:val="auto"/>
        </w:rPr>
      </w:pPr>
    </w:p>
    <w:p>
      <w:pPr>
        <w:ind w:left="180" w:right="260" w:hanging="172"/>
        <w:spacing w:after="0" w:line="314" w:lineRule="auto"/>
        <w:tabs>
          <w:tab w:leader="none" w:pos="163"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Industrial available liquidity</w:t>
      </w:r>
      <w:r>
        <w:rPr>
          <w:rFonts w:ascii="Arial" w:cs="Arial" w:eastAsia="Arial" w:hAnsi="Arial"/>
          <w:sz w:val="9"/>
          <w:szCs w:val="9"/>
          <w:b w:val="1"/>
          <w:bCs w:val="1"/>
          <w:color w:val="auto"/>
        </w:rPr>
        <w:t>(4)</w:t>
      </w:r>
      <w:r>
        <w:rPr>
          <w:rFonts w:ascii="Arial" w:cs="Arial" w:eastAsia="Arial" w:hAnsi="Arial"/>
          <w:sz w:val="14"/>
          <w:szCs w:val="14"/>
          <w:b w:val="1"/>
          <w:bCs w:val="1"/>
          <w:color w:val="auto"/>
        </w:rPr>
        <w:t xml:space="preserve"> closed at €42.7 billion, representing 26% of trailing 12-month Net revenues and remaining within the Company's targeted 25-30% liquidity range</w:t>
      </w:r>
    </w:p>
    <w:p>
      <w:pPr>
        <w:spacing w:after="0" w:line="37" w:lineRule="exact"/>
        <w:rPr>
          <w:rFonts w:ascii="Arial" w:cs="Arial" w:eastAsia="Arial" w:hAnsi="Arial"/>
          <w:sz w:val="14"/>
          <w:szCs w:val="14"/>
          <w:b w:val="1"/>
          <w:bCs w:val="1"/>
          <w:color w:val="auto"/>
        </w:rPr>
      </w:pPr>
    </w:p>
    <w:p>
      <w:pPr>
        <w:ind w:left="160" w:hanging="152"/>
        <w:spacing w:after="0"/>
        <w:tabs>
          <w:tab w:leader="none" w:pos="16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2026 Financial Guidance Reaffirmed, including positive Industrial Free Cash Flow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546735</wp:posOffset>
            </wp:positionV>
            <wp:extent cx="3034665" cy="1705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466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right="5740"/>
        <w:spacing w:after="0" w:line="284" w:lineRule="auto"/>
        <w:rPr>
          <w:sz w:val="20"/>
          <w:szCs w:val="20"/>
          <w:color w:val="auto"/>
        </w:rPr>
      </w:pPr>
      <w:r>
        <w:rPr>
          <w:rFonts w:ascii="Arial" w:cs="Arial" w:eastAsia="Arial" w:hAnsi="Arial"/>
          <w:sz w:val="14"/>
          <w:szCs w:val="14"/>
          <w:i w:val="1"/>
          <w:iCs w:val="1"/>
          <w:color w:val="auto"/>
        </w:rPr>
        <w:t>“During the quarter, we continued to make progress in the early execution of our FaSTLAne 2030 plan, launching new products, accelerating partnerships as planned, and delivering meaningful improvements in manufacturing and quality. At the same time, our Value Creation Program has ramped up rapidly, with positive contributions being recognized in the quarter, and we remain on track to implement at least 40% of the total €6 billion in run-rate efficiencies by the end of this year. As a result, we reaffirm our 2026 guidance, and our expectation of positive Industrial Free Cash Flow in 2027.”</w:t>
      </w:r>
    </w:p>
    <w:p>
      <w:pPr>
        <w:spacing w:after="0" w:line="202"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Antonio Filosa, CEO</w:t>
      </w:r>
    </w:p>
    <w:p>
      <w:pPr>
        <w:spacing w:after="0" w:line="200" w:lineRule="exact"/>
        <w:rPr>
          <w:sz w:val="20"/>
          <w:szCs w:val="20"/>
          <w:color w:val="auto"/>
        </w:rPr>
      </w:pPr>
    </w:p>
    <w:p>
      <w:pPr>
        <w:spacing w:after="0" w:line="292" w:lineRule="exact"/>
        <w:rPr>
          <w:sz w:val="20"/>
          <w:szCs w:val="20"/>
          <w:color w:val="auto"/>
        </w:rPr>
      </w:pPr>
    </w:p>
    <w:tbl>
      <w:tblPr>
        <w:tblLayout w:type="fixed"/>
        <w:tblInd w:w="290" w:type="dxa"/>
        <w:tblCellMar>
          <w:top w:w="0" w:type="dxa"/>
          <w:left w:w="0" w:type="dxa"/>
          <w:bottom w:w="0" w:type="dxa"/>
          <w:right w:w="0" w:type="dxa"/>
        </w:tblCellMar>
      </w:tblPr>
      <w:tr>
        <w:trPr>
          <w:trHeight w:val="200"/>
        </w:trPr>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40" w:type="dxa"/>
            <w:vAlign w:val="bottom"/>
            <w:gridSpan w:val="4"/>
          </w:tcPr>
          <w:p>
            <w:pPr>
              <w:ind w:left="20"/>
              <w:spacing w:after="0"/>
              <w:rPr>
                <w:sz w:val="20"/>
                <w:szCs w:val="20"/>
                <w:color w:val="auto"/>
              </w:rPr>
            </w:pPr>
            <w:r>
              <w:rPr>
                <w:rFonts w:ascii="Arial" w:cs="Arial" w:eastAsia="Arial" w:hAnsi="Arial"/>
                <w:sz w:val="14"/>
                <w:szCs w:val="14"/>
                <w:color w:val="auto"/>
              </w:rPr>
              <w:t>2027 Jeep</w:t>
            </w:r>
            <w:r>
              <w:rPr>
                <w:rFonts w:ascii="Arial" w:cs="Arial" w:eastAsia="Arial" w:hAnsi="Arial"/>
                <w:sz w:val="15"/>
                <w:szCs w:val="15"/>
                <w:color w:val="auto"/>
              </w:rPr>
              <w:t>®</w:t>
            </w:r>
            <w:r>
              <w:rPr>
                <w:rFonts w:ascii="Arial" w:cs="Arial" w:eastAsia="Arial" w:hAnsi="Arial"/>
                <w:sz w:val="14"/>
                <w:szCs w:val="14"/>
                <w:color w:val="auto"/>
              </w:rPr>
              <w:t xml:space="preserve"> Wrangler Switchback</w:t>
            </w:r>
          </w:p>
        </w:tc>
        <w:tc>
          <w:tcPr>
            <w:tcW w:w="0" w:type="dxa"/>
            <w:vAlign w:val="bottom"/>
          </w:tcPr>
          <w:p>
            <w:pPr>
              <w:spacing w:after="0"/>
              <w:rPr>
                <w:sz w:val="1"/>
                <w:szCs w:val="1"/>
                <w:color w:val="auto"/>
              </w:rPr>
            </w:pPr>
          </w:p>
        </w:tc>
      </w:tr>
      <w:tr>
        <w:trPr>
          <w:trHeight w:val="141"/>
        </w:trPr>
        <w:tc>
          <w:tcPr>
            <w:tcW w:w="200" w:type="dxa"/>
            <w:vAlign w:val="bottom"/>
            <w:tcBorders>
              <w:bottom w:val="single" w:sz="8" w:color="4C639D"/>
            </w:tcBorders>
          </w:tcPr>
          <w:p>
            <w:pPr>
              <w:spacing w:after="0"/>
              <w:rPr>
                <w:sz w:val="12"/>
                <w:szCs w:val="12"/>
                <w:color w:val="auto"/>
              </w:rPr>
            </w:pPr>
          </w:p>
        </w:tc>
        <w:tc>
          <w:tcPr>
            <w:tcW w:w="2400" w:type="dxa"/>
            <w:vAlign w:val="bottom"/>
            <w:tcBorders>
              <w:bottom w:val="single" w:sz="8" w:color="4C639D"/>
            </w:tcBorders>
          </w:tcPr>
          <w:p>
            <w:pPr>
              <w:spacing w:after="0"/>
              <w:rPr>
                <w:sz w:val="12"/>
                <w:szCs w:val="12"/>
                <w:color w:val="auto"/>
              </w:rPr>
            </w:pPr>
          </w:p>
        </w:tc>
        <w:tc>
          <w:tcPr>
            <w:tcW w:w="780" w:type="dxa"/>
            <w:vAlign w:val="bottom"/>
            <w:tcBorders>
              <w:bottom w:val="single" w:sz="8" w:color="4C639D"/>
            </w:tcBorders>
          </w:tcPr>
          <w:p>
            <w:pPr>
              <w:spacing w:after="0"/>
              <w:rPr>
                <w:sz w:val="12"/>
                <w:szCs w:val="12"/>
                <w:color w:val="auto"/>
              </w:rPr>
            </w:pPr>
          </w:p>
        </w:tc>
        <w:tc>
          <w:tcPr>
            <w:tcW w:w="100" w:type="dxa"/>
            <w:vAlign w:val="bottom"/>
            <w:tcBorders>
              <w:bottom w:val="single" w:sz="8" w:color="4C639D"/>
            </w:tcBorders>
          </w:tcPr>
          <w:p>
            <w:pPr>
              <w:spacing w:after="0"/>
              <w:rPr>
                <w:sz w:val="12"/>
                <w:szCs w:val="12"/>
                <w:color w:val="auto"/>
              </w:rPr>
            </w:pPr>
          </w:p>
        </w:tc>
        <w:tc>
          <w:tcPr>
            <w:tcW w:w="760" w:type="dxa"/>
            <w:vAlign w:val="bottom"/>
            <w:tcBorders>
              <w:bottom w:val="single" w:sz="8" w:color="4C639D"/>
            </w:tcBorders>
          </w:tcPr>
          <w:p>
            <w:pPr>
              <w:spacing w:after="0"/>
              <w:rPr>
                <w:sz w:val="12"/>
                <w:szCs w:val="12"/>
                <w:color w:val="auto"/>
              </w:rPr>
            </w:pPr>
          </w:p>
        </w:tc>
        <w:tc>
          <w:tcPr>
            <w:tcW w:w="80" w:type="dxa"/>
            <w:vAlign w:val="bottom"/>
            <w:tcBorders>
              <w:bottom w:val="single" w:sz="8" w:color="4C639D"/>
            </w:tcBorders>
          </w:tcPr>
          <w:p>
            <w:pPr>
              <w:spacing w:after="0"/>
              <w:rPr>
                <w:sz w:val="12"/>
                <w:szCs w:val="12"/>
                <w:color w:val="auto"/>
              </w:rPr>
            </w:pPr>
          </w:p>
        </w:tc>
        <w:tc>
          <w:tcPr>
            <w:tcW w:w="820" w:type="dxa"/>
            <w:vAlign w:val="bottom"/>
            <w:tcBorders>
              <w:bottom w:val="single" w:sz="8" w:color="4C639D"/>
            </w:tcBorders>
          </w:tcPr>
          <w:p>
            <w:pPr>
              <w:spacing w:after="0"/>
              <w:rPr>
                <w:sz w:val="12"/>
                <w:szCs w:val="12"/>
                <w:color w:val="auto"/>
              </w:rPr>
            </w:pPr>
          </w:p>
        </w:tc>
        <w:tc>
          <w:tcPr>
            <w:tcW w:w="80" w:type="dxa"/>
            <w:vAlign w:val="bottom"/>
            <w:tcBorders>
              <w:bottom w:val="single" w:sz="8" w:color="4C639D"/>
            </w:tcBorders>
          </w:tcPr>
          <w:p>
            <w:pPr>
              <w:spacing w:after="0"/>
              <w:rPr>
                <w:sz w:val="12"/>
                <w:szCs w:val="12"/>
                <w:color w:val="auto"/>
              </w:rPr>
            </w:pPr>
          </w:p>
        </w:tc>
        <w:tc>
          <w:tcPr>
            <w:tcW w:w="800" w:type="dxa"/>
            <w:vAlign w:val="bottom"/>
            <w:tcBorders>
              <w:bottom w:val="single" w:sz="8" w:color="4C639D"/>
            </w:tcBorders>
          </w:tcPr>
          <w:p>
            <w:pPr>
              <w:spacing w:after="0"/>
              <w:rPr>
                <w:sz w:val="12"/>
                <w:szCs w:val="12"/>
                <w:color w:val="auto"/>
              </w:rPr>
            </w:pPr>
          </w:p>
        </w:tc>
        <w:tc>
          <w:tcPr>
            <w:tcW w:w="80" w:type="dxa"/>
            <w:vAlign w:val="bottom"/>
            <w:tcBorders>
              <w:bottom w:val="single" w:sz="8" w:color="4C639D"/>
            </w:tcBorders>
          </w:tcPr>
          <w:p>
            <w:pPr>
              <w:spacing w:after="0"/>
              <w:rPr>
                <w:sz w:val="12"/>
                <w:szCs w:val="12"/>
                <w:color w:val="auto"/>
              </w:rPr>
            </w:pPr>
          </w:p>
        </w:tc>
        <w:tc>
          <w:tcPr>
            <w:tcW w:w="780" w:type="dxa"/>
            <w:vAlign w:val="bottom"/>
            <w:tcBorders>
              <w:bottom w:val="single" w:sz="8" w:color="4C639D"/>
            </w:tcBorders>
          </w:tcPr>
          <w:p>
            <w:pPr>
              <w:spacing w:after="0"/>
              <w:rPr>
                <w:sz w:val="12"/>
                <w:szCs w:val="12"/>
                <w:color w:val="auto"/>
              </w:rPr>
            </w:pPr>
          </w:p>
        </w:tc>
        <w:tc>
          <w:tcPr>
            <w:tcW w:w="100" w:type="dxa"/>
            <w:vAlign w:val="bottom"/>
            <w:tcBorders>
              <w:bottom w:val="single" w:sz="8" w:color="4C639D"/>
            </w:tcBorders>
          </w:tcPr>
          <w:p>
            <w:pPr>
              <w:spacing w:after="0"/>
              <w:rPr>
                <w:sz w:val="12"/>
                <w:szCs w:val="12"/>
                <w:color w:val="auto"/>
              </w:rPr>
            </w:pPr>
          </w:p>
        </w:tc>
        <w:tc>
          <w:tcPr>
            <w:tcW w:w="800" w:type="dxa"/>
            <w:vAlign w:val="bottom"/>
            <w:tcBorders>
              <w:bottom w:val="single" w:sz="8" w:color="4C639D"/>
            </w:tcBorders>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Borders>
              <w:bottom w:val="single" w:sz="8" w:color="4C639D"/>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0" w:type="dxa"/>
            <w:vAlign w:val="bottom"/>
            <w:tcBorders>
              <w:left w:val="single" w:sz="8" w:color="4C639D"/>
            </w:tcBorders>
          </w:tcPr>
          <w:p>
            <w:pPr>
              <w:spacing w:after="0"/>
              <w:rPr>
                <w:sz w:val="24"/>
                <w:szCs w:val="24"/>
                <w:color w:val="auto"/>
              </w:rPr>
            </w:pPr>
          </w:p>
        </w:tc>
        <w:tc>
          <w:tcPr>
            <w:tcW w:w="2400" w:type="dxa"/>
            <w:vAlign w:val="bottom"/>
            <w:tcBorders>
              <w:right w:val="single" w:sz="8" w:color="4C639D"/>
            </w:tcBorders>
          </w:tcPr>
          <w:p>
            <w:pPr>
              <w:ind w:left="460"/>
              <w:spacing w:after="0"/>
              <w:rPr>
                <w:sz w:val="20"/>
                <w:szCs w:val="20"/>
                <w:color w:val="auto"/>
              </w:rPr>
            </w:pPr>
            <w:r>
              <w:rPr>
                <w:rFonts w:ascii="Arial" w:cs="Arial" w:eastAsia="Arial" w:hAnsi="Arial"/>
                <w:sz w:val="12"/>
                <w:szCs w:val="12"/>
                <w:b w:val="1"/>
                <w:bCs w:val="1"/>
                <w:color w:val="243782"/>
              </w:rPr>
              <w:t>€ million / 000's units</w:t>
            </w:r>
          </w:p>
        </w:tc>
        <w:tc>
          <w:tcPr>
            <w:tcW w:w="780" w:type="dxa"/>
            <w:vAlign w:val="bottom"/>
            <w:tcBorders>
              <w:right w:val="single" w:sz="8" w:color="4C639D"/>
            </w:tcBorders>
            <w:shd w:val="clear" w:color="auto" w:fill="243782"/>
          </w:tcPr>
          <w:p>
            <w:pPr>
              <w:jc w:val="center"/>
              <w:spacing w:after="0"/>
              <w:rPr>
                <w:sz w:val="20"/>
                <w:szCs w:val="20"/>
                <w:color w:val="auto"/>
              </w:rPr>
            </w:pPr>
            <w:r>
              <w:rPr>
                <w:rFonts w:ascii="Arial" w:cs="Arial" w:eastAsia="Arial" w:hAnsi="Arial"/>
                <w:sz w:val="12"/>
                <w:szCs w:val="12"/>
                <w:b w:val="1"/>
                <w:bCs w:val="1"/>
                <w:color w:val="FFFFFF"/>
                <w:w w:val="99"/>
              </w:rPr>
              <w:t>Q3 2026</w:t>
            </w:r>
          </w:p>
        </w:tc>
        <w:tc>
          <w:tcPr>
            <w:tcW w:w="100" w:type="dxa"/>
            <w:vAlign w:val="bottom"/>
            <w:tcBorders>
              <w:right w:val="single" w:sz="8" w:color="243782"/>
            </w:tcBorders>
          </w:tcPr>
          <w:p>
            <w:pPr>
              <w:spacing w:after="0"/>
              <w:rPr>
                <w:sz w:val="24"/>
                <w:szCs w:val="24"/>
                <w:color w:val="auto"/>
              </w:rPr>
            </w:pPr>
          </w:p>
        </w:tc>
        <w:tc>
          <w:tcPr>
            <w:tcW w:w="760" w:type="dxa"/>
            <w:vAlign w:val="bottom"/>
            <w:tcBorders>
              <w:right w:val="single" w:sz="8" w:color="4C639D"/>
            </w:tcBorders>
            <w:shd w:val="clear" w:color="auto" w:fill="243782"/>
          </w:tcPr>
          <w:p>
            <w:pPr>
              <w:jc w:val="center"/>
              <w:ind w:right="2"/>
              <w:spacing w:after="0"/>
              <w:rPr>
                <w:sz w:val="20"/>
                <w:szCs w:val="20"/>
                <w:color w:val="auto"/>
              </w:rPr>
            </w:pPr>
            <w:r>
              <w:rPr>
                <w:rFonts w:ascii="Arial" w:cs="Arial" w:eastAsia="Arial" w:hAnsi="Arial"/>
                <w:sz w:val="12"/>
                <w:szCs w:val="12"/>
                <w:b w:val="1"/>
                <w:bCs w:val="1"/>
                <w:color w:val="FFFFFF"/>
                <w:w w:val="99"/>
              </w:rPr>
              <w:t>Q3 2025</w:t>
            </w:r>
          </w:p>
        </w:tc>
        <w:tc>
          <w:tcPr>
            <w:tcW w:w="80" w:type="dxa"/>
            <w:vAlign w:val="bottom"/>
            <w:tcBorders>
              <w:right w:val="single" w:sz="8" w:color="4C639D"/>
            </w:tcBorders>
          </w:tcPr>
          <w:p>
            <w:pPr>
              <w:spacing w:after="0"/>
              <w:rPr>
                <w:sz w:val="24"/>
                <w:szCs w:val="24"/>
                <w:color w:val="auto"/>
              </w:rPr>
            </w:pPr>
          </w:p>
        </w:tc>
        <w:tc>
          <w:tcPr>
            <w:tcW w:w="820" w:type="dxa"/>
            <w:vAlign w:val="bottom"/>
            <w:tcBorders>
              <w:right w:val="single" w:sz="8" w:color="4C639D"/>
            </w:tcBorders>
          </w:tcPr>
          <w:p>
            <w:pPr>
              <w:ind w:left="180"/>
              <w:spacing w:after="0"/>
              <w:rPr>
                <w:sz w:val="20"/>
                <w:szCs w:val="20"/>
                <w:color w:val="auto"/>
              </w:rPr>
            </w:pPr>
            <w:r>
              <w:rPr>
                <w:rFonts w:ascii="Arial" w:cs="Arial" w:eastAsia="Arial" w:hAnsi="Arial"/>
                <w:sz w:val="12"/>
                <w:szCs w:val="12"/>
                <w:b w:val="1"/>
                <w:bCs w:val="1"/>
                <w:color w:val="243782"/>
              </w:rPr>
              <w:t>Change</w:t>
            </w:r>
          </w:p>
        </w:tc>
        <w:tc>
          <w:tcPr>
            <w:tcW w:w="80" w:type="dxa"/>
            <w:vAlign w:val="bottom"/>
            <w:tcBorders>
              <w:right w:val="single" w:sz="8" w:color="4C639D"/>
            </w:tcBorders>
          </w:tcPr>
          <w:p>
            <w:pPr>
              <w:spacing w:after="0"/>
              <w:rPr>
                <w:sz w:val="24"/>
                <w:szCs w:val="24"/>
                <w:color w:val="auto"/>
              </w:rPr>
            </w:pPr>
          </w:p>
        </w:tc>
        <w:tc>
          <w:tcPr>
            <w:tcW w:w="800" w:type="dxa"/>
            <w:vAlign w:val="bottom"/>
            <w:tcBorders>
              <w:right w:val="single" w:sz="8" w:color="4C639D"/>
            </w:tcBorders>
            <w:shd w:val="clear" w:color="auto" w:fill="243782"/>
          </w:tcPr>
          <w:p>
            <w:pPr>
              <w:ind w:left="120"/>
              <w:spacing w:after="0"/>
              <w:rPr>
                <w:sz w:val="20"/>
                <w:szCs w:val="20"/>
                <w:color w:val="auto"/>
              </w:rPr>
            </w:pPr>
            <w:r>
              <w:rPr>
                <w:rFonts w:ascii="Arial" w:cs="Arial" w:eastAsia="Arial" w:hAnsi="Arial"/>
                <w:sz w:val="12"/>
                <w:szCs w:val="12"/>
                <w:b w:val="1"/>
                <w:bCs w:val="1"/>
                <w:color w:val="FFFFFF"/>
              </w:rPr>
              <w:t>YTD 2026</w:t>
            </w:r>
          </w:p>
        </w:tc>
        <w:tc>
          <w:tcPr>
            <w:tcW w:w="80" w:type="dxa"/>
            <w:vAlign w:val="bottom"/>
            <w:tcBorders>
              <w:right w:val="single" w:sz="8" w:color="4C639D"/>
            </w:tcBorders>
          </w:tcPr>
          <w:p>
            <w:pPr>
              <w:spacing w:after="0"/>
              <w:rPr>
                <w:sz w:val="24"/>
                <w:szCs w:val="24"/>
                <w:color w:val="auto"/>
              </w:rPr>
            </w:pPr>
          </w:p>
        </w:tc>
        <w:tc>
          <w:tcPr>
            <w:tcW w:w="780" w:type="dxa"/>
            <w:vAlign w:val="bottom"/>
            <w:tcBorders>
              <w:right w:val="single" w:sz="8" w:color="4C639D"/>
            </w:tcBorders>
            <w:shd w:val="clear" w:color="auto" w:fill="243782"/>
          </w:tcPr>
          <w:p>
            <w:pPr>
              <w:ind w:left="100"/>
              <w:spacing w:after="0"/>
              <w:rPr>
                <w:sz w:val="20"/>
                <w:szCs w:val="20"/>
                <w:color w:val="auto"/>
              </w:rPr>
            </w:pPr>
            <w:r>
              <w:rPr>
                <w:rFonts w:ascii="Arial" w:cs="Arial" w:eastAsia="Arial" w:hAnsi="Arial"/>
                <w:sz w:val="12"/>
                <w:szCs w:val="12"/>
                <w:b w:val="1"/>
                <w:bCs w:val="1"/>
                <w:color w:val="FFFFFF"/>
              </w:rPr>
              <w:t>YTD 2025</w:t>
            </w:r>
          </w:p>
        </w:tc>
        <w:tc>
          <w:tcPr>
            <w:tcW w:w="100" w:type="dxa"/>
            <w:vAlign w:val="bottom"/>
            <w:tcBorders>
              <w:right w:val="single" w:sz="8" w:color="4C639D"/>
            </w:tcBorders>
          </w:tcPr>
          <w:p>
            <w:pPr>
              <w:spacing w:after="0"/>
              <w:rPr>
                <w:sz w:val="24"/>
                <w:szCs w:val="24"/>
                <w:color w:val="auto"/>
              </w:rPr>
            </w:pPr>
          </w:p>
        </w:tc>
        <w:tc>
          <w:tcPr>
            <w:tcW w:w="800" w:type="dxa"/>
            <w:vAlign w:val="bottom"/>
            <w:tcBorders>
              <w:right w:val="single" w:sz="8" w:color="4C639D"/>
            </w:tcBorders>
          </w:tcPr>
          <w:p>
            <w:pPr>
              <w:jc w:val="center"/>
              <w:ind w:right="2"/>
              <w:spacing w:after="0"/>
              <w:rPr>
                <w:sz w:val="20"/>
                <w:szCs w:val="20"/>
                <w:color w:val="auto"/>
              </w:rPr>
            </w:pPr>
            <w:r>
              <w:rPr>
                <w:rFonts w:ascii="Arial" w:cs="Arial" w:eastAsia="Arial" w:hAnsi="Arial"/>
                <w:sz w:val="12"/>
                <w:szCs w:val="12"/>
                <w:b w:val="1"/>
                <w:bCs w:val="1"/>
                <w:color w:val="243782"/>
                <w:w w:val="95"/>
              </w:rPr>
              <w:t>Change</w:t>
            </w:r>
          </w:p>
        </w:tc>
        <w:tc>
          <w:tcPr>
            <w:tcW w:w="80" w:type="dxa"/>
            <w:vAlign w:val="bottom"/>
            <w:tcBorders>
              <w:right w:val="single" w:sz="8" w:color="4C639D"/>
            </w:tcBorders>
          </w:tcPr>
          <w:p>
            <w:pPr>
              <w:spacing w:after="0"/>
              <w:rPr>
                <w:sz w:val="24"/>
                <w:szCs w:val="24"/>
                <w:color w:val="auto"/>
              </w:rPr>
            </w:pPr>
          </w:p>
        </w:tc>
        <w:tc>
          <w:tcPr>
            <w:tcW w:w="2860" w:type="dxa"/>
            <w:vAlign w:val="bottom"/>
            <w:tcBorders>
              <w:right w:val="single" w:sz="8" w:color="4C639D"/>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0" w:type="dxa"/>
            <w:vAlign w:val="bottom"/>
            <w:tcBorders>
              <w:left w:val="single" w:sz="8" w:color="4C639D"/>
              <w:bottom w:val="single" w:sz="8" w:color="4C639D"/>
            </w:tcBorders>
          </w:tcPr>
          <w:p>
            <w:pPr>
              <w:spacing w:after="0"/>
              <w:rPr>
                <w:sz w:val="10"/>
                <w:szCs w:val="10"/>
                <w:color w:val="auto"/>
              </w:rPr>
            </w:pPr>
          </w:p>
        </w:tc>
        <w:tc>
          <w:tcPr>
            <w:tcW w:w="2400" w:type="dxa"/>
            <w:vAlign w:val="bottom"/>
            <w:tcBorders>
              <w:bottom w:val="single" w:sz="8" w:color="4C639D"/>
              <w:right w:val="single" w:sz="8" w:color="4C639D"/>
            </w:tcBorders>
          </w:tcPr>
          <w:p>
            <w:pPr>
              <w:spacing w:after="0"/>
              <w:rPr>
                <w:sz w:val="10"/>
                <w:szCs w:val="10"/>
                <w:color w:val="auto"/>
              </w:rPr>
            </w:pPr>
          </w:p>
        </w:tc>
        <w:tc>
          <w:tcPr>
            <w:tcW w:w="780" w:type="dxa"/>
            <w:vAlign w:val="bottom"/>
            <w:tcBorders>
              <w:bottom w:val="single" w:sz="8" w:color="4C639D"/>
              <w:right w:val="single" w:sz="8" w:color="4C639D"/>
            </w:tcBorders>
            <w:shd w:val="clear" w:color="auto" w:fill="243782"/>
          </w:tcPr>
          <w:p>
            <w:pPr>
              <w:spacing w:after="0"/>
              <w:rPr>
                <w:sz w:val="10"/>
                <w:szCs w:val="10"/>
                <w:color w:val="auto"/>
              </w:rPr>
            </w:pPr>
          </w:p>
        </w:tc>
        <w:tc>
          <w:tcPr>
            <w:tcW w:w="100" w:type="dxa"/>
            <w:vAlign w:val="bottom"/>
            <w:tcBorders>
              <w:bottom w:val="single" w:sz="8" w:color="4C639D"/>
              <w:right w:val="single" w:sz="8" w:color="243782"/>
            </w:tcBorders>
          </w:tcPr>
          <w:p>
            <w:pPr>
              <w:spacing w:after="0"/>
              <w:rPr>
                <w:sz w:val="10"/>
                <w:szCs w:val="10"/>
                <w:color w:val="auto"/>
              </w:rPr>
            </w:pPr>
          </w:p>
        </w:tc>
        <w:tc>
          <w:tcPr>
            <w:tcW w:w="760" w:type="dxa"/>
            <w:vAlign w:val="bottom"/>
            <w:tcBorders>
              <w:bottom w:val="single" w:sz="8" w:color="DBDBDB"/>
              <w:right w:val="single" w:sz="8" w:color="4C639D"/>
            </w:tcBorders>
            <w:shd w:val="clear" w:color="auto" w:fill="243782"/>
          </w:tcPr>
          <w:p>
            <w:pPr>
              <w:spacing w:after="0"/>
              <w:rPr>
                <w:sz w:val="10"/>
                <w:szCs w:val="10"/>
                <w:color w:val="auto"/>
              </w:rPr>
            </w:pPr>
          </w:p>
        </w:tc>
        <w:tc>
          <w:tcPr>
            <w:tcW w:w="80" w:type="dxa"/>
            <w:vAlign w:val="bottom"/>
            <w:tcBorders>
              <w:bottom w:val="single" w:sz="8" w:color="4C639D"/>
              <w:right w:val="single" w:sz="8" w:color="4C639D"/>
            </w:tcBorders>
          </w:tcPr>
          <w:p>
            <w:pPr>
              <w:spacing w:after="0"/>
              <w:rPr>
                <w:sz w:val="10"/>
                <w:szCs w:val="10"/>
                <w:color w:val="auto"/>
              </w:rPr>
            </w:pPr>
          </w:p>
        </w:tc>
        <w:tc>
          <w:tcPr>
            <w:tcW w:w="820" w:type="dxa"/>
            <w:vAlign w:val="bottom"/>
            <w:tcBorders>
              <w:bottom w:val="single" w:sz="8" w:color="4C639D"/>
              <w:right w:val="single" w:sz="8" w:color="4C639D"/>
            </w:tcBorders>
          </w:tcPr>
          <w:p>
            <w:pPr>
              <w:spacing w:after="0"/>
              <w:rPr>
                <w:sz w:val="10"/>
                <w:szCs w:val="10"/>
                <w:color w:val="auto"/>
              </w:rPr>
            </w:pPr>
          </w:p>
        </w:tc>
        <w:tc>
          <w:tcPr>
            <w:tcW w:w="80" w:type="dxa"/>
            <w:vAlign w:val="bottom"/>
            <w:tcBorders>
              <w:bottom w:val="single" w:sz="8" w:color="4C639D"/>
              <w:right w:val="single" w:sz="8" w:color="4C639D"/>
            </w:tcBorders>
          </w:tcPr>
          <w:p>
            <w:pPr>
              <w:spacing w:after="0"/>
              <w:rPr>
                <w:sz w:val="10"/>
                <w:szCs w:val="10"/>
                <w:color w:val="auto"/>
              </w:rPr>
            </w:pPr>
          </w:p>
        </w:tc>
        <w:tc>
          <w:tcPr>
            <w:tcW w:w="800" w:type="dxa"/>
            <w:vAlign w:val="bottom"/>
            <w:tcBorders>
              <w:bottom w:val="single" w:sz="8" w:color="4C639D"/>
              <w:right w:val="single" w:sz="8" w:color="4C639D"/>
            </w:tcBorders>
            <w:shd w:val="clear" w:color="auto" w:fill="243782"/>
          </w:tcPr>
          <w:p>
            <w:pPr>
              <w:spacing w:after="0"/>
              <w:rPr>
                <w:sz w:val="10"/>
                <w:szCs w:val="10"/>
                <w:color w:val="auto"/>
              </w:rPr>
            </w:pPr>
          </w:p>
        </w:tc>
        <w:tc>
          <w:tcPr>
            <w:tcW w:w="80" w:type="dxa"/>
            <w:vAlign w:val="bottom"/>
            <w:tcBorders>
              <w:bottom w:val="single" w:sz="8" w:color="4C639D"/>
              <w:right w:val="single" w:sz="8" w:color="4C639D"/>
            </w:tcBorders>
          </w:tcPr>
          <w:p>
            <w:pPr>
              <w:spacing w:after="0"/>
              <w:rPr>
                <w:sz w:val="10"/>
                <w:szCs w:val="10"/>
                <w:color w:val="auto"/>
              </w:rPr>
            </w:pPr>
          </w:p>
        </w:tc>
        <w:tc>
          <w:tcPr>
            <w:tcW w:w="780" w:type="dxa"/>
            <w:vAlign w:val="bottom"/>
            <w:tcBorders>
              <w:bottom w:val="single" w:sz="8" w:color="DBDBDB"/>
              <w:right w:val="single" w:sz="8" w:color="4C639D"/>
            </w:tcBorders>
            <w:shd w:val="clear" w:color="auto" w:fill="243782"/>
          </w:tcPr>
          <w:p>
            <w:pPr>
              <w:spacing w:after="0"/>
              <w:rPr>
                <w:sz w:val="10"/>
                <w:szCs w:val="10"/>
                <w:color w:val="auto"/>
              </w:rPr>
            </w:pPr>
          </w:p>
        </w:tc>
        <w:tc>
          <w:tcPr>
            <w:tcW w:w="100" w:type="dxa"/>
            <w:vAlign w:val="bottom"/>
            <w:tcBorders>
              <w:bottom w:val="single" w:sz="8" w:color="4C639D"/>
              <w:right w:val="single" w:sz="8" w:color="4C639D"/>
            </w:tcBorders>
          </w:tcPr>
          <w:p>
            <w:pPr>
              <w:spacing w:after="0"/>
              <w:rPr>
                <w:sz w:val="10"/>
                <w:szCs w:val="10"/>
                <w:color w:val="auto"/>
              </w:rPr>
            </w:pPr>
          </w:p>
        </w:tc>
        <w:tc>
          <w:tcPr>
            <w:tcW w:w="800" w:type="dxa"/>
            <w:vAlign w:val="bottom"/>
            <w:tcBorders>
              <w:bottom w:val="single" w:sz="8" w:color="4C639D"/>
              <w:right w:val="single" w:sz="8" w:color="4C639D"/>
            </w:tcBorders>
          </w:tcPr>
          <w:p>
            <w:pPr>
              <w:spacing w:after="0"/>
              <w:rPr>
                <w:sz w:val="10"/>
                <w:szCs w:val="10"/>
                <w:color w:val="auto"/>
              </w:rPr>
            </w:pPr>
          </w:p>
        </w:tc>
        <w:tc>
          <w:tcPr>
            <w:tcW w:w="80" w:type="dxa"/>
            <w:vAlign w:val="bottom"/>
            <w:tcBorders>
              <w:right w:val="single" w:sz="8" w:color="4C639D"/>
            </w:tcBorders>
          </w:tcPr>
          <w:p>
            <w:pPr>
              <w:spacing w:after="0"/>
              <w:rPr>
                <w:sz w:val="10"/>
                <w:szCs w:val="10"/>
                <w:color w:val="auto"/>
              </w:rPr>
            </w:pPr>
          </w:p>
        </w:tc>
        <w:tc>
          <w:tcPr>
            <w:tcW w:w="2860" w:type="dxa"/>
            <w:vAlign w:val="bottom"/>
            <w:tcBorders>
              <w:right w:val="single" w:sz="8" w:color="4C639D"/>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4C639D"/>
              <w:right w:val="single" w:sz="8" w:color="4C639D"/>
            </w:tcBorders>
          </w:tcPr>
          <w:p>
            <w:pPr>
              <w:spacing w:after="0"/>
              <w:rPr>
                <w:sz w:val="20"/>
                <w:szCs w:val="20"/>
                <w:color w:val="auto"/>
              </w:rPr>
            </w:pPr>
          </w:p>
        </w:tc>
        <w:tc>
          <w:tcPr>
            <w:tcW w:w="2400" w:type="dxa"/>
            <w:vAlign w:val="bottom"/>
            <w:tcBorders>
              <w:bottom w:val="single" w:sz="8" w:color="DBDBDB"/>
              <w:right w:val="single" w:sz="8" w:color="4C639D"/>
            </w:tcBorders>
          </w:tcPr>
          <w:p>
            <w:pPr>
              <w:ind w:left="20"/>
              <w:spacing w:after="0"/>
              <w:rPr>
                <w:sz w:val="20"/>
                <w:szCs w:val="20"/>
                <w:color w:val="auto"/>
              </w:rPr>
            </w:pPr>
            <w:r>
              <w:rPr>
                <w:rFonts w:ascii="Arial" w:cs="Arial" w:eastAsia="Arial" w:hAnsi="Arial"/>
                <w:sz w:val="12"/>
                <w:szCs w:val="12"/>
                <w:color w:val="auto"/>
              </w:rPr>
              <w:t>Net revenues</w:t>
            </w:r>
          </w:p>
        </w:tc>
        <w:tc>
          <w:tcPr>
            <w:tcW w:w="78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2"/>
              </w:rPr>
              <w:t>37,611</w:t>
            </w:r>
          </w:p>
        </w:tc>
        <w:tc>
          <w:tcPr>
            <w:tcW w:w="100" w:type="dxa"/>
            <w:vAlign w:val="bottom"/>
            <w:tcBorders>
              <w:bottom w:val="single" w:sz="8" w:color="DBDBDB"/>
              <w:right w:val="single" w:sz="8" w:color="4C639D"/>
            </w:tcBorders>
          </w:tcPr>
          <w:p>
            <w:pPr>
              <w:spacing w:after="0"/>
              <w:rPr>
                <w:sz w:val="20"/>
                <w:szCs w:val="20"/>
                <w:color w:val="auto"/>
              </w:rPr>
            </w:pPr>
          </w:p>
        </w:tc>
        <w:tc>
          <w:tcPr>
            <w:tcW w:w="76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7"/>
              </w:rPr>
              <w:t>37,206</w:t>
            </w:r>
          </w:p>
        </w:tc>
        <w:tc>
          <w:tcPr>
            <w:tcW w:w="80" w:type="dxa"/>
            <w:vAlign w:val="bottom"/>
            <w:tcBorders>
              <w:bottom w:val="single" w:sz="8" w:color="DBDBDB"/>
              <w:right w:val="single" w:sz="8" w:color="4C639D"/>
            </w:tcBorders>
          </w:tcPr>
          <w:p>
            <w:pPr>
              <w:spacing w:after="0"/>
              <w:rPr>
                <w:sz w:val="20"/>
                <w:szCs w:val="20"/>
                <w:color w:val="auto"/>
              </w:rPr>
            </w:pPr>
          </w:p>
        </w:tc>
        <w:tc>
          <w:tcPr>
            <w:tcW w:w="820" w:type="dxa"/>
            <w:vAlign w:val="bottom"/>
            <w:tcBorders>
              <w:bottom w:val="single" w:sz="8" w:color="DBDBDB"/>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w w:val="90"/>
              </w:rPr>
              <w:t>+1%</w:t>
            </w:r>
          </w:p>
        </w:tc>
        <w:tc>
          <w:tcPr>
            <w:tcW w:w="80" w:type="dxa"/>
            <w:vAlign w:val="bottom"/>
            <w:tcBorders>
              <w:bottom w:val="single" w:sz="8" w:color="DBDBDB"/>
              <w:right w:val="single" w:sz="8" w:color="4C639D"/>
            </w:tcBorders>
          </w:tcPr>
          <w:p>
            <w:pPr>
              <w:spacing w:after="0"/>
              <w:rPr>
                <w:sz w:val="20"/>
                <w:szCs w:val="20"/>
                <w:color w:val="auto"/>
              </w:rPr>
            </w:pPr>
          </w:p>
        </w:tc>
        <w:tc>
          <w:tcPr>
            <w:tcW w:w="800" w:type="dxa"/>
            <w:vAlign w:val="bottom"/>
            <w:tcBorders>
              <w:bottom w:val="single" w:sz="8" w:color="DBDBDB"/>
              <w:right w:val="single" w:sz="8" w:color="4C639D"/>
            </w:tcBorders>
          </w:tcPr>
          <w:p>
            <w:pPr>
              <w:jc w:val="center"/>
              <w:ind w:right="2"/>
              <w:spacing w:after="0"/>
              <w:rPr>
                <w:sz w:val="20"/>
                <w:szCs w:val="20"/>
                <w:color w:val="auto"/>
              </w:rPr>
            </w:pPr>
            <w:r>
              <w:rPr>
                <w:rFonts w:ascii="Arial" w:cs="Arial" w:eastAsia="Arial" w:hAnsi="Arial"/>
                <w:sz w:val="12"/>
                <w:szCs w:val="12"/>
                <w:color w:val="auto"/>
                <w:w w:val="96"/>
              </w:rPr>
              <w:t>119,225</w:t>
            </w:r>
          </w:p>
        </w:tc>
        <w:tc>
          <w:tcPr>
            <w:tcW w:w="80" w:type="dxa"/>
            <w:vAlign w:val="bottom"/>
            <w:tcBorders>
              <w:bottom w:val="single" w:sz="8" w:color="DBDBDB"/>
              <w:right w:val="single" w:sz="8" w:color="4C639D"/>
            </w:tcBorders>
          </w:tcPr>
          <w:p>
            <w:pPr>
              <w:spacing w:after="0"/>
              <w:rPr>
                <w:sz w:val="20"/>
                <w:szCs w:val="20"/>
                <w:color w:val="auto"/>
              </w:rPr>
            </w:pPr>
          </w:p>
        </w:tc>
        <w:tc>
          <w:tcPr>
            <w:tcW w:w="78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6"/>
              </w:rPr>
              <w:t>111,467</w:t>
            </w:r>
          </w:p>
        </w:tc>
        <w:tc>
          <w:tcPr>
            <w:tcW w:w="100" w:type="dxa"/>
            <w:vAlign w:val="bottom"/>
            <w:tcBorders>
              <w:bottom w:val="single" w:sz="8" w:color="DBDBDB"/>
              <w:right w:val="single" w:sz="8" w:color="4C639D"/>
            </w:tcBorders>
          </w:tcPr>
          <w:p>
            <w:pPr>
              <w:spacing w:after="0"/>
              <w:rPr>
                <w:sz w:val="20"/>
                <w:szCs w:val="20"/>
                <w:color w:val="auto"/>
              </w:rPr>
            </w:pPr>
          </w:p>
        </w:tc>
        <w:tc>
          <w:tcPr>
            <w:tcW w:w="800" w:type="dxa"/>
            <w:vAlign w:val="bottom"/>
            <w:tcBorders>
              <w:bottom w:val="single" w:sz="8" w:color="DBDBDB"/>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w w:val="98"/>
              </w:rPr>
              <w:t>+7%</w:t>
            </w:r>
          </w:p>
        </w:tc>
        <w:tc>
          <w:tcPr>
            <w:tcW w:w="80" w:type="dxa"/>
            <w:vAlign w:val="bottom"/>
            <w:tcBorders>
              <w:right w:val="single" w:sz="8" w:color="4C639D"/>
            </w:tcBorders>
          </w:tcPr>
          <w:p>
            <w:pPr>
              <w:spacing w:after="0"/>
              <w:rPr>
                <w:sz w:val="20"/>
                <w:szCs w:val="20"/>
                <w:color w:val="auto"/>
              </w:rPr>
            </w:pPr>
          </w:p>
        </w:tc>
        <w:tc>
          <w:tcPr>
            <w:tcW w:w="2860" w:type="dxa"/>
            <w:vAlign w:val="bottom"/>
            <w:tcBorders>
              <w:right w:val="single" w:sz="8" w:color="4C639D"/>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Borders>
              <w:left w:val="single" w:sz="8" w:color="4C639D"/>
              <w:right w:val="single" w:sz="8" w:color="4C639D"/>
            </w:tcBorders>
          </w:tcPr>
          <w:p>
            <w:pPr>
              <w:jc w:val="right"/>
              <w:ind w:right="45"/>
              <w:spacing w:after="0"/>
              <w:rPr>
                <w:sz w:val="20"/>
                <w:szCs w:val="20"/>
                <w:color w:val="auto"/>
              </w:rPr>
            </w:pPr>
            <w:r>
              <w:rPr>
                <w:rFonts w:ascii="Arial" w:cs="Arial" w:eastAsia="Arial" w:hAnsi="Arial"/>
                <w:sz w:val="8"/>
                <w:szCs w:val="8"/>
                <w:b w:val="1"/>
                <w:bCs w:val="1"/>
                <w:color w:val="243782"/>
              </w:rPr>
              <w:t>F</w:t>
            </w:r>
            <w:r>
              <w:rPr>
                <w:rFonts w:ascii="Arial" w:cs="Arial" w:eastAsia="Arial" w:hAnsi="Arial"/>
                <w:sz w:val="16"/>
                <w:szCs w:val="16"/>
                <w:b w:val="1"/>
                <w:bCs w:val="1"/>
                <w:color w:val="243782"/>
                <w:vertAlign w:val="superscript"/>
              </w:rPr>
              <w:t>I</w:t>
            </w:r>
          </w:p>
        </w:tc>
        <w:tc>
          <w:tcPr>
            <w:tcW w:w="2400" w:type="dxa"/>
            <w:vAlign w:val="bottom"/>
            <w:tcBorders>
              <w:bottom w:val="single" w:sz="8" w:color="DBDBDB"/>
              <w:right w:val="single" w:sz="8" w:color="4C639D"/>
            </w:tcBorders>
          </w:tcPr>
          <w:p>
            <w:pPr>
              <w:ind w:left="20"/>
              <w:spacing w:after="0"/>
              <w:rPr>
                <w:sz w:val="20"/>
                <w:szCs w:val="20"/>
                <w:color w:val="auto"/>
              </w:rPr>
            </w:pPr>
            <w:r>
              <w:rPr>
                <w:rFonts w:ascii="Arial" w:cs="Arial" w:eastAsia="Arial" w:hAnsi="Arial"/>
                <w:sz w:val="12"/>
                <w:szCs w:val="12"/>
                <w:color w:val="auto"/>
              </w:rPr>
              <w:t>Net profit/(loss)</w:t>
            </w:r>
          </w:p>
        </w:tc>
        <w:tc>
          <w:tcPr>
            <w:tcW w:w="78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2"/>
              </w:rPr>
              <w:t>(453)</w:t>
            </w:r>
          </w:p>
        </w:tc>
        <w:tc>
          <w:tcPr>
            <w:tcW w:w="100" w:type="dxa"/>
            <w:vAlign w:val="bottom"/>
            <w:tcBorders>
              <w:bottom w:val="single" w:sz="8" w:color="DBDBDB"/>
              <w:right w:val="single" w:sz="8" w:color="4C639D"/>
            </w:tcBorders>
          </w:tcPr>
          <w:p>
            <w:pPr>
              <w:spacing w:after="0"/>
              <w:rPr>
                <w:sz w:val="21"/>
                <w:szCs w:val="21"/>
                <w:color w:val="auto"/>
              </w:rPr>
            </w:pPr>
          </w:p>
        </w:tc>
        <w:tc>
          <w:tcPr>
            <w:tcW w:w="760" w:type="dxa"/>
            <w:vAlign w:val="bottom"/>
            <w:tcBorders>
              <w:bottom w:val="single" w:sz="8" w:color="DBDBDB"/>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(4,532)</w:t>
            </w:r>
          </w:p>
        </w:tc>
        <w:tc>
          <w:tcPr>
            <w:tcW w:w="80" w:type="dxa"/>
            <w:vAlign w:val="bottom"/>
            <w:tcBorders>
              <w:bottom w:val="single" w:sz="8" w:color="DBDBDB"/>
              <w:right w:val="single" w:sz="8" w:color="4C639D"/>
            </w:tcBorders>
          </w:tcPr>
          <w:p>
            <w:pPr>
              <w:spacing w:after="0"/>
              <w:rPr>
                <w:sz w:val="21"/>
                <w:szCs w:val="21"/>
                <w:color w:val="auto"/>
              </w:rPr>
            </w:pPr>
          </w:p>
        </w:tc>
        <w:tc>
          <w:tcPr>
            <w:tcW w:w="820" w:type="dxa"/>
            <w:vAlign w:val="bottom"/>
            <w:tcBorders>
              <w:bottom w:val="single" w:sz="8" w:color="DBDBDB"/>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w w:val="96"/>
              </w:rPr>
              <w:t>+90%</w:t>
            </w:r>
          </w:p>
        </w:tc>
        <w:tc>
          <w:tcPr>
            <w:tcW w:w="80" w:type="dxa"/>
            <w:vAlign w:val="bottom"/>
            <w:tcBorders>
              <w:right w:val="single" w:sz="8" w:color="4C639D"/>
            </w:tcBorders>
          </w:tcPr>
          <w:p>
            <w:pPr>
              <w:spacing w:after="0"/>
              <w:rPr>
                <w:sz w:val="21"/>
                <w:szCs w:val="21"/>
                <w:color w:val="auto"/>
              </w:rPr>
            </w:pPr>
          </w:p>
        </w:tc>
        <w:tc>
          <w:tcPr>
            <w:tcW w:w="80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9"/>
              </w:rPr>
              <w:t>217</w:t>
            </w:r>
          </w:p>
        </w:tc>
        <w:tc>
          <w:tcPr>
            <w:tcW w:w="80" w:type="dxa"/>
            <w:vAlign w:val="bottom"/>
            <w:tcBorders>
              <w:bottom w:val="single" w:sz="8" w:color="DBDBDB"/>
              <w:right w:val="single" w:sz="8" w:color="4C639D"/>
            </w:tcBorders>
          </w:tcPr>
          <w:p>
            <w:pPr>
              <w:spacing w:after="0"/>
              <w:rPr>
                <w:sz w:val="21"/>
                <w:szCs w:val="21"/>
                <w:color w:val="auto"/>
              </w:rPr>
            </w:pPr>
          </w:p>
        </w:tc>
        <w:tc>
          <w:tcPr>
            <w:tcW w:w="78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9"/>
              </w:rPr>
              <w:t>(6,788)</w:t>
            </w:r>
          </w:p>
        </w:tc>
        <w:tc>
          <w:tcPr>
            <w:tcW w:w="100" w:type="dxa"/>
            <w:vAlign w:val="bottom"/>
            <w:tcBorders>
              <w:bottom w:val="single" w:sz="8" w:color="DBDBDB"/>
              <w:right w:val="single" w:sz="8" w:color="4C639D"/>
            </w:tcBorders>
          </w:tcPr>
          <w:p>
            <w:pPr>
              <w:spacing w:after="0"/>
              <w:rPr>
                <w:sz w:val="21"/>
                <w:szCs w:val="21"/>
                <w:color w:val="auto"/>
              </w:rPr>
            </w:pPr>
          </w:p>
        </w:tc>
        <w:tc>
          <w:tcPr>
            <w:tcW w:w="800" w:type="dxa"/>
            <w:vAlign w:val="bottom"/>
            <w:tcBorders>
              <w:bottom w:val="single" w:sz="8" w:color="DBDBDB"/>
              <w:right w:val="single" w:sz="8" w:color="4C639D"/>
            </w:tcBorders>
            <w:shd w:val="clear" w:color="auto" w:fill="F2F2F2"/>
          </w:tcPr>
          <w:p>
            <w:pPr>
              <w:jc w:val="center"/>
              <w:ind w:right="2"/>
              <w:spacing w:after="0"/>
              <w:rPr>
                <w:sz w:val="20"/>
                <w:szCs w:val="20"/>
                <w:color w:val="auto"/>
              </w:rPr>
            </w:pPr>
            <w:r>
              <w:rPr>
                <w:rFonts w:ascii="Arial" w:cs="Arial" w:eastAsia="Arial" w:hAnsi="Arial"/>
                <w:sz w:val="12"/>
                <w:szCs w:val="12"/>
                <w:color w:val="auto"/>
                <w:w w:val="94"/>
              </w:rPr>
              <w:t>n.m.</w:t>
            </w:r>
          </w:p>
        </w:tc>
        <w:tc>
          <w:tcPr>
            <w:tcW w:w="80" w:type="dxa"/>
            <w:vAlign w:val="bottom"/>
            <w:tcBorders>
              <w:right w:val="single" w:sz="8" w:color="4C639D"/>
            </w:tcBorders>
          </w:tcPr>
          <w:p>
            <w:pPr>
              <w:spacing w:after="0"/>
              <w:rPr>
                <w:sz w:val="21"/>
                <w:szCs w:val="21"/>
                <w:color w:val="auto"/>
              </w:rPr>
            </w:pPr>
          </w:p>
        </w:tc>
        <w:tc>
          <w:tcPr>
            <w:tcW w:w="2860" w:type="dxa"/>
            <w:vAlign w:val="bottom"/>
            <w:tcBorders>
              <w:right w:val="single" w:sz="8" w:color="4C639D"/>
            </w:tcBorders>
          </w:tcPr>
          <w:p>
            <w:pPr>
              <w:jc w:val="center"/>
              <w:spacing w:after="0"/>
              <w:rPr>
                <w:sz w:val="20"/>
                <w:szCs w:val="20"/>
                <w:color w:val="auto"/>
              </w:rPr>
            </w:pPr>
            <w:r>
              <w:rPr>
                <w:rFonts w:ascii="Arial" w:cs="Arial" w:eastAsia="Arial" w:hAnsi="Arial"/>
                <w:sz w:val="12"/>
                <w:szCs w:val="12"/>
                <w:b w:val="1"/>
                <w:bCs w:val="1"/>
                <w:color w:val="243782"/>
                <w:w w:val="97"/>
              </w:rPr>
              <w:t>FY 2026 FINANCIAL GUIDANCE</w:t>
            </w:r>
          </w:p>
        </w:tc>
        <w:tc>
          <w:tcPr>
            <w:tcW w:w="0" w:type="dxa"/>
            <w:vAlign w:val="bottom"/>
          </w:tcPr>
          <w:p>
            <w:pPr>
              <w:spacing w:after="0"/>
              <w:rPr>
                <w:sz w:val="1"/>
                <w:szCs w:val="1"/>
                <w:color w:val="auto"/>
              </w:rPr>
            </w:pPr>
          </w:p>
        </w:tc>
      </w:tr>
      <w:tr>
        <w:trPr>
          <w:trHeight w:val="74"/>
        </w:trPr>
        <w:tc>
          <w:tcPr>
            <w:tcW w:w="200" w:type="dxa"/>
            <w:vAlign w:val="bottom"/>
            <w:tcBorders>
              <w:left w:val="single" w:sz="8" w:color="4C639D"/>
              <w:right w:val="single" w:sz="8" w:color="4C639D"/>
            </w:tcBorders>
          </w:tcPr>
          <w:p>
            <w:pPr>
              <w:jc w:val="right"/>
              <w:ind w:right="45"/>
              <w:spacing w:after="0" w:line="74" w:lineRule="exact"/>
              <w:rPr>
                <w:sz w:val="20"/>
                <w:szCs w:val="20"/>
                <w:color w:val="auto"/>
              </w:rPr>
            </w:pPr>
            <w:r>
              <w:rPr>
                <w:rFonts w:ascii="Arial" w:cs="Arial" w:eastAsia="Arial" w:hAnsi="Arial"/>
                <w:sz w:val="8"/>
                <w:szCs w:val="8"/>
                <w:b w:val="1"/>
                <w:bCs w:val="1"/>
                <w:color w:val="243782"/>
              </w:rPr>
              <w:t>R</w:t>
            </w:r>
          </w:p>
        </w:tc>
        <w:tc>
          <w:tcPr>
            <w:tcW w:w="2400" w:type="dxa"/>
            <w:vAlign w:val="bottom"/>
            <w:tcBorders>
              <w:right w:val="single" w:sz="8" w:color="4C639D"/>
            </w:tcBorders>
            <w:vMerge w:val="restart"/>
          </w:tcPr>
          <w:p>
            <w:pPr>
              <w:ind w:left="20"/>
              <w:spacing w:after="0"/>
              <w:rPr>
                <w:sz w:val="20"/>
                <w:szCs w:val="20"/>
                <w:color w:val="auto"/>
              </w:rPr>
            </w:pPr>
            <w:r>
              <w:rPr>
                <w:rFonts w:ascii="Arial" w:cs="Arial" w:eastAsia="Arial" w:hAnsi="Arial"/>
                <w:sz w:val="12"/>
                <w:szCs w:val="12"/>
                <w:color w:val="auto"/>
              </w:rPr>
              <w:t>Diluted EPS</w:t>
            </w:r>
          </w:p>
        </w:tc>
        <w:tc>
          <w:tcPr>
            <w:tcW w:w="780" w:type="dxa"/>
            <w:vAlign w:val="bottom"/>
            <w:tcBorders>
              <w:right w:val="single" w:sz="8" w:color="4C639D"/>
            </w:tcBorders>
            <w:vMerge w:val="restart"/>
          </w:tcPr>
          <w:p>
            <w:pPr>
              <w:jc w:val="center"/>
              <w:spacing w:after="0"/>
              <w:rPr>
                <w:sz w:val="20"/>
                <w:szCs w:val="20"/>
                <w:color w:val="auto"/>
              </w:rPr>
            </w:pPr>
            <w:r>
              <w:rPr>
                <w:rFonts w:ascii="Arial" w:cs="Arial" w:eastAsia="Arial" w:hAnsi="Arial"/>
                <w:sz w:val="12"/>
                <w:szCs w:val="12"/>
                <w:color w:val="auto"/>
                <w:w w:val="95"/>
              </w:rPr>
              <w:t>(0.18)</w:t>
            </w:r>
          </w:p>
        </w:tc>
        <w:tc>
          <w:tcPr>
            <w:tcW w:w="100" w:type="dxa"/>
            <w:vAlign w:val="bottom"/>
            <w:tcBorders>
              <w:right w:val="single" w:sz="8" w:color="4C639D"/>
            </w:tcBorders>
          </w:tcPr>
          <w:p>
            <w:pPr>
              <w:spacing w:after="0"/>
              <w:rPr>
                <w:sz w:val="6"/>
                <w:szCs w:val="6"/>
                <w:color w:val="auto"/>
              </w:rPr>
            </w:pPr>
          </w:p>
        </w:tc>
        <w:tc>
          <w:tcPr>
            <w:tcW w:w="760" w:type="dxa"/>
            <w:vAlign w:val="bottom"/>
            <w:tcBorders>
              <w:right w:val="single" w:sz="8" w:color="4C639D"/>
            </w:tcBorders>
            <w:vMerge w:val="restart"/>
          </w:tcPr>
          <w:p>
            <w:pPr>
              <w:jc w:val="center"/>
              <w:ind w:right="2"/>
              <w:spacing w:after="0"/>
              <w:rPr>
                <w:sz w:val="20"/>
                <w:szCs w:val="20"/>
                <w:color w:val="auto"/>
              </w:rPr>
            </w:pPr>
            <w:r>
              <w:rPr>
                <w:rFonts w:ascii="Arial" w:cs="Arial" w:eastAsia="Arial" w:hAnsi="Arial"/>
                <w:sz w:val="12"/>
                <w:szCs w:val="12"/>
                <w:color w:val="auto"/>
                <w:w w:val="95"/>
              </w:rPr>
              <w:t>(1.57)</w:t>
            </w:r>
          </w:p>
        </w:tc>
        <w:tc>
          <w:tcPr>
            <w:tcW w:w="80" w:type="dxa"/>
            <w:vAlign w:val="bottom"/>
            <w:tcBorders>
              <w:right w:val="single" w:sz="8" w:color="4C639D"/>
            </w:tcBorders>
          </w:tcPr>
          <w:p>
            <w:pPr>
              <w:spacing w:after="0"/>
              <w:rPr>
                <w:sz w:val="6"/>
                <w:szCs w:val="6"/>
                <w:color w:val="auto"/>
              </w:rPr>
            </w:pPr>
          </w:p>
        </w:tc>
        <w:tc>
          <w:tcPr>
            <w:tcW w:w="820" w:type="dxa"/>
            <w:vAlign w:val="bottom"/>
            <w:tcBorders>
              <w:right w:val="single" w:sz="8" w:color="4C639D"/>
            </w:tcBorders>
            <w:vMerge w:val="restart"/>
            <w:shd w:val="clear" w:color="auto" w:fill="F2F2F2"/>
          </w:tcPr>
          <w:p>
            <w:pPr>
              <w:jc w:val="center"/>
              <w:spacing w:after="0"/>
              <w:rPr>
                <w:sz w:val="20"/>
                <w:szCs w:val="20"/>
                <w:color w:val="auto"/>
              </w:rPr>
            </w:pPr>
            <w:r>
              <w:rPr>
                <w:rFonts w:ascii="Arial" w:cs="Arial" w:eastAsia="Arial" w:hAnsi="Arial"/>
                <w:sz w:val="12"/>
                <w:szCs w:val="12"/>
                <w:color w:val="auto"/>
                <w:w w:val="96"/>
              </w:rPr>
              <w:t>+89%</w:t>
            </w:r>
          </w:p>
        </w:tc>
        <w:tc>
          <w:tcPr>
            <w:tcW w:w="80" w:type="dxa"/>
            <w:vAlign w:val="bottom"/>
            <w:tcBorders>
              <w:right w:val="single" w:sz="8" w:color="4C639D"/>
            </w:tcBorders>
          </w:tcPr>
          <w:p>
            <w:pPr>
              <w:spacing w:after="0"/>
              <w:rPr>
                <w:sz w:val="6"/>
                <w:szCs w:val="6"/>
                <w:color w:val="auto"/>
              </w:rPr>
            </w:pPr>
          </w:p>
        </w:tc>
        <w:tc>
          <w:tcPr>
            <w:tcW w:w="800" w:type="dxa"/>
            <w:vAlign w:val="bottom"/>
            <w:tcBorders>
              <w:right w:val="single" w:sz="8" w:color="4C639D"/>
            </w:tcBorders>
            <w:vMerge w:val="restart"/>
          </w:tcPr>
          <w:p>
            <w:pPr>
              <w:jc w:val="center"/>
              <w:ind w:right="2"/>
              <w:spacing w:after="0"/>
              <w:rPr>
                <w:sz w:val="20"/>
                <w:szCs w:val="20"/>
                <w:color w:val="auto"/>
              </w:rPr>
            </w:pPr>
            <w:r>
              <w:rPr>
                <w:rFonts w:ascii="Arial" w:cs="Arial" w:eastAsia="Arial" w:hAnsi="Arial"/>
                <w:sz w:val="12"/>
                <w:szCs w:val="12"/>
                <w:color w:val="auto"/>
                <w:w w:val="93"/>
              </w:rPr>
              <w:t>0.02</w:t>
            </w:r>
          </w:p>
        </w:tc>
        <w:tc>
          <w:tcPr>
            <w:tcW w:w="80" w:type="dxa"/>
            <w:vAlign w:val="bottom"/>
            <w:tcBorders>
              <w:right w:val="single" w:sz="8" w:color="4C639D"/>
            </w:tcBorders>
          </w:tcPr>
          <w:p>
            <w:pPr>
              <w:spacing w:after="0"/>
              <w:rPr>
                <w:sz w:val="6"/>
                <w:szCs w:val="6"/>
                <w:color w:val="auto"/>
              </w:rPr>
            </w:pPr>
          </w:p>
        </w:tc>
        <w:tc>
          <w:tcPr>
            <w:tcW w:w="780" w:type="dxa"/>
            <w:vAlign w:val="bottom"/>
            <w:tcBorders>
              <w:right w:val="single" w:sz="8" w:color="4C639D"/>
            </w:tcBorders>
            <w:vMerge w:val="restart"/>
          </w:tcPr>
          <w:p>
            <w:pPr>
              <w:jc w:val="center"/>
              <w:spacing w:after="0"/>
              <w:rPr>
                <w:sz w:val="20"/>
                <w:szCs w:val="20"/>
                <w:color w:val="auto"/>
              </w:rPr>
            </w:pPr>
            <w:r>
              <w:rPr>
                <w:rFonts w:ascii="Arial" w:cs="Arial" w:eastAsia="Arial" w:hAnsi="Arial"/>
                <w:sz w:val="12"/>
                <w:szCs w:val="12"/>
                <w:color w:val="auto"/>
                <w:w w:val="95"/>
              </w:rPr>
              <w:t>(2.35)</w:t>
            </w:r>
          </w:p>
        </w:tc>
        <w:tc>
          <w:tcPr>
            <w:tcW w:w="100" w:type="dxa"/>
            <w:vAlign w:val="bottom"/>
            <w:tcBorders>
              <w:right w:val="single" w:sz="8" w:color="4C639D"/>
            </w:tcBorders>
          </w:tcPr>
          <w:p>
            <w:pPr>
              <w:spacing w:after="0"/>
              <w:rPr>
                <w:sz w:val="6"/>
                <w:szCs w:val="6"/>
                <w:color w:val="auto"/>
              </w:rPr>
            </w:pPr>
          </w:p>
        </w:tc>
        <w:tc>
          <w:tcPr>
            <w:tcW w:w="800" w:type="dxa"/>
            <w:vAlign w:val="bottom"/>
            <w:tcBorders>
              <w:right w:val="single" w:sz="8" w:color="4C639D"/>
            </w:tcBorders>
            <w:vMerge w:val="restart"/>
            <w:shd w:val="clear" w:color="auto" w:fill="F2F2F2"/>
          </w:tcPr>
          <w:p>
            <w:pPr>
              <w:jc w:val="center"/>
              <w:ind w:right="2"/>
              <w:spacing w:after="0"/>
              <w:rPr>
                <w:sz w:val="20"/>
                <w:szCs w:val="20"/>
                <w:color w:val="auto"/>
              </w:rPr>
            </w:pPr>
            <w:r>
              <w:rPr>
                <w:rFonts w:ascii="Arial" w:cs="Arial" w:eastAsia="Arial" w:hAnsi="Arial"/>
                <w:sz w:val="12"/>
                <w:szCs w:val="12"/>
                <w:color w:val="auto"/>
                <w:w w:val="94"/>
              </w:rPr>
              <w:t>n.m.</w:t>
            </w:r>
          </w:p>
        </w:tc>
        <w:tc>
          <w:tcPr>
            <w:tcW w:w="80" w:type="dxa"/>
            <w:vAlign w:val="bottom"/>
            <w:tcBorders>
              <w:right w:val="single" w:sz="8" w:color="4C639D"/>
            </w:tcBorders>
          </w:tcPr>
          <w:p>
            <w:pPr>
              <w:spacing w:after="0"/>
              <w:rPr>
                <w:sz w:val="6"/>
                <w:szCs w:val="6"/>
                <w:color w:val="auto"/>
              </w:rPr>
            </w:pPr>
          </w:p>
        </w:tc>
        <w:tc>
          <w:tcPr>
            <w:tcW w:w="2860" w:type="dxa"/>
            <w:vAlign w:val="bottom"/>
            <w:tcBorders>
              <w:right w:val="single" w:sz="8" w:color="4C639D"/>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0" w:type="dxa"/>
            <w:vAlign w:val="bottom"/>
            <w:tcBorders>
              <w:left w:val="single" w:sz="8" w:color="4C639D"/>
              <w:right w:val="single" w:sz="8" w:color="4C639D"/>
            </w:tcBorders>
          </w:tcPr>
          <w:p>
            <w:pPr>
              <w:jc w:val="right"/>
              <w:ind w:right="45"/>
              <w:spacing w:after="0"/>
              <w:rPr>
                <w:sz w:val="20"/>
                <w:szCs w:val="20"/>
                <w:color w:val="auto"/>
              </w:rPr>
            </w:pPr>
            <w:r>
              <w:rPr>
                <w:rFonts w:ascii="Arial" w:cs="Arial" w:eastAsia="Arial" w:hAnsi="Arial"/>
                <w:sz w:val="8"/>
                <w:szCs w:val="8"/>
                <w:b w:val="1"/>
                <w:bCs w:val="1"/>
                <w:color w:val="243782"/>
              </w:rPr>
              <w:t>S</w:t>
            </w:r>
          </w:p>
        </w:tc>
        <w:tc>
          <w:tcPr>
            <w:tcW w:w="2400" w:type="dxa"/>
            <w:vAlign w:val="bottom"/>
            <w:tcBorders>
              <w:bottom w:val="single" w:sz="8" w:color="DBDBDB"/>
              <w:right w:val="single" w:sz="8" w:color="4C639D"/>
            </w:tcBorders>
            <w:vMerge w:val="continue"/>
          </w:tcPr>
          <w:p>
            <w:pPr>
              <w:spacing w:after="0"/>
              <w:rPr>
                <w:sz w:val="13"/>
                <w:szCs w:val="13"/>
                <w:color w:val="auto"/>
              </w:rPr>
            </w:pPr>
          </w:p>
        </w:tc>
        <w:tc>
          <w:tcPr>
            <w:tcW w:w="780" w:type="dxa"/>
            <w:vAlign w:val="bottom"/>
            <w:tcBorders>
              <w:bottom w:val="single" w:sz="8" w:color="DBDBDB"/>
              <w:right w:val="single" w:sz="8" w:color="4C639D"/>
            </w:tcBorders>
            <w:vMerge w:val="continue"/>
          </w:tcPr>
          <w:p>
            <w:pPr>
              <w:spacing w:after="0"/>
              <w:rPr>
                <w:sz w:val="13"/>
                <w:szCs w:val="13"/>
                <w:color w:val="auto"/>
              </w:rPr>
            </w:pPr>
          </w:p>
        </w:tc>
        <w:tc>
          <w:tcPr>
            <w:tcW w:w="100" w:type="dxa"/>
            <w:vAlign w:val="bottom"/>
            <w:tcBorders>
              <w:bottom w:val="single" w:sz="8" w:color="DBDBDB"/>
              <w:right w:val="single" w:sz="8" w:color="4C639D"/>
            </w:tcBorders>
          </w:tcPr>
          <w:p>
            <w:pPr>
              <w:spacing w:after="0"/>
              <w:rPr>
                <w:sz w:val="13"/>
                <w:szCs w:val="13"/>
                <w:color w:val="auto"/>
              </w:rPr>
            </w:pPr>
          </w:p>
        </w:tc>
        <w:tc>
          <w:tcPr>
            <w:tcW w:w="760" w:type="dxa"/>
            <w:vAlign w:val="bottom"/>
            <w:tcBorders>
              <w:bottom w:val="single" w:sz="8" w:color="DBDBDB"/>
              <w:right w:val="single" w:sz="8" w:color="4C639D"/>
            </w:tcBorders>
            <w:vMerge w:val="continue"/>
          </w:tcPr>
          <w:p>
            <w:pPr>
              <w:spacing w:after="0"/>
              <w:rPr>
                <w:sz w:val="13"/>
                <w:szCs w:val="13"/>
                <w:color w:val="auto"/>
              </w:rPr>
            </w:pPr>
          </w:p>
        </w:tc>
        <w:tc>
          <w:tcPr>
            <w:tcW w:w="80" w:type="dxa"/>
            <w:vAlign w:val="bottom"/>
            <w:tcBorders>
              <w:bottom w:val="single" w:sz="8" w:color="DBDBDB"/>
              <w:right w:val="single" w:sz="8" w:color="4C639D"/>
            </w:tcBorders>
          </w:tcPr>
          <w:p>
            <w:pPr>
              <w:spacing w:after="0"/>
              <w:rPr>
                <w:sz w:val="13"/>
                <w:szCs w:val="13"/>
                <w:color w:val="auto"/>
              </w:rPr>
            </w:pPr>
          </w:p>
        </w:tc>
        <w:tc>
          <w:tcPr>
            <w:tcW w:w="820" w:type="dxa"/>
            <w:vAlign w:val="bottom"/>
            <w:tcBorders>
              <w:bottom w:val="single" w:sz="8" w:color="DBDBDB"/>
              <w:right w:val="single" w:sz="8" w:color="4C639D"/>
            </w:tcBorders>
            <w:vMerge w:val="continue"/>
            <w:shd w:val="clear" w:color="auto" w:fill="F2F2F2"/>
          </w:tcPr>
          <w:p>
            <w:pPr>
              <w:spacing w:after="0"/>
              <w:rPr>
                <w:sz w:val="13"/>
                <w:szCs w:val="13"/>
                <w:color w:val="auto"/>
              </w:rPr>
            </w:pPr>
          </w:p>
        </w:tc>
        <w:tc>
          <w:tcPr>
            <w:tcW w:w="80" w:type="dxa"/>
            <w:vAlign w:val="bottom"/>
            <w:tcBorders>
              <w:bottom w:val="single" w:sz="8" w:color="DBDBDB"/>
              <w:right w:val="single" w:sz="8" w:color="4C639D"/>
            </w:tcBorders>
          </w:tcPr>
          <w:p>
            <w:pPr>
              <w:spacing w:after="0"/>
              <w:rPr>
                <w:sz w:val="13"/>
                <w:szCs w:val="13"/>
                <w:color w:val="auto"/>
              </w:rPr>
            </w:pPr>
          </w:p>
        </w:tc>
        <w:tc>
          <w:tcPr>
            <w:tcW w:w="800" w:type="dxa"/>
            <w:vAlign w:val="bottom"/>
            <w:tcBorders>
              <w:bottom w:val="single" w:sz="8" w:color="DBDBDB"/>
              <w:right w:val="single" w:sz="8" w:color="4C639D"/>
            </w:tcBorders>
            <w:vMerge w:val="continue"/>
          </w:tcPr>
          <w:p>
            <w:pPr>
              <w:spacing w:after="0"/>
              <w:rPr>
                <w:sz w:val="13"/>
                <w:szCs w:val="13"/>
                <w:color w:val="auto"/>
              </w:rPr>
            </w:pPr>
          </w:p>
        </w:tc>
        <w:tc>
          <w:tcPr>
            <w:tcW w:w="80" w:type="dxa"/>
            <w:vAlign w:val="bottom"/>
            <w:tcBorders>
              <w:bottom w:val="single" w:sz="8" w:color="DBDBDB"/>
              <w:right w:val="single" w:sz="8" w:color="4C639D"/>
            </w:tcBorders>
          </w:tcPr>
          <w:p>
            <w:pPr>
              <w:spacing w:after="0"/>
              <w:rPr>
                <w:sz w:val="13"/>
                <w:szCs w:val="13"/>
                <w:color w:val="auto"/>
              </w:rPr>
            </w:pPr>
          </w:p>
        </w:tc>
        <w:tc>
          <w:tcPr>
            <w:tcW w:w="780" w:type="dxa"/>
            <w:vAlign w:val="bottom"/>
            <w:tcBorders>
              <w:bottom w:val="single" w:sz="8" w:color="DBDBDB"/>
              <w:right w:val="single" w:sz="8" w:color="4C639D"/>
            </w:tcBorders>
            <w:vMerge w:val="continue"/>
          </w:tcPr>
          <w:p>
            <w:pPr>
              <w:spacing w:after="0"/>
              <w:rPr>
                <w:sz w:val="13"/>
                <w:szCs w:val="13"/>
                <w:color w:val="auto"/>
              </w:rPr>
            </w:pPr>
          </w:p>
        </w:tc>
        <w:tc>
          <w:tcPr>
            <w:tcW w:w="100" w:type="dxa"/>
            <w:vAlign w:val="bottom"/>
            <w:tcBorders>
              <w:bottom w:val="single" w:sz="8" w:color="DBDBDB"/>
              <w:right w:val="single" w:sz="8" w:color="4C639D"/>
            </w:tcBorders>
          </w:tcPr>
          <w:p>
            <w:pPr>
              <w:spacing w:after="0"/>
              <w:rPr>
                <w:sz w:val="13"/>
                <w:szCs w:val="13"/>
                <w:color w:val="auto"/>
              </w:rPr>
            </w:pPr>
          </w:p>
        </w:tc>
        <w:tc>
          <w:tcPr>
            <w:tcW w:w="800" w:type="dxa"/>
            <w:vAlign w:val="bottom"/>
            <w:tcBorders>
              <w:bottom w:val="single" w:sz="8" w:color="DBDBDB"/>
              <w:right w:val="single" w:sz="8" w:color="4C639D"/>
            </w:tcBorders>
            <w:vMerge w:val="continue"/>
            <w:shd w:val="clear" w:color="auto" w:fill="F2F2F2"/>
          </w:tcPr>
          <w:p>
            <w:pPr>
              <w:spacing w:after="0"/>
              <w:rPr>
                <w:sz w:val="13"/>
                <w:szCs w:val="13"/>
                <w:color w:val="auto"/>
              </w:rPr>
            </w:pPr>
          </w:p>
        </w:tc>
        <w:tc>
          <w:tcPr>
            <w:tcW w:w="80" w:type="dxa"/>
            <w:vAlign w:val="bottom"/>
            <w:tcBorders>
              <w:right w:val="single" w:sz="8" w:color="4C639D"/>
            </w:tcBorders>
          </w:tcPr>
          <w:p>
            <w:pPr>
              <w:spacing w:after="0"/>
              <w:rPr>
                <w:sz w:val="13"/>
                <w:szCs w:val="13"/>
                <w:color w:val="auto"/>
              </w:rPr>
            </w:pPr>
          </w:p>
        </w:tc>
        <w:tc>
          <w:tcPr>
            <w:tcW w:w="2860" w:type="dxa"/>
            <w:vAlign w:val="bottom"/>
            <w:tcBorders>
              <w:right w:val="single" w:sz="8" w:color="4C639D"/>
            </w:tcBorders>
            <w:vMerge w:val="restart"/>
          </w:tcPr>
          <w:p>
            <w:pPr>
              <w:jc w:val="center"/>
              <w:spacing w:after="0"/>
              <w:rPr>
                <w:sz w:val="20"/>
                <w:szCs w:val="20"/>
                <w:color w:val="auto"/>
              </w:rPr>
            </w:pPr>
            <w:r>
              <w:rPr>
                <w:rFonts w:ascii="Arial" w:cs="Arial" w:eastAsia="Arial" w:hAnsi="Arial"/>
                <w:sz w:val="12"/>
                <w:szCs w:val="12"/>
                <w:b w:val="1"/>
                <w:bCs w:val="1"/>
                <w:color w:val="243782"/>
                <w:w w:val="97"/>
              </w:rPr>
              <w:t xml:space="preserve">Net revenues: </w:t>
            </w:r>
            <w:r>
              <w:rPr>
                <w:rFonts w:ascii="Arial" w:cs="Arial" w:eastAsia="Arial" w:hAnsi="Arial"/>
                <w:sz w:val="12"/>
                <w:szCs w:val="12"/>
                <w:color w:val="243782"/>
                <w:w w:val="97"/>
              </w:rPr>
              <w:t>Mid-Single Digit % Increase</w:t>
            </w:r>
          </w:p>
        </w:tc>
        <w:tc>
          <w:tcPr>
            <w:tcW w:w="0" w:type="dxa"/>
            <w:vAlign w:val="bottom"/>
          </w:tcPr>
          <w:p>
            <w:pPr>
              <w:spacing w:after="0"/>
              <w:rPr>
                <w:sz w:val="1"/>
                <w:szCs w:val="1"/>
                <w:color w:val="auto"/>
              </w:rPr>
            </w:pPr>
          </w:p>
        </w:tc>
      </w:tr>
      <w:tr>
        <w:trPr>
          <w:trHeight w:val="83"/>
        </w:trPr>
        <w:tc>
          <w:tcPr>
            <w:tcW w:w="200" w:type="dxa"/>
            <w:vAlign w:val="bottom"/>
            <w:tcBorders>
              <w:left w:val="single" w:sz="8" w:color="4C639D"/>
              <w:right w:val="single" w:sz="8" w:color="4C639D"/>
            </w:tcBorders>
          </w:tcPr>
          <w:p>
            <w:pPr>
              <w:spacing w:after="0"/>
              <w:rPr>
                <w:sz w:val="7"/>
                <w:szCs w:val="7"/>
                <w:color w:val="auto"/>
              </w:rPr>
            </w:pPr>
          </w:p>
        </w:tc>
        <w:tc>
          <w:tcPr>
            <w:tcW w:w="2400" w:type="dxa"/>
            <w:vAlign w:val="bottom"/>
            <w:tcBorders>
              <w:right w:val="single" w:sz="8" w:color="4C639D"/>
            </w:tcBorders>
            <w:vMerge w:val="restart"/>
          </w:tcPr>
          <w:p>
            <w:pPr>
              <w:ind w:left="20"/>
              <w:spacing w:after="0"/>
              <w:rPr>
                <w:sz w:val="20"/>
                <w:szCs w:val="20"/>
                <w:color w:val="auto"/>
              </w:rPr>
            </w:pPr>
            <w:r>
              <w:rPr>
                <w:rFonts w:ascii="Arial" w:cs="Arial" w:eastAsia="Arial" w:hAnsi="Arial"/>
                <w:sz w:val="12"/>
                <w:szCs w:val="12"/>
                <w:color w:val="auto"/>
              </w:rPr>
              <w:t>Cash flows from operating activities</w:t>
            </w:r>
          </w:p>
        </w:tc>
        <w:tc>
          <w:tcPr>
            <w:tcW w:w="780" w:type="dxa"/>
            <w:vAlign w:val="bottom"/>
            <w:tcBorders>
              <w:right w:val="single" w:sz="8" w:color="4C639D"/>
            </w:tcBorders>
            <w:vMerge w:val="restart"/>
          </w:tcPr>
          <w:p>
            <w:pPr>
              <w:jc w:val="center"/>
              <w:spacing w:after="0"/>
              <w:rPr>
                <w:sz w:val="20"/>
                <w:szCs w:val="20"/>
                <w:color w:val="auto"/>
              </w:rPr>
            </w:pPr>
            <w:r>
              <w:rPr>
                <w:rFonts w:ascii="Arial" w:cs="Arial" w:eastAsia="Arial" w:hAnsi="Arial"/>
                <w:sz w:val="12"/>
                <w:szCs w:val="12"/>
                <w:color w:val="auto"/>
                <w:w w:val="99"/>
              </w:rPr>
              <w:t>(3,930)</w:t>
            </w:r>
          </w:p>
        </w:tc>
        <w:tc>
          <w:tcPr>
            <w:tcW w:w="100" w:type="dxa"/>
            <w:vAlign w:val="bottom"/>
            <w:tcBorders>
              <w:right w:val="single" w:sz="8" w:color="4C639D"/>
            </w:tcBorders>
          </w:tcPr>
          <w:p>
            <w:pPr>
              <w:spacing w:after="0"/>
              <w:rPr>
                <w:sz w:val="7"/>
                <w:szCs w:val="7"/>
                <w:color w:val="auto"/>
              </w:rPr>
            </w:pPr>
          </w:p>
        </w:tc>
        <w:tc>
          <w:tcPr>
            <w:tcW w:w="760" w:type="dxa"/>
            <w:vAlign w:val="bottom"/>
            <w:tcBorders>
              <w:right w:val="single" w:sz="8" w:color="4C639D"/>
            </w:tcBorders>
            <w:vMerge w:val="restart"/>
          </w:tcPr>
          <w:p>
            <w:pPr>
              <w:jc w:val="center"/>
              <w:ind w:right="2"/>
              <w:spacing w:after="0"/>
              <w:rPr>
                <w:sz w:val="20"/>
                <w:szCs w:val="20"/>
                <w:color w:val="auto"/>
              </w:rPr>
            </w:pPr>
            <w:r>
              <w:rPr>
                <w:rFonts w:ascii="Arial" w:cs="Arial" w:eastAsia="Arial" w:hAnsi="Arial"/>
                <w:sz w:val="12"/>
                <w:szCs w:val="12"/>
                <w:color w:val="auto"/>
                <w:w w:val="99"/>
              </w:rPr>
              <w:t>(4,551)</w:t>
            </w:r>
          </w:p>
        </w:tc>
        <w:tc>
          <w:tcPr>
            <w:tcW w:w="80" w:type="dxa"/>
            <w:vAlign w:val="bottom"/>
            <w:tcBorders>
              <w:right w:val="single" w:sz="8" w:color="4C639D"/>
            </w:tcBorders>
          </w:tcPr>
          <w:p>
            <w:pPr>
              <w:spacing w:after="0"/>
              <w:rPr>
                <w:sz w:val="7"/>
                <w:szCs w:val="7"/>
                <w:color w:val="auto"/>
              </w:rPr>
            </w:pPr>
          </w:p>
        </w:tc>
        <w:tc>
          <w:tcPr>
            <w:tcW w:w="820" w:type="dxa"/>
            <w:vAlign w:val="bottom"/>
            <w:tcBorders>
              <w:right w:val="single" w:sz="8" w:color="4C639D"/>
            </w:tcBorders>
            <w:vMerge w:val="restart"/>
            <w:shd w:val="clear" w:color="auto" w:fill="F2F2F2"/>
          </w:tcPr>
          <w:p>
            <w:pPr>
              <w:jc w:val="center"/>
              <w:spacing w:after="0"/>
              <w:rPr>
                <w:sz w:val="20"/>
                <w:szCs w:val="20"/>
                <w:color w:val="auto"/>
              </w:rPr>
            </w:pPr>
            <w:r>
              <w:rPr>
                <w:rFonts w:ascii="Arial" w:cs="Arial" w:eastAsia="Arial" w:hAnsi="Arial"/>
                <w:sz w:val="12"/>
                <w:szCs w:val="12"/>
                <w:color w:val="auto"/>
                <w:w w:val="96"/>
              </w:rPr>
              <w:t>+14%</w:t>
            </w:r>
          </w:p>
        </w:tc>
        <w:tc>
          <w:tcPr>
            <w:tcW w:w="80" w:type="dxa"/>
            <w:vAlign w:val="bottom"/>
            <w:tcBorders>
              <w:right w:val="single" w:sz="8" w:color="4C639D"/>
            </w:tcBorders>
          </w:tcPr>
          <w:p>
            <w:pPr>
              <w:spacing w:after="0"/>
              <w:rPr>
                <w:sz w:val="7"/>
                <w:szCs w:val="7"/>
                <w:color w:val="auto"/>
              </w:rPr>
            </w:pPr>
          </w:p>
        </w:tc>
        <w:tc>
          <w:tcPr>
            <w:tcW w:w="800" w:type="dxa"/>
            <w:vAlign w:val="bottom"/>
            <w:tcBorders>
              <w:right w:val="single" w:sz="8" w:color="4C639D"/>
            </w:tcBorders>
            <w:vMerge w:val="restart"/>
          </w:tcPr>
          <w:p>
            <w:pPr>
              <w:jc w:val="center"/>
              <w:ind w:right="2"/>
              <w:spacing w:after="0"/>
              <w:rPr>
                <w:sz w:val="20"/>
                <w:szCs w:val="20"/>
                <w:color w:val="auto"/>
              </w:rPr>
            </w:pPr>
            <w:r>
              <w:rPr>
                <w:rFonts w:ascii="Arial" w:cs="Arial" w:eastAsia="Arial" w:hAnsi="Arial"/>
                <w:sz w:val="12"/>
                <w:szCs w:val="12"/>
                <w:color w:val="auto"/>
                <w:w w:val="99"/>
              </w:rPr>
              <w:t>(6,817)</w:t>
            </w:r>
          </w:p>
        </w:tc>
        <w:tc>
          <w:tcPr>
            <w:tcW w:w="80" w:type="dxa"/>
            <w:vAlign w:val="bottom"/>
            <w:tcBorders>
              <w:right w:val="single" w:sz="8" w:color="4C639D"/>
            </w:tcBorders>
          </w:tcPr>
          <w:p>
            <w:pPr>
              <w:spacing w:after="0"/>
              <w:rPr>
                <w:sz w:val="7"/>
                <w:szCs w:val="7"/>
                <w:color w:val="auto"/>
              </w:rPr>
            </w:pPr>
          </w:p>
        </w:tc>
        <w:tc>
          <w:tcPr>
            <w:tcW w:w="780" w:type="dxa"/>
            <w:vAlign w:val="bottom"/>
            <w:tcBorders>
              <w:right w:val="single" w:sz="8" w:color="4C639D"/>
            </w:tcBorders>
            <w:vMerge w:val="restart"/>
          </w:tcPr>
          <w:p>
            <w:pPr>
              <w:jc w:val="center"/>
              <w:spacing w:after="0"/>
              <w:rPr>
                <w:sz w:val="20"/>
                <w:szCs w:val="20"/>
                <w:color w:val="auto"/>
              </w:rPr>
            </w:pPr>
            <w:r>
              <w:rPr>
                <w:rFonts w:ascii="Arial" w:cs="Arial" w:eastAsia="Arial" w:hAnsi="Arial"/>
                <w:sz w:val="12"/>
                <w:szCs w:val="12"/>
                <w:color w:val="auto"/>
                <w:w w:val="99"/>
              </w:rPr>
              <w:t>(6,838)</w:t>
            </w:r>
          </w:p>
        </w:tc>
        <w:tc>
          <w:tcPr>
            <w:tcW w:w="100" w:type="dxa"/>
            <w:vAlign w:val="bottom"/>
            <w:tcBorders>
              <w:right w:val="single" w:sz="8" w:color="4C639D"/>
            </w:tcBorders>
          </w:tcPr>
          <w:p>
            <w:pPr>
              <w:spacing w:after="0"/>
              <w:rPr>
                <w:sz w:val="7"/>
                <w:szCs w:val="7"/>
                <w:color w:val="auto"/>
              </w:rPr>
            </w:pPr>
          </w:p>
        </w:tc>
        <w:tc>
          <w:tcPr>
            <w:tcW w:w="800" w:type="dxa"/>
            <w:vAlign w:val="bottom"/>
            <w:tcBorders>
              <w:right w:val="single" w:sz="8" w:color="4C639D"/>
            </w:tcBorders>
            <w:vMerge w:val="restart"/>
            <w:shd w:val="clear" w:color="auto" w:fill="F2F2F2"/>
          </w:tcPr>
          <w:p>
            <w:pPr>
              <w:jc w:val="center"/>
              <w:ind w:right="2"/>
              <w:spacing w:after="0"/>
              <w:rPr>
                <w:sz w:val="20"/>
                <w:szCs w:val="20"/>
                <w:color w:val="auto"/>
              </w:rPr>
            </w:pPr>
            <w:r>
              <w:rPr>
                <w:rFonts w:ascii="Arial" w:cs="Arial" w:eastAsia="Arial" w:hAnsi="Arial"/>
                <w:sz w:val="12"/>
                <w:szCs w:val="12"/>
                <w:color w:val="auto"/>
                <w:w w:val="98"/>
              </w:rPr>
              <w:t>+0.3%</w:t>
            </w:r>
          </w:p>
        </w:tc>
        <w:tc>
          <w:tcPr>
            <w:tcW w:w="80" w:type="dxa"/>
            <w:vAlign w:val="bottom"/>
            <w:tcBorders>
              <w:right w:val="single" w:sz="8" w:color="4C639D"/>
            </w:tcBorders>
          </w:tcPr>
          <w:p>
            <w:pPr>
              <w:spacing w:after="0"/>
              <w:rPr>
                <w:sz w:val="7"/>
                <w:szCs w:val="7"/>
                <w:color w:val="auto"/>
              </w:rPr>
            </w:pPr>
          </w:p>
        </w:tc>
        <w:tc>
          <w:tcPr>
            <w:tcW w:w="2860" w:type="dxa"/>
            <w:vAlign w:val="bottom"/>
            <w:tcBorders>
              <w:right w:val="single" w:sz="8" w:color="4C639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0" w:type="dxa"/>
            <w:vAlign w:val="bottom"/>
            <w:tcBorders>
              <w:left w:val="single" w:sz="8" w:color="4C639D"/>
              <w:bottom w:val="single" w:sz="8" w:color="4C639D"/>
              <w:right w:val="single" w:sz="8" w:color="4C639D"/>
            </w:tcBorders>
          </w:tcPr>
          <w:p>
            <w:pPr>
              <w:spacing w:after="0"/>
              <w:rPr>
                <w:sz w:val="13"/>
                <w:szCs w:val="13"/>
                <w:color w:val="auto"/>
              </w:rPr>
            </w:pPr>
          </w:p>
        </w:tc>
        <w:tc>
          <w:tcPr>
            <w:tcW w:w="2400" w:type="dxa"/>
            <w:vAlign w:val="bottom"/>
            <w:tcBorders>
              <w:bottom w:val="single" w:sz="8" w:color="4C639D"/>
              <w:right w:val="single" w:sz="8" w:color="4C639D"/>
            </w:tcBorders>
            <w:vMerge w:val="continue"/>
          </w:tcPr>
          <w:p>
            <w:pPr>
              <w:spacing w:after="0"/>
              <w:rPr>
                <w:sz w:val="13"/>
                <w:szCs w:val="13"/>
                <w:color w:val="auto"/>
              </w:rPr>
            </w:pPr>
          </w:p>
        </w:tc>
        <w:tc>
          <w:tcPr>
            <w:tcW w:w="780" w:type="dxa"/>
            <w:vAlign w:val="bottom"/>
            <w:tcBorders>
              <w:bottom w:val="single" w:sz="8" w:color="4C639D"/>
              <w:right w:val="single" w:sz="8" w:color="4C639D"/>
            </w:tcBorders>
            <w:vMerge w:val="continue"/>
          </w:tcPr>
          <w:p>
            <w:pPr>
              <w:spacing w:after="0"/>
              <w:rPr>
                <w:sz w:val="13"/>
                <w:szCs w:val="13"/>
                <w:color w:val="auto"/>
              </w:rPr>
            </w:pPr>
          </w:p>
        </w:tc>
        <w:tc>
          <w:tcPr>
            <w:tcW w:w="100" w:type="dxa"/>
            <w:vAlign w:val="bottom"/>
            <w:tcBorders>
              <w:bottom w:val="single" w:sz="8" w:color="4C639D"/>
              <w:right w:val="single" w:sz="8" w:color="4C639D"/>
            </w:tcBorders>
          </w:tcPr>
          <w:p>
            <w:pPr>
              <w:spacing w:after="0"/>
              <w:rPr>
                <w:sz w:val="13"/>
                <w:szCs w:val="13"/>
                <w:color w:val="auto"/>
              </w:rPr>
            </w:pPr>
          </w:p>
        </w:tc>
        <w:tc>
          <w:tcPr>
            <w:tcW w:w="760" w:type="dxa"/>
            <w:vAlign w:val="bottom"/>
            <w:tcBorders>
              <w:bottom w:val="single" w:sz="8" w:color="4C639D"/>
              <w:right w:val="single" w:sz="8" w:color="4C639D"/>
            </w:tcBorders>
            <w:vMerge w:val="continue"/>
          </w:tcPr>
          <w:p>
            <w:pPr>
              <w:spacing w:after="0"/>
              <w:rPr>
                <w:sz w:val="13"/>
                <w:szCs w:val="13"/>
                <w:color w:val="auto"/>
              </w:rPr>
            </w:pPr>
          </w:p>
        </w:tc>
        <w:tc>
          <w:tcPr>
            <w:tcW w:w="80" w:type="dxa"/>
            <w:vAlign w:val="bottom"/>
            <w:tcBorders>
              <w:bottom w:val="single" w:sz="8" w:color="4C639D"/>
              <w:right w:val="single" w:sz="8" w:color="4C639D"/>
            </w:tcBorders>
          </w:tcPr>
          <w:p>
            <w:pPr>
              <w:spacing w:after="0"/>
              <w:rPr>
                <w:sz w:val="13"/>
                <w:szCs w:val="13"/>
                <w:color w:val="auto"/>
              </w:rPr>
            </w:pPr>
          </w:p>
        </w:tc>
        <w:tc>
          <w:tcPr>
            <w:tcW w:w="820" w:type="dxa"/>
            <w:vAlign w:val="bottom"/>
            <w:tcBorders>
              <w:bottom w:val="single" w:sz="8" w:color="4C639D"/>
              <w:right w:val="single" w:sz="8" w:color="4C639D"/>
            </w:tcBorders>
            <w:vMerge w:val="continue"/>
            <w:shd w:val="clear" w:color="auto" w:fill="F2F2F2"/>
          </w:tcPr>
          <w:p>
            <w:pPr>
              <w:spacing w:after="0"/>
              <w:rPr>
                <w:sz w:val="13"/>
                <w:szCs w:val="13"/>
                <w:color w:val="auto"/>
              </w:rPr>
            </w:pPr>
          </w:p>
        </w:tc>
        <w:tc>
          <w:tcPr>
            <w:tcW w:w="80" w:type="dxa"/>
            <w:vAlign w:val="bottom"/>
            <w:tcBorders>
              <w:bottom w:val="single" w:sz="8" w:color="4C639D"/>
              <w:right w:val="single" w:sz="8" w:color="4C639D"/>
            </w:tcBorders>
          </w:tcPr>
          <w:p>
            <w:pPr>
              <w:spacing w:after="0"/>
              <w:rPr>
                <w:sz w:val="13"/>
                <w:szCs w:val="13"/>
                <w:color w:val="auto"/>
              </w:rPr>
            </w:pPr>
          </w:p>
        </w:tc>
        <w:tc>
          <w:tcPr>
            <w:tcW w:w="800" w:type="dxa"/>
            <w:vAlign w:val="bottom"/>
            <w:tcBorders>
              <w:bottom w:val="single" w:sz="8" w:color="4C639D"/>
              <w:right w:val="single" w:sz="8" w:color="4C639D"/>
            </w:tcBorders>
            <w:vMerge w:val="continue"/>
          </w:tcPr>
          <w:p>
            <w:pPr>
              <w:spacing w:after="0"/>
              <w:rPr>
                <w:sz w:val="13"/>
                <w:szCs w:val="13"/>
                <w:color w:val="auto"/>
              </w:rPr>
            </w:pPr>
          </w:p>
        </w:tc>
        <w:tc>
          <w:tcPr>
            <w:tcW w:w="80" w:type="dxa"/>
            <w:vAlign w:val="bottom"/>
            <w:tcBorders>
              <w:bottom w:val="single" w:sz="8" w:color="4C639D"/>
              <w:right w:val="single" w:sz="8" w:color="4C639D"/>
            </w:tcBorders>
          </w:tcPr>
          <w:p>
            <w:pPr>
              <w:spacing w:after="0"/>
              <w:rPr>
                <w:sz w:val="13"/>
                <w:szCs w:val="13"/>
                <w:color w:val="auto"/>
              </w:rPr>
            </w:pPr>
          </w:p>
        </w:tc>
        <w:tc>
          <w:tcPr>
            <w:tcW w:w="780" w:type="dxa"/>
            <w:vAlign w:val="bottom"/>
            <w:tcBorders>
              <w:bottom w:val="single" w:sz="8" w:color="4C639D"/>
              <w:right w:val="single" w:sz="8" w:color="4C639D"/>
            </w:tcBorders>
            <w:vMerge w:val="continue"/>
          </w:tcPr>
          <w:p>
            <w:pPr>
              <w:spacing w:after="0"/>
              <w:rPr>
                <w:sz w:val="13"/>
                <w:szCs w:val="13"/>
                <w:color w:val="auto"/>
              </w:rPr>
            </w:pPr>
          </w:p>
        </w:tc>
        <w:tc>
          <w:tcPr>
            <w:tcW w:w="100" w:type="dxa"/>
            <w:vAlign w:val="bottom"/>
            <w:tcBorders>
              <w:bottom w:val="single" w:sz="8" w:color="4C639D"/>
              <w:right w:val="single" w:sz="8" w:color="4C639D"/>
            </w:tcBorders>
          </w:tcPr>
          <w:p>
            <w:pPr>
              <w:spacing w:after="0"/>
              <w:rPr>
                <w:sz w:val="13"/>
                <w:szCs w:val="13"/>
                <w:color w:val="auto"/>
              </w:rPr>
            </w:pPr>
          </w:p>
        </w:tc>
        <w:tc>
          <w:tcPr>
            <w:tcW w:w="800" w:type="dxa"/>
            <w:vAlign w:val="bottom"/>
            <w:tcBorders>
              <w:bottom w:val="single" w:sz="8" w:color="4C639D"/>
              <w:right w:val="single" w:sz="8" w:color="4C639D"/>
            </w:tcBorders>
            <w:vMerge w:val="continue"/>
            <w:shd w:val="clear" w:color="auto" w:fill="F2F2F2"/>
          </w:tcPr>
          <w:p>
            <w:pPr>
              <w:spacing w:after="0"/>
              <w:rPr>
                <w:sz w:val="13"/>
                <w:szCs w:val="13"/>
                <w:color w:val="auto"/>
              </w:rPr>
            </w:pPr>
          </w:p>
        </w:tc>
        <w:tc>
          <w:tcPr>
            <w:tcW w:w="80" w:type="dxa"/>
            <w:vAlign w:val="bottom"/>
            <w:tcBorders>
              <w:right w:val="single" w:sz="8" w:color="4C639D"/>
            </w:tcBorders>
          </w:tcPr>
          <w:p>
            <w:pPr>
              <w:spacing w:after="0"/>
              <w:rPr>
                <w:sz w:val="13"/>
                <w:szCs w:val="13"/>
                <w:color w:val="auto"/>
              </w:rPr>
            </w:pPr>
          </w:p>
        </w:tc>
        <w:tc>
          <w:tcPr>
            <w:tcW w:w="2860" w:type="dxa"/>
            <w:vAlign w:val="bottom"/>
            <w:tcBorders>
              <w:right w:val="single" w:sz="8" w:color="4C639D"/>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0" w:type="dxa"/>
            <w:vAlign w:val="bottom"/>
            <w:tcBorders>
              <w:left w:val="single" w:sz="8" w:color="4C639D"/>
              <w:right w:val="single" w:sz="8" w:color="4C639D"/>
            </w:tcBorders>
          </w:tcPr>
          <w:p>
            <w:pPr>
              <w:jc w:val="right"/>
              <w:ind w:right="45"/>
              <w:spacing w:after="0"/>
              <w:rPr>
                <w:sz w:val="20"/>
                <w:szCs w:val="20"/>
                <w:color w:val="auto"/>
              </w:rPr>
            </w:pPr>
            <w:r>
              <w:rPr>
                <w:rFonts w:ascii="Arial" w:cs="Arial" w:eastAsia="Arial" w:hAnsi="Arial"/>
                <w:sz w:val="8"/>
                <w:szCs w:val="8"/>
                <w:b w:val="1"/>
                <w:bCs w:val="1"/>
                <w:color w:val="243782"/>
              </w:rPr>
              <w:t>N</w:t>
            </w:r>
          </w:p>
        </w:tc>
        <w:tc>
          <w:tcPr>
            <w:tcW w:w="2400" w:type="dxa"/>
            <w:vAlign w:val="bottom"/>
            <w:tcBorders>
              <w:right w:val="single" w:sz="8" w:color="4C639D"/>
            </w:tcBorders>
          </w:tcPr>
          <w:p>
            <w:pPr>
              <w:ind w:left="20"/>
              <w:spacing w:after="0"/>
              <w:rPr>
                <w:sz w:val="20"/>
                <w:szCs w:val="20"/>
                <w:color w:val="auto"/>
              </w:rPr>
            </w:pPr>
            <w:r>
              <w:rPr>
                <w:rFonts w:ascii="Arial" w:cs="Arial" w:eastAsia="Arial" w:hAnsi="Arial"/>
                <w:sz w:val="12"/>
                <w:szCs w:val="12"/>
                <w:color w:val="auto"/>
              </w:rPr>
              <w:t>Adjusted operating income/(loss)</w:t>
            </w:r>
            <w:r>
              <w:rPr>
                <w:rFonts w:ascii="Arial" w:cs="Arial" w:eastAsia="Arial" w:hAnsi="Arial"/>
                <w:sz w:val="15"/>
                <w:szCs w:val="15"/>
                <w:color w:val="auto"/>
                <w:vertAlign w:val="superscript"/>
              </w:rPr>
              <w:t>(1)</w:t>
            </w:r>
          </w:p>
        </w:tc>
        <w:tc>
          <w:tcPr>
            <w:tcW w:w="780" w:type="dxa"/>
            <w:vAlign w:val="bottom"/>
            <w:tcBorders>
              <w:right w:val="single" w:sz="8" w:color="4C639D"/>
            </w:tcBorders>
          </w:tcPr>
          <w:p>
            <w:pPr>
              <w:jc w:val="center"/>
              <w:spacing w:after="0"/>
              <w:rPr>
                <w:sz w:val="20"/>
                <w:szCs w:val="20"/>
                <w:color w:val="auto"/>
              </w:rPr>
            </w:pPr>
            <w:r>
              <w:rPr>
                <w:rFonts w:ascii="Arial" w:cs="Arial" w:eastAsia="Arial" w:hAnsi="Arial"/>
                <w:sz w:val="12"/>
                <w:szCs w:val="12"/>
                <w:color w:val="auto"/>
                <w:w w:val="89"/>
              </w:rPr>
              <w:t>256</w:t>
            </w:r>
          </w:p>
        </w:tc>
        <w:tc>
          <w:tcPr>
            <w:tcW w:w="100" w:type="dxa"/>
            <w:vAlign w:val="bottom"/>
            <w:tcBorders>
              <w:right w:val="single" w:sz="8" w:color="4C639D"/>
            </w:tcBorders>
          </w:tcPr>
          <w:p>
            <w:pPr>
              <w:spacing w:after="0"/>
              <w:rPr>
                <w:sz w:val="21"/>
                <w:szCs w:val="21"/>
                <w:color w:val="auto"/>
              </w:rPr>
            </w:pPr>
          </w:p>
        </w:tc>
        <w:tc>
          <w:tcPr>
            <w:tcW w:w="760" w:type="dxa"/>
            <w:vAlign w:val="bottom"/>
            <w:tcBorders>
              <w:right w:val="single" w:sz="8" w:color="4C639D"/>
            </w:tcBorders>
          </w:tcPr>
          <w:p>
            <w:pPr>
              <w:jc w:val="center"/>
              <w:ind w:right="2"/>
              <w:spacing w:after="0"/>
              <w:rPr>
                <w:sz w:val="20"/>
                <w:szCs w:val="20"/>
                <w:color w:val="auto"/>
              </w:rPr>
            </w:pPr>
            <w:r>
              <w:rPr>
                <w:rFonts w:ascii="Arial" w:cs="Arial" w:eastAsia="Arial" w:hAnsi="Arial"/>
                <w:sz w:val="12"/>
                <w:szCs w:val="12"/>
                <w:color w:val="auto"/>
              </w:rPr>
              <w:t>90</w:t>
            </w:r>
          </w:p>
        </w:tc>
        <w:tc>
          <w:tcPr>
            <w:tcW w:w="80" w:type="dxa"/>
            <w:vAlign w:val="bottom"/>
            <w:tcBorders>
              <w:right w:val="single" w:sz="8" w:color="4C639D"/>
            </w:tcBorders>
          </w:tcPr>
          <w:p>
            <w:pPr>
              <w:spacing w:after="0"/>
              <w:rPr>
                <w:sz w:val="21"/>
                <w:szCs w:val="21"/>
                <w:color w:val="auto"/>
              </w:rPr>
            </w:pPr>
          </w:p>
        </w:tc>
        <w:tc>
          <w:tcPr>
            <w:tcW w:w="820" w:type="dxa"/>
            <w:vAlign w:val="bottom"/>
            <w:tcBorders>
              <w:bottom w:val="single" w:sz="8" w:color="F2F2F2"/>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rPr>
              <w:t>+184%</w:t>
            </w:r>
          </w:p>
        </w:tc>
        <w:tc>
          <w:tcPr>
            <w:tcW w:w="80" w:type="dxa"/>
            <w:vAlign w:val="bottom"/>
            <w:tcBorders>
              <w:right w:val="single" w:sz="8" w:color="4C639D"/>
            </w:tcBorders>
          </w:tcPr>
          <w:p>
            <w:pPr>
              <w:spacing w:after="0"/>
              <w:rPr>
                <w:sz w:val="21"/>
                <w:szCs w:val="21"/>
                <w:color w:val="auto"/>
              </w:rPr>
            </w:pPr>
          </w:p>
        </w:tc>
        <w:tc>
          <w:tcPr>
            <w:tcW w:w="800" w:type="dxa"/>
            <w:vAlign w:val="bottom"/>
            <w:tcBorders>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1,989</w:t>
            </w:r>
          </w:p>
        </w:tc>
        <w:tc>
          <w:tcPr>
            <w:tcW w:w="80" w:type="dxa"/>
            <w:vAlign w:val="bottom"/>
            <w:tcBorders>
              <w:right w:val="single" w:sz="8" w:color="4C639D"/>
            </w:tcBorders>
          </w:tcPr>
          <w:p>
            <w:pPr>
              <w:spacing w:after="0"/>
              <w:rPr>
                <w:sz w:val="21"/>
                <w:szCs w:val="21"/>
                <w:color w:val="auto"/>
              </w:rPr>
            </w:pPr>
          </w:p>
        </w:tc>
        <w:tc>
          <w:tcPr>
            <w:tcW w:w="780" w:type="dxa"/>
            <w:vAlign w:val="bottom"/>
            <w:tcBorders>
              <w:right w:val="single" w:sz="8" w:color="4C639D"/>
            </w:tcBorders>
          </w:tcPr>
          <w:p>
            <w:pPr>
              <w:jc w:val="center"/>
              <w:spacing w:after="0"/>
              <w:rPr>
                <w:sz w:val="20"/>
                <w:szCs w:val="20"/>
                <w:color w:val="auto"/>
              </w:rPr>
            </w:pPr>
            <w:r>
              <w:rPr>
                <w:rFonts w:ascii="Arial" w:cs="Arial" w:eastAsia="Arial" w:hAnsi="Arial"/>
                <w:sz w:val="12"/>
                <w:szCs w:val="12"/>
                <w:color w:val="auto"/>
                <w:w w:val="89"/>
              </w:rPr>
              <w:t>630</w:t>
            </w:r>
          </w:p>
        </w:tc>
        <w:tc>
          <w:tcPr>
            <w:tcW w:w="100" w:type="dxa"/>
            <w:vAlign w:val="bottom"/>
            <w:tcBorders>
              <w:right w:val="single" w:sz="8" w:color="4C639D"/>
            </w:tcBorders>
          </w:tcPr>
          <w:p>
            <w:pPr>
              <w:spacing w:after="0"/>
              <w:rPr>
                <w:sz w:val="21"/>
                <w:szCs w:val="21"/>
                <w:color w:val="auto"/>
              </w:rPr>
            </w:pPr>
          </w:p>
        </w:tc>
        <w:tc>
          <w:tcPr>
            <w:tcW w:w="800" w:type="dxa"/>
            <w:vAlign w:val="bottom"/>
            <w:tcBorders>
              <w:bottom w:val="single" w:sz="8" w:color="F2F2F2"/>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w w:val="95"/>
              </w:rPr>
              <w:t>+216%</w:t>
            </w:r>
          </w:p>
        </w:tc>
        <w:tc>
          <w:tcPr>
            <w:tcW w:w="80" w:type="dxa"/>
            <w:vAlign w:val="bottom"/>
            <w:tcBorders>
              <w:right w:val="single" w:sz="8" w:color="4C639D"/>
            </w:tcBorders>
          </w:tcPr>
          <w:p>
            <w:pPr>
              <w:spacing w:after="0"/>
              <w:rPr>
                <w:sz w:val="21"/>
                <w:szCs w:val="21"/>
                <w:color w:val="auto"/>
              </w:rPr>
            </w:pPr>
          </w:p>
        </w:tc>
        <w:tc>
          <w:tcPr>
            <w:tcW w:w="2860" w:type="dxa"/>
            <w:vAlign w:val="bottom"/>
            <w:tcBorders>
              <w:right w:val="single" w:sz="8" w:color="4C639D"/>
            </w:tcBorders>
          </w:tcPr>
          <w:p>
            <w:pPr>
              <w:jc w:val="center"/>
              <w:spacing w:after="0"/>
              <w:rPr>
                <w:sz w:val="20"/>
                <w:szCs w:val="20"/>
                <w:color w:val="auto"/>
              </w:rPr>
            </w:pPr>
            <w:r>
              <w:rPr>
                <w:rFonts w:ascii="Arial" w:cs="Arial" w:eastAsia="Arial" w:hAnsi="Arial"/>
                <w:sz w:val="12"/>
                <w:szCs w:val="12"/>
                <w:b w:val="1"/>
                <w:bCs w:val="1"/>
                <w:color w:val="243782"/>
                <w:w w:val="95"/>
              </w:rPr>
              <w:t>AOI margin %</w:t>
            </w:r>
            <w:r>
              <w:rPr>
                <w:rFonts w:ascii="Arial" w:cs="Arial" w:eastAsia="Arial" w:hAnsi="Arial"/>
                <w:sz w:val="15"/>
                <w:szCs w:val="15"/>
                <w:b w:val="1"/>
                <w:bCs w:val="1"/>
                <w:color w:val="243782"/>
                <w:w w:val="95"/>
                <w:vertAlign w:val="superscript"/>
              </w:rPr>
              <w:t>(2)</w:t>
            </w:r>
            <w:r>
              <w:rPr>
                <w:rFonts w:ascii="Arial" w:cs="Arial" w:eastAsia="Arial" w:hAnsi="Arial"/>
                <w:sz w:val="12"/>
                <w:szCs w:val="12"/>
                <w:b w:val="1"/>
                <w:bCs w:val="1"/>
                <w:color w:val="243782"/>
                <w:w w:val="95"/>
              </w:rPr>
              <w:t xml:space="preserve">: </w:t>
            </w:r>
            <w:r>
              <w:rPr>
                <w:rFonts w:ascii="Arial" w:cs="Arial" w:eastAsia="Arial" w:hAnsi="Arial"/>
                <w:sz w:val="12"/>
                <w:szCs w:val="12"/>
                <w:color w:val="243782"/>
                <w:w w:val="95"/>
              </w:rPr>
              <w:t>Low-Single Digit %</w:t>
            </w:r>
          </w:p>
        </w:tc>
        <w:tc>
          <w:tcPr>
            <w:tcW w:w="0" w:type="dxa"/>
            <w:vAlign w:val="bottom"/>
          </w:tcPr>
          <w:p>
            <w:pPr>
              <w:spacing w:after="0"/>
              <w:rPr>
                <w:sz w:val="1"/>
                <w:szCs w:val="1"/>
                <w:color w:val="auto"/>
              </w:rPr>
            </w:pPr>
          </w:p>
        </w:tc>
      </w:tr>
      <w:tr>
        <w:trPr>
          <w:trHeight w:val="47"/>
        </w:trPr>
        <w:tc>
          <w:tcPr>
            <w:tcW w:w="200" w:type="dxa"/>
            <w:vAlign w:val="bottom"/>
            <w:tcBorders>
              <w:left w:val="single" w:sz="8" w:color="4C639D"/>
              <w:right w:val="single" w:sz="8" w:color="4C639D"/>
            </w:tcBorders>
          </w:tcPr>
          <w:p>
            <w:pPr>
              <w:jc w:val="right"/>
              <w:ind w:right="45"/>
              <w:spacing w:after="0" w:line="48" w:lineRule="exact"/>
              <w:rPr>
                <w:sz w:val="20"/>
                <w:szCs w:val="20"/>
                <w:color w:val="auto"/>
              </w:rPr>
            </w:pPr>
            <w:r>
              <w:rPr>
                <w:rFonts w:ascii="Arial" w:cs="Arial" w:eastAsia="Arial" w:hAnsi="Arial"/>
                <w:sz w:val="5"/>
                <w:szCs w:val="5"/>
                <w:b w:val="1"/>
                <w:bCs w:val="1"/>
                <w:color w:val="243782"/>
              </w:rPr>
              <w:t>O</w:t>
            </w:r>
          </w:p>
        </w:tc>
        <w:tc>
          <w:tcPr>
            <w:tcW w:w="2400" w:type="dxa"/>
            <w:vAlign w:val="bottom"/>
            <w:tcBorders>
              <w:top w:val="single" w:sz="8" w:color="DBDBDB"/>
              <w:right w:val="single" w:sz="8" w:color="4C639D"/>
            </w:tcBorders>
          </w:tcPr>
          <w:p>
            <w:pPr>
              <w:spacing w:after="0"/>
              <w:rPr>
                <w:sz w:val="4"/>
                <w:szCs w:val="4"/>
                <w:color w:val="auto"/>
              </w:rPr>
            </w:pPr>
          </w:p>
        </w:tc>
        <w:tc>
          <w:tcPr>
            <w:tcW w:w="780" w:type="dxa"/>
            <w:vAlign w:val="bottom"/>
            <w:tcBorders>
              <w:top w:val="single" w:sz="8" w:color="DBDBDB"/>
              <w:right w:val="single" w:sz="8" w:color="4C639D"/>
            </w:tcBorders>
          </w:tcPr>
          <w:p>
            <w:pPr>
              <w:spacing w:after="0"/>
              <w:rPr>
                <w:sz w:val="4"/>
                <w:szCs w:val="4"/>
                <w:color w:val="auto"/>
              </w:rPr>
            </w:pPr>
          </w:p>
        </w:tc>
        <w:tc>
          <w:tcPr>
            <w:tcW w:w="100" w:type="dxa"/>
            <w:vAlign w:val="bottom"/>
            <w:tcBorders>
              <w:top w:val="single" w:sz="8" w:color="DBDBDB"/>
              <w:right w:val="single" w:sz="8" w:color="4C639D"/>
            </w:tcBorders>
          </w:tcPr>
          <w:p>
            <w:pPr>
              <w:spacing w:after="0"/>
              <w:rPr>
                <w:sz w:val="4"/>
                <w:szCs w:val="4"/>
                <w:color w:val="auto"/>
              </w:rPr>
            </w:pPr>
          </w:p>
        </w:tc>
        <w:tc>
          <w:tcPr>
            <w:tcW w:w="760" w:type="dxa"/>
            <w:vAlign w:val="bottom"/>
            <w:tcBorders>
              <w:top w:val="single" w:sz="8" w:color="DBDBDB"/>
              <w:right w:val="single" w:sz="8" w:color="4C639D"/>
            </w:tcBorders>
          </w:tcPr>
          <w:p>
            <w:pPr>
              <w:spacing w:after="0"/>
              <w:rPr>
                <w:sz w:val="4"/>
                <w:szCs w:val="4"/>
                <w:color w:val="auto"/>
              </w:rPr>
            </w:pPr>
          </w:p>
        </w:tc>
        <w:tc>
          <w:tcPr>
            <w:tcW w:w="80" w:type="dxa"/>
            <w:vAlign w:val="bottom"/>
            <w:tcBorders>
              <w:top w:val="single" w:sz="8" w:color="DBDBDB"/>
              <w:right w:val="single" w:sz="8" w:color="4C639D"/>
            </w:tcBorders>
          </w:tcPr>
          <w:p>
            <w:pPr>
              <w:spacing w:after="0"/>
              <w:rPr>
                <w:sz w:val="4"/>
                <w:szCs w:val="4"/>
                <w:color w:val="auto"/>
              </w:rPr>
            </w:pPr>
          </w:p>
        </w:tc>
        <w:tc>
          <w:tcPr>
            <w:tcW w:w="820" w:type="dxa"/>
            <w:vAlign w:val="bottom"/>
            <w:tcBorders>
              <w:top w:val="single" w:sz="8" w:color="DBDBDB"/>
              <w:right w:val="single" w:sz="8" w:color="4C639D"/>
            </w:tcBorders>
            <w:shd w:val="clear" w:color="auto" w:fill="F2F2F2"/>
          </w:tcPr>
          <w:p>
            <w:pPr>
              <w:spacing w:after="0"/>
              <w:rPr>
                <w:sz w:val="4"/>
                <w:szCs w:val="4"/>
                <w:color w:val="auto"/>
              </w:rPr>
            </w:pPr>
          </w:p>
        </w:tc>
        <w:tc>
          <w:tcPr>
            <w:tcW w:w="80" w:type="dxa"/>
            <w:vAlign w:val="bottom"/>
            <w:tcBorders>
              <w:top w:val="single" w:sz="8" w:color="DBDBDB"/>
              <w:right w:val="single" w:sz="8" w:color="4C639D"/>
            </w:tcBorders>
          </w:tcPr>
          <w:p>
            <w:pPr>
              <w:spacing w:after="0"/>
              <w:rPr>
                <w:sz w:val="4"/>
                <w:szCs w:val="4"/>
                <w:color w:val="auto"/>
              </w:rPr>
            </w:pPr>
          </w:p>
        </w:tc>
        <w:tc>
          <w:tcPr>
            <w:tcW w:w="800" w:type="dxa"/>
            <w:vAlign w:val="bottom"/>
            <w:tcBorders>
              <w:top w:val="single" w:sz="8" w:color="DBDBDB"/>
              <w:right w:val="single" w:sz="8" w:color="4C639D"/>
            </w:tcBorders>
          </w:tcPr>
          <w:p>
            <w:pPr>
              <w:spacing w:after="0"/>
              <w:rPr>
                <w:sz w:val="4"/>
                <w:szCs w:val="4"/>
                <w:color w:val="auto"/>
              </w:rPr>
            </w:pPr>
          </w:p>
        </w:tc>
        <w:tc>
          <w:tcPr>
            <w:tcW w:w="80" w:type="dxa"/>
            <w:vAlign w:val="bottom"/>
            <w:tcBorders>
              <w:top w:val="single" w:sz="8" w:color="DBDBDB"/>
              <w:right w:val="single" w:sz="8" w:color="4C639D"/>
            </w:tcBorders>
          </w:tcPr>
          <w:p>
            <w:pPr>
              <w:spacing w:after="0"/>
              <w:rPr>
                <w:sz w:val="4"/>
                <w:szCs w:val="4"/>
                <w:color w:val="auto"/>
              </w:rPr>
            </w:pPr>
          </w:p>
        </w:tc>
        <w:tc>
          <w:tcPr>
            <w:tcW w:w="780" w:type="dxa"/>
            <w:vAlign w:val="bottom"/>
            <w:tcBorders>
              <w:top w:val="single" w:sz="8" w:color="DBDBDB"/>
              <w:right w:val="single" w:sz="8" w:color="4C639D"/>
            </w:tcBorders>
          </w:tcPr>
          <w:p>
            <w:pPr>
              <w:spacing w:after="0"/>
              <w:rPr>
                <w:sz w:val="4"/>
                <w:szCs w:val="4"/>
                <w:color w:val="auto"/>
              </w:rPr>
            </w:pPr>
          </w:p>
        </w:tc>
        <w:tc>
          <w:tcPr>
            <w:tcW w:w="100" w:type="dxa"/>
            <w:vAlign w:val="bottom"/>
            <w:tcBorders>
              <w:top w:val="single" w:sz="8" w:color="DBDBDB"/>
              <w:right w:val="single" w:sz="8" w:color="4C639D"/>
            </w:tcBorders>
          </w:tcPr>
          <w:p>
            <w:pPr>
              <w:spacing w:after="0"/>
              <w:rPr>
                <w:sz w:val="4"/>
                <w:szCs w:val="4"/>
                <w:color w:val="auto"/>
              </w:rPr>
            </w:pPr>
          </w:p>
        </w:tc>
        <w:tc>
          <w:tcPr>
            <w:tcW w:w="800" w:type="dxa"/>
            <w:vAlign w:val="bottom"/>
            <w:tcBorders>
              <w:top w:val="single" w:sz="8" w:color="DBDBDB"/>
              <w:right w:val="single" w:sz="8" w:color="4C639D"/>
            </w:tcBorders>
            <w:shd w:val="clear" w:color="auto" w:fill="F2F2F2"/>
          </w:tcPr>
          <w:p>
            <w:pPr>
              <w:spacing w:after="0"/>
              <w:rPr>
                <w:sz w:val="4"/>
                <w:szCs w:val="4"/>
                <w:color w:val="auto"/>
              </w:rPr>
            </w:pPr>
          </w:p>
        </w:tc>
        <w:tc>
          <w:tcPr>
            <w:tcW w:w="80" w:type="dxa"/>
            <w:vAlign w:val="bottom"/>
            <w:tcBorders>
              <w:right w:val="single" w:sz="8" w:color="4C639D"/>
            </w:tcBorders>
          </w:tcPr>
          <w:p>
            <w:pPr>
              <w:spacing w:after="0"/>
              <w:rPr>
                <w:sz w:val="4"/>
                <w:szCs w:val="4"/>
                <w:color w:val="auto"/>
              </w:rPr>
            </w:pPr>
          </w:p>
        </w:tc>
        <w:tc>
          <w:tcPr>
            <w:tcW w:w="2860" w:type="dxa"/>
            <w:vAlign w:val="bottom"/>
            <w:tcBorders>
              <w:right w:val="single" w:sz="8" w:color="4C639D"/>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4C639D"/>
              <w:right w:val="single" w:sz="8" w:color="4C639D"/>
            </w:tcBorders>
          </w:tcPr>
          <w:p>
            <w:pPr>
              <w:jc w:val="right"/>
              <w:ind w:right="45"/>
              <w:spacing w:after="0" w:line="162" w:lineRule="exact"/>
              <w:rPr>
                <w:sz w:val="20"/>
                <w:szCs w:val="20"/>
                <w:color w:val="auto"/>
              </w:rPr>
            </w:pPr>
            <w:r>
              <w:rPr>
                <w:rFonts w:ascii="Arial" w:cs="Arial" w:eastAsia="Arial" w:hAnsi="Arial"/>
                <w:sz w:val="8"/>
                <w:szCs w:val="8"/>
                <w:b w:val="1"/>
                <w:bCs w:val="1"/>
                <w:color w:val="243782"/>
              </w:rPr>
              <w:t>N</w:t>
            </w:r>
            <w:r>
              <w:rPr>
                <w:rFonts w:ascii="Arial" w:cs="Arial" w:eastAsia="Arial" w:hAnsi="Arial"/>
                <w:sz w:val="16"/>
                <w:szCs w:val="16"/>
                <w:b w:val="1"/>
                <w:bCs w:val="1"/>
                <w:color w:val="243782"/>
                <w:vertAlign w:val="subscript"/>
              </w:rPr>
              <w:t>-</w:t>
            </w:r>
          </w:p>
        </w:tc>
        <w:tc>
          <w:tcPr>
            <w:tcW w:w="2400" w:type="dxa"/>
            <w:vAlign w:val="bottom"/>
            <w:tcBorders>
              <w:right w:val="single" w:sz="8" w:color="4C639D"/>
            </w:tcBorders>
          </w:tcPr>
          <w:p>
            <w:pPr>
              <w:ind w:left="20"/>
              <w:spacing w:after="0" w:line="162" w:lineRule="exact"/>
              <w:rPr>
                <w:sz w:val="20"/>
                <w:szCs w:val="20"/>
                <w:color w:val="auto"/>
              </w:rPr>
            </w:pPr>
            <w:r>
              <w:rPr>
                <w:rFonts w:ascii="Arial" w:cs="Arial" w:eastAsia="Arial" w:hAnsi="Arial"/>
                <w:sz w:val="12"/>
                <w:szCs w:val="12"/>
                <w:color w:val="auto"/>
              </w:rPr>
              <w:t>Adjusted operating income margin</w:t>
            </w:r>
            <w:r>
              <w:rPr>
                <w:rFonts w:ascii="Arial" w:cs="Arial" w:eastAsia="Arial" w:hAnsi="Arial"/>
                <w:sz w:val="15"/>
                <w:szCs w:val="15"/>
                <w:color w:val="auto"/>
                <w:vertAlign w:val="superscript"/>
              </w:rPr>
              <w:t>(2)</w:t>
            </w:r>
          </w:p>
        </w:tc>
        <w:tc>
          <w:tcPr>
            <w:tcW w:w="780" w:type="dxa"/>
            <w:vAlign w:val="bottom"/>
            <w:tcBorders>
              <w:right w:val="single" w:sz="8" w:color="4C639D"/>
            </w:tcBorders>
          </w:tcPr>
          <w:p>
            <w:pPr>
              <w:jc w:val="center"/>
              <w:spacing w:after="0"/>
              <w:rPr>
                <w:sz w:val="20"/>
                <w:szCs w:val="20"/>
                <w:color w:val="auto"/>
              </w:rPr>
            </w:pPr>
            <w:r>
              <w:rPr>
                <w:rFonts w:ascii="Arial" w:cs="Arial" w:eastAsia="Arial" w:hAnsi="Arial"/>
                <w:sz w:val="12"/>
                <w:szCs w:val="12"/>
                <w:color w:val="auto"/>
                <w:w w:val="94"/>
              </w:rPr>
              <w:t>0.7%</w:t>
            </w:r>
          </w:p>
        </w:tc>
        <w:tc>
          <w:tcPr>
            <w:tcW w:w="100" w:type="dxa"/>
            <w:vAlign w:val="bottom"/>
            <w:tcBorders>
              <w:right w:val="single" w:sz="8" w:color="4C639D"/>
            </w:tcBorders>
          </w:tcPr>
          <w:p>
            <w:pPr>
              <w:spacing w:after="0"/>
              <w:rPr>
                <w:sz w:val="16"/>
                <w:szCs w:val="16"/>
                <w:color w:val="auto"/>
              </w:rPr>
            </w:pPr>
          </w:p>
        </w:tc>
        <w:tc>
          <w:tcPr>
            <w:tcW w:w="760" w:type="dxa"/>
            <w:vAlign w:val="bottom"/>
            <w:tcBorders>
              <w:right w:val="single" w:sz="8" w:color="4C639D"/>
            </w:tcBorders>
          </w:tcPr>
          <w:p>
            <w:pPr>
              <w:jc w:val="center"/>
              <w:ind w:right="2"/>
              <w:spacing w:after="0"/>
              <w:rPr>
                <w:sz w:val="20"/>
                <w:szCs w:val="20"/>
                <w:color w:val="auto"/>
              </w:rPr>
            </w:pPr>
            <w:r>
              <w:rPr>
                <w:rFonts w:ascii="Arial" w:cs="Arial" w:eastAsia="Arial" w:hAnsi="Arial"/>
                <w:sz w:val="12"/>
                <w:szCs w:val="12"/>
                <w:color w:val="auto"/>
                <w:w w:val="94"/>
              </w:rPr>
              <w:t>0.2%</w:t>
            </w:r>
          </w:p>
        </w:tc>
        <w:tc>
          <w:tcPr>
            <w:tcW w:w="80" w:type="dxa"/>
            <w:vAlign w:val="bottom"/>
            <w:tcBorders>
              <w:right w:val="single" w:sz="8" w:color="4C639D"/>
            </w:tcBorders>
          </w:tcPr>
          <w:p>
            <w:pPr>
              <w:spacing w:after="0"/>
              <w:rPr>
                <w:sz w:val="16"/>
                <w:szCs w:val="16"/>
                <w:color w:val="auto"/>
              </w:rPr>
            </w:pPr>
          </w:p>
        </w:tc>
        <w:tc>
          <w:tcPr>
            <w:tcW w:w="820" w:type="dxa"/>
            <w:vAlign w:val="bottom"/>
            <w:tcBorders>
              <w:bottom w:val="single" w:sz="8" w:color="F2F2F2"/>
              <w:right w:val="single" w:sz="8" w:color="4C639D"/>
            </w:tcBorders>
            <w:shd w:val="clear" w:color="auto" w:fill="F2F2F2"/>
          </w:tcPr>
          <w:p>
            <w:pPr>
              <w:ind w:left="200"/>
              <w:spacing w:after="0"/>
              <w:rPr>
                <w:sz w:val="20"/>
                <w:szCs w:val="20"/>
                <w:color w:val="auto"/>
              </w:rPr>
            </w:pPr>
            <w:r>
              <w:rPr>
                <w:rFonts w:ascii="Arial" w:cs="Arial" w:eastAsia="Arial" w:hAnsi="Arial"/>
                <w:sz w:val="12"/>
                <w:szCs w:val="12"/>
                <w:color w:val="auto"/>
              </w:rPr>
              <w:t>50 bps</w:t>
            </w:r>
          </w:p>
        </w:tc>
        <w:tc>
          <w:tcPr>
            <w:tcW w:w="80" w:type="dxa"/>
            <w:vAlign w:val="bottom"/>
            <w:tcBorders>
              <w:right w:val="single" w:sz="8" w:color="4C639D"/>
            </w:tcBorders>
          </w:tcPr>
          <w:p>
            <w:pPr>
              <w:spacing w:after="0"/>
              <w:rPr>
                <w:sz w:val="16"/>
                <w:szCs w:val="16"/>
                <w:color w:val="auto"/>
              </w:rPr>
            </w:pPr>
          </w:p>
        </w:tc>
        <w:tc>
          <w:tcPr>
            <w:tcW w:w="800" w:type="dxa"/>
            <w:vAlign w:val="bottom"/>
            <w:tcBorders>
              <w:right w:val="single" w:sz="8" w:color="4C639D"/>
            </w:tcBorders>
          </w:tcPr>
          <w:p>
            <w:pPr>
              <w:jc w:val="center"/>
              <w:ind w:right="2"/>
              <w:spacing w:after="0"/>
              <w:rPr>
                <w:sz w:val="20"/>
                <w:szCs w:val="20"/>
                <w:color w:val="auto"/>
              </w:rPr>
            </w:pPr>
            <w:r>
              <w:rPr>
                <w:rFonts w:ascii="Arial" w:cs="Arial" w:eastAsia="Arial" w:hAnsi="Arial"/>
                <w:sz w:val="12"/>
                <w:szCs w:val="12"/>
                <w:color w:val="auto"/>
                <w:w w:val="94"/>
              </w:rPr>
              <w:t>1.7%</w:t>
            </w:r>
          </w:p>
        </w:tc>
        <w:tc>
          <w:tcPr>
            <w:tcW w:w="80" w:type="dxa"/>
            <w:vAlign w:val="bottom"/>
            <w:tcBorders>
              <w:right w:val="single" w:sz="8" w:color="4C639D"/>
            </w:tcBorders>
          </w:tcPr>
          <w:p>
            <w:pPr>
              <w:spacing w:after="0"/>
              <w:rPr>
                <w:sz w:val="16"/>
                <w:szCs w:val="16"/>
                <w:color w:val="auto"/>
              </w:rPr>
            </w:pPr>
          </w:p>
        </w:tc>
        <w:tc>
          <w:tcPr>
            <w:tcW w:w="780" w:type="dxa"/>
            <w:vAlign w:val="bottom"/>
            <w:tcBorders>
              <w:right w:val="single" w:sz="8" w:color="4C639D"/>
            </w:tcBorders>
          </w:tcPr>
          <w:p>
            <w:pPr>
              <w:jc w:val="center"/>
              <w:spacing w:after="0"/>
              <w:rPr>
                <w:sz w:val="20"/>
                <w:szCs w:val="20"/>
                <w:color w:val="auto"/>
              </w:rPr>
            </w:pPr>
            <w:r>
              <w:rPr>
                <w:rFonts w:ascii="Arial" w:cs="Arial" w:eastAsia="Arial" w:hAnsi="Arial"/>
                <w:sz w:val="12"/>
                <w:szCs w:val="12"/>
                <w:color w:val="auto"/>
                <w:w w:val="94"/>
              </w:rPr>
              <w:t>0.6%</w:t>
            </w:r>
          </w:p>
        </w:tc>
        <w:tc>
          <w:tcPr>
            <w:tcW w:w="100" w:type="dxa"/>
            <w:vAlign w:val="bottom"/>
            <w:tcBorders>
              <w:right w:val="single" w:sz="8" w:color="4C639D"/>
            </w:tcBorders>
          </w:tcPr>
          <w:p>
            <w:pPr>
              <w:spacing w:after="0"/>
              <w:rPr>
                <w:sz w:val="16"/>
                <w:szCs w:val="16"/>
                <w:color w:val="auto"/>
              </w:rPr>
            </w:pPr>
          </w:p>
        </w:tc>
        <w:tc>
          <w:tcPr>
            <w:tcW w:w="800" w:type="dxa"/>
            <w:vAlign w:val="bottom"/>
            <w:tcBorders>
              <w:bottom w:val="single" w:sz="8" w:color="F2F2F2"/>
              <w:right w:val="single" w:sz="8" w:color="4C639D"/>
            </w:tcBorders>
            <w:shd w:val="clear" w:color="auto" w:fill="F2F2F2"/>
          </w:tcPr>
          <w:p>
            <w:pPr>
              <w:ind w:left="120"/>
              <w:spacing w:after="0"/>
              <w:rPr>
                <w:sz w:val="20"/>
                <w:szCs w:val="20"/>
                <w:color w:val="auto"/>
              </w:rPr>
            </w:pPr>
            <w:r>
              <w:rPr>
                <w:rFonts w:ascii="Arial" w:cs="Arial" w:eastAsia="Arial" w:hAnsi="Arial"/>
                <w:sz w:val="12"/>
                <w:szCs w:val="12"/>
                <w:color w:val="auto"/>
              </w:rPr>
              <w:t>110 bps</w:t>
            </w:r>
          </w:p>
        </w:tc>
        <w:tc>
          <w:tcPr>
            <w:tcW w:w="80" w:type="dxa"/>
            <w:vAlign w:val="bottom"/>
            <w:tcBorders>
              <w:right w:val="single" w:sz="8" w:color="4C639D"/>
            </w:tcBorders>
          </w:tcPr>
          <w:p>
            <w:pPr>
              <w:spacing w:after="0"/>
              <w:rPr>
                <w:sz w:val="16"/>
                <w:szCs w:val="16"/>
                <w:color w:val="auto"/>
              </w:rPr>
            </w:pPr>
          </w:p>
        </w:tc>
        <w:tc>
          <w:tcPr>
            <w:tcW w:w="2860" w:type="dxa"/>
            <w:vAlign w:val="bottom"/>
            <w:tcBorders>
              <w:right w:val="single" w:sz="8" w:color="4C639D"/>
            </w:tcBorders>
          </w:tcPr>
          <w:p>
            <w:pPr>
              <w:jc w:val="center"/>
              <w:spacing w:after="0" w:line="162" w:lineRule="exact"/>
              <w:rPr>
                <w:sz w:val="20"/>
                <w:szCs w:val="20"/>
                <w:color w:val="auto"/>
              </w:rPr>
            </w:pPr>
            <w:r>
              <w:rPr>
                <w:rFonts w:ascii="Arial" w:cs="Arial" w:eastAsia="Arial" w:hAnsi="Arial"/>
                <w:sz w:val="12"/>
                <w:szCs w:val="12"/>
                <w:b w:val="1"/>
                <w:bCs w:val="1"/>
                <w:color w:val="243782"/>
                <w:w w:val="96"/>
              </w:rPr>
              <w:t>Industrial free cash flows</w:t>
            </w:r>
            <w:r>
              <w:rPr>
                <w:rFonts w:ascii="Arial" w:cs="Arial" w:eastAsia="Arial" w:hAnsi="Arial"/>
                <w:sz w:val="15"/>
                <w:szCs w:val="15"/>
                <w:b w:val="1"/>
                <w:bCs w:val="1"/>
                <w:color w:val="243782"/>
                <w:w w:val="96"/>
                <w:vertAlign w:val="superscript"/>
              </w:rPr>
              <w:t>(3)</w:t>
            </w:r>
            <w:r>
              <w:rPr>
                <w:rFonts w:ascii="Arial" w:cs="Arial" w:eastAsia="Arial" w:hAnsi="Arial"/>
                <w:sz w:val="12"/>
                <w:szCs w:val="12"/>
                <w:b w:val="1"/>
                <w:bCs w:val="1"/>
                <w:color w:val="243782"/>
                <w:w w:val="96"/>
              </w:rPr>
              <w:t xml:space="preserve">: </w:t>
            </w:r>
            <w:r>
              <w:rPr>
                <w:rFonts w:ascii="Arial" w:cs="Arial" w:eastAsia="Arial" w:hAnsi="Arial"/>
                <w:sz w:val="12"/>
                <w:szCs w:val="12"/>
                <w:color w:val="243782"/>
                <w:w w:val="96"/>
              </w:rPr>
              <w:t>Improved Y-o-Y (incl.</w:t>
            </w:r>
          </w:p>
        </w:tc>
        <w:tc>
          <w:tcPr>
            <w:tcW w:w="0" w:type="dxa"/>
            <w:vAlign w:val="bottom"/>
          </w:tcPr>
          <w:p>
            <w:pPr>
              <w:spacing w:after="0"/>
              <w:rPr>
                <w:sz w:val="1"/>
                <w:szCs w:val="1"/>
                <w:color w:val="auto"/>
              </w:rPr>
            </w:pPr>
          </w:p>
        </w:tc>
      </w:tr>
      <w:tr>
        <w:trPr>
          <w:trHeight w:val="74"/>
        </w:trPr>
        <w:tc>
          <w:tcPr>
            <w:tcW w:w="200" w:type="dxa"/>
            <w:vAlign w:val="bottom"/>
            <w:tcBorders>
              <w:left w:val="single" w:sz="8" w:color="4C639D"/>
              <w:right w:val="single" w:sz="8" w:color="4C639D"/>
            </w:tcBorders>
          </w:tcPr>
          <w:p>
            <w:pPr>
              <w:jc w:val="right"/>
              <w:ind w:right="45"/>
              <w:spacing w:after="0" w:line="74" w:lineRule="exact"/>
              <w:rPr>
                <w:sz w:val="20"/>
                <w:szCs w:val="20"/>
                <w:color w:val="auto"/>
              </w:rPr>
            </w:pPr>
            <w:r>
              <w:rPr>
                <w:rFonts w:ascii="Arial" w:cs="Arial" w:eastAsia="Arial" w:hAnsi="Arial"/>
                <w:sz w:val="8"/>
                <w:szCs w:val="8"/>
                <w:b w:val="1"/>
                <w:bCs w:val="1"/>
                <w:color w:val="243782"/>
              </w:rPr>
              <w:t>G</w:t>
            </w:r>
          </w:p>
        </w:tc>
        <w:tc>
          <w:tcPr>
            <w:tcW w:w="2400" w:type="dxa"/>
            <w:vAlign w:val="bottom"/>
            <w:tcBorders>
              <w:top w:val="single" w:sz="8" w:color="DBDBDB"/>
              <w:right w:val="single" w:sz="8" w:color="4C639D"/>
            </w:tcBorders>
            <w:vMerge w:val="restart"/>
          </w:tcPr>
          <w:p>
            <w:pPr>
              <w:ind w:left="20"/>
              <w:spacing w:after="0"/>
              <w:rPr>
                <w:sz w:val="20"/>
                <w:szCs w:val="20"/>
                <w:color w:val="auto"/>
              </w:rPr>
            </w:pPr>
            <w:r>
              <w:rPr>
                <w:rFonts w:ascii="Arial" w:cs="Arial" w:eastAsia="Arial" w:hAnsi="Arial"/>
                <w:sz w:val="12"/>
                <w:szCs w:val="12"/>
                <w:color w:val="auto"/>
              </w:rPr>
              <w:t>Adjusted diluted EPS</w:t>
            </w:r>
            <w:r>
              <w:rPr>
                <w:rFonts w:ascii="Arial" w:cs="Arial" w:eastAsia="Arial" w:hAnsi="Arial"/>
                <w:sz w:val="15"/>
                <w:szCs w:val="15"/>
                <w:color w:val="auto"/>
                <w:vertAlign w:val="superscript"/>
              </w:rPr>
              <w:t>(5)</w:t>
            </w:r>
          </w:p>
        </w:tc>
        <w:tc>
          <w:tcPr>
            <w:tcW w:w="780" w:type="dxa"/>
            <w:vAlign w:val="bottom"/>
            <w:tcBorders>
              <w:top w:val="single" w:sz="8" w:color="DBDBDB"/>
              <w:right w:val="single" w:sz="8" w:color="4C639D"/>
            </w:tcBorders>
            <w:vMerge w:val="restart"/>
          </w:tcPr>
          <w:p>
            <w:pPr>
              <w:jc w:val="center"/>
              <w:spacing w:after="0"/>
              <w:rPr>
                <w:sz w:val="20"/>
                <w:szCs w:val="20"/>
                <w:color w:val="auto"/>
              </w:rPr>
            </w:pPr>
            <w:r>
              <w:rPr>
                <w:rFonts w:ascii="Arial" w:cs="Arial" w:eastAsia="Arial" w:hAnsi="Arial"/>
                <w:sz w:val="12"/>
                <w:szCs w:val="12"/>
                <w:color w:val="auto"/>
                <w:w w:val="95"/>
              </w:rPr>
              <w:t>(0.01)</w:t>
            </w:r>
          </w:p>
        </w:tc>
        <w:tc>
          <w:tcPr>
            <w:tcW w:w="100" w:type="dxa"/>
            <w:vAlign w:val="bottom"/>
            <w:tcBorders>
              <w:top w:val="single" w:sz="8" w:color="DBDBDB"/>
              <w:right w:val="single" w:sz="8" w:color="4C639D"/>
            </w:tcBorders>
          </w:tcPr>
          <w:p>
            <w:pPr>
              <w:spacing w:after="0"/>
              <w:rPr>
                <w:sz w:val="6"/>
                <w:szCs w:val="6"/>
                <w:color w:val="auto"/>
              </w:rPr>
            </w:pPr>
          </w:p>
        </w:tc>
        <w:tc>
          <w:tcPr>
            <w:tcW w:w="760" w:type="dxa"/>
            <w:vAlign w:val="bottom"/>
            <w:tcBorders>
              <w:top w:val="single" w:sz="8" w:color="DBDBDB"/>
              <w:right w:val="single" w:sz="8" w:color="4C639D"/>
            </w:tcBorders>
            <w:vMerge w:val="restart"/>
          </w:tcPr>
          <w:p>
            <w:pPr>
              <w:jc w:val="center"/>
              <w:ind w:right="2"/>
              <w:spacing w:after="0"/>
              <w:rPr>
                <w:sz w:val="20"/>
                <w:szCs w:val="20"/>
                <w:color w:val="auto"/>
              </w:rPr>
            </w:pPr>
            <w:r>
              <w:rPr>
                <w:rFonts w:ascii="Arial" w:cs="Arial" w:eastAsia="Arial" w:hAnsi="Arial"/>
                <w:sz w:val="12"/>
                <w:szCs w:val="12"/>
                <w:color w:val="auto"/>
                <w:w w:val="95"/>
              </w:rPr>
              <w:t>(0.04)</w:t>
            </w:r>
          </w:p>
        </w:tc>
        <w:tc>
          <w:tcPr>
            <w:tcW w:w="80" w:type="dxa"/>
            <w:vAlign w:val="bottom"/>
            <w:tcBorders>
              <w:top w:val="single" w:sz="8" w:color="DBDBDB"/>
              <w:right w:val="single" w:sz="8" w:color="4C639D"/>
            </w:tcBorders>
          </w:tcPr>
          <w:p>
            <w:pPr>
              <w:spacing w:after="0"/>
              <w:rPr>
                <w:sz w:val="6"/>
                <w:szCs w:val="6"/>
                <w:color w:val="auto"/>
              </w:rPr>
            </w:pPr>
          </w:p>
        </w:tc>
        <w:tc>
          <w:tcPr>
            <w:tcW w:w="820" w:type="dxa"/>
            <w:vAlign w:val="bottom"/>
            <w:tcBorders>
              <w:top w:val="single" w:sz="8" w:color="DBDBDB"/>
              <w:right w:val="single" w:sz="8" w:color="4C639D"/>
            </w:tcBorders>
            <w:vMerge w:val="restart"/>
            <w:shd w:val="clear" w:color="auto" w:fill="F2F2F2"/>
          </w:tcPr>
          <w:p>
            <w:pPr>
              <w:jc w:val="center"/>
              <w:spacing w:after="0"/>
              <w:rPr>
                <w:sz w:val="20"/>
                <w:szCs w:val="20"/>
                <w:color w:val="auto"/>
              </w:rPr>
            </w:pPr>
            <w:r>
              <w:rPr>
                <w:rFonts w:ascii="Arial" w:cs="Arial" w:eastAsia="Arial" w:hAnsi="Arial"/>
                <w:sz w:val="12"/>
                <w:szCs w:val="12"/>
                <w:color w:val="auto"/>
                <w:w w:val="96"/>
              </w:rPr>
              <w:t>+75%</w:t>
            </w:r>
          </w:p>
        </w:tc>
        <w:tc>
          <w:tcPr>
            <w:tcW w:w="80" w:type="dxa"/>
            <w:vAlign w:val="bottom"/>
            <w:tcBorders>
              <w:top w:val="single" w:sz="8" w:color="DBDBDB"/>
              <w:right w:val="single" w:sz="8" w:color="4C639D"/>
            </w:tcBorders>
          </w:tcPr>
          <w:p>
            <w:pPr>
              <w:spacing w:after="0"/>
              <w:rPr>
                <w:sz w:val="6"/>
                <w:szCs w:val="6"/>
                <w:color w:val="auto"/>
              </w:rPr>
            </w:pPr>
          </w:p>
        </w:tc>
        <w:tc>
          <w:tcPr>
            <w:tcW w:w="800" w:type="dxa"/>
            <w:vAlign w:val="bottom"/>
            <w:tcBorders>
              <w:top w:val="single" w:sz="8" w:color="DBDBDB"/>
              <w:right w:val="single" w:sz="8" w:color="4C639D"/>
            </w:tcBorders>
            <w:vMerge w:val="restart"/>
          </w:tcPr>
          <w:p>
            <w:pPr>
              <w:jc w:val="center"/>
              <w:ind w:right="2"/>
              <w:spacing w:after="0"/>
              <w:rPr>
                <w:sz w:val="20"/>
                <w:szCs w:val="20"/>
                <w:color w:val="auto"/>
              </w:rPr>
            </w:pPr>
            <w:r>
              <w:rPr>
                <w:rFonts w:ascii="Arial" w:cs="Arial" w:eastAsia="Arial" w:hAnsi="Arial"/>
                <w:sz w:val="12"/>
                <w:szCs w:val="12"/>
                <w:color w:val="auto"/>
                <w:w w:val="93"/>
              </w:rPr>
              <w:t>0.31</w:t>
            </w:r>
          </w:p>
        </w:tc>
        <w:tc>
          <w:tcPr>
            <w:tcW w:w="80" w:type="dxa"/>
            <w:vAlign w:val="bottom"/>
            <w:tcBorders>
              <w:top w:val="single" w:sz="8" w:color="DBDBDB"/>
              <w:right w:val="single" w:sz="8" w:color="4C639D"/>
            </w:tcBorders>
          </w:tcPr>
          <w:p>
            <w:pPr>
              <w:spacing w:after="0"/>
              <w:rPr>
                <w:sz w:val="6"/>
                <w:szCs w:val="6"/>
                <w:color w:val="auto"/>
              </w:rPr>
            </w:pPr>
          </w:p>
        </w:tc>
        <w:tc>
          <w:tcPr>
            <w:tcW w:w="780" w:type="dxa"/>
            <w:vAlign w:val="bottom"/>
            <w:tcBorders>
              <w:top w:val="single" w:sz="8" w:color="DBDBDB"/>
              <w:right w:val="single" w:sz="8" w:color="4C639D"/>
            </w:tcBorders>
            <w:vMerge w:val="restart"/>
          </w:tcPr>
          <w:p>
            <w:pPr>
              <w:jc w:val="center"/>
              <w:spacing w:after="0"/>
              <w:rPr>
                <w:sz w:val="20"/>
                <w:szCs w:val="20"/>
                <w:color w:val="auto"/>
              </w:rPr>
            </w:pPr>
            <w:r>
              <w:rPr>
                <w:rFonts w:ascii="Arial" w:cs="Arial" w:eastAsia="Arial" w:hAnsi="Arial"/>
                <w:sz w:val="12"/>
                <w:szCs w:val="12"/>
                <w:color w:val="auto"/>
                <w:w w:val="93"/>
              </w:rPr>
              <w:t>0.14</w:t>
            </w:r>
          </w:p>
        </w:tc>
        <w:tc>
          <w:tcPr>
            <w:tcW w:w="100" w:type="dxa"/>
            <w:vAlign w:val="bottom"/>
            <w:tcBorders>
              <w:top w:val="single" w:sz="8" w:color="DBDBDB"/>
              <w:right w:val="single" w:sz="8" w:color="4C639D"/>
            </w:tcBorders>
          </w:tcPr>
          <w:p>
            <w:pPr>
              <w:spacing w:after="0"/>
              <w:rPr>
                <w:sz w:val="6"/>
                <w:szCs w:val="6"/>
                <w:color w:val="auto"/>
              </w:rPr>
            </w:pPr>
          </w:p>
        </w:tc>
        <w:tc>
          <w:tcPr>
            <w:tcW w:w="800" w:type="dxa"/>
            <w:vAlign w:val="bottom"/>
            <w:tcBorders>
              <w:top w:val="single" w:sz="8" w:color="DBDBDB"/>
              <w:right w:val="single" w:sz="8" w:color="4C639D"/>
            </w:tcBorders>
            <w:vMerge w:val="restart"/>
            <w:shd w:val="clear" w:color="auto" w:fill="F2F2F2"/>
          </w:tcPr>
          <w:p>
            <w:pPr>
              <w:jc w:val="center"/>
              <w:spacing w:after="0"/>
              <w:rPr>
                <w:sz w:val="20"/>
                <w:szCs w:val="20"/>
                <w:color w:val="auto"/>
              </w:rPr>
            </w:pPr>
            <w:r>
              <w:rPr>
                <w:rFonts w:ascii="Arial" w:cs="Arial" w:eastAsia="Arial" w:hAnsi="Arial"/>
                <w:sz w:val="12"/>
                <w:szCs w:val="12"/>
                <w:color w:val="auto"/>
                <w:w w:val="95"/>
              </w:rPr>
              <w:t>+121%</w:t>
            </w:r>
          </w:p>
        </w:tc>
        <w:tc>
          <w:tcPr>
            <w:tcW w:w="80" w:type="dxa"/>
            <w:vAlign w:val="bottom"/>
            <w:tcBorders>
              <w:right w:val="single" w:sz="8" w:color="4C639D"/>
            </w:tcBorders>
          </w:tcPr>
          <w:p>
            <w:pPr>
              <w:spacing w:after="0"/>
              <w:rPr>
                <w:sz w:val="6"/>
                <w:szCs w:val="6"/>
                <w:color w:val="auto"/>
              </w:rPr>
            </w:pPr>
          </w:p>
        </w:tc>
        <w:tc>
          <w:tcPr>
            <w:tcW w:w="2860" w:type="dxa"/>
            <w:vAlign w:val="bottom"/>
            <w:tcBorders>
              <w:right w:val="single" w:sz="8" w:color="4C639D"/>
            </w:tcBorders>
          </w:tcPr>
          <w:p>
            <w:pPr>
              <w:jc w:val="center"/>
              <w:spacing w:after="0" w:line="74" w:lineRule="exact"/>
              <w:rPr>
                <w:sz w:val="20"/>
                <w:szCs w:val="20"/>
                <w:color w:val="auto"/>
              </w:rPr>
            </w:pPr>
            <w:r>
              <w:rPr>
                <w:rFonts w:ascii="MS PGothic" w:cs="MS PGothic" w:eastAsia="MS PGothic" w:hAnsi="MS PGothic"/>
                <w:sz w:val="8"/>
                <w:szCs w:val="8"/>
                <w:color w:val="243782"/>
              </w:rPr>
              <w:t>∼</w:t>
            </w:r>
            <w:r>
              <w:rPr>
                <w:rFonts w:ascii="Arial" w:cs="Arial" w:eastAsia="Arial" w:hAnsi="Arial"/>
                <w:sz w:val="8"/>
                <w:szCs w:val="8"/>
                <w:color w:val="243782"/>
              </w:rPr>
              <w:t>€1.6B in cash payments related to H2 '25 charges)</w:t>
            </w:r>
          </w:p>
        </w:tc>
        <w:tc>
          <w:tcPr>
            <w:tcW w:w="0" w:type="dxa"/>
            <w:vAlign w:val="bottom"/>
          </w:tcPr>
          <w:p>
            <w:pPr>
              <w:spacing w:after="0"/>
              <w:rPr>
                <w:sz w:val="1"/>
                <w:szCs w:val="1"/>
                <w:color w:val="auto"/>
              </w:rPr>
            </w:pPr>
          </w:p>
        </w:tc>
      </w:tr>
      <w:tr>
        <w:trPr>
          <w:trHeight w:val="142"/>
        </w:trPr>
        <w:tc>
          <w:tcPr>
            <w:tcW w:w="200" w:type="dxa"/>
            <w:vAlign w:val="bottom"/>
            <w:tcBorders>
              <w:left w:val="single" w:sz="8" w:color="4C639D"/>
              <w:right w:val="single" w:sz="8" w:color="4C639D"/>
            </w:tcBorders>
          </w:tcPr>
          <w:p>
            <w:pPr>
              <w:jc w:val="right"/>
              <w:ind w:right="45"/>
              <w:spacing w:after="0"/>
              <w:rPr>
                <w:sz w:val="20"/>
                <w:szCs w:val="20"/>
                <w:color w:val="auto"/>
              </w:rPr>
            </w:pPr>
            <w:r>
              <w:rPr>
                <w:rFonts w:ascii="Arial" w:cs="Arial" w:eastAsia="Arial" w:hAnsi="Arial"/>
                <w:sz w:val="8"/>
                <w:szCs w:val="8"/>
                <w:b w:val="1"/>
                <w:bCs w:val="1"/>
                <w:color w:val="243782"/>
              </w:rPr>
              <w:t>A</w:t>
            </w:r>
          </w:p>
        </w:tc>
        <w:tc>
          <w:tcPr>
            <w:tcW w:w="2400" w:type="dxa"/>
            <w:vAlign w:val="bottom"/>
            <w:tcBorders>
              <w:right w:val="single" w:sz="8" w:color="4C639D"/>
            </w:tcBorders>
            <w:vMerge w:val="continue"/>
          </w:tcPr>
          <w:p>
            <w:pPr>
              <w:spacing w:after="0"/>
              <w:rPr>
                <w:sz w:val="12"/>
                <w:szCs w:val="12"/>
                <w:color w:val="auto"/>
              </w:rPr>
            </w:pPr>
          </w:p>
        </w:tc>
        <w:tc>
          <w:tcPr>
            <w:tcW w:w="780" w:type="dxa"/>
            <w:vAlign w:val="bottom"/>
            <w:tcBorders>
              <w:right w:val="single" w:sz="8" w:color="4C639D"/>
            </w:tcBorders>
            <w:vMerge w:val="continue"/>
          </w:tcPr>
          <w:p>
            <w:pPr>
              <w:spacing w:after="0"/>
              <w:rPr>
                <w:sz w:val="12"/>
                <w:szCs w:val="12"/>
                <w:color w:val="auto"/>
              </w:rPr>
            </w:pPr>
          </w:p>
        </w:tc>
        <w:tc>
          <w:tcPr>
            <w:tcW w:w="100" w:type="dxa"/>
            <w:vAlign w:val="bottom"/>
            <w:tcBorders>
              <w:right w:val="single" w:sz="8" w:color="4C639D"/>
            </w:tcBorders>
          </w:tcPr>
          <w:p>
            <w:pPr>
              <w:spacing w:after="0"/>
              <w:rPr>
                <w:sz w:val="12"/>
                <w:szCs w:val="12"/>
                <w:color w:val="auto"/>
              </w:rPr>
            </w:pPr>
          </w:p>
        </w:tc>
        <w:tc>
          <w:tcPr>
            <w:tcW w:w="760" w:type="dxa"/>
            <w:vAlign w:val="bottom"/>
            <w:tcBorders>
              <w:right w:val="single" w:sz="8" w:color="4C639D"/>
            </w:tcBorders>
            <w:vMerge w:val="continue"/>
          </w:tcPr>
          <w:p>
            <w:pPr>
              <w:spacing w:after="0"/>
              <w:rPr>
                <w:sz w:val="12"/>
                <w:szCs w:val="12"/>
                <w:color w:val="auto"/>
              </w:rPr>
            </w:pPr>
          </w:p>
        </w:tc>
        <w:tc>
          <w:tcPr>
            <w:tcW w:w="80" w:type="dxa"/>
            <w:vAlign w:val="bottom"/>
            <w:tcBorders>
              <w:right w:val="single" w:sz="8" w:color="4C639D"/>
            </w:tcBorders>
          </w:tcPr>
          <w:p>
            <w:pPr>
              <w:spacing w:after="0"/>
              <w:rPr>
                <w:sz w:val="12"/>
                <w:szCs w:val="12"/>
                <w:color w:val="auto"/>
              </w:rPr>
            </w:pPr>
          </w:p>
        </w:tc>
        <w:tc>
          <w:tcPr>
            <w:tcW w:w="820" w:type="dxa"/>
            <w:vAlign w:val="bottom"/>
            <w:tcBorders>
              <w:right w:val="single" w:sz="8" w:color="4C639D"/>
            </w:tcBorders>
            <w:vMerge w:val="continue"/>
            <w:shd w:val="clear" w:color="auto" w:fill="F2F2F2"/>
          </w:tcPr>
          <w:p>
            <w:pPr>
              <w:spacing w:after="0"/>
              <w:rPr>
                <w:sz w:val="12"/>
                <w:szCs w:val="12"/>
                <w:color w:val="auto"/>
              </w:rPr>
            </w:pPr>
          </w:p>
        </w:tc>
        <w:tc>
          <w:tcPr>
            <w:tcW w:w="80" w:type="dxa"/>
            <w:vAlign w:val="bottom"/>
            <w:tcBorders>
              <w:right w:val="single" w:sz="8" w:color="4C639D"/>
            </w:tcBorders>
          </w:tcPr>
          <w:p>
            <w:pPr>
              <w:spacing w:after="0"/>
              <w:rPr>
                <w:sz w:val="12"/>
                <w:szCs w:val="12"/>
                <w:color w:val="auto"/>
              </w:rPr>
            </w:pPr>
          </w:p>
        </w:tc>
        <w:tc>
          <w:tcPr>
            <w:tcW w:w="800" w:type="dxa"/>
            <w:vAlign w:val="bottom"/>
            <w:tcBorders>
              <w:right w:val="single" w:sz="8" w:color="4C639D"/>
            </w:tcBorders>
            <w:vMerge w:val="continue"/>
          </w:tcPr>
          <w:p>
            <w:pPr>
              <w:spacing w:after="0"/>
              <w:rPr>
                <w:sz w:val="12"/>
                <w:szCs w:val="12"/>
                <w:color w:val="auto"/>
              </w:rPr>
            </w:pPr>
          </w:p>
        </w:tc>
        <w:tc>
          <w:tcPr>
            <w:tcW w:w="80" w:type="dxa"/>
            <w:vAlign w:val="bottom"/>
            <w:tcBorders>
              <w:right w:val="single" w:sz="8" w:color="4C639D"/>
            </w:tcBorders>
          </w:tcPr>
          <w:p>
            <w:pPr>
              <w:spacing w:after="0"/>
              <w:rPr>
                <w:sz w:val="12"/>
                <w:szCs w:val="12"/>
                <w:color w:val="auto"/>
              </w:rPr>
            </w:pPr>
          </w:p>
        </w:tc>
        <w:tc>
          <w:tcPr>
            <w:tcW w:w="780" w:type="dxa"/>
            <w:vAlign w:val="bottom"/>
            <w:tcBorders>
              <w:right w:val="single" w:sz="8" w:color="4C639D"/>
            </w:tcBorders>
            <w:vMerge w:val="continue"/>
          </w:tcPr>
          <w:p>
            <w:pPr>
              <w:spacing w:after="0"/>
              <w:rPr>
                <w:sz w:val="12"/>
                <w:szCs w:val="12"/>
                <w:color w:val="auto"/>
              </w:rPr>
            </w:pPr>
          </w:p>
        </w:tc>
        <w:tc>
          <w:tcPr>
            <w:tcW w:w="100" w:type="dxa"/>
            <w:vAlign w:val="bottom"/>
            <w:tcBorders>
              <w:right w:val="single" w:sz="8" w:color="4C639D"/>
            </w:tcBorders>
          </w:tcPr>
          <w:p>
            <w:pPr>
              <w:spacing w:after="0"/>
              <w:rPr>
                <w:sz w:val="12"/>
                <w:szCs w:val="12"/>
                <w:color w:val="auto"/>
              </w:rPr>
            </w:pPr>
          </w:p>
        </w:tc>
        <w:tc>
          <w:tcPr>
            <w:tcW w:w="800" w:type="dxa"/>
            <w:vAlign w:val="bottom"/>
            <w:tcBorders>
              <w:right w:val="single" w:sz="8" w:color="4C639D"/>
            </w:tcBorders>
            <w:vMerge w:val="continue"/>
            <w:shd w:val="clear" w:color="auto" w:fill="F2F2F2"/>
          </w:tcPr>
          <w:p>
            <w:pPr>
              <w:spacing w:after="0"/>
              <w:rPr>
                <w:sz w:val="12"/>
                <w:szCs w:val="12"/>
                <w:color w:val="auto"/>
              </w:rPr>
            </w:pPr>
          </w:p>
        </w:tc>
        <w:tc>
          <w:tcPr>
            <w:tcW w:w="80" w:type="dxa"/>
            <w:vAlign w:val="bottom"/>
            <w:tcBorders>
              <w:right w:val="single" w:sz="8" w:color="4C639D"/>
            </w:tcBorders>
          </w:tcPr>
          <w:p>
            <w:pPr>
              <w:spacing w:after="0"/>
              <w:rPr>
                <w:sz w:val="12"/>
                <w:szCs w:val="12"/>
                <w:color w:val="auto"/>
              </w:rPr>
            </w:pPr>
          </w:p>
        </w:tc>
        <w:tc>
          <w:tcPr>
            <w:tcW w:w="2860" w:type="dxa"/>
            <w:vAlign w:val="bottom"/>
            <w:tcBorders>
              <w:right w:val="single" w:sz="8" w:color="4C639D"/>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4C639D"/>
              <w:right w:val="single" w:sz="8" w:color="4C639D"/>
            </w:tcBorders>
          </w:tcPr>
          <w:p>
            <w:pPr>
              <w:jc w:val="right"/>
              <w:ind w:right="45"/>
              <w:spacing w:after="0" w:line="7" w:lineRule="exact"/>
              <w:rPr>
                <w:sz w:val="20"/>
                <w:szCs w:val="20"/>
                <w:color w:val="auto"/>
              </w:rPr>
            </w:pPr>
            <w:r>
              <w:rPr>
                <w:rFonts w:ascii="Arial" w:cs="Arial" w:eastAsia="Arial" w:hAnsi="Arial"/>
                <w:sz w:val="1"/>
                <w:szCs w:val="1"/>
                <w:b w:val="1"/>
                <w:bCs w:val="1"/>
                <w:color w:val="243782"/>
              </w:rPr>
              <w:t>A</w:t>
            </w:r>
          </w:p>
        </w:tc>
        <w:tc>
          <w:tcPr>
            <w:tcW w:w="2400" w:type="dxa"/>
            <w:vAlign w:val="bottom"/>
            <w:tcBorders>
              <w:right w:val="single" w:sz="8" w:color="4C639D"/>
            </w:tcBorders>
            <w:shd w:val="clear" w:color="auto" w:fill="DBDBDB"/>
          </w:tcPr>
          <w:p>
            <w:pPr>
              <w:spacing w:after="0" w:line="20" w:lineRule="exact"/>
              <w:rPr>
                <w:sz w:val="1"/>
                <w:szCs w:val="1"/>
                <w:color w:val="auto"/>
              </w:rPr>
            </w:pPr>
          </w:p>
        </w:tc>
        <w:tc>
          <w:tcPr>
            <w:tcW w:w="780" w:type="dxa"/>
            <w:vAlign w:val="bottom"/>
            <w:tcBorders>
              <w:right w:val="single" w:sz="8" w:color="4C639D"/>
            </w:tcBorders>
            <w:shd w:val="clear" w:color="auto" w:fill="DBDBDB"/>
          </w:tcPr>
          <w:p>
            <w:pPr>
              <w:spacing w:after="0" w:line="20" w:lineRule="exact"/>
              <w:rPr>
                <w:sz w:val="1"/>
                <w:szCs w:val="1"/>
                <w:color w:val="auto"/>
              </w:rPr>
            </w:pPr>
          </w:p>
        </w:tc>
        <w:tc>
          <w:tcPr>
            <w:tcW w:w="100" w:type="dxa"/>
            <w:vAlign w:val="bottom"/>
            <w:tcBorders>
              <w:right w:val="single" w:sz="8" w:color="4C639D"/>
            </w:tcBorders>
            <w:shd w:val="clear" w:color="auto" w:fill="DBDBDB"/>
          </w:tcPr>
          <w:p>
            <w:pPr>
              <w:spacing w:after="0" w:line="20" w:lineRule="exact"/>
              <w:rPr>
                <w:sz w:val="1"/>
                <w:szCs w:val="1"/>
                <w:color w:val="auto"/>
              </w:rPr>
            </w:pPr>
          </w:p>
        </w:tc>
        <w:tc>
          <w:tcPr>
            <w:tcW w:w="760" w:type="dxa"/>
            <w:vAlign w:val="bottom"/>
            <w:tcBorders>
              <w:right w:val="single" w:sz="8" w:color="4C639D"/>
            </w:tcBorders>
            <w:shd w:val="clear" w:color="auto" w:fill="DBDBDB"/>
          </w:tcPr>
          <w:p>
            <w:pPr>
              <w:spacing w:after="0" w:line="20" w:lineRule="exact"/>
              <w:rPr>
                <w:sz w:val="1"/>
                <w:szCs w:val="1"/>
                <w:color w:val="auto"/>
              </w:rPr>
            </w:pPr>
          </w:p>
        </w:tc>
        <w:tc>
          <w:tcPr>
            <w:tcW w:w="80" w:type="dxa"/>
            <w:vAlign w:val="bottom"/>
            <w:tcBorders>
              <w:right w:val="single" w:sz="8" w:color="4C639D"/>
            </w:tcBorders>
            <w:shd w:val="clear" w:color="auto" w:fill="DBDBDB"/>
          </w:tcPr>
          <w:p>
            <w:pPr>
              <w:spacing w:after="0" w:line="20" w:lineRule="exact"/>
              <w:rPr>
                <w:sz w:val="1"/>
                <w:szCs w:val="1"/>
                <w:color w:val="auto"/>
              </w:rPr>
            </w:pPr>
          </w:p>
        </w:tc>
        <w:tc>
          <w:tcPr>
            <w:tcW w:w="820" w:type="dxa"/>
            <w:vAlign w:val="bottom"/>
            <w:tcBorders>
              <w:top w:val="single" w:sz="8" w:color="F2F2F2"/>
              <w:right w:val="single" w:sz="8" w:color="4C639D"/>
            </w:tcBorders>
            <w:shd w:val="clear" w:color="auto" w:fill="DBDBDB"/>
          </w:tcPr>
          <w:p>
            <w:pPr>
              <w:spacing w:after="0" w:line="20" w:lineRule="exact"/>
              <w:rPr>
                <w:sz w:val="1"/>
                <w:szCs w:val="1"/>
                <w:color w:val="auto"/>
              </w:rPr>
            </w:pPr>
          </w:p>
        </w:tc>
        <w:tc>
          <w:tcPr>
            <w:tcW w:w="80" w:type="dxa"/>
            <w:vAlign w:val="bottom"/>
            <w:tcBorders>
              <w:right w:val="single" w:sz="8" w:color="4C639D"/>
            </w:tcBorders>
            <w:shd w:val="clear" w:color="auto" w:fill="DBDBDB"/>
          </w:tcPr>
          <w:p>
            <w:pPr>
              <w:spacing w:after="0" w:line="20" w:lineRule="exact"/>
              <w:rPr>
                <w:sz w:val="1"/>
                <w:szCs w:val="1"/>
                <w:color w:val="auto"/>
              </w:rPr>
            </w:pPr>
          </w:p>
        </w:tc>
        <w:tc>
          <w:tcPr>
            <w:tcW w:w="800" w:type="dxa"/>
            <w:vAlign w:val="bottom"/>
            <w:tcBorders>
              <w:right w:val="single" w:sz="8" w:color="4C639D"/>
            </w:tcBorders>
            <w:shd w:val="clear" w:color="auto" w:fill="DBDBDB"/>
          </w:tcPr>
          <w:p>
            <w:pPr>
              <w:spacing w:after="0" w:line="20" w:lineRule="exact"/>
              <w:rPr>
                <w:sz w:val="1"/>
                <w:szCs w:val="1"/>
                <w:color w:val="auto"/>
              </w:rPr>
            </w:pPr>
          </w:p>
        </w:tc>
        <w:tc>
          <w:tcPr>
            <w:tcW w:w="80" w:type="dxa"/>
            <w:vAlign w:val="bottom"/>
            <w:tcBorders>
              <w:right w:val="single" w:sz="8" w:color="4C639D"/>
            </w:tcBorders>
            <w:shd w:val="clear" w:color="auto" w:fill="DBDBDB"/>
          </w:tcPr>
          <w:p>
            <w:pPr>
              <w:spacing w:after="0" w:line="20" w:lineRule="exact"/>
              <w:rPr>
                <w:sz w:val="1"/>
                <w:szCs w:val="1"/>
                <w:color w:val="auto"/>
              </w:rPr>
            </w:pPr>
          </w:p>
        </w:tc>
        <w:tc>
          <w:tcPr>
            <w:tcW w:w="780" w:type="dxa"/>
            <w:vAlign w:val="bottom"/>
            <w:tcBorders>
              <w:right w:val="single" w:sz="8" w:color="4C639D"/>
            </w:tcBorders>
            <w:shd w:val="clear" w:color="auto" w:fill="DBDBDB"/>
          </w:tcPr>
          <w:p>
            <w:pPr>
              <w:spacing w:after="0" w:line="20" w:lineRule="exact"/>
              <w:rPr>
                <w:sz w:val="1"/>
                <w:szCs w:val="1"/>
                <w:color w:val="auto"/>
              </w:rPr>
            </w:pPr>
          </w:p>
        </w:tc>
        <w:tc>
          <w:tcPr>
            <w:tcW w:w="100" w:type="dxa"/>
            <w:vAlign w:val="bottom"/>
            <w:tcBorders>
              <w:right w:val="single" w:sz="8" w:color="4C639D"/>
            </w:tcBorders>
            <w:shd w:val="clear" w:color="auto" w:fill="DBDBDB"/>
          </w:tcPr>
          <w:p>
            <w:pPr>
              <w:spacing w:after="0" w:line="20" w:lineRule="exact"/>
              <w:rPr>
                <w:sz w:val="1"/>
                <w:szCs w:val="1"/>
                <w:color w:val="auto"/>
              </w:rPr>
            </w:pPr>
          </w:p>
        </w:tc>
        <w:tc>
          <w:tcPr>
            <w:tcW w:w="800" w:type="dxa"/>
            <w:vAlign w:val="bottom"/>
            <w:tcBorders>
              <w:top w:val="single" w:sz="8" w:color="F2F2F2"/>
              <w:right w:val="single" w:sz="8" w:color="4C639D"/>
            </w:tcBorders>
            <w:shd w:val="clear" w:color="auto" w:fill="DBDBDB"/>
          </w:tcPr>
          <w:p>
            <w:pPr>
              <w:spacing w:after="0" w:line="20" w:lineRule="exact"/>
              <w:rPr>
                <w:sz w:val="1"/>
                <w:szCs w:val="1"/>
                <w:color w:val="auto"/>
              </w:rPr>
            </w:pPr>
          </w:p>
        </w:tc>
        <w:tc>
          <w:tcPr>
            <w:tcW w:w="80" w:type="dxa"/>
            <w:vAlign w:val="bottom"/>
            <w:tcBorders>
              <w:right w:val="single" w:sz="8" w:color="4C639D"/>
            </w:tcBorders>
          </w:tcPr>
          <w:p>
            <w:pPr>
              <w:spacing w:after="0" w:line="20" w:lineRule="exact"/>
              <w:rPr>
                <w:sz w:val="1"/>
                <w:szCs w:val="1"/>
                <w:color w:val="auto"/>
              </w:rPr>
            </w:pPr>
          </w:p>
        </w:tc>
        <w:tc>
          <w:tcPr>
            <w:tcW w:w="2860" w:type="dxa"/>
            <w:vAlign w:val="bottom"/>
            <w:tcBorders>
              <w:right w:val="single" w:sz="8" w:color="4C639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tcBorders>
              <w:left w:val="single" w:sz="8" w:color="4C639D"/>
              <w:bottom w:val="single" w:sz="8" w:color="4C639D"/>
              <w:right w:val="single" w:sz="8" w:color="4C639D"/>
            </w:tcBorders>
          </w:tcPr>
          <w:p>
            <w:pPr>
              <w:jc w:val="right"/>
              <w:ind w:right="45"/>
              <w:spacing w:after="0"/>
              <w:rPr>
                <w:sz w:val="20"/>
                <w:szCs w:val="20"/>
                <w:color w:val="auto"/>
              </w:rPr>
            </w:pPr>
            <w:r>
              <w:rPr>
                <w:rFonts w:ascii="Arial" w:cs="Arial" w:eastAsia="Arial" w:hAnsi="Arial"/>
                <w:sz w:val="8"/>
                <w:szCs w:val="8"/>
                <w:b w:val="1"/>
                <w:bCs w:val="1"/>
                <w:color w:val="243782"/>
              </w:rPr>
              <w:t>P</w:t>
            </w:r>
          </w:p>
        </w:tc>
        <w:tc>
          <w:tcPr>
            <w:tcW w:w="2400" w:type="dxa"/>
            <w:vAlign w:val="bottom"/>
            <w:tcBorders>
              <w:bottom w:val="single" w:sz="8" w:color="4C639D"/>
              <w:right w:val="single" w:sz="8" w:color="4C639D"/>
            </w:tcBorders>
          </w:tcPr>
          <w:p>
            <w:pPr>
              <w:ind w:left="20"/>
              <w:spacing w:after="0"/>
              <w:rPr>
                <w:sz w:val="20"/>
                <w:szCs w:val="20"/>
                <w:color w:val="auto"/>
              </w:rPr>
            </w:pPr>
            <w:r>
              <w:rPr>
                <w:rFonts w:ascii="Arial" w:cs="Arial" w:eastAsia="Arial" w:hAnsi="Arial"/>
                <w:sz w:val="12"/>
                <w:szCs w:val="12"/>
                <w:color w:val="auto"/>
              </w:rPr>
              <w:t>Industrial free cash flows</w:t>
            </w:r>
            <w:r>
              <w:rPr>
                <w:rFonts w:ascii="Arial" w:cs="Arial" w:eastAsia="Arial" w:hAnsi="Arial"/>
                <w:sz w:val="15"/>
                <w:szCs w:val="15"/>
                <w:color w:val="auto"/>
                <w:vertAlign w:val="superscript"/>
              </w:rPr>
              <w:t>(3)</w:t>
            </w:r>
          </w:p>
        </w:tc>
        <w:tc>
          <w:tcPr>
            <w:tcW w:w="780" w:type="dxa"/>
            <w:vAlign w:val="bottom"/>
            <w:tcBorders>
              <w:bottom w:val="single" w:sz="8" w:color="4C639D"/>
              <w:right w:val="single" w:sz="8" w:color="4C639D"/>
            </w:tcBorders>
          </w:tcPr>
          <w:p>
            <w:pPr>
              <w:jc w:val="center"/>
              <w:spacing w:after="0"/>
              <w:rPr>
                <w:sz w:val="20"/>
                <w:szCs w:val="20"/>
                <w:color w:val="auto"/>
              </w:rPr>
            </w:pPr>
            <w:r>
              <w:rPr>
                <w:rFonts w:ascii="Arial" w:cs="Arial" w:eastAsia="Arial" w:hAnsi="Arial"/>
                <w:sz w:val="12"/>
                <w:szCs w:val="12"/>
                <w:color w:val="auto"/>
                <w:w w:val="99"/>
              </w:rPr>
              <w:t>(4,009)</w:t>
            </w:r>
          </w:p>
        </w:tc>
        <w:tc>
          <w:tcPr>
            <w:tcW w:w="100" w:type="dxa"/>
            <w:vAlign w:val="bottom"/>
            <w:tcBorders>
              <w:bottom w:val="single" w:sz="8" w:color="4C639D"/>
              <w:right w:val="single" w:sz="8" w:color="4C639D"/>
            </w:tcBorders>
          </w:tcPr>
          <w:p>
            <w:pPr>
              <w:spacing w:after="0"/>
              <w:rPr>
                <w:sz w:val="20"/>
                <w:szCs w:val="20"/>
                <w:color w:val="auto"/>
              </w:rPr>
            </w:pPr>
          </w:p>
        </w:tc>
        <w:tc>
          <w:tcPr>
            <w:tcW w:w="760" w:type="dxa"/>
            <w:vAlign w:val="bottom"/>
            <w:tcBorders>
              <w:bottom w:val="single" w:sz="8" w:color="4C639D"/>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(4,304)</w:t>
            </w:r>
          </w:p>
        </w:tc>
        <w:tc>
          <w:tcPr>
            <w:tcW w:w="80" w:type="dxa"/>
            <w:vAlign w:val="bottom"/>
            <w:tcBorders>
              <w:bottom w:val="single" w:sz="8" w:color="4C639D"/>
              <w:right w:val="single" w:sz="8" w:color="4C639D"/>
            </w:tcBorders>
          </w:tcPr>
          <w:p>
            <w:pPr>
              <w:spacing w:after="0"/>
              <w:rPr>
                <w:sz w:val="20"/>
                <w:szCs w:val="20"/>
                <w:color w:val="auto"/>
              </w:rPr>
            </w:pPr>
          </w:p>
        </w:tc>
        <w:tc>
          <w:tcPr>
            <w:tcW w:w="820" w:type="dxa"/>
            <w:vAlign w:val="bottom"/>
            <w:tcBorders>
              <w:bottom w:val="single" w:sz="8" w:color="4C639D"/>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w w:val="90"/>
              </w:rPr>
              <w:t>+7%</w:t>
            </w:r>
          </w:p>
        </w:tc>
        <w:tc>
          <w:tcPr>
            <w:tcW w:w="80" w:type="dxa"/>
            <w:vAlign w:val="bottom"/>
            <w:tcBorders>
              <w:bottom w:val="single" w:sz="8" w:color="4C639D"/>
              <w:right w:val="single" w:sz="8" w:color="4C639D"/>
            </w:tcBorders>
          </w:tcPr>
          <w:p>
            <w:pPr>
              <w:spacing w:after="0"/>
              <w:rPr>
                <w:sz w:val="20"/>
                <w:szCs w:val="20"/>
                <w:color w:val="auto"/>
              </w:rPr>
            </w:pPr>
          </w:p>
        </w:tc>
        <w:tc>
          <w:tcPr>
            <w:tcW w:w="800" w:type="dxa"/>
            <w:vAlign w:val="bottom"/>
            <w:tcBorders>
              <w:bottom w:val="single" w:sz="8" w:color="4C639D"/>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(4,930)</w:t>
            </w:r>
          </w:p>
        </w:tc>
        <w:tc>
          <w:tcPr>
            <w:tcW w:w="80" w:type="dxa"/>
            <w:vAlign w:val="bottom"/>
            <w:tcBorders>
              <w:bottom w:val="single" w:sz="8" w:color="4C639D"/>
              <w:right w:val="single" w:sz="8" w:color="4C639D"/>
            </w:tcBorders>
          </w:tcPr>
          <w:p>
            <w:pPr>
              <w:spacing w:after="0"/>
              <w:rPr>
                <w:sz w:val="20"/>
                <w:szCs w:val="20"/>
                <w:color w:val="auto"/>
              </w:rPr>
            </w:pPr>
          </w:p>
        </w:tc>
        <w:tc>
          <w:tcPr>
            <w:tcW w:w="780" w:type="dxa"/>
            <w:vAlign w:val="bottom"/>
            <w:tcBorders>
              <w:bottom w:val="single" w:sz="8" w:color="4C639D"/>
              <w:right w:val="single" w:sz="8" w:color="4C639D"/>
            </w:tcBorders>
          </w:tcPr>
          <w:p>
            <w:pPr>
              <w:jc w:val="center"/>
              <w:spacing w:after="0"/>
              <w:rPr>
                <w:sz w:val="20"/>
                <w:szCs w:val="20"/>
                <w:color w:val="auto"/>
              </w:rPr>
            </w:pPr>
            <w:r>
              <w:rPr>
                <w:rFonts w:ascii="Arial" w:cs="Arial" w:eastAsia="Arial" w:hAnsi="Arial"/>
                <w:sz w:val="12"/>
                <w:szCs w:val="12"/>
                <w:color w:val="auto"/>
                <w:w w:val="99"/>
              </w:rPr>
              <w:t>(7,309)</w:t>
            </w:r>
          </w:p>
        </w:tc>
        <w:tc>
          <w:tcPr>
            <w:tcW w:w="100" w:type="dxa"/>
            <w:vAlign w:val="bottom"/>
            <w:tcBorders>
              <w:bottom w:val="single" w:sz="8" w:color="4C639D"/>
              <w:right w:val="single" w:sz="8" w:color="4C639D"/>
            </w:tcBorders>
          </w:tcPr>
          <w:p>
            <w:pPr>
              <w:spacing w:after="0"/>
              <w:rPr>
                <w:sz w:val="20"/>
                <w:szCs w:val="20"/>
                <w:color w:val="auto"/>
              </w:rPr>
            </w:pPr>
          </w:p>
        </w:tc>
        <w:tc>
          <w:tcPr>
            <w:tcW w:w="800" w:type="dxa"/>
            <w:vAlign w:val="bottom"/>
            <w:tcBorders>
              <w:bottom w:val="single" w:sz="8" w:color="4C639D"/>
              <w:right w:val="single" w:sz="8" w:color="4C639D"/>
            </w:tcBorders>
            <w:shd w:val="clear" w:color="auto" w:fill="F2F2F2"/>
          </w:tcPr>
          <w:p>
            <w:pPr>
              <w:jc w:val="center"/>
              <w:ind w:right="2"/>
              <w:spacing w:after="0"/>
              <w:rPr>
                <w:sz w:val="20"/>
                <w:szCs w:val="20"/>
                <w:color w:val="auto"/>
              </w:rPr>
            </w:pPr>
            <w:r>
              <w:rPr>
                <w:rFonts w:ascii="Arial" w:cs="Arial" w:eastAsia="Arial" w:hAnsi="Arial"/>
                <w:sz w:val="12"/>
                <w:szCs w:val="12"/>
                <w:color w:val="auto"/>
                <w:w w:val="96"/>
              </w:rPr>
              <w:t>+33%</w:t>
            </w:r>
          </w:p>
        </w:tc>
        <w:tc>
          <w:tcPr>
            <w:tcW w:w="80" w:type="dxa"/>
            <w:vAlign w:val="bottom"/>
            <w:tcBorders>
              <w:right w:val="single" w:sz="8" w:color="4C639D"/>
            </w:tcBorders>
          </w:tcPr>
          <w:p>
            <w:pPr>
              <w:spacing w:after="0"/>
              <w:rPr>
                <w:sz w:val="20"/>
                <w:szCs w:val="20"/>
                <w:color w:val="auto"/>
              </w:rPr>
            </w:pPr>
          </w:p>
        </w:tc>
        <w:tc>
          <w:tcPr>
            <w:tcW w:w="2860" w:type="dxa"/>
            <w:vAlign w:val="bottom"/>
            <w:tcBorders>
              <w:right w:val="single" w:sz="8" w:color="4C639D"/>
            </w:tcBorders>
          </w:tcPr>
          <w:p>
            <w:pPr>
              <w:jc w:val="center"/>
              <w:spacing w:after="0"/>
              <w:rPr>
                <w:sz w:val="20"/>
                <w:szCs w:val="20"/>
                <w:color w:val="auto"/>
              </w:rPr>
            </w:pPr>
            <w:r>
              <w:rPr>
                <w:rFonts w:ascii="Arial" w:cs="Arial" w:eastAsia="Arial" w:hAnsi="Arial"/>
                <w:sz w:val="11"/>
                <w:szCs w:val="11"/>
                <w:b w:val="1"/>
                <w:bCs w:val="1"/>
                <w:color w:val="243782"/>
                <w:w w:val="96"/>
              </w:rPr>
              <w:t>Expect positive Industrial free cash flows</w:t>
            </w:r>
            <w:r>
              <w:rPr>
                <w:rFonts w:ascii="Arial" w:cs="Arial" w:eastAsia="Arial" w:hAnsi="Arial"/>
                <w:sz w:val="14"/>
                <w:szCs w:val="14"/>
                <w:b w:val="1"/>
                <w:bCs w:val="1"/>
                <w:color w:val="243782"/>
                <w:w w:val="96"/>
                <w:vertAlign w:val="superscript"/>
              </w:rPr>
              <w:t>(3)</w:t>
            </w:r>
            <w:r>
              <w:rPr>
                <w:rFonts w:ascii="Arial" w:cs="Arial" w:eastAsia="Arial" w:hAnsi="Arial"/>
                <w:sz w:val="11"/>
                <w:szCs w:val="11"/>
                <w:b w:val="1"/>
                <w:bCs w:val="1"/>
                <w:color w:val="243782"/>
                <w:w w:val="96"/>
              </w:rPr>
              <w:t xml:space="preserve"> in 2027</w:t>
            </w:r>
          </w:p>
        </w:tc>
        <w:tc>
          <w:tcPr>
            <w:tcW w:w="0" w:type="dxa"/>
            <w:vAlign w:val="bottom"/>
          </w:tcPr>
          <w:p>
            <w:pPr>
              <w:spacing w:after="0"/>
              <w:rPr>
                <w:sz w:val="1"/>
                <w:szCs w:val="1"/>
                <w:color w:val="auto"/>
              </w:rPr>
            </w:pPr>
          </w:p>
        </w:tc>
      </w:tr>
      <w:tr>
        <w:trPr>
          <w:trHeight w:val="196"/>
        </w:trPr>
        <w:tc>
          <w:tcPr>
            <w:tcW w:w="200" w:type="dxa"/>
            <w:vAlign w:val="bottom"/>
            <w:tcBorders>
              <w:left w:val="single" w:sz="8" w:color="4C639D"/>
              <w:right w:val="single" w:sz="8" w:color="4C639D"/>
            </w:tcBorders>
          </w:tcPr>
          <w:p>
            <w:pPr>
              <w:spacing w:after="0"/>
              <w:rPr>
                <w:sz w:val="17"/>
                <w:szCs w:val="17"/>
                <w:color w:val="auto"/>
              </w:rPr>
            </w:pPr>
          </w:p>
        </w:tc>
        <w:tc>
          <w:tcPr>
            <w:tcW w:w="2400" w:type="dxa"/>
            <w:vAlign w:val="bottom"/>
            <w:tcBorders>
              <w:bottom w:val="single" w:sz="8" w:color="DBDBDB"/>
              <w:right w:val="single" w:sz="8" w:color="4C639D"/>
            </w:tcBorders>
          </w:tcPr>
          <w:p>
            <w:pPr>
              <w:ind w:left="20"/>
              <w:spacing w:after="0"/>
              <w:rPr>
                <w:sz w:val="20"/>
                <w:szCs w:val="20"/>
                <w:color w:val="auto"/>
              </w:rPr>
            </w:pPr>
            <w:r>
              <w:rPr>
                <w:rFonts w:ascii="Arial" w:cs="Arial" w:eastAsia="Arial" w:hAnsi="Arial"/>
                <w:sz w:val="12"/>
                <w:szCs w:val="12"/>
                <w:color w:val="auto"/>
              </w:rPr>
              <w:t>Consolidated shipments</w:t>
            </w:r>
            <w:r>
              <w:rPr>
                <w:rFonts w:ascii="Arial" w:cs="Arial" w:eastAsia="Arial" w:hAnsi="Arial"/>
                <w:sz w:val="15"/>
                <w:szCs w:val="15"/>
                <w:color w:val="auto"/>
                <w:vertAlign w:val="superscript"/>
              </w:rPr>
              <w:t>(6)</w:t>
            </w:r>
          </w:p>
        </w:tc>
        <w:tc>
          <w:tcPr>
            <w:tcW w:w="78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9"/>
              </w:rPr>
              <w:t>1,286</w:t>
            </w:r>
          </w:p>
        </w:tc>
        <w:tc>
          <w:tcPr>
            <w:tcW w:w="100" w:type="dxa"/>
            <w:vAlign w:val="bottom"/>
            <w:tcBorders>
              <w:bottom w:val="single" w:sz="8" w:color="DBDBDB"/>
              <w:right w:val="single" w:sz="8" w:color="4C639D"/>
            </w:tcBorders>
          </w:tcPr>
          <w:p>
            <w:pPr>
              <w:spacing w:after="0"/>
              <w:rPr>
                <w:sz w:val="17"/>
                <w:szCs w:val="17"/>
                <w:color w:val="auto"/>
              </w:rPr>
            </w:pPr>
          </w:p>
        </w:tc>
        <w:tc>
          <w:tcPr>
            <w:tcW w:w="760" w:type="dxa"/>
            <w:vAlign w:val="bottom"/>
            <w:tcBorders>
              <w:bottom w:val="single" w:sz="8" w:color="DBDBDB"/>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1,300</w:t>
            </w:r>
          </w:p>
        </w:tc>
        <w:tc>
          <w:tcPr>
            <w:tcW w:w="80" w:type="dxa"/>
            <w:vAlign w:val="bottom"/>
            <w:tcBorders>
              <w:bottom w:val="single" w:sz="8" w:color="DBDBDB"/>
              <w:right w:val="single" w:sz="8" w:color="4C639D"/>
            </w:tcBorders>
          </w:tcPr>
          <w:p>
            <w:pPr>
              <w:spacing w:after="0"/>
              <w:rPr>
                <w:sz w:val="17"/>
                <w:szCs w:val="17"/>
                <w:color w:val="auto"/>
              </w:rPr>
            </w:pPr>
          </w:p>
        </w:tc>
        <w:tc>
          <w:tcPr>
            <w:tcW w:w="820" w:type="dxa"/>
            <w:vAlign w:val="bottom"/>
            <w:tcBorders>
              <w:bottom w:val="single" w:sz="8" w:color="DBDBDB"/>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DBDBDB"/>
              <w:right w:val="single" w:sz="8" w:color="4C639D"/>
            </w:tcBorders>
          </w:tcPr>
          <w:p>
            <w:pPr>
              <w:spacing w:after="0"/>
              <w:rPr>
                <w:sz w:val="17"/>
                <w:szCs w:val="17"/>
                <w:color w:val="auto"/>
              </w:rPr>
            </w:pPr>
          </w:p>
        </w:tc>
        <w:tc>
          <w:tcPr>
            <w:tcW w:w="800" w:type="dxa"/>
            <w:vAlign w:val="bottom"/>
            <w:tcBorders>
              <w:bottom w:val="single" w:sz="8" w:color="DBDBDB"/>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4,244</w:t>
            </w:r>
          </w:p>
        </w:tc>
        <w:tc>
          <w:tcPr>
            <w:tcW w:w="80" w:type="dxa"/>
            <w:vAlign w:val="bottom"/>
            <w:tcBorders>
              <w:bottom w:val="single" w:sz="8" w:color="DBDBDB"/>
              <w:right w:val="single" w:sz="8" w:color="4C639D"/>
            </w:tcBorders>
          </w:tcPr>
          <w:p>
            <w:pPr>
              <w:spacing w:after="0"/>
              <w:rPr>
                <w:sz w:val="17"/>
                <w:szCs w:val="17"/>
                <w:color w:val="auto"/>
              </w:rPr>
            </w:pPr>
          </w:p>
        </w:tc>
        <w:tc>
          <w:tcPr>
            <w:tcW w:w="780" w:type="dxa"/>
            <w:vAlign w:val="bottom"/>
            <w:tcBorders>
              <w:bottom w:val="single" w:sz="8" w:color="DBDBDB"/>
              <w:right w:val="single" w:sz="8" w:color="4C639D"/>
            </w:tcBorders>
          </w:tcPr>
          <w:p>
            <w:pPr>
              <w:jc w:val="center"/>
              <w:spacing w:after="0"/>
              <w:rPr>
                <w:sz w:val="20"/>
                <w:szCs w:val="20"/>
                <w:color w:val="auto"/>
              </w:rPr>
            </w:pPr>
            <w:r>
              <w:rPr>
                <w:rFonts w:ascii="Arial" w:cs="Arial" w:eastAsia="Arial" w:hAnsi="Arial"/>
                <w:sz w:val="12"/>
                <w:szCs w:val="12"/>
                <w:color w:val="auto"/>
                <w:w w:val="99"/>
              </w:rPr>
              <w:t>3,964</w:t>
            </w:r>
          </w:p>
        </w:tc>
        <w:tc>
          <w:tcPr>
            <w:tcW w:w="100" w:type="dxa"/>
            <w:vAlign w:val="bottom"/>
            <w:tcBorders>
              <w:bottom w:val="single" w:sz="8" w:color="DBDBDB"/>
              <w:right w:val="single" w:sz="8" w:color="4C639D"/>
            </w:tcBorders>
          </w:tcPr>
          <w:p>
            <w:pPr>
              <w:spacing w:after="0"/>
              <w:rPr>
                <w:sz w:val="17"/>
                <w:szCs w:val="17"/>
                <w:color w:val="auto"/>
              </w:rPr>
            </w:pPr>
          </w:p>
        </w:tc>
        <w:tc>
          <w:tcPr>
            <w:tcW w:w="800" w:type="dxa"/>
            <w:vAlign w:val="bottom"/>
            <w:tcBorders>
              <w:bottom w:val="single" w:sz="8" w:color="DBDBDB"/>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w w:val="98"/>
              </w:rPr>
              <w:t>+7%</w:t>
            </w:r>
          </w:p>
        </w:tc>
        <w:tc>
          <w:tcPr>
            <w:tcW w:w="80" w:type="dxa"/>
            <w:vAlign w:val="bottom"/>
            <w:tcBorders>
              <w:right w:val="single" w:sz="8" w:color="4C639D"/>
            </w:tcBorders>
          </w:tcPr>
          <w:p>
            <w:pPr>
              <w:spacing w:after="0"/>
              <w:rPr>
                <w:sz w:val="17"/>
                <w:szCs w:val="17"/>
                <w:color w:val="auto"/>
              </w:rPr>
            </w:pPr>
          </w:p>
        </w:tc>
        <w:tc>
          <w:tcPr>
            <w:tcW w:w="2860" w:type="dxa"/>
            <w:vAlign w:val="bottom"/>
            <w:tcBorders>
              <w:right w:val="single" w:sz="8" w:color="4C639D"/>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4C639D"/>
              <w:bottom w:val="single" w:sz="8" w:color="4C639D"/>
              <w:right w:val="single" w:sz="8" w:color="4C639D"/>
            </w:tcBorders>
          </w:tcPr>
          <w:p>
            <w:pPr>
              <w:spacing w:after="0"/>
              <w:rPr>
                <w:sz w:val="20"/>
                <w:szCs w:val="20"/>
                <w:color w:val="auto"/>
              </w:rPr>
            </w:pPr>
          </w:p>
        </w:tc>
        <w:tc>
          <w:tcPr>
            <w:tcW w:w="2400" w:type="dxa"/>
            <w:vAlign w:val="bottom"/>
            <w:tcBorders>
              <w:bottom w:val="single" w:sz="8" w:color="4C639D"/>
              <w:right w:val="single" w:sz="8" w:color="4C639D"/>
            </w:tcBorders>
          </w:tcPr>
          <w:p>
            <w:pPr>
              <w:ind w:left="20"/>
              <w:spacing w:after="0"/>
              <w:rPr>
                <w:sz w:val="20"/>
                <w:szCs w:val="20"/>
                <w:color w:val="auto"/>
              </w:rPr>
            </w:pPr>
            <w:r>
              <w:rPr>
                <w:rFonts w:ascii="Arial" w:cs="Arial" w:eastAsia="Arial" w:hAnsi="Arial"/>
                <w:sz w:val="12"/>
                <w:szCs w:val="12"/>
                <w:color w:val="auto"/>
              </w:rPr>
              <w:t>Combined shipments</w:t>
            </w:r>
            <w:r>
              <w:rPr>
                <w:rFonts w:ascii="Arial" w:cs="Arial" w:eastAsia="Arial" w:hAnsi="Arial"/>
                <w:sz w:val="15"/>
                <w:szCs w:val="15"/>
                <w:color w:val="auto"/>
                <w:vertAlign w:val="superscript"/>
              </w:rPr>
              <w:t>(6)</w:t>
            </w:r>
          </w:p>
        </w:tc>
        <w:tc>
          <w:tcPr>
            <w:tcW w:w="780" w:type="dxa"/>
            <w:vAlign w:val="bottom"/>
            <w:tcBorders>
              <w:bottom w:val="single" w:sz="8" w:color="4C639D"/>
              <w:right w:val="single" w:sz="8" w:color="4C639D"/>
            </w:tcBorders>
          </w:tcPr>
          <w:p>
            <w:pPr>
              <w:jc w:val="center"/>
              <w:spacing w:after="0"/>
              <w:rPr>
                <w:sz w:val="20"/>
                <w:szCs w:val="20"/>
                <w:color w:val="auto"/>
              </w:rPr>
            </w:pPr>
            <w:r>
              <w:rPr>
                <w:rFonts w:ascii="Arial" w:cs="Arial" w:eastAsia="Arial" w:hAnsi="Arial"/>
                <w:sz w:val="12"/>
                <w:szCs w:val="12"/>
                <w:color w:val="auto"/>
                <w:w w:val="99"/>
              </w:rPr>
              <w:t>1,308</w:t>
            </w:r>
          </w:p>
        </w:tc>
        <w:tc>
          <w:tcPr>
            <w:tcW w:w="100" w:type="dxa"/>
            <w:vAlign w:val="bottom"/>
            <w:tcBorders>
              <w:bottom w:val="single" w:sz="8" w:color="4C639D"/>
              <w:right w:val="single" w:sz="8" w:color="4C639D"/>
            </w:tcBorders>
          </w:tcPr>
          <w:p>
            <w:pPr>
              <w:spacing w:after="0"/>
              <w:rPr>
                <w:sz w:val="20"/>
                <w:szCs w:val="20"/>
                <w:color w:val="auto"/>
              </w:rPr>
            </w:pPr>
          </w:p>
        </w:tc>
        <w:tc>
          <w:tcPr>
            <w:tcW w:w="760" w:type="dxa"/>
            <w:vAlign w:val="bottom"/>
            <w:tcBorders>
              <w:bottom w:val="single" w:sz="8" w:color="4C639D"/>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1,334</w:t>
            </w:r>
          </w:p>
        </w:tc>
        <w:tc>
          <w:tcPr>
            <w:tcW w:w="80" w:type="dxa"/>
            <w:vAlign w:val="bottom"/>
            <w:tcBorders>
              <w:bottom w:val="single" w:sz="8" w:color="4C639D"/>
              <w:right w:val="single" w:sz="8" w:color="4C639D"/>
            </w:tcBorders>
          </w:tcPr>
          <w:p>
            <w:pPr>
              <w:spacing w:after="0"/>
              <w:rPr>
                <w:sz w:val="20"/>
                <w:szCs w:val="20"/>
                <w:color w:val="auto"/>
              </w:rPr>
            </w:pPr>
          </w:p>
        </w:tc>
        <w:tc>
          <w:tcPr>
            <w:tcW w:w="820" w:type="dxa"/>
            <w:vAlign w:val="bottom"/>
            <w:tcBorders>
              <w:bottom w:val="single" w:sz="8" w:color="4C639D"/>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4C639D"/>
              <w:right w:val="single" w:sz="8" w:color="4C639D"/>
            </w:tcBorders>
          </w:tcPr>
          <w:p>
            <w:pPr>
              <w:spacing w:after="0"/>
              <w:rPr>
                <w:sz w:val="20"/>
                <w:szCs w:val="20"/>
                <w:color w:val="auto"/>
              </w:rPr>
            </w:pPr>
          </w:p>
        </w:tc>
        <w:tc>
          <w:tcPr>
            <w:tcW w:w="800" w:type="dxa"/>
            <w:vAlign w:val="bottom"/>
            <w:tcBorders>
              <w:bottom w:val="single" w:sz="8" w:color="4C639D"/>
              <w:right w:val="single" w:sz="8" w:color="4C639D"/>
            </w:tcBorders>
          </w:tcPr>
          <w:p>
            <w:pPr>
              <w:jc w:val="center"/>
              <w:ind w:right="2"/>
              <w:spacing w:after="0"/>
              <w:rPr>
                <w:sz w:val="20"/>
                <w:szCs w:val="20"/>
                <w:color w:val="auto"/>
              </w:rPr>
            </w:pPr>
            <w:r>
              <w:rPr>
                <w:rFonts w:ascii="Arial" w:cs="Arial" w:eastAsia="Arial" w:hAnsi="Arial"/>
                <w:sz w:val="12"/>
                <w:szCs w:val="12"/>
                <w:color w:val="auto"/>
                <w:w w:val="99"/>
              </w:rPr>
              <w:t>4,276</w:t>
            </w:r>
          </w:p>
        </w:tc>
        <w:tc>
          <w:tcPr>
            <w:tcW w:w="80" w:type="dxa"/>
            <w:vAlign w:val="bottom"/>
            <w:tcBorders>
              <w:bottom w:val="single" w:sz="8" w:color="4C639D"/>
              <w:right w:val="single" w:sz="8" w:color="4C639D"/>
            </w:tcBorders>
          </w:tcPr>
          <w:p>
            <w:pPr>
              <w:spacing w:after="0"/>
              <w:rPr>
                <w:sz w:val="20"/>
                <w:szCs w:val="20"/>
                <w:color w:val="auto"/>
              </w:rPr>
            </w:pPr>
          </w:p>
        </w:tc>
        <w:tc>
          <w:tcPr>
            <w:tcW w:w="780" w:type="dxa"/>
            <w:vAlign w:val="bottom"/>
            <w:tcBorders>
              <w:bottom w:val="single" w:sz="8" w:color="4C639D"/>
              <w:right w:val="single" w:sz="8" w:color="4C639D"/>
            </w:tcBorders>
          </w:tcPr>
          <w:p>
            <w:pPr>
              <w:jc w:val="center"/>
              <w:spacing w:after="0"/>
              <w:rPr>
                <w:sz w:val="20"/>
                <w:szCs w:val="20"/>
                <w:color w:val="auto"/>
              </w:rPr>
            </w:pPr>
            <w:r>
              <w:rPr>
                <w:rFonts w:ascii="Arial" w:cs="Arial" w:eastAsia="Arial" w:hAnsi="Arial"/>
                <w:sz w:val="12"/>
                <w:szCs w:val="12"/>
                <w:color w:val="auto"/>
                <w:w w:val="99"/>
              </w:rPr>
              <w:t>4,024</w:t>
            </w:r>
          </w:p>
        </w:tc>
        <w:tc>
          <w:tcPr>
            <w:tcW w:w="100" w:type="dxa"/>
            <w:vAlign w:val="bottom"/>
            <w:tcBorders>
              <w:bottom w:val="single" w:sz="8" w:color="4C639D"/>
              <w:right w:val="single" w:sz="8" w:color="4C639D"/>
            </w:tcBorders>
          </w:tcPr>
          <w:p>
            <w:pPr>
              <w:spacing w:after="0"/>
              <w:rPr>
                <w:sz w:val="20"/>
                <w:szCs w:val="20"/>
                <w:color w:val="auto"/>
              </w:rPr>
            </w:pPr>
          </w:p>
        </w:tc>
        <w:tc>
          <w:tcPr>
            <w:tcW w:w="800" w:type="dxa"/>
            <w:vAlign w:val="bottom"/>
            <w:tcBorders>
              <w:bottom w:val="single" w:sz="8" w:color="4C639D"/>
              <w:right w:val="single" w:sz="8" w:color="4C639D"/>
            </w:tcBorders>
            <w:shd w:val="clear" w:color="auto" w:fill="F2F2F2"/>
          </w:tcPr>
          <w:p>
            <w:pPr>
              <w:jc w:val="center"/>
              <w:spacing w:after="0"/>
              <w:rPr>
                <w:sz w:val="20"/>
                <w:szCs w:val="20"/>
                <w:color w:val="auto"/>
              </w:rPr>
            </w:pPr>
            <w:r>
              <w:rPr>
                <w:rFonts w:ascii="Arial" w:cs="Arial" w:eastAsia="Arial" w:hAnsi="Arial"/>
                <w:sz w:val="12"/>
                <w:szCs w:val="12"/>
                <w:color w:val="auto"/>
                <w:w w:val="98"/>
              </w:rPr>
              <w:t>+6%</w:t>
            </w:r>
          </w:p>
        </w:tc>
        <w:tc>
          <w:tcPr>
            <w:tcW w:w="80" w:type="dxa"/>
            <w:vAlign w:val="bottom"/>
            <w:tcBorders>
              <w:right w:val="single" w:sz="8" w:color="4C639D"/>
            </w:tcBorders>
          </w:tcPr>
          <w:p>
            <w:pPr>
              <w:spacing w:after="0"/>
              <w:rPr>
                <w:sz w:val="20"/>
                <w:szCs w:val="20"/>
                <w:color w:val="auto"/>
              </w:rPr>
            </w:pPr>
          </w:p>
        </w:tc>
        <w:tc>
          <w:tcPr>
            <w:tcW w:w="2860" w:type="dxa"/>
            <w:vAlign w:val="bottom"/>
            <w:tcBorders>
              <w:bottom w:val="single" w:sz="8" w:color="4C639D"/>
              <w:right w:val="single" w:sz="8" w:color="4C639D"/>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________________________________________________________________________________________________________________________________________</w:t>
      </w:r>
    </w:p>
    <w:p>
      <w:pPr>
        <w:spacing w:after="0" w:line="38" w:lineRule="exact"/>
        <w:rPr>
          <w:sz w:val="20"/>
          <w:szCs w:val="20"/>
          <w:color w:val="auto"/>
        </w:rPr>
      </w:pPr>
    </w:p>
    <w:p>
      <w:pPr>
        <w:ind w:right="3540"/>
        <w:spacing w:after="0" w:line="264" w:lineRule="auto"/>
        <w:rPr>
          <w:sz w:val="20"/>
          <w:szCs w:val="20"/>
          <w:color w:val="auto"/>
        </w:rPr>
      </w:pPr>
      <w:r>
        <w:rPr>
          <w:rFonts w:ascii="Arial" w:cs="Arial" w:eastAsia="Arial" w:hAnsi="Arial"/>
          <w:sz w:val="13"/>
          <w:szCs w:val="13"/>
          <w:color w:val="auto"/>
        </w:rPr>
        <w:t>All reported data is unaudited. Reference should be made to the section “Safe Harbor Statement” included elsewhere within this document n.m. - not meaningful</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Refer to pages 11-12 for explanation of the items referenced on this page</w:t>
      </w:r>
    </w:p>
    <w:p>
      <w:pPr>
        <w:sectPr>
          <w:pgSz w:w="11900" w:h="16838" w:orient="portrait"/>
          <w:cols w:equalWidth="0" w:num="1">
            <w:col w:w="11240"/>
          </w:cols>
          <w:pgMar w:left="320" w:top="1440" w:right="339" w:bottom="1440" w:gutter="0" w:footer="0" w:header="0"/>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43"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AMSTERDAM – October 28, 2026 — Stellantis reported Q3 2026 financial results, with Net revenues increasing 1% year-over-year to €37.6 billion. The improvement was driven by higher volumes in Enlarged Europe and stable volumes and favorable FX in South America, resulting in 3% year-over-year Net revenues increases in both regions. North America Net revenues were down 3% on lower volumes as a consequence of planned production downtime, Middle East &amp; Africa Net revenues were down 19% on lower volumes, and Asia Pacific was down 7% on lower volumes.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Net loss was </w:t>
      </w:r>
      <w:r>
        <w:rPr>
          <w:rFonts w:ascii="Arial" w:cs="Arial" w:eastAsia="Arial" w:hAnsi="Arial"/>
          <w:sz w:val="14"/>
          <w:szCs w:val="14"/>
          <w:color w:val="242424"/>
        </w:rPr>
        <w:t>€(0.5) billion</w:t>
      </w:r>
      <w:r>
        <w:rPr>
          <w:rFonts w:ascii="Arial" w:cs="Arial" w:eastAsia="Arial" w:hAnsi="Arial"/>
          <w:sz w:val="14"/>
          <w:szCs w:val="14"/>
          <w:color w:val="auto"/>
        </w:rPr>
        <w:t xml:space="preserve"> in Q3 2026, a 90% improvement over the prior year which was impacted by significant items.</w:t>
      </w:r>
    </w:p>
    <w:p>
      <w:pPr>
        <w:spacing w:after="0" w:line="119"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242424"/>
        </w:rPr>
        <w:t>Adjusted operating income</w:t>
      </w:r>
      <w:r>
        <w:rPr>
          <w:rFonts w:ascii="Arial" w:cs="Arial" w:eastAsia="Arial" w:hAnsi="Arial"/>
          <w:sz w:val="18"/>
          <w:szCs w:val="18"/>
          <w:color w:val="242424"/>
          <w:vertAlign w:val="superscript"/>
        </w:rPr>
        <w:t>(1)</w:t>
      </w:r>
      <w:r>
        <w:rPr>
          <w:rFonts w:ascii="Arial" w:cs="Arial" w:eastAsia="Arial" w:hAnsi="Arial"/>
          <w:sz w:val="14"/>
          <w:szCs w:val="14"/>
          <w:color w:val="242424"/>
        </w:rPr>
        <w:t xml:space="preserve"> improved to €0.3 billion, representing an AOI margin</w:t>
      </w:r>
      <w:r>
        <w:rPr>
          <w:rFonts w:ascii="Arial" w:cs="Arial" w:eastAsia="Arial" w:hAnsi="Arial"/>
          <w:sz w:val="18"/>
          <w:szCs w:val="18"/>
          <w:color w:val="242424"/>
          <w:vertAlign w:val="superscript"/>
        </w:rPr>
        <w:t>(2)</w:t>
      </w:r>
      <w:r>
        <w:rPr>
          <w:rFonts w:ascii="Arial" w:cs="Arial" w:eastAsia="Arial" w:hAnsi="Arial"/>
          <w:sz w:val="14"/>
          <w:szCs w:val="14"/>
          <w:color w:val="242424"/>
        </w:rPr>
        <w:t xml:space="preserve"> of 0.7%, with North America up 340 bps, Asia Pacific up 480 bps, Middle East &amp; Africa up 140 bps, and South America relatively flat, down 30 bps year-over-year, while Enlarged Europe was down 340 bps year-over-year.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242424"/>
        </w:rPr>
        <w:t>Industrial free cash flows</w:t>
      </w:r>
      <w:r>
        <w:rPr>
          <w:rFonts w:ascii="Arial" w:cs="Arial" w:eastAsia="Arial" w:hAnsi="Arial"/>
          <w:sz w:val="18"/>
          <w:szCs w:val="18"/>
          <w:color w:val="242424"/>
          <w:vertAlign w:val="superscript"/>
        </w:rPr>
        <w:t>(3)</w:t>
      </w:r>
      <w:r>
        <w:rPr>
          <w:rFonts w:ascii="Arial" w:cs="Arial" w:eastAsia="Arial" w:hAnsi="Arial"/>
          <w:sz w:val="14"/>
          <w:szCs w:val="14"/>
          <w:color w:val="242424"/>
        </w:rPr>
        <w:t xml:space="preserve"> wer</w:t>
      </w:r>
      <w:r>
        <w:rPr>
          <w:rFonts w:ascii="Arial" w:cs="Arial" w:eastAsia="Arial" w:hAnsi="Arial"/>
          <w:sz w:val="14"/>
          <w:szCs w:val="14"/>
          <w:color w:val="000000"/>
        </w:rPr>
        <w:t>e negative €(4.0) billion in Q3 2026, an improvement of €0.3 bill</w:t>
      </w:r>
      <w:r>
        <w:rPr>
          <w:rFonts w:ascii="Arial" w:cs="Arial" w:eastAsia="Arial" w:hAnsi="Arial"/>
          <w:sz w:val="14"/>
          <w:szCs w:val="14"/>
          <w:color w:val="242424"/>
        </w:rPr>
        <w:t xml:space="preserve">ion versus Q3 2025, </w:t>
      </w:r>
      <w:r>
        <w:rPr>
          <w:rFonts w:ascii="Arial" w:cs="Arial" w:eastAsia="Arial" w:hAnsi="Arial"/>
          <w:sz w:val="14"/>
          <w:szCs w:val="14"/>
          <w:color w:val="000000"/>
        </w:rPr>
        <w:t>reflecting improved operating performance</w:t>
      </w:r>
      <w:r>
        <w:rPr>
          <w:rFonts w:ascii="Arial" w:cs="Arial" w:eastAsia="Arial" w:hAnsi="Arial"/>
          <w:sz w:val="14"/>
          <w:szCs w:val="14"/>
          <w:color w:val="242424"/>
        </w:rPr>
        <w: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FaSTLAne 2030 continues to gain traction and Stellantis is reaffirming its 2026 financial guidance, including positive Industrial free cash flow in 2027, noting the following:</w:t>
      </w:r>
    </w:p>
    <w:p>
      <w:pPr>
        <w:spacing w:after="0" w:line="24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Continued focus on profitability, aligning production with demand</w:t>
      </w:r>
    </w:p>
    <w:p>
      <w:pPr>
        <w:spacing w:after="0" w:line="24"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Higher total consolidated shipment volumes in Q4 2026 as compared to Q3 2026</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Management of North America inventory, with December 2026 converging to a similar level as compared to December 2025</w:t>
      </w:r>
    </w:p>
    <w:p>
      <w:pPr>
        <w:spacing w:after="0" w:line="4"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Broadly stable pricing environment in Q4 2026 as compared to Q3 2026</w:t>
      </w:r>
    </w:p>
    <w:p>
      <w:pPr>
        <w:spacing w:after="0" w:line="10"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Positive working capital contribution in Q4 2026 driven by normal Q4 seasonality</w:t>
      </w:r>
    </w:p>
    <w:p>
      <w:pPr>
        <w:spacing w:after="0" w:line="4"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Full-year net tariff costs estimated at €1.0 billion; €0.6 billion incurred September YTD</w:t>
      </w:r>
    </w:p>
    <w:p>
      <w:pPr>
        <w:spacing w:after="0" w:line="10"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Full-year cash outflows related to H2 '25 charges estimated at approximately €1.6B, including €0.1B paid in Q3 2026 and €1.1B paid through September YTD</w:t>
      </w:r>
    </w:p>
    <w:p>
      <w:pPr>
        <w:spacing w:after="0" w:line="4"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Full-year capital expenditures and R&amp;D spending estimated at 6.5% of Net revenues; consistent with the FaSTLAne 2030 investment plan for this year</w:t>
      </w:r>
    </w:p>
    <w:p>
      <w:pPr>
        <w:spacing w:after="0" w:line="10"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Incremental cost headwinds from memory chips and recall costs as compared to Q3 2026</w:t>
      </w:r>
    </w:p>
    <w:p>
      <w:pPr>
        <w:spacing w:after="0" w:line="4" w:lineRule="exact"/>
        <w:rPr>
          <w:rFonts w:ascii="Arial" w:cs="Arial" w:eastAsia="Arial" w:hAnsi="Arial"/>
          <w:sz w:val="14"/>
          <w:szCs w:val="14"/>
          <w:color w:val="auto"/>
        </w:rPr>
      </w:pPr>
    </w:p>
    <w:p>
      <w:pPr>
        <w:ind w:left="660" w:right="280" w:hanging="328"/>
        <w:spacing w:after="0" w:line="277" w:lineRule="auto"/>
        <w:tabs>
          <w:tab w:leader="none" w:pos="655" w:val="left"/>
        </w:tabs>
        <w:numPr>
          <w:ilvl w:val="0"/>
          <w:numId w:val="2"/>
        </w:numPr>
        <w:rPr>
          <w:rFonts w:ascii="Arial" w:cs="Arial" w:eastAsia="Arial" w:hAnsi="Arial"/>
          <w:sz w:val="14"/>
          <w:szCs w:val="14"/>
          <w:color w:val="auto"/>
        </w:rPr>
      </w:pPr>
      <w:r>
        <w:rPr>
          <w:rFonts w:ascii="Arial" w:cs="Arial" w:eastAsia="Arial" w:hAnsi="Arial"/>
          <w:sz w:val="14"/>
          <w:szCs w:val="14"/>
          <w:color w:val="auto"/>
        </w:rPr>
        <w:t>Value Creation Program ("VCP") savings expected to continue accelerating, realizing mid-hundreds of millions of euros in Q4 2026, approximately double the amount realized in Q3 2026</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Regional results for the quarter demonstrated progress across key markets.</w:t>
      </w:r>
    </w:p>
    <w:p>
      <w:pPr>
        <w:spacing w:after="0" w:line="254"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North America: Sales increased 1% versus Q3 2025, with a 0.3% decrease in both U.S. and Canada, and a 24% increase in Mexico (28% including Leapmotor</w:t>
      </w:r>
      <w:r>
        <w:rPr>
          <w:rFonts w:ascii="Arial" w:cs="Arial" w:eastAsia="Arial" w:hAnsi="Arial"/>
          <w:sz w:val="18"/>
          <w:szCs w:val="18"/>
          <w:color w:val="auto"/>
          <w:vertAlign w:val="superscript"/>
        </w:rPr>
        <w:t>(7)</w:t>
      </w:r>
      <w:r>
        <w:rPr>
          <w:rFonts w:ascii="Arial" w:cs="Arial" w:eastAsia="Arial" w:hAnsi="Arial"/>
          <w:sz w:val="14"/>
          <w:szCs w:val="14"/>
          <w:color w:val="auto"/>
        </w:rPr>
        <w:t>). Stellantis U.S. sales outperformed the U.S. industry trend, which was down 0.8% in Q3 2026, driven by Ram 1500, which was up 73%, Dodge Durango up 14%, and Chrysler Pacifica up 6% year-over-year. North America market share increased to 7.5%, up 10 bps year-over-year, driven by new product and powertrain offerings, specifically due to Ram, whose North America sales increased 30% year-over-year, and represented the fastest growing brand in North America based on year-over-year industry share gains.</w:t>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Enlarged Europe: EU30 sales increased 1% versus Q3 2025, 6% including Leapmotor</w:t>
      </w:r>
      <w:r>
        <w:rPr>
          <w:rFonts w:ascii="Arial" w:cs="Arial" w:eastAsia="Arial" w:hAnsi="Arial"/>
          <w:sz w:val="9"/>
          <w:szCs w:val="9"/>
          <w:color w:val="auto"/>
        </w:rPr>
        <w:t>(7)</w:t>
      </w:r>
      <w:r>
        <w:rPr>
          <w:rFonts w:ascii="Arial" w:cs="Arial" w:eastAsia="Arial" w:hAnsi="Arial"/>
          <w:sz w:val="14"/>
          <w:szCs w:val="14"/>
          <w:color w:val="auto"/>
        </w:rPr>
        <w:t>, driven primarily by Smart Car, up 36% year-over-year and growing BEV demand in France, Germany and UK. EU30 Passenger Car BEV sales were up 65% year-over-year (93% including Leapmotor</w:t>
      </w:r>
      <w:r>
        <w:rPr>
          <w:rFonts w:ascii="Arial" w:cs="Arial" w:eastAsia="Arial" w:hAnsi="Arial"/>
          <w:sz w:val="18"/>
          <w:szCs w:val="18"/>
          <w:color w:val="auto"/>
          <w:vertAlign w:val="superscript"/>
        </w:rPr>
        <w:t>(7)</w:t>
      </w:r>
      <w:r>
        <w:rPr>
          <w:rFonts w:ascii="Arial" w:cs="Arial" w:eastAsia="Arial" w:hAnsi="Arial"/>
          <w:sz w:val="14"/>
          <w:szCs w:val="14"/>
          <w:color w:val="auto"/>
        </w:rPr>
        <w:t>) and EU30 Light Commercial Vehicle BEV sales up 46%. EU30 market share was 14.8%, down 60 bps year-over-year or 15.6% including Leapmotor</w:t>
      </w:r>
      <w:r>
        <w:rPr>
          <w:rFonts w:ascii="Arial" w:cs="Arial" w:eastAsia="Arial" w:hAnsi="Arial"/>
          <w:sz w:val="9"/>
          <w:szCs w:val="9"/>
          <w:color w:val="auto"/>
        </w:rPr>
        <w:t>(7)</w:t>
      </w:r>
      <w:r>
        <w:rPr>
          <w:rFonts w:ascii="Arial" w:cs="Arial" w:eastAsia="Arial" w:hAnsi="Arial"/>
          <w:sz w:val="14"/>
          <w:szCs w:val="14"/>
          <w:color w:val="auto"/>
        </w:rPr>
        <w:t>, down 10 bps. Stellantis reaffirmed its leadership in the EU30 LCV segment, achieving 26.9% market share, down 110 bps year-over-year, and is expanding its lineup with the affordable Pro One Smart Car Compact Van. Leapmotor continues to build momentum with sales growing nearly four-fold as compared to the prior year.</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South America: Sales decreased 4% versus Q3 2025, down 2% including Leapmotor</w:t>
      </w:r>
      <w:r>
        <w:rPr>
          <w:rFonts w:ascii="Arial" w:cs="Arial" w:eastAsia="Arial" w:hAnsi="Arial"/>
          <w:sz w:val="18"/>
          <w:szCs w:val="18"/>
          <w:color w:val="auto"/>
          <w:vertAlign w:val="superscript"/>
        </w:rPr>
        <w:t>(7)</w:t>
      </w:r>
      <w:r>
        <w:rPr>
          <w:rFonts w:ascii="Arial" w:cs="Arial" w:eastAsia="Arial" w:hAnsi="Arial"/>
          <w:sz w:val="14"/>
          <w:szCs w:val="14"/>
          <w:color w:val="auto"/>
        </w:rPr>
        <w:t>. Despite a market share decrease, Stellantis maintained its regional leadership with an 18.6% market share (18.9% including Leapmotor</w:t>
      </w:r>
      <w:r>
        <w:rPr>
          <w:rFonts w:ascii="Arial" w:cs="Arial" w:eastAsia="Arial" w:hAnsi="Arial"/>
          <w:sz w:val="9"/>
          <w:szCs w:val="9"/>
          <w:color w:val="auto"/>
        </w:rPr>
        <w:t>(7)</w:t>
      </w:r>
      <w:r>
        <w:rPr>
          <w:rFonts w:ascii="Arial" w:cs="Arial" w:eastAsia="Arial" w:hAnsi="Arial"/>
          <w:sz w:val="14"/>
          <w:szCs w:val="14"/>
          <w:color w:val="auto"/>
        </w:rPr>
        <w:t>). Stellantis maintains No. 1 positions in Brazil and Argentina, with market shares of 25.1% and 25.3%, respectively (25.5% and</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14"/>
          <w:szCs w:val="14"/>
          <w:color w:val="auto"/>
        </w:rPr>
        <w:t>25.6% including Leapmotor</w:t>
      </w:r>
      <w:r>
        <w:rPr>
          <w:rFonts w:ascii="Arial" w:cs="Arial" w:eastAsia="Arial" w:hAnsi="Arial"/>
          <w:sz w:val="18"/>
          <w:szCs w:val="18"/>
          <w:color w:val="auto"/>
          <w:vertAlign w:val="superscript"/>
        </w:rPr>
        <w:t>(7)</w:t>
      </w:r>
      <w:r>
        <w:rPr>
          <w:rFonts w:ascii="Arial" w:cs="Arial" w:eastAsia="Arial" w:hAnsi="Arial"/>
          <w:sz w:val="14"/>
          <w:szCs w:val="14"/>
          <w:color w:val="auto"/>
        </w:rPr>
        <w:t>). In major markets, Q3 2026 delivered year-over-year sales improvement with Fiat Strada up 13% and Toro up 26%, Fiat Pulse up 20% and the Ram brand up 33%, driven by the all-new Dakota.</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Middle East &amp; Africa: Sales declined 22% versus Q3 2025. Market share was 10.1 % and decreased by 150 bps year-over-year against an 11% regional industry decline. The region was number two in LCV with 21.8% market share, up 240 bps year-over-year. Sales decline was mainly due to weaker market conditions in Türkiye and temporary transition effects in the country, including the phase-out of the Fiat Egea ahead of the upcoming launch of the all-new Fiat Grizzly, and the start of local production of the small van in October.</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Asia Pacific: Sales decreased 27% versus Q3 2025, 22% including Leapmotor</w:t>
      </w:r>
      <w:r>
        <w:rPr>
          <w:rFonts w:ascii="Arial" w:cs="Arial" w:eastAsia="Arial" w:hAnsi="Arial"/>
          <w:sz w:val="18"/>
          <w:szCs w:val="18"/>
          <w:color w:val="auto"/>
          <w:vertAlign w:val="superscript"/>
        </w:rPr>
        <w:t>(7)</w:t>
      </w:r>
      <w:r>
        <w:rPr>
          <w:rFonts w:ascii="Arial" w:cs="Arial" w:eastAsia="Arial" w:hAnsi="Arial"/>
          <w:sz w:val="14"/>
          <w:szCs w:val="14"/>
          <w:color w:val="auto"/>
        </w:rPr>
        <w:t>, driven primarily by a decline in the Citroën C5X. Q3 2026 market share was 0.2%, down from 0.3% in Q3 2025. During Q3 2026, Malaysian production of the Leapmotor C10 and B10 began and Dongfeng Stellantis Automotive Technology (Wuhan) Co. (DSAT) was established. Additionally, Dongfeng Peugeot Citroën Automobile Co., Ltd (DPCA) completed the shareholder loan-to-equity conversion in September 2026, allowing for the development and expansion of two new Jeep and two new Peugeot models.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Upcoming Events</w:t>
      </w:r>
    </w:p>
    <w:p>
      <w:pPr>
        <w:spacing w:after="0" w:line="42" w:lineRule="exact"/>
        <w:rPr>
          <w:sz w:val="20"/>
          <w:szCs w:val="20"/>
          <w:color w:val="auto"/>
        </w:rPr>
      </w:pPr>
    </w:p>
    <w:p>
      <w:pPr>
        <w:ind w:left="660" w:hanging="328"/>
        <w:spacing w:after="0" w:line="261" w:lineRule="auto"/>
        <w:tabs>
          <w:tab w:leader="none" w:pos="655" w:val="left"/>
        </w:tabs>
        <w:numPr>
          <w:ilvl w:val="0"/>
          <w:numId w:val="3"/>
        </w:numPr>
        <w:rPr>
          <w:rFonts w:ascii="Arial" w:cs="Arial" w:eastAsia="Arial" w:hAnsi="Arial"/>
          <w:sz w:val="14"/>
          <w:szCs w:val="14"/>
          <w:color w:val="auto"/>
        </w:rPr>
      </w:pPr>
      <w:r>
        <w:rPr>
          <w:rFonts w:ascii="Arial" w:cs="Arial" w:eastAsia="Arial" w:hAnsi="Arial"/>
          <w:sz w:val="14"/>
          <w:szCs w:val="14"/>
          <w:color w:val="auto"/>
        </w:rPr>
        <w:t>Q3 2026 Results Call with Management - October 28, 2026, at 1:00 p.m. CET / 8:00 a.m. EDT. The webcast and recorded replay will be accessible under the Investors section of the Stellantis corporate website (www.stellantis.com).</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FaSTLAne 2030 / Maserati Day to take place in Modena, Italy on December 10.</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Stellantis</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Stellantis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Arial" w:cs="Arial" w:eastAsia="Arial" w:hAnsi="Arial"/>
          <w:sz w:val="18"/>
          <w:szCs w:val="18"/>
          <w:color w:val="auto"/>
          <w:vertAlign w:val="superscript"/>
        </w:rPr>
        <w:t>®</w:t>
      </w:r>
      <w:r>
        <w:rPr>
          <w:rFonts w:ascii="Arial" w:cs="Arial" w:eastAsia="Arial" w:hAnsi="Arial"/>
          <w:sz w:val="14"/>
          <w:szCs w:val="14"/>
          <w:color w:val="auto"/>
        </w:rPr>
        <w:t>, Lancia, Maserati, Opel, Peugeot, Ram, Vauxhall, Free2move and Leasys. For more information, visit https://www.stellantis.com.</w:t>
      </w: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ectPr>
          <w:pgSz w:w="11900" w:h="16838" w:orient="portrait"/>
          <w:cols w:equalWidth="0" w:num="1">
            <w:col w:w="11240"/>
          </w:cols>
          <w:pgMar w:left="320" w:top="1440" w:right="339" w:bottom="1440" w:gutter="0" w:footer="0" w:header="0"/>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2</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243782"/>
        </w:rPr>
        <w:t>SEGMENT PERFORMANCE - Q3 2026*</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NORTH AMERICA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180" w:type="dxa"/>
            <w:vAlign w:val="bottom"/>
            <w:tcBorders>
              <w:top w:val="single" w:sz="8" w:color="4C639D"/>
            </w:tcBorders>
            <w:vMerge w:val="restart"/>
            <w:shd w:val="clear" w:color="auto" w:fill="243782"/>
          </w:tcPr>
          <w:p>
            <w:pPr>
              <w:jc w:val="center"/>
              <w:spacing w:after="0"/>
              <w:rPr>
                <w:sz w:val="20"/>
                <w:szCs w:val="20"/>
                <w:color w:val="auto"/>
              </w:rPr>
            </w:pPr>
            <w:r>
              <w:rPr>
                <w:rFonts w:ascii="Arial" w:cs="Arial" w:eastAsia="Arial" w:hAnsi="Arial"/>
                <w:sz w:val="14"/>
                <w:szCs w:val="14"/>
                <w:i w:val="1"/>
                <w:iCs w:val="1"/>
                <w:color w:val="FFFFFF"/>
              </w:rPr>
              <w:t>Q3 2026</w:t>
            </w:r>
          </w:p>
        </w:tc>
        <w:tc>
          <w:tcPr>
            <w:tcW w:w="120" w:type="dxa"/>
            <w:vAlign w:val="bottom"/>
            <w:tcBorders>
              <w:top w:val="single" w:sz="8" w:color="4C639D"/>
            </w:tcBorders>
          </w:tcPr>
          <w:p>
            <w:pPr>
              <w:spacing w:after="0"/>
              <w:rPr>
                <w:sz w:val="15"/>
                <w:szCs w:val="15"/>
                <w:color w:val="auto"/>
              </w:rPr>
            </w:pPr>
          </w:p>
        </w:tc>
        <w:tc>
          <w:tcPr>
            <w:tcW w:w="1200" w:type="dxa"/>
            <w:vAlign w:val="bottom"/>
            <w:tcBorders>
              <w:top w:val="single" w:sz="8" w:color="4C639D"/>
            </w:tcBorders>
            <w:vMerge w:val="restart"/>
            <w:shd w:val="clear" w:color="auto" w:fill="F2F2F2"/>
          </w:tcPr>
          <w:p>
            <w:pPr>
              <w:jc w:val="center"/>
              <w:spacing w:after="0"/>
              <w:rPr>
                <w:sz w:val="20"/>
                <w:szCs w:val="20"/>
                <w:color w:val="auto"/>
              </w:rPr>
            </w:pPr>
            <w:r>
              <w:rPr>
                <w:rFonts w:ascii="Arial" w:cs="Arial" w:eastAsia="Arial" w:hAnsi="Arial"/>
                <w:sz w:val="14"/>
                <w:szCs w:val="14"/>
                <w:i w:val="1"/>
                <w:iCs w:val="1"/>
                <w:color w:val="243782"/>
              </w:rPr>
              <w:t>Q3 2025</w:t>
            </w:r>
          </w:p>
        </w:tc>
        <w:tc>
          <w:tcPr>
            <w:tcW w:w="100" w:type="dxa"/>
            <w:vAlign w:val="bottom"/>
            <w:tcBorders>
              <w:top w:val="single" w:sz="8" w:color="4C639D"/>
            </w:tcBorders>
          </w:tcPr>
          <w:p>
            <w:pPr>
              <w:spacing w:after="0"/>
              <w:rPr>
                <w:sz w:val="15"/>
                <w:szCs w:val="15"/>
                <w:color w:val="auto"/>
              </w:rPr>
            </w:pPr>
          </w:p>
        </w:tc>
        <w:tc>
          <w:tcPr>
            <w:tcW w:w="1200" w:type="dxa"/>
            <w:vAlign w:val="bottom"/>
            <w:tcBorders>
              <w:top w:val="single" w:sz="8" w:color="4C639D"/>
            </w:tcBorders>
            <w:gridSpan w:val="2"/>
            <w:vMerge w:val="restart"/>
          </w:tcPr>
          <w:p>
            <w:pPr>
              <w:ind w:left="36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55"/>
        </w:trPr>
        <w:tc>
          <w:tcPr>
            <w:tcW w:w="1600" w:type="dxa"/>
            <w:vAlign w:val="bottom"/>
            <w:tcBorders>
              <w:bottom w:val="single" w:sz="8" w:color="7D7D7D"/>
            </w:tcBorders>
          </w:tcPr>
          <w:p>
            <w:pPr>
              <w:ind w:left="20"/>
              <w:spacing w:after="0"/>
              <w:rPr>
                <w:sz w:val="20"/>
                <w:szCs w:val="20"/>
                <w:color w:val="auto"/>
              </w:rPr>
            </w:pPr>
            <w:r>
              <w:rPr>
                <w:rFonts w:ascii="Arial" w:cs="Arial" w:eastAsia="Arial" w:hAnsi="Arial"/>
                <w:sz w:val="11"/>
                <w:szCs w:val="11"/>
                <w:color w:val="auto"/>
              </w:rPr>
              <w:t>stated</w:t>
            </w:r>
          </w:p>
        </w:tc>
        <w:tc>
          <w:tcPr>
            <w:tcW w:w="1180" w:type="dxa"/>
            <w:vAlign w:val="bottom"/>
            <w:tcBorders>
              <w:bottom w:val="single" w:sz="8" w:color="243782"/>
            </w:tcBorders>
            <w:vMerge w:val="continue"/>
            <w:shd w:val="clear" w:color="auto" w:fill="243782"/>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bottom w:val="single" w:sz="8" w:color="4C639D"/>
            </w:tcBorders>
            <w:vMerge w:val="continue"/>
            <w:shd w:val="clear" w:color="auto" w:fill="F2F2F2"/>
          </w:tcPr>
          <w:p>
            <w:pPr>
              <w:spacing w:after="0"/>
              <w:rPr>
                <w:sz w:val="13"/>
                <w:szCs w:val="13"/>
                <w:color w:val="auto"/>
              </w:rPr>
            </w:pPr>
          </w:p>
        </w:tc>
        <w:tc>
          <w:tcPr>
            <w:tcW w:w="100" w:type="dxa"/>
            <w:vAlign w:val="bottom"/>
            <w:tcBorders>
              <w:bottom w:val="single" w:sz="8" w:color="4C639D"/>
            </w:tcBorders>
          </w:tcPr>
          <w:p>
            <w:pPr>
              <w:spacing w:after="0"/>
              <w:rPr>
                <w:sz w:val="13"/>
                <w:szCs w:val="13"/>
                <w:color w:val="auto"/>
              </w:rPr>
            </w:pPr>
          </w:p>
        </w:tc>
        <w:tc>
          <w:tcPr>
            <w:tcW w:w="1200" w:type="dxa"/>
            <w:vAlign w:val="bottom"/>
            <w:tcBorders>
              <w:bottom w:val="single" w:sz="8" w:color="4C639D"/>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3"/>
                <w:szCs w:val="13"/>
                <w:color w:val="auto"/>
              </w:rPr>
              <w:t>Shipments (000s)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357</w:t>
            </w:r>
          </w:p>
        </w:tc>
        <w:tc>
          <w:tcPr>
            <w:tcW w:w="120" w:type="dxa"/>
            <w:vAlign w:val="bottom"/>
          </w:tcPr>
          <w:p>
            <w:pPr>
              <w:spacing w:after="0"/>
              <w:rPr>
                <w:sz w:val="18"/>
                <w:szCs w:val="18"/>
                <w:color w:val="auto"/>
              </w:rPr>
            </w:pP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404</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rPr>
              <w:t>(47)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rPr>
              <w:t>Net revenues</w:t>
            </w:r>
          </w:p>
        </w:tc>
        <w:tc>
          <w:tcPr>
            <w:tcW w:w="1180" w:type="dxa"/>
            <w:vAlign w:val="bottom"/>
            <w:tcBorders>
              <w:top w:val="single" w:sz="8" w:color="B6B6B6"/>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5"/>
              </w:rPr>
              <w:t>15,586</w:t>
            </w:r>
          </w:p>
        </w:tc>
        <w:tc>
          <w:tcPr>
            <w:tcW w:w="120" w:type="dxa"/>
            <w:vAlign w:val="bottom"/>
          </w:tcPr>
          <w:p>
            <w:pPr>
              <w:spacing w:after="0"/>
              <w:rPr>
                <w:sz w:val="18"/>
                <w:szCs w:val="18"/>
                <w:color w:val="auto"/>
              </w:rPr>
            </w:pPr>
          </w:p>
        </w:tc>
        <w:tc>
          <w:tcPr>
            <w:tcW w:w="1200" w:type="dxa"/>
            <w:vAlign w:val="bottom"/>
            <w:tcBorders>
              <w:top w:val="single" w:sz="8" w:color="7D7D7D"/>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16,087</w:t>
            </w:r>
          </w:p>
        </w:tc>
        <w:tc>
          <w:tcPr>
            <w:tcW w:w="100" w:type="dxa"/>
            <w:vAlign w:val="bottom"/>
          </w:tcPr>
          <w:p>
            <w:pPr>
              <w:spacing w:after="0"/>
              <w:rPr>
                <w:sz w:val="18"/>
                <w:szCs w:val="18"/>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rPr>
              <w:t>(3)%</w:t>
            </w:r>
          </w:p>
        </w:tc>
        <w:tc>
          <w:tcPr>
            <w:tcW w:w="380" w:type="dxa"/>
            <w:vAlign w:val="bottom"/>
            <w:tcBorders>
              <w:top w:val="single" w:sz="8" w:color="7D7D7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64</w:t>
            </w:r>
          </w:p>
        </w:tc>
        <w:tc>
          <w:tcPr>
            <w:tcW w:w="12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(475)</w:t>
            </w:r>
          </w:p>
        </w:tc>
        <w:tc>
          <w:tcPr>
            <w:tcW w:w="100" w:type="dxa"/>
            <w:vAlign w:val="bottom"/>
          </w:tcPr>
          <w:p>
            <w:pPr>
              <w:spacing w:after="0"/>
              <w:rPr>
                <w:sz w:val="18"/>
                <w:szCs w:val="18"/>
                <w:color w:val="auto"/>
              </w:rPr>
            </w:pPr>
          </w:p>
        </w:tc>
        <w:tc>
          <w:tcPr>
            <w:tcW w:w="820" w:type="dxa"/>
            <w:vAlign w:val="bottom"/>
            <w:tcBorders>
              <w:top w:val="single" w:sz="8" w:color="7D7D7D"/>
            </w:tcBorders>
          </w:tcPr>
          <w:p>
            <w:pPr>
              <w:ind w:left="300"/>
              <w:spacing w:after="0"/>
              <w:rPr>
                <w:sz w:val="20"/>
                <w:szCs w:val="20"/>
                <w:color w:val="auto"/>
              </w:rPr>
            </w:pPr>
            <w:r>
              <w:rPr>
                <w:rFonts w:ascii="Arial" w:cs="Arial" w:eastAsia="Arial" w:hAnsi="Arial"/>
                <w:sz w:val="13"/>
                <w:szCs w:val="13"/>
                <w:color w:val="auto"/>
              </w:rPr>
              <w:t>n.m.</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0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 margin</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4"/>
              </w:rPr>
              <w:t>0.4%</w:t>
            </w:r>
          </w:p>
        </w:tc>
        <w:tc>
          <w:tcPr>
            <w:tcW w:w="120" w:type="dxa"/>
            <w:vAlign w:val="bottom"/>
          </w:tcPr>
          <w:p>
            <w:pPr>
              <w:spacing w:after="0"/>
              <w:rPr>
                <w:sz w:val="16"/>
                <w:szCs w:val="16"/>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3"/>
              </w:rPr>
              <w:t>(3.0)%</w:t>
            </w:r>
          </w:p>
        </w:tc>
        <w:tc>
          <w:tcPr>
            <w:tcW w:w="100" w:type="dxa"/>
            <w:vAlign w:val="bottom"/>
          </w:tcPr>
          <w:p>
            <w:pPr>
              <w:spacing w:after="0"/>
              <w:rPr>
                <w:sz w:val="16"/>
                <w:szCs w:val="16"/>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5"/>
              </w:rPr>
              <w:t>+340</w:t>
            </w:r>
          </w:p>
        </w:tc>
        <w:tc>
          <w:tcPr>
            <w:tcW w:w="38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0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820" w:type="dxa"/>
            <w:vAlign w:val="bottom"/>
            <w:shd w:val="clear" w:color="auto" w:fill="4C639D"/>
          </w:tcPr>
          <w:p>
            <w:pPr>
              <w:spacing w:after="0" w:line="20" w:lineRule="exact"/>
              <w:rPr>
                <w:sz w:val="1"/>
                <w:szCs w:val="1"/>
                <w:color w:val="auto"/>
              </w:rPr>
            </w:pPr>
          </w:p>
        </w:tc>
        <w:tc>
          <w:tcPr>
            <w:tcW w:w="38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-590550</wp:posOffset>
            </wp:positionV>
            <wp:extent cx="754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 w:lineRule="exact"/>
        <w:rPr>
          <w:sz w:val="20"/>
          <w:szCs w:val="20"/>
          <w:color w:val="auto"/>
        </w:rPr>
      </w:pPr>
    </w:p>
    <w:p>
      <w:pPr>
        <w:ind w:left="180" w:right="80" w:hanging="154"/>
        <w:spacing w:after="0" w:line="266" w:lineRule="auto"/>
        <w:tabs>
          <w:tab w:leader="none" w:pos="17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243782"/>
        </w:rPr>
        <w:t xml:space="preserve">Shipments </w:t>
      </w:r>
      <w:r>
        <w:rPr>
          <w:rFonts w:ascii="Arial" w:cs="Arial" w:eastAsia="Arial" w:hAnsi="Arial"/>
          <w:sz w:val="12"/>
          <w:szCs w:val="12"/>
          <w:color w:val="000000"/>
        </w:rPr>
        <w:t>decreased 12%, primarily due to planned production shutdown affecting certain</w:t>
      </w:r>
      <w:r>
        <w:rPr>
          <w:rFonts w:ascii="Arial" w:cs="Arial" w:eastAsia="Arial" w:hAnsi="Arial"/>
          <w:sz w:val="12"/>
          <w:szCs w:val="12"/>
          <w:b w:val="1"/>
          <w:bCs w:val="1"/>
          <w:color w:val="243782"/>
        </w:rPr>
        <w:t xml:space="preserve"> </w:t>
      </w:r>
      <w:r>
        <w:rPr>
          <w:rFonts w:ascii="Arial" w:cs="Arial" w:eastAsia="Arial" w:hAnsi="Arial"/>
          <w:sz w:val="12"/>
          <w:szCs w:val="12"/>
          <w:color w:val="000000"/>
        </w:rPr>
        <w:t>Jeep models, including Grand Cherokee and Compass, partially offset by new and refreshed products, including Ram 1500 HEMI V8, Ram 1500 TRX and Jeep</w:t>
      </w:r>
      <w:r>
        <w:rPr>
          <w:rFonts w:ascii="Arial" w:cs="Arial" w:eastAsia="Arial" w:hAnsi="Arial"/>
          <w:sz w:val="15"/>
          <w:szCs w:val="15"/>
          <w:color w:val="000000"/>
          <w:vertAlign w:val="superscript"/>
        </w:rPr>
        <w:t>®</w:t>
      </w:r>
      <w:r>
        <w:rPr>
          <w:rFonts w:ascii="Arial" w:cs="Arial" w:eastAsia="Arial" w:hAnsi="Arial"/>
          <w:sz w:val="12"/>
          <w:szCs w:val="12"/>
          <w:color w:val="000000"/>
        </w:rPr>
        <w:t xml:space="preserve"> Cherokee HEV</w:t>
      </w:r>
    </w:p>
    <w:p>
      <w:pPr>
        <w:ind w:left="180" w:right="140" w:hanging="154"/>
        <w:spacing w:after="0" w:line="261" w:lineRule="auto"/>
        <w:tabs>
          <w:tab w:leader="none" w:pos="170"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243782"/>
        </w:rPr>
        <w:t xml:space="preserve">Net revenues </w:t>
      </w:r>
      <w:r>
        <w:rPr>
          <w:rFonts w:ascii="Arial" w:cs="Arial" w:eastAsia="Arial" w:hAnsi="Arial"/>
          <w:sz w:val="13"/>
          <w:szCs w:val="13"/>
          <w:color w:val="000000"/>
        </w:rPr>
        <w:t>decreased 3%, primarily driven by lower volumes partially offset by favorable</w:t>
      </w:r>
      <w:r>
        <w:rPr>
          <w:rFonts w:ascii="Arial" w:cs="Arial" w:eastAsia="Arial" w:hAnsi="Arial"/>
          <w:sz w:val="13"/>
          <w:szCs w:val="13"/>
          <w:b w:val="1"/>
          <w:bCs w:val="1"/>
          <w:color w:val="243782"/>
        </w:rPr>
        <w:t xml:space="preserve"> </w:t>
      </w:r>
      <w:r>
        <w:rPr>
          <w:rFonts w:ascii="Arial" w:cs="Arial" w:eastAsia="Arial" w:hAnsi="Arial"/>
          <w:sz w:val="13"/>
          <w:szCs w:val="13"/>
          <w:color w:val="000000"/>
        </w:rPr>
        <w:t>mix, positive net pricing, and favorable foreign exchange translation impacts</w:t>
      </w:r>
    </w:p>
    <w:p>
      <w:pPr>
        <w:ind w:left="180" w:right="160" w:hanging="154"/>
        <w:spacing w:after="0" w:line="286" w:lineRule="auto"/>
        <w:tabs>
          <w:tab w:leader="none" w:pos="170"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243782"/>
        </w:rPr>
        <w:t xml:space="preserve">Adjusted operating income/(loss) </w:t>
      </w:r>
      <w:r>
        <w:rPr>
          <w:rFonts w:ascii="Arial" w:cs="Arial" w:eastAsia="Arial" w:hAnsi="Arial"/>
          <w:sz w:val="13"/>
          <w:szCs w:val="13"/>
          <w:color w:val="000000"/>
        </w:rPr>
        <w:t>improved by €539 million, driven by positive net pricing</w:t>
      </w:r>
      <w:r>
        <w:rPr>
          <w:rFonts w:ascii="Arial" w:cs="Arial" w:eastAsia="Arial" w:hAnsi="Arial"/>
          <w:sz w:val="13"/>
          <w:szCs w:val="13"/>
          <w:b w:val="1"/>
          <w:bCs w:val="1"/>
          <w:color w:val="243782"/>
        </w:rPr>
        <w:t xml:space="preserve"> </w:t>
      </w:r>
      <w:r>
        <w:rPr>
          <w:rFonts w:ascii="Arial" w:cs="Arial" w:eastAsia="Arial" w:hAnsi="Arial"/>
          <w:sz w:val="13"/>
          <w:szCs w:val="13"/>
          <w:color w:val="000000"/>
        </w:rPr>
        <w:t>and industrial cost savings, including VCP, partially offset by lower volumes</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MIDDLE EAST &amp; AFRICA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180" w:type="dxa"/>
            <w:vAlign w:val="bottom"/>
            <w:tcBorders>
              <w:top w:val="single" w:sz="8" w:color="4C639D"/>
            </w:tcBorders>
            <w:vMerge w:val="restart"/>
            <w:shd w:val="clear" w:color="auto" w:fill="243782"/>
          </w:tcPr>
          <w:p>
            <w:pPr>
              <w:jc w:val="center"/>
              <w:spacing w:after="0"/>
              <w:rPr>
                <w:sz w:val="20"/>
                <w:szCs w:val="20"/>
                <w:color w:val="auto"/>
              </w:rPr>
            </w:pPr>
            <w:r>
              <w:rPr>
                <w:rFonts w:ascii="Arial" w:cs="Arial" w:eastAsia="Arial" w:hAnsi="Arial"/>
                <w:sz w:val="14"/>
                <w:szCs w:val="14"/>
                <w:i w:val="1"/>
                <w:iCs w:val="1"/>
                <w:color w:val="FFFFFF"/>
              </w:rPr>
              <w:t>Q3 2026</w:t>
            </w:r>
          </w:p>
        </w:tc>
        <w:tc>
          <w:tcPr>
            <w:tcW w:w="120" w:type="dxa"/>
            <w:vAlign w:val="bottom"/>
            <w:tcBorders>
              <w:top w:val="single" w:sz="8" w:color="4C639D"/>
            </w:tcBorders>
          </w:tcPr>
          <w:p>
            <w:pPr>
              <w:spacing w:after="0"/>
              <w:rPr>
                <w:sz w:val="14"/>
                <w:szCs w:val="14"/>
                <w:color w:val="auto"/>
              </w:rPr>
            </w:pPr>
          </w:p>
        </w:tc>
        <w:tc>
          <w:tcPr>
            <w:tcW w:w="1200" w:type="dxa"/>
            <w:vAlign w:val="bottom"/>
            <w:tcBorders>
              <w:top w:val="single" w:sz="8" w:color="4C639D"/>
            </w:tcBorders>
            <w:vMerge w:val="restart"/>
            <w:shd w:val="clear" w:color="auto" w:fill="F2F2F2"/>
          </w:tcPr>
          <w:p>
            <w:pPr>
              <w:jc w:val="center"/>
              <w:spacing w:after="0"/>
              <w:rPr>
                <w:sz w:val="20"/>
                <w:szCs w:val="20"/>
                <w:color w:val="auto"/>
              </w:rPr>
            </w:pPr>
            <w:r>
              <w:rPr>
                <w:rFonts w:ascii="Arial" w:cs="Arial" w:eastAsia="Arial" w:hAnsi="Arial"/>
                <w:sz w:val="14"/>
                <w:szCs w:val="14"/>
                <w:i w:val="1"/>
                <w:iCs w:val="1"/>
                <w:color w:val="243782"/>
              </w:rPr>
              <w:t>Q3 2025</w:t>
            </w:r>
          </w:p>
        </w:tc>
        <w:tc>
          <w:tcPr>
            <w:tcW w:w="100" w:type="dxa"/>
            <w:vAlign w:val="bottom"/>
            <w:tcBorders>
              <w:top w:val="single" w:sz="8" w:color="4C639D"/>
            </w:tcBorders>
          </w:tcPr>
          <w:p>
            <w:pPr>
              <w:spacing w:after="0"/>
              <w:rPr>
                <w:sz w:val="14"/>
                <w:szCs w:val="14"/>
                <w:color w:val="auto"/>
              </w:rPr>
            </w:pPr>
          </w:p>
        </w:tc>
        <w:tc>
          <w:tcPr>
            <w:tcW w:w="1200" w:type="dxa"/>
            <w:vAlign w:val="bottom"/>
            <w:tcBorders>
              <w:top w:val="single" w:sz="8" w:color="4C639D"/>
            </w:tcBorders>
            <w:gridSpan w:val="2"/>
            <w:vMerge w:val="restart"/>
          </w:tcPr>
          <w:p>
            <w:pPr>
              <w:ind w:left="34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Arial" w:cs="Arial" w:eastAsia="Arial" w:hAnsi="Arial"/>
                <w:sz w:val="11"/>
                <w:szCs w:val="11"/>
                <w:color w:val="auto"/>
              </w:rPr>
              <w:t>stated</w:t>
            </w:r>
          </w:p>
        </w:tc>
        <w:tc>
          <w:tcPr>
            <w:tcW w:w="1180" w:type="dxa"/>
            <w:vAlign w:val="bottom"/>
            <w:tcBorders>
              <w:bottom w:val="single" w:sz="8" w:color="243782"/>
            </w:tcBorders>
            <w:vMerge w:val="continue"/>
            <w:shd w:val="clear" w:color="auto" w:fill="243782"/>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F2F2F2"/>
            </w:tcBorders>
            <w:vMerge w:val="continue"/>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tcBorders>
              <w:top w:val="single" w:sz="8" w:color="7D7D7D"/>
            </w:tcBorders>
          </w:tcPr>
          <w:p>
            <w:pPr>
              <w:ind w:left="20"/>
              <w:spacing w:after="0" w:line="165" w:lineRule="exact"/>
              <w:rPr>
                <w:sz w:val="20"/>
                <w:szCs w:val="20"/>
                <w:color w:val="auto"/>
              </w:rPr>
            </w:pPr>
            <w:r>
              <w:rPr>
                <w:rFonts w:ascii="Arial" w:cs="Arial" w:eastAsia="Arial" w:hAnsi="Arial"/>
                <w:sz w:val="13"/>
                <w:szCs w:val="13"/>
                <w:color w:val="auto"/>
              </w:rPr>
              <w:t>Combined shipments</w:t>
            </w:r>
            <w:r>
              <w:rPr>
                <w:rFonts w:ascii="Arial" w:cs="Arial" w:eastAsia="Arial" w:hAnsi="Arial"/>
                <w:sz w:val="16"/>
                <w:szCs w:val="16"/>
                <w:color w:val="auto"/>
                <w:vertAlign w:val="superscript"/>
              </w:rPr>
              <w:t>(6)</w:t>
            </w:r>
          </w:p>
        </w:tc>
        <w:tc>
          <w:tcPr>
            <w:tcW w:w="1180" w:type="dxa"/>
            <w:vAlign w:val="bottom"/>
            <w:tcBorders>
              <w:top w:val="single" w:sz="8" w:color="243782"/>
            </w:tcBorders>
            <w:shd w:val="clear" w:color="auto" w:fill="243782"/>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4C639D"/>
            </w:tcBorders>
            <w:shd w:val="clear" w:color="auto" w:fill="F2F2F2"/>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4C639D"/>
            </w:tcBorders>
          </w:tcPr>
          <w:p>
            <w:pPr>
              <w:spacing w:after="0"/>
              <w:rPr>
                <w:sz w:val="14"/>
                <w:szCs w:val="14"/>
                <w:color w:val="auto"/>
              </w:rPr>
            </w:pPr>
          </w:p>
        </w:tc>
        <w:tc>
          <w:tcPr>
            <w:tcW w:w="380" w:type="dxa"/>
            <w:vAlign w:val="bottom"/>
            <w:tcBorders>
              <w:top w:val="single" w:sz="8" w:color="4C639D"/>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rPr>
                <w:sz w:val="20"/>
                <w:szCs w:val="20"/>
                <w:color w:val="auto"/>
              </w:rPr>
            </w:pPr>
            <w:r>
              <w:rPr>
                <w:rFonts w:ascii="Arial" w:cs="Arial" w:eastAsia="Arial" w:hAnsi="Arial"/>
                <w:sz w:val="13"/>
                <w:szCs w:val="13"/>
                <w:color w:val="auto"/>
              </w:rPr>
              <w:t>(000s)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95</w:t>
            </w:r>
          </w:p>
        </w:tc>
        <w:tc>
          <w:tcPr>
            <w:tcW w:w="120" w:type="dxa"/>
            <w:vAlign w:val="bottom"/>
          </w:tcPr>
          <w:p>
            <w:pPr>
              <w:spacing w:after="0"/>
              <w:rPr>
                <w:sz w:val="16"/>
                <w:szCs w:val="16"/>
                <w:color w:val="auto"/>
              </w:rPr>
            </w:pP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128</w:t>
            </w: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94"/>
              </w:rPr>
              <w:t>(33)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20" w:type="dxa"/>
            <w:vAlign w:val="bottom"/>
            <w:tcBorders>
              <w:top w:val="single" w:sz="8" w:color="7D7D7D"/>
            </w:tcBorders>
          </w:tcPr>
          <w:p>
            <w:pPr>
              <w:ind w:left="20"/>
              <w:spacing w:after="0" w:line="165" w:lineRule="exact"/>
              <w:rPr>
                <w:sz w:val="20"/>
                <w:szCs w:val="20"/>
                <w:color w:val="auto"/>
              </w:rPr>
            </w:pPr>
            <w:r>
              <w:rPr>
                <w:rFonts w:ascii="Arial" w:cs="Arial" w:eastAsia="Arial" w:hAnsi="Arial"/>
                <w:sz w:val="13"/>
                <w:szCs w:val="13"/>
                <w:color w:val="auto"/>
              </w:rPr>
              <w:t>Consolidated shipments</w:t>
            </w:r>
            <w:r>
              <w:rPr>
                <w:rFonts w:ascii="Arial" w:cs="Arial" w:eastAsia="Arial" w:hAnsi="Arial"/>
                <w:sz w:val="16"/>
                <w:szCs w:val="16"/>
                <w:color w:val="auto"/>
                <w:vertAlign w:val="superscript"/>
              </w:rPr>
              <w:t>(6)</w:t>
            </w:r>
          </w:p>
        </w:tc>
        <w:tc>
          <w:tcPr>
            <w:tcW w:w="1180" w:type="dxa"/>
            <w:vAlign w:val="bottom"/>
            <w:tcBorders>
              <w:top w:val="single" w:sz="8" w:color="7D7D7D"/>
            </w:tcBorders>
            <w:shd w:val="clear" w:color="auto" w:fill="243782"/>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7D7D7D"/>
            </w:tcBorders>
            <w:shd w:val="clear" w:color="auto" w:fill="F2F2F2"/>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7D7D7D"/>
            </w:tcBorders>
          </w:tcPr>
          <w:p>
            <w:pPr>
              <w:spacing w:after="0"/>
              <w:rPr>
                <w:sz w:val="14"/>
                <w:szCs w:val="14"/>
                <w:color w:val="auto"/>
              </w:rPr>
            </w:pPr>
          </w:p>
        </w:tc>
        <w:tc>
          <w:tcPr>
            <w:tcW w:w="380" w:type="dxa"/>
            <w:vAlign w:val="bottom"/>
            <w:tcBorders>
              <w:top w:val="single" w:sz="8" w:color="929292"/>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rPr>
                <w:sz w:val="20"/>
                <w:szCs w:val="20"/>
                <w:color w:val="auto"/>
              </w:rPr>
            </w:pPr>
            <w:r>
              <w:rPr>
                <w:rFonts w:ascii="Arial" w:cs="Arial" w:eastAsia="Arial" w:hAnsi="Arial"/>
                <w:sz w:val="13"/>
                <w:szCs w:val="13"/>
                <w:color w:val="auto"/>
              </w:rPr>
              <w:t>(000s)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75</w:t>
            </w:r>
          </w:p>
        </w:tc>
        <w:tc>
          <w:tcPr>
            <w:tcW w:w="120" w:type="dxa"/>
            <w:vAlign w:val="bottom"/>
          </w:tcPr>
          <w:p>
            <w:pPr>
              <w:spacing w:after="0"/>
              <w:rPr>
                <w:sz w:val="16"/>
                <w:szCs w:val="16"/>
                <w:color w:val="auto"/>
              </w:rPr>
            </w:pP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6"/>
              </w:rPr>
              <w:t>95</w:t>
            </w: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94"/>
              </w:rPr>
              <w:t>(20)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Net revenues</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1,673</w:t>
            </w:r>
          </w:p>
        </w:tc>
        <w:tc>
          <w:tcPr>
            <w:tcW w:w="12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2,060</w:t>
            </w:r>
          </w:p>
        </w:tc>
        <w:tc>
          <w:tcPr>
            <w:tcW w:w="100" w:type="dxa"/>
            <w:vAlign w:val="bottom"/>
          </w:tcPr>
          <w:p>
            <w:pPr>
              <w:spacing w:after="0"/>
              <w:rPr>
                <w:sz w:val="18"/>
                <w:szCs w:val="18"/>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7"/>
              </w:rPr>
              <w:t>(19)%</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2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244</w:t>
            </w:r>
          </w:p>
        </w:tc>
        <w:tc>
          <w:tcPr>
            <w:tcW w:w="120" w:type="dxa"/>
            <w:vAlign w:val="bottom"/>
          </w:tcPr>
          <w:p>
            <w:pPr>
              <w:spacing w:after="0"/>
              <w:rPr>
                <w:sz w:val="20"/>
                <w:szCs w:val="20"/>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0"/>
                <w:szCs w:val="20"/>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7"/>
              </w:rPr>
              <w:t>(10)%</w:t>
            </w:r>
          </w:p>
        </w:tc>
        <w:tc>
          <w:tcPr>
            <w:tcW w:w="380" w:type="dxa"/>
            <w:vAlign w:val="bottom"/>
            <w:tcBorders>
              <w:top w:val="single" w:sz="8" w:color="929292"/>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2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 margin</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14.6%</w:t>
            </w:r>
          </w:p>
        </w:tc>
        <w:tc>
          <w:tcPr>
            <w:tcW w:w="12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13.2%</w:t>
            </w:r>
          </w:p>
        </w:tc>
        <w:tc>
          <w:tcPr>
            <w:tcW w:w="100" w:type="dxa"/>
            <w:vAlign w:val="bottom"/>
          </w:tcPr>
          <w:p>
            <w:pPr>
              <w:spacing w:after="0"/>
              <w:rPr>
                <w:sz w:val="18"/>
                <w:szCs w:val="18"/>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5"/>
              </w:rPr>
              <w:t>+140</w:t>
            </w:r>
          </w:p>
        </w:tc>
        <w:tc>
          <w:tcPr>
            <w:tcW w:w="38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2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820" w:type="dxa"/>
            <w:vAlign w:val="bottom"/>
            <w:shd w:val="clear" w:color="auto" w:fill="4C639D"/>
          </w:tcPr>
          <w:p>
            <w:pPr>
              <w:spacing w:after="0" w:line="20" w:lineRule="exact"/>
              <w:rPr>
                <w:sz w:val="1"/>
                <w:szCs w:val="1"/>
                <w:color w:val="auto"/>
              </w:rPr>
            </w:pPr>
          </w:p>
        </w:tc>
        <w:tc>
          <w:tcPr>
            <w:tcW w:w="38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-959485</wp:posOffset>
            </wp:positionV>
            <wp:extent cx="754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 w:lineRule="exact"/>
        <w:rPr>
          <w:sz w:val="20"/>
          <w:szCs w:val="20"/>
          <w:color w:val="auto"/>
        </w:rPr>
      </w:pPr>
    </w:p>
    <w:p>
      <w:pPr>
        <w:ind w:left="180" w:right="80" w:hanging="154"/>
        <w:spacing w:after="0" w:line="264" w:lineRule="auto"/>
        <w:tabs>
          <w:tab w:leader="none" w:pos="17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243782"/>
        </w:rPr>
        <w:t xml:space="preserve">Consolidated shipments </w:t>
      </w:r>
      <w:r>
        <w:rPr>
          <w:rFonts w:ascii="Arial" w:cs="Arial" w:eastAsia="Arial" w:hAnsi="Arial"/>
          <w:sz w:val="13"/>
          <w:szCs w:val="13"/>
          <w:color w:val="000000"/>
        </w:rPr>
        <w:t>decreased 21%, reflecting lower volumes in Türkiye due to overall</w:t>
      </w:r>
      <w:r>
        <w:rPr>
          <w:rFonts w:ascii="Arial" w:cs="Arial" w:eastAsia="Arial" w:hAnsi="Arial"/>
          <w:sz w:val="13"/>
          <w:szCs w:val="13"/>
          <w:b w:val="1"/>
          <w:bCs w:val="1"/>
          <w:color w:val="243782"/>
        </w:rPr>
        <w:t xml:space="preserve"> </w:t>
      </w:r>
      <w:r>
        <w:rPr>
          <w:rFonts w:ascii="Arial" w:cs="Arial" w:eastAsia="Arial" w:hAnsi="Arial"/>
          <w:sz w:val="13"/>
          <w:szCs w:val="13"/>
          <w:color w:val="000000"/>
        </w:rPr>
        <w:t>industry decline</w:t>
      </w:r>
    </w:p>
    <w:p>
      <w:pPr>
        <w:spacing w:after="0" w:line="8" w:lineRule="exact"/>
        <w:rPr>
          <w:rFonts w:ascii="Arial" w:cs="Arial" w:eastAsia="Arial" w:hAnsi="Arial"/>
          <w:sz w:val="13"/>
          <w:szCs w:val="13"/>
          <w:color w:val="auto"/>
        </w:rPr>
      </w:pPr>
    </w:p>
    <w:p>
      <w:pPr>
        <w:ind w:left="180" w:right="180" w:hanging="154"/>
        <w:spacing w:after="0" w:line="251" w:lineRule="auto"/>
        <w:tabs>
          <w:tab w:leader="none" w:pos="17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243782"/>
        </w:rPr>
        <w:t xml:space="preserve">Net revenues </w:t>
      </w:r>
      <w:r>
        <w:rPr>
          <w:rFonts w:ascii="Arial" w:cs="Arial" w:eastAsia="Arial" w:hAnsi="Arial"/>
          <w:sz w:val="13"/>
          <w:szCs w:val="13"/>
          <w:color w:val="000000"/>
        </w:rPr>
        <w:t>decreased 19%, primarily due to lower volumes and unfavorable foreign</w:t>
      </w:r>
      <w:r>
        <w:rPr>
          <w:rFonts w:ascii="Arial" w:cs="Arial" w:eastAsia="Arial" w:hAnsi="Arial"/>
          <w:sz w:val="13"/>
          <w:szCs w:val="13"/>
          <w:b w:val="1"/>
          <w:bCs w:val="1"/>
          <w:color w:val="243782"/>
        </w:rPr>
        <w:t xml:space="preserve"> </w:t>
      </w:r>
      <w:r>
        <w:rPr>
          <w:rFonts w:ascii="Arial" w:cs="Arial" w:eastAsia="Arial" w:hAnsi="Arial"/>
          <w:sz w:val="13"/>
          <w:szCs w:val="13"/>
          <w:color w:val="000000"/>
        </w:rPr>
        <w:t>exchange translation effects from the Turkish Lira partially offset by positive net pricing and favorable mix</w:t>
      </w:r>
    </w:p>
    <w:p>
      <w:pPr>
        <w:spacing w:after="0" w:line="16" w:lineRule="exact"/>
        <w:rPr>
          <w:rFonts w:ascii="Arial" w:cs="Arial" w:eastAsia="Arial" w:hAnsi="Arial"/>
          <w:sz w:val="13"/>
          <w:szCs w:val="13"/>
          <w:color w:val="auto"/>
        </w:rPr>
      </w:pPr>
    </w:p>
    <w:p>
      <w:pPr>
        <w:jc w:val="both"/>
        <w:ind w:left="180" w:right="160" w:hanging="154"/>
        <w:spacing w:after="0" w:line="251" w:lineRule="auto"/>
        <w:tabs>
          <w:tab w:leader="none" w:pos="170" w:val="left"/>
        </w:tabs>
        <w:numPr>
          <w:ilvl w:val="0"/>
          <w:numId w:val="5"/>
        </w:numPr>
        <w:rPr>
          <w:rFonts w:ascii="Arial" w:cs="Arial" w:eastAsia="Arial" w:hAnsi="Arial"/>
          <w:sz w:val="13"/>
          <w:szCs w:val="13"/>
          <w:color w:val="243782"/>
        </w:rPr>
      </w:pPr>
      <w:r>
        <w:rPr>
          <w:rFonts w:ascii="Arial" w:cs="Arial" w:eastAsia="Arial" w:hAnsi="Arial"/>
          <w:sz w:val="13"/>
          <w:szCs w:val="13"/>
          <w:b w:val="1"/>
          <w:bCs w:val="1"/>
          <w:color w:val="243782"/>
        </w:rPr>
        <w:t xml:space="preserve">Adjusted operating income/(loss) </w:t>
      </w:r>
      <w:r>
        <w:rPr>
          <w:rFonts w:ascii="Arial" w:cs="Arial" w:eastAsia="Arial" w:hAnsi="Arial"/>
          <w:sz w:val="13"/>
          <w:szCs w:val="13"/>
          <w:color w:val="000000"/>
        </w:rPr>
        <w:t>declined by €28 million, primarily due to lower volumes</w:t>
      </w:r>
      <w:r>
        <w:rPr>
          <w:rFonts w:ascii="Arial" w:cs="Arial" w:eastAsia="Arial" w:hAnsi="Arial"/>
          <w:sz w:val="13"/>
          <w:szCs w:val="13"/>
          <w:b w:val="1"/>
          <w:bCs w:val="1"/>
          <w:color w:val="243782"/>
        </w:rPr>
        <w:t xml:space="preserve"> </w:t>
      </w:r>
      <w:r>
        <w:rPr>
          <w:rFonts w:ascii="Arial" w:cs="Arial" w:eastAsia="Arial" w:hAnsi="Arial"/>
          <w:sz w:val="13"/>
          <w:szCs w:val="13"/>
          <w:color w:val="000000"/>
        </w:rPr>
        <w:t>and unfavorable foreign exchange effects related to Turkish Lira devaluation, partially offset by positive net pricing and favorable mix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20"/>
          <w:szCs w:val="20"/>
          <w:color w:val="243782"/>
        </w:rPr>
        <w:t>ENLARGED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-1520190</wp:posOffset>
            </wp:positionV>
            <wp:extent cx="218630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66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200" w:type="dxa"/>
            <w:vAlign w:val="bottom"/>
            <w:tcBorders>
              <w:top w:val="single" w:sz="8" w:color="4C639D"/>
            </w:tcBorders>
            <w:vMerge w:val="restart"/>
            <w:shd w:val="clear" w:color="auto" w:fill="243782"/>
          </w:tcPr>
          <w:p>
            <w:pPr>
              <w:jc w:val="center"/>
              <w:spacing w:after="0"/>
              <w:rPr>
                <w:sz w:val="20"/>
                <w:szCs w:val="20"/>
                <w:color w:val="auto"/>
              </w:rPr>
            </w:pPr>
            <w:r>
              <w:rPr>
                <w:rFonts w:ascii="Arial" w:cs="Arial" w:eastAsia="Arial" w:hAnsi="Arial"/>
                <w:sz w:val="14"/>
                <w:szCs w:val="14"/>
                <w:i w:val="1"/>
                <w:iCs w:val="1"/>
                <w:color w:val="FFFFFF"/>
              </w:rPr>
              <w:t>Q3 2026</w:t>
            </w:r>
          </w:p>
        </w:tc>
        <w:tc>
          <w:tcPr>
            <w:tcW w:w="100" w:type="dxa"/>
            <w:vAlign w:val="bottom"/>
            <w:tcBorders>
              <w:top w:val="single" w:sz="8" w:color="4C639D"/>
            </w:tcBorders>
          </w:tcPr>
          <w:p>
            <w:pPr>
              <w:spacing w:after="0"/>
              <w:rPr>
                <w:sz w:val="15"/>
                <w:szCs w:val="15"/>
                <w:color w:val="auto"/>
              </w:rPr>
            </w:pPr>
          </w:p>
        </w:tc>
        <w:tc>
          <w:tcPr>
            <w:tcW w:w="1220" w:type="dxa"/>
            <w:vAlign w:val="bottom"/>
            <w:tcBorders>
              <w:top w:val="single" w:sz="8" w:color="4C639D"/>
            </w:tcBorders>
            <w:vMerge w:val="restart"/>
            <w:shd w:val="clear" w:color="auto" w:fill="F2F2F2"/>
          </w:tcPr>
          <w:p>
            <w:pPr>
              <w:jc w:val="center"/>
              <w:spacing w:after="0"/>
              <w:rPr>
                <w:sz w:val="20"/>
                <w:szCs w:val="20"/>
                <w:color w:val="auto"/>
              </w:rPr>
            </w:pPr>
            <w:r>
              <w:rPr>
                <w:rFonts w:ascii="Arial" w:cs="Arial" w:eastAsia="Arial" w:hAnsi="Arial"/>
                <w:sz w:val="14"/>
                <w:szCs w:val="14"/>
                <w:i w:val="1"/>
                <w:iCs w:val="1"/>
                <w:color w:val="243782"/>
              </w:rPr>
              <w:t>Q3 2025</w:t>
            </w:r>
          </w:p>
        </w:tc>
        <w:tc>
          <w:tcPr>
            <w:tcW w:w="100" w:type="dxa"/>
            <w:vAlign w:val="bottom"/>
            <w:tcBorders>
              <w:top w:val="single" w:sz="8" w:color="4C639D"/>
            </w:tcBorders>
          </w:tcPr>
          <w:p>
            <w:pPr>
              <w:spacing w:after="0"/>
              <w:rPr>
                <w:sz w:val="15"/>
                <w:szCs w:val="15"/>
                <w:color w:val="auto"/>
              </w:rPr>
            </w:pPr>
          </w:p>
        </w:tc>
        <w:tc>
          <w:tcPr>
            <w:tcW w:w="1120" w:type="dxa"/>
            <w:vAlign w:val="bottom"/>
            <w:tcBorders>
              <w:top w:val="single" w:sz="8" w:color="4C639D"/>
            </w:tcBorders>
            <w:gridSpan w:val="2"/>
            <w:vMerge w:val="restart"/>
          </w:tcPr>
          <w:p>
            <w:pPr>
              <w:ind w:left="30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55"/>
        </w:trPr>
        <w:tc>
          <w:tcPr>
            <w:tcW w:w="1660" w:type="dxa"/>
            <w:vAlign w:val="bottom"/>
            <w:tcBorders>
              <w:bottom w:val="single" w:sz="8" w:color="7D7D7D"/>
            </w:tcBorders>
          </w:tcPr>
          <w:p>
            <w:pPr>
              <w:ind w:left="20"/>
              <w:spacing w:after="0"/>
              <w:rPr>
                <w:sz w:val="20"/>
                <w:szCs w:val="20"/>
                <w:color w:val="auto"/>
              </w:rPr>
            </w:pPr>
            <w:r>
              <w:rPr>
                <w:rFonts w:ascii="Arial" w:cs="Arial" w:eastAsia="Arial" w:hAnsi="Arial"/>
                <w:sz w:val="11"/>
                <w:szCs w:val="11"/>
                <w:color w:val="auto"/>
              </w:rPr>
              <w:t>stated</w:t>
            </w:r>
          </w:p>
        </w:tc>
        <w:tc>
          <w:tcPr>
            <w:tcW w:w="1200" w:type="dxa"/>
            <w:vAlign w:val="bottom"/>
            <w:tcBorders>
              <w:bottom w:val="single" w:sz="8" w:color="243782"/>
            </w:tcBorders>
            <w:vMerge w:val="continue"/>
            <w:shd w:val="clear" w:color="auto" w:fill="243782"/>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4C639D"/>
            </w:tcBorders>
            <w:vMerge w:val="continue"/>
            <w:shd w:val="clear" w:color="auto" w:fill="F2F2F2"/>
          </w:tcPr>
          <w:p>
            <w:pPr>
              <w:spacing w:after="0"/>
              <w:rPr>
                <w:sz w:val="13"/>
                <w:szCs w:val="13"/>
                <w:color w:val="auto"/>
              </w:rPr>
            </w:pPr>
          </w:p>
        </w:tc>
        <w:tc>
          <w:tcPr>
            <w:tcW w:w="100" w:type="dxa"/>
            <w:vAlign w:val="bottom"/>
            <w:tcBorders>
              <w:bottom w:val="single" w:sz="8" w:color="4C639D"/>
            </w:tcBorders>
          </w:tcPr>
          <w:p>
            <w:pPr>
              <w:spacing w:after="0"/>
              <w:rPr>
                <w:sz w:val="13"/>
                <w:szCs w:val="13"/>
                <w:color w:val="auto"/>
              </w:rPr>
            </w:pPr>
          </w:p>
        </w:tc>
        <w:tc>
          <w:tcPr>
            <w:tcW w:w="1120" w:type="dxa"/>
            <w:vAlign w:val="bottom"/>
            <w:tcBorders>
              <w:bottom w:val="single" w:sz="8" w:color="4C639D"/>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3"/>
                <w:szCs w:val="13"/>
                <w:color w:val="auto"/>
              </w:rPr>
              <w:t>Shipments (000s)</w:t>
            </w:r>
          </w:p>
        </w:tc>
        <w:tc>
          <w:tcPr>
            <w:tcW w:w="120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588</w:t>
            </w:r>
          </w:p>
        </w:tc>
        <w:tc>
          <w:tcPr>
            <w:tcW w:w="100" w:type="dxa"/>
            <w:vAlign w:val="bottom"/>
          </w:tcPr>
          <w:p>
            <w:pPr>
              <w:spacing w:after="0"/>
              <w:rPr>
                <w:sz w:val="18"/>
                <w:szCs w:val="18"/>
                <w:color w:val="auto"/>
              </w:rPr>
            </w:pP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534</w:t>
            </w:r>
          </w:p>
        </w:tc>
        <w:tc>
          <w:tcPr>
            <w:tcW w:w="840" w:type="dxa"/>
            <w:vAlign w:val="bottom"/>
            <w:gridSpan w:val="2"/>
          </w:tcPr>
          <w:p>
            <w:pPr>
              <w:jc w:val="right"/>
              <w:ind w:right="206"/>
              <w:spacing w:after="0"/>
              <w:rPr>
                <w:sz w:val="20"/>
                <w:szCs w:val="20"/>
                <w:color w:val="auto"/>
              </w:rPr>
            </w:pPr>
            <w:r>
              <w:rPr>
                <w:rFonts w:ascii="Arial" w:cs="Arial" w:eastAsia="Arial" w:hAnsi="Arial"/>
                <w:sz w:val="13"/>
                <w:szCs w:val="13"/>
                <w:color w:val="auto"/>
              </w:rPr>
              <w:t>+54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rPr>
              <w:t>Net revenues</w:t>
            </w:r>
          </w:p>
        </w:tc>
        <w:tc>
          <w:tcPr>
            <w:tcW w:w="1200" w:type="dxa"/>
            <w:vAlign w:val="bottom"/>
            <w:tcBorders>
              <w:top w:val="single" w:sz="8" w:color="B6B6B6"/>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14,062</w:t>
            </w:r>
          </w:p>
        </w:tc>
        <w:tc>
          <w:tcPr>
            <w:tcW w:w="100" w:type="dxa"/>
            <w:vAlign w:val="bottom"/>
          </w:tcPr>
          <w:p>
            <w:pPr>
              <w:spacing w:after="0"/>
              <w:rPr>
                <w:sz w:val="18"/>
                <w:szCs w:val="18"/>
                <w:color w:val="auto"/>
              </w:rPr>
            </w:pPr>
          </w:p>
        </w:tc>
        <w:tc>
          <w:tcPr>
            <w:tcW w:w="1220" w:type="dxa"/>
            <w:vAlign w:val="bottom"/>
            <w:tcBorders>
              <w:top w:val="single" w:sz="8" w:color="B6B6B6"/>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5"/>
              </w:rPr>
              <w:t>13,631</w:t>
            </w:r>
          </w:p>
        </w:tc>
        <w:tc>
          <w:tcPr>
            <w:tcW w:w="100" w:type="dxa"/>
            <w:vAlign w:val="bottom"/>
          </w:tcPr>
          <w:p>
            <w:pPr>
              <w:spacing w:after="0"/>
              <w:rPr>
                <w:sz w:val="18"/>
                <w:szCs w:val="18"/>
                <w:color w:val="auto"/>
              </w:rPr>
            </w:pPr>
          </w:p>
        </w:tc>
        <w:tc>
          <w:tcPr>
            <w:tcW w:w="740" w:type="dxa"/>
            <w:vAlign w:val="bottom"/>
            <w:tcBorders>
              <w:top w:val="single" w:sz="8" w:color="7D7D7D"/>
            </w:tcBorders>
          </w:tcPr>
          <w:p>
            <w:pPr>
              <w:jc w:val="right"/>
              <w:ind w:right="186"/>
              <w:spacing w:after="0"/>
              <w:rPr>
                <w:sz w:val="20"/>
                <w:szCs w:val="20"/>
                <w:color w:val="auto"/>
              </w:rPr>
            </w:pPr>
            <w:r>
              <w:rPr>
                <w:rFonts w:ascii="Arial" w:cs="Arial" w:eastAsia="Arial" w:hAnsi="Arial"/>
                <w:sz w:val="13"/>
                <w:szCs w:val="13"/>
                <w:color w:val="auto"/>
              </w:rPr>
              <w:t>+3%</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20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(311)</w:t>
            </w:r>
          </w:p>
        </w:tc>
        <w:tc>
          <w:tcPr>
            <w:tcW w:w="100" w:type="dxa"/>
            <w:vAlign w:val="bottom"/>
          </w:tcPr>
          <w:p>
            <w:pPr>
              <w:spacing w:after="0"/>
              <w:rPr>
                <w:sz w:val="16"/>
                <w:szCs w:val="16"/>
                <w:color w:val="auto"/>
              </w:rPr>
            </w:pPr>
          </w:p>
        </w:tc>
        <w:tc>
          <w:tcPr>
            <w:tcW w:w="122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6"/>
                <w:szCs w:val="16"/>
                <w:color w:val="auto"/>
              </w:rPr>
            </w:pPr>
          </w:p>
        </w:tc>
        <w:tc>
          <w:tcPr>
            <w:tcW w:w="740" w:type="dxa"/>
            <w:vAlign w:val="bottom"/>
            <w:tcBorders>
              <w:top w:val="single" w:sz="8" w:color="7D7D7D"/>
            </w:tcBorders>
          </w:tcPr>
          <w:p>
            <w:pPr>
              <w:ind w:left="240"/>
              <w:spacing w:after="0"/>
              <w:rPr>
                <w:sz w:val="20"/>
                <w:szCs w:val="20"/>
                <w:color w:val="auto"/>
              </w:rPr>
            </w:pPr>
            <w:r>
              <w:rPr>
                <w:rFonts w:ascii="Arial" w:cs="Arial" w:eastAsia="Arial" w:hAnsi="Arial"/>
                <w:sz w:val="13"/>
                <w:szCs w:val="13"/>
                <w:color w:val="auto"/>
              </w:rPr>
              <w:t>n.m.</w:t>
            </w:r>
          </w:p>
        </w:tc>
        <w:tc>
          <w:tcPr>
            <w:tcW w:w="38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929292"/>
          </w:tcPr>
          <w:p>
            <w:pPr>
              <w:spacing w:after="0" w:line="20" w:lineRule="exact"/>
              <w:rPr>
                <w:sz w:val="1"/>
                <w:szCs w:val="1"/>
                <w:color w:val="auto"/>
              </w:rPr>
            </w:pPr>
          </w:p>
        </w:tc>
        <w:tc>
          <w:tcPr>
            <w:tcW w:w="1200" w:type="dxa"/>
            <w:vAlign w:val="bottom"/>
            <w:shd w:val="clear" w:color="auto" w:fill="92929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92929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7D7D7D"/>
          </w:tcPr>
          <w:p>
            <w:pPr>
              <w:spacing w:after="0" w:line="20" w:lineRule="exact"/>
              <w:rPr>
                <w:sz w:val="1"/>
                <w:szCs w:val="1"/>
                <w:color w:val="auto"/>
              </w:rPr>
            </w:pPr>
          </w:p>
        </w:tc>
        <w:tc>
          <w:tcPr>
            <w:tcW w:w="380" w:type="dxa"/>
            <w:vAlign w:val="bottom"/>
            <w:shd w:val="clear" w:color="auto" w:fill="92929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60" w:type="dxa"/>
            <w:vAlign w:val="bottom"/>
          </w:tcPr>
          <w:p>
            <w:pPr>
              <w:ind w:left="20"/>
              <w:spacing w:after="0"/>
              <w:rPr>
                <w:sz w:val="20"/>
                <w:szCs w:val="20"/>
                <w:color w:val="auto"/>
              </w:rPr>
            </w:pPr>
            <w:r>
              <w:rPr>
                <w:rFonts w:ascii="Arial" w:cs="Arial" w:eastAsia="Arial" w:hAnsi="Arial"/>
                <w:sz w:val="13"/>
                <w:szCs w:val="13"/>
                <w:color w:val="auto"/>
              </w:rPr>
              <w:t>AOI margin</w:t>
            </w:r>
          </w:p>
        </w:tc>
        <w:tc>
          <w:tcPr>
            <w:tcW w:w="120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3"/>
              </w:rPr>
              <w:t>(2.2)%</w:t>
            </w:r>
          </w:p>
        </w:tc>
        <w:tc>
          <w:tcPr>
            <w:tcW w:w="100" w:type="dxa"/>
            <w:vAlign w:val="bottom"/>
          </w:tcPr>
          <w:p>
            <w:pPr>
              <w:spacing w:after="0"/>
              <w:rPr>
                <w:sz w:val="16"/>
                <w:szCs w:val="16"/>
                <w:color w:val="auto"/>
              </w:rPr>
            </w:pP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w w:val="95"/>
              </w:rPr>
              <w:t>(340)bps</w:t>
            </w:r>
          </w:p>
        </w:tc>
        <w:tc>
          <w:tcPr>
            <w:tcW w:w="0" w:type="dxa"/>
            <w:vAlign w:val="bottom"/>
          </w:tcPr>
          <w:p>
            <w:pPr>
              <w:spacing w:after="0"/>
              <w:rPr>
                <w:sz w:val="1"/>
                <w:szCs w:val="1"/>
                <w:color w:val="auto"/>
              </w:rPr>
            </w:pPr>
          </w:p>
        </w:tc>
      </w:tr>
      <w:tr>
        <w:trPr>
          <w:trHeight w:val="20"/>
        </w:trPr>
        <w:tc>
          <w:tcPr>
            <w:tcW w:w="166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122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740" w:type="dxa"/>
            <w:vAlign w:val="bottom"/>
            <w:shd w:val="clear" w:color="auto" w:fill="4C639D"/>
          </w:tcPr>
          <w:p>
            <w:pPr>
              <w:spacing w:after="0" w:line="20" w:lineRule="exact"/>
              <w:rPr>
                <w:sz w:val="1"/>
                <w:szCs w:val="1"/>
                <w:color w:val="auto"/>
              </w:rPr>
            </w:pPr>
          </w:p>
        </w:tc>
        <w:tc>
          <w:tcPr>
            <w:tcW w:w="38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-590550</wp:posOffset>
            </wp:positionV>
            <wp:extent cx="762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 w:lineRule="exact"/>
        <w:rPr>
          <w:sz w:val="20"/>
          <w:szCs w:val="20"/>
          <w:color w:val="auto"/>
        </w:rPr>
      </w:pPr>
    </w:p>
    <w:p>
      <w:pPr>
        <w:ind w:left="200" w:right="80" w:hanging="162"/>
        <w:spacing w:after="0" w:line="260" w:lineRule="auto"/>
        <w:tabs>
          <w:tab w:leader="none" w:pos="19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243782"/>
        </w:rPr>
        <w:t xml:space="preserve">Shipments </w:t>
      </w:r>
      <w:r>
        <w:rPr>
          <w:rFonts w:ascii="Arial" w:cs="Arial" w:eastAsia="Arial" w:hAnsi="Arial"/>
          <w:sz w:val="12"/>
          <w:szCs w:val="12"/>
          <w:color w:val="000000"/>
        </w:rPr>
        <w:t>increased 10%, primarily driven by higher volumes of Fiat Pandina, Fiat 500</w:t>
      </w:r>
      <w:r>
        <w:rPr>
          <w:rFonts w:ascii="Arial" w:cs="Arial" w:eastAsia="Arial" w:hAnsi="Arial"/>
          <w:sz w:val="12"/>
          <w:szCs w:val="12"/>
          <w:b w:val="1"/>
          <w:bCs w:val="1"/>
          <w:color w:val="243782"/>
        </w:rPr>
        <w:t xml:space="preserve"> </w:t>
      </w:r>
      <w:r>
        <w:rPr>
          <w:rFonts w:ascii="Arial" w:cs="Arial" w:eastAsia="Arial" w:hAnsi="Arial"/>
          <w:sz w:val="12"/>
          <w:szCs w:val="12"/>
          <w:color w:val="000000"/>
        </w:rPr>
        <w:t>Hybrid, and Fiat Grande Panda, Citroën C3 and C3 Aircross, Peugeot 208, Jeep</w:t>
      </w:r>
      <w:r>
        <w:rPr>
          <w:rFonts w:ascii="Arial" w:cs="Arial" w:eastAsia="Arial" w:hAnsi="Arial"/>
          <w:sz w:val="15"/>
          <w:szCs w:val="15"/>
          <w:color w:val="000000"/>
          <w:vertAlign w:val="superscript"/>
        </w:rPr>
        <w:t>®</w:t>
      </w:r>
      <w:r>
        <w:rPr>
          <w:rFonts w:ascii="Arial" w:cs="Arial" w:eastAsia="Arial" w:hAnsi="Arial"/>
          <w:sz w:val="12"/>
          <w:szCs w:val="12"/>
          <w:color w:val="000000"/>
        </w:rPr>
        <w:t xml:space="preserve"> Compass, Opel/Vauxhall Frontera, and Leapmotor-branded vehicles, notably B10 and C10</w:t>
      </w:r>
    </w:p>
    <w:p>
      <w:pPr>
        <w:ind w:left="200" w:right="100" w:hanging="162"/>
        <w:spacing w:after="0" w:line="270" w:lineRule="auto"/>
        <w:tabs>
          <w:tab w:leader="none" w:pos="190"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243782"/>
        </w:rPr>
        <w:t xml:space="preserve">Net revenues </w:t>
      </w:r>
      <w:r>
        <w:rPr>
          <w:rFonts w:ascii="Arial" w:cs="Arial" w:eastAsia="Arial" w:hAnsi="Arial"/>
          <w:sz w:val="13"/>
          <w:szCs w:val="13"/>
          <w:color w:val="000000"/>
        </w:rPr>
        <w:t>increased 3% driven by higher volumes partially offset by negative net pricing</w:t>
      </w:r>
      <w:r>
        <w:rPr>
          <w:rFonts w:ascii="Arial" w:cs="Arial" w:eastAsia="Arial" w:hAnsi="Arial"/>
          <w:sz w:val="13"/>
          <w:szCs w:val="13"/>
          <w:b w:val="1"/>
          <w:bCs w:val="1"/>
          <w:color w:val="243782"/>
        </w:rPr>
        <w:t xml:space="preserve"> </w:t>
      </w:r>
      <w:r>
        <w:rPr>
          <w:rFonts w:ascii="Arial" w:cs="Arial" w:eastAsia="Arial" w:hAnsi="Arial"/>
          <w:sz w:val="13"/>
          <w:szCs w:val="13"/>
          <w:color w:val="000000"/>
        </w:rPr>
        <w:t>and unfavorable mix</w:t>
      </w:r>
    </w:p>
    <w:p>
      <w:pPr>
        <w:spacing w:after="0" w:line="1" w:lineRule="exact"/>
        <w:rPr>
          <w:rFonts w:ascii="Arial" w:cs="Arial" w:eastAsia="Arial" w:hAnsi="Arial"/>
          <w:sz w:val="13"/>
          <w:szCs w:val="13"/>
          <w:color w:val="auto"/>
        </w:rPr>
      </w:pPr>
    </w:p>
    <w:p>
      <w:pPr>
        <w:jc w:val="both"/>
        <w:ind w:left="200" w:right="200" w:hanging="162"/>
        <w:spacing w:after="0" w:line="262" w:lineRule="auto"/>
        <w:tabs>
          <w:tab w:leader="none" w:pos="190"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243782"/>
        </w:rPr>
        <w:t xml:space="preserve">Adjusted operating income/(loss) </w:t>
      </w:r>
      <w:r>
        <w:rPr>
          <w:rFonts w:ascii="Arial" w:cs="Arial" w:eastAsia="Arial" w:hAnsi="Arial"/>
          <w:sz w:val="13"/>
          <w:szCs w:val="13"/>
          <w:color w:val="000000"/>
        </w:rPr>
        <w:t>declined by €468 million driven mainly by negative net</w:t>
      </w:r>
      <w:r>
        <w:rPr>
          <w:rFonts w:ascii="Arial" w:cs="Arial" w:eastAsia="Arial" w:hAnsi="Arial"/>
          <w:sz w:val="13"/>
          <w:szCs w:val="13"/>
          <w:b w:val="1"/>
          <w:bCs w:val="1"/>
          <w:color w:val="243782"/>
        </w:rPr>
        <w:t xml:space="preserve"> </w:t>
      </w:r>
      <w:r>
        <w:rPr>
          <w:rFonts w:ascii="Arial" w:cs="Arial" w:eastAsia="Arial" w:hAnsi="Arial"/>
          <w:sz w:val="13"/>
          <w:szCs w:val="13"/>
          <w:color w:val="000000"/>
        </w:rPr>
        <w:t>pricing, and unfavorable mix, partially offset by higher volumes and industrial cost savings, including VCP</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SOUTH AMERICA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200" w:type="dxa"/>
            <w:vAlign w:val="bottom"/>
            <w:tcBorders>
              <w:top w:val="single" w:sz="8" w:color="4C639D"/>
            </w:tcBorders>
            <w:vMerge w:val="restart"/>
            <w:shd w:val="clear" w:color="auto" w:fill="243782"/>
          </w:tcPr>
          <w:p>
            <w:pPr>
              <w:jc w:val="center"/>
              <w:spacing w:after="0"/>
              <w:rPr>
                <w:sz w:val="20"/>
                <w:szCs w:val="20"/>
                <w:color w:val="auto"/>
              </w:rPr>
            </w:pPr>
            <w:r>
              <w:rPr>
                <w:rFonts w:ascii="Arial" w:cs="Arial" w:eastAsia="Arial" w:hAnsi="Arial"/>
                <w:sz w:val="14"/>
                <w:szCs w:val="14"/>
                <w:i w:val="1"/>
                <w:iCs w:val="1"/>
                <w:color w:val="FFFFFF"/>
              </w:rPr>
              <w:t>Q3 2026</w:t>
            </w:r>
          </w:p>
        </w:tc>
        <w:tc>
          <w:tcPr>
            <w:tcW w:w="100" w:type="dxa"/>
            <w:vAlign w:val="bottom"/>
            <w:tcBorders>
              <w:top w:val="single" w:sz="8" w:color="4C639D"/>
            </w:tcBorders>
          </w:tcPr>
          <w:p>
            <w:pPr>
              <w:spacing w:after="0"/>
              <w:rPr>
                <w:sz w:val="14"/>
                <w:szCs w:val="14"/>
                <w:color w:val="auto"/>
              </w:rPr>
            </w:pPr>
          </w:p>
        </w:tc>
        <w:tc>
          <w:tcPr>
            <w:tcW w:w="1200" w:type="dxa"/>
            <w:vAlign w:val="bottom"/>
            <w:tcBorders>
              <w:top w:val="single" w:sz="8" w:color="4C639D"/>
            </w:tcBorders>
            <w:vMerge w:val="restart"/>
            <w:shd w:val="clear" w:color="auto" w:fill="F2F2F2"/>
          </w:tcPr>
          <w:p>
            <w:pPr>
              <w:jc w:val="center"/>
              <w:spacing w:after="0"/>
              <w:rPr>
                <w:sz w:val="20"/>
                <w:szCs w:val="20"/>
                <w:color w:val="auto"/>
              </w:rPr>
            </w:pPr>
            <w:r>
              <w:rPr>
                <w:rFonts w:ascii="Arial" w:cs="Arial" w:eastAsia="Arial" w:hAnsi="Arial"/>
                <w:sz w:val="14"/>
                <w:szCs w:val="14"/>
                <w:i w:val="1"/>
                <w:iCs w:val="1"/>
                <w:color w:val="243782"/>
              </w:rPr>
              <w:t>Q3 2025</w:t>
            </w:r>
          </w:p>
        </w:tc>
        <w:tc>
          <w:tcPr>
            <w:tcW w:w="100" w:type="dxa"/>
            <w:vAlign w:val="bottom"/>
            <w:tcBorders>
              <w:top w:val="single" w:sz="8" w:color="4C639D"/>
            </w:tcBorders>
          </w:tcPr>
          <w:p>
            <w:pPr>
              <w:spacing w:after="0"/>
              <w:rPr>
                <w:sz w:val="14"/>
                <w:szCs w:val="14"/>
                <w:color w:val="auto"/>
              </w:rPr>
            </w:pPr>
          </w:p>
        </w:tc>
        <w:tc>
          <w:tcPr>
            <w:tcW w:w="1160" w:type="dxa"/>
            <w:vAlign w:val="bottom"/>
            <w:tcBorders>
              <w:top w:val="single" w:sz="8" w:color="4C639D"/>
            </w:tcBorders>
            <w:gridSpan w:val="2"/>
            <w:vMerge w:val="restart"/>
          </w:tcPr>
          <w:p>
            <w:pPr>
              <w:ind w:left="32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rPr>
                <w:sz w:val="20"/>
                <w:szCs w:val="20"/>
                <w:color w:val="auto"/>
              </w:rPr>
            </w:pPr>
            <w:r>
              <w:rPr>
                <w:rFonts w:ascii="Arial" w:cs="Arial" w:eastAsia="Arial" w:hAnsi="Arial"/>
                <w:sz w:val="11"/>
                <w:szCs w:val="11"/>
                <w:color w:val="auto"/>
              </w:rPr>
              <w:t>stated</w:t>
            </w:r>
          </w:p>
        </w:tc>
        <w:tc>
          <w:tcPr>
            <w:tcW w:w="1200" w:type="dxa"/>
            <w:vAlign w:val="bottom"/>
            <w:tcBorders>
              <w:bottom w:val="single" w:sz="8" w:color="243782"/>
            </w:tcBorders>
            <w:vMerge w:val="continue"/>
            <w:shd w:val="clear" w:color="auto" w:fill="243782"/>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F2F2F2"/>
            </w:tcBorders>
            <w:vMerge w:val="continue"/>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66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rPr>
              <w:t>Shipments (000s)</w:t>
            </w:r>
          </w:p>
        </w:tc>
        <w:tc>
          <w:tcPr>
            <w:tcW w:w="1200" w:type="dxa"/>
            <w:vAlign w:val="bottom"/>
            <w:tcBorders>
              <w:top w:val="single" w:sz="8" w:color="4C639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251</w:t>
            </w:r>
          </w:p>
        </w:tc>
        <w:tc>
          <w:tcPr>
            <w:tcW w:w="100" w:type="dxa"/>
            <w:vAlign w:val="bottom"/>
          </w:tcPr>
          <w:p>
            <w:pPr>
              <w:spacing w:after="0"/>
              <w:rPr>
                <w:sz w:val="24"/>
                <w:szCs w:val="24"/>
                <w:color w:val="auto"/>
              </w:rPr>
            </w:pPr>
          </w:p>
        </w:tc>
        <w:tc>
          <w:tcPr>
            <w:tcW w:w="1200" w:type="dxa"/>
            <w:vAlign w:val="bottom"/>
            <w:tcBorders>
              <w:top w:val="single" w:sz="8" w:color="4C639D"/>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252</w:t>
            </w:r>
          </w:p>
        </w:tc>
        <w:tc>
          <w:tcPr>
            <w:tcW w:w="100" w:type="dxa"/>
            <w:vAlign w:val="bottom"/>
          </w:tcPr>
          <w:p>
            <w:pPr>
              <w:spacing w:after="0"/>
              <w:rPr>
                <w:sz w:val="24"/>
                <w:szCs w:val="24"/>
                <w:color w:val="auto"/>
              </w:rPr>
            </w:pPr>
          </w:p>
        </w:tc>
        <w:tc>
          <w:tcPr>
            <w:tcW w:w="780" w:type="dxa"/>
            <w:vAlign w:val="bottom"/>
            <w:tcBorders>
              <w:top w:val="single" w:sz="8" w:color="4C639D"/>
            </w:tcBorders>
          </w:tcPr>
          <w:p>
            <w:pPr>
              <w:jc w:val="center"/>
              <w:spacing w:after="0"/>
              <w:rPr>
                <w:sz w:val="20"/>
                <w:szCs w:val="20"/>
                <w:color w:val="auto"/>
              </w:rPr>
            </w:pPr>
            <w:r>
              <w:rPr>
                <w:rFonts w:ascii="Arial" w:cs="Arial" w:eastAsia="Arial" w:hAnsi="Arial"/>
                <w:sz w:val="13"/>
                <w:szCs w:val="13"/>
                <w:color w:val="auto"/>
                <w:w w:val="87"/>
              </w:rPr>
              <w:t>(1)</w:t>
            </w:r>
          </w:p>
        </w:tc>
        <w:tc>
          <w:tcPr>
            <w:tcW w:w="380" w:type="dxa"/>
            <w:vAlign w:val="bottom"/>
            <w:tcBorders>
              <w:top w:val="single" w:sz="8" w:color="4C639D"/>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Net revenues</w:t>
            </w:r>
          </w:p>
        </w:tc>
        <w:tc>
          <w:tcPr>
            <w:tcW w:w="120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8"/>
              </w:rPr>
              <w:t>4,120</w:t>
            </w:r>
          </w:p>
        </w:tc>
        <w:tc>
          <w:tcPr>
            <w:tcW w:w="100" w:type="dxa"/>
            <w:vAlign w:val="bottom"/>
          </w:tcPr>
          <w:p>
            <w:pPr>
              <w:spacing w:after="0"/>
              <w:rPr>
                <w:sz w:val="24"/>
                <w:szCs w:val="24"/>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8"/>
              </w:rPr>
              <w:t>3,989</w:t>
            </w:r>
          </w:p>
        </w:tc>
        <w:tc>
          <w:tcPr>
            <w:tcW w:w="100" w:type="dxa"/>
            <w:vAlign w:val="bottom"/>
          </w:tcPr>
          <w:p>
            <w:pPr>
              <w:spacing w:after="0"/>
              <w:rPr>
                <w:sz w:val="24"/>
                <w:szCs w:val="24"/>
                <w:color w:val="auto"/>
              </w:rPr>
            </w:pPr>
          </w:p>
        </w:tc>
        <w:tc>
          <w:tcPr>
            <w:tcW w:w="78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8"/>
              </w:rPr>
              <w:t>+3%</w:t>
            </w:r>
          </w:p>
        </w:tc>
        <w:tc>
          <w:tcPr>
            <w:tcW w:w="380" w:type="dxa"/>
            <w:vAlign w:val="bottom"/>
            <w:tcBorders>
              <w:top w:val="single" w:sz="8" w:color="929292"/>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20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431</w:t>
            </w:r>
          </w:p>
        </w:tc>
        <w:tc>
          <w:tcPr>
            <w:tcW w:w="10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429</w:t>
            </w:r>
          </w:p>
        </w:tc>
        <w:tc>
          <w:tcPr>
            <w:tcW w:w="100" w:type="dxa"/>
            <w:vAlign w:val="bottom"/>
          </w:tcPr>
          <w:p>
            <w:pPr>
              <w:spacing w:after="0"/>
              <w:rPr>
                <w:sz w:val="18"/>
                <w:szCs w:val="18"/>
                <w:color w:val="auto"/>
              </w:rPr>
            </w:pPr>
          </w:p>
        </w:tc>
        <w:tc>
          <w:tcPr>
            <w:tcW w:w="78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89"/>
              </w:rPr>
              <w:t>—%</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166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AOI margin</w:t>
            </w:r>
          </w:p>
        </w:tc>
        <w:tc>
          <w:tcPr>
            <w:tcW w:w="1200" w:type="dxa"/>
            <w:vAlign w:val="bottom"/>
            <w:tcBorders>
              <w:top w:val="single" w:sz="8" w:color="B6B6B6"/>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7"/>
              </w:rPr>
              <w:t>10.5%</w:t>
            </w:r>
          </w:p>
        </w:tc>
        <w:tc>
          <w:tcPr>
            <w:tcW w:w="100" w:type="dxa"/>
            <w:vAlign w:val="bottom"/>
          </w:tcPr>
          <w:p>
            <w:pPr>
              <w:spacing w:after="0"/>
              <w:rPr>
                <w:sz w:val="24"/>
                <w:szCs w:val="24"/>
                <w:color w:val="auto"/>
              </w:rPr>
            </w:pPr>
          </w:p>
        </w:tc>
        <w:tc>
          <w:tcPr>
            <w:tcW w:w="1200" w:type="dxa"/>
            <w:vAlign w:val="bottom"/>
            <w:tcBorders>
              <w:top w:val="single" w:sz="8" w:color="B6B6B6"/>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7"/>
              </w:rPr>
              <w:t>10.8%</w:t>
            </w:r>
          </w:p>
        </w:tc>
        <w:tc>
          <w:tcPr>
            <w:tcW w:w="100" w:type="dxa"/>
            <w:vAlign w:val="bottom"/>
          </w:tcPr>
          <w:p>
            <w:pPr>
              <w:spacing w:after="0"/>
              <w:rPr>
                <w:sz w:val="24"/>
                <w:szCs w:val="24"/>
                <w:color w:val="auto"/>
              </w:rPr>
            </w:pPr>
          </w:p>
        </w:tc>
        <w:tc>
          <w:tcPr>
            <w:tcW w:w="78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4"/>
              </w:rPr>
              <w:t>(30)</w:t>
            </w:r>
          </w:p>
        </w:tc>
        <w:tc>
          <w:tcPr>
            <w:tcW w:w="38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6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780" w:type="dxa"/>
            <w:vAlign w:val="bottom"/>
            <w:shd w:val="clear" w:color="auto" w:fill="4C639D"/>
          </w:tcPr>
          <w:p>
            <w:pPr>
              <w:spacing w:after="0" w:line="20" w:lineRule="exact"/>
              <w:rPr>
                <w:sz w:val="1"/>
                <w:szCs w:val="1"/>
                <w:color w:val="auto"/>
              </w:rPr>
            </w:pPr>
          </w:p>
        </w:tc>
        <w:tc>
          <w:tcPr>
            <w:tcW w:w="38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180" w:right="120" w:hanging="169"/>
        <w:spacing w:after="0" w:line="264" w:lineRule="auto"/>
        <w:tabs>
          <w:tab w:leader="none" w:pos="17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243782"/>
        </w:rPr>
        <w:t xml:space="preserve">Shipments </w:t>
      </w:r>
      <w:r>
        <w:rPr>
          <w:rFonts w:ascii="Arial" w:cs="Arial" w:eastAsia="Arial" w:hAnsi="Arial"/>
          <w:sz w:val="13"/>
          <w:szCs w:val="13"/>
          <w:color w:val="000000"/>
        </w:rPr>
        <w:t>were flat, driven primarily by lower volumes in Argentina, largely offset by higher</w:t>
      </w:r>
      <w:r>
        <w:rPr>
          <w:rFonts w:ascii="Arial" w:cs="Arial" w:eastAsia="Arial" w:hAnsi="Arial"/>
          <w:sz w:val="13"/>
          <w:szCs w:val="13"/>
          <w:b w:val="1"/>
          <w:bCs w:val="1"/>
          <w:color w:val="243782"/>
        </w:rPr>
        <w:t xml:space="preserve"> </w:t>
      </w:r>
      <w:r>
        <w:rPr>
          <w:rFonts w:ascii="Arial" w:cs="Arial" w:eastAsia="Arial" w:hAnsi="Arial"/>
          <w:sz w:val="13"/>
          <w:szCs w:val="13"/>
          <w:color w:val="000000"/>
        </w:rPr>
        <w:t>volumes in Brazil</w:t>
      </w:r>
    </w:p>
    <w:p>
      <w:pPr>
        <w:spacing w:after="0" w:line="8" w:lineRule="exact"/>
        <w:rPr>
          <w:rFonts w:ascii="Arial" w:cs="Arial" w:eastAsia="Arial" w:hAnsi="Arial"/>
          <w:sz w:val="13"/>
          <w:szCs w:val="13"/>
          <w:color w:val="auto"/>
        </w:rPr>
      </w:pPr>
    </w:p>
    <w:p>
      <w:pPr>
        <w:ind w:left="180" w:right="60" w:hanging="169"/>
        <w:spacing w:after="0" w:line="264" w:lineRule="auto"/>
        <w:tabs>
          <w:tab w:leader="none" w:pos="17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243782"/>
        </w:rPr>
        <w:t xml:space="preserve">Net revenues </w:t>
      </w:r>
      <w:r>
        <w:rPr>
          <w:rFonts w:ascii="Arial" w:cs="Arial" w:eastAsia="Arial" w:hAnsi="Arial"/>
          <w:sz w:val="13"/>
          <w:szCs w:val="13"/>
          <w:color w:val="000000"/>
        </w:rPr>
        <w:t>increased 3%, mainly reflecting positive foreign exchange translation effects of</w:t>
      </w:r>
      <w:r>
        <w:rPr>
          <w:rFonts w:ascii="Arial" w:cs="Arial" w:eastAsia="Arial" w:hAnsi="Arial"/>
          <w:sz w:val="13"/>
          <w:szCs w:val="13"/>
          <w:b w:val="1"/>
          <w:bCs w:val="1"/>
          <w:color w:val="243782"/>
        </w:rPr>
        <w:t xml:space="preserve"> </w:t>
      </w:r>
      <w:r>
        <w:rPr>
          <w:rFonts w:ascii="Arial" w:cs="Arial" w:eastAsia="Arial" w:hAnsi="Arial"/>
          <w:sz w:val="13"/>
          <w:szCs w:val="13"/>
          <w:color w:val="000000"/>
        </w:rPr>
        <w:t>the Brazilian Real, partially offset by unfavorable mix and negative net pricing</w:t>
      </w:r>
    </w:p>
    <w:p>
      <w:pPr>
        <w:spacing w:after="0" w:line="8" w:lineRule="exact"/>
        <w:rPr>
          <w:rFonts w:ascii="Arial" w:cs="Arial" w:eastAsia="Arial" w:hAnsi="Arial"/>
          <w:sz w:val="13"/>
          <w:szCs w:val="13"/>
          <w:color w:val="auto"/>
        </w:rPr>
      </w:pPr>
    </w:p>
    <w:p>
      <w:pPr>
        <w:ind w:left="180" w:right="80" w:hanging="169"/>
        <w:spacing w:after="0" w:line="264" w:lineRule="auto"/>
        <w:tabs>
          <w:tab w:leader="none" w:pos="17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243782"/>
        </w:rPr>
        <w:t xml:space="preserve">Adjusted operating income/(loss) </w:t>
      </w:r>
      <w:r>
        <w:rPr>
          <w:rFonts w:ascii="Arial" w:cs="Arial" w:eastAsia="Arial" w:hAnsi="Arial"/>
          <w:sz w:val="13"/>
          <w:szCs w:val="13"/>
          <w:color w:val="000000"/>
        </w:rPr>
        <w:t>improved by €2 million, primarily due to favorable foreign</w:t>
      </w:r>
      <w:r>
        <w:rPr>
          <w:rFonts w:ascii="Arial" w:cs="Arial" w:eastAsia="Arial" w:hAnsi="Arial"/>
          <w:sz w:val="13"/>
          <w:szCs w:val="13"/>
          <w:b w:val="1"/>
          <w:bCs w:val="1"/>
          <w:color w:val="243782"/>
        </w:rPr>
        <w:t xml:space="preserve"> </w:t>
      </w:r>
      <w:r>
        <w:rPr>
          <w:rFonts w:ascii="Arial" w:cs="Arial" w:eastAsia="Arial" w:hAnsi="Arial"/>
          <w:sz w:val="13"/>
          <w:szCs w:val="13"/>
          <w:color w:val="000000"/>
        </w:rPr>
        <w:t>exchange effects, partially offset by unfavorable mix and negative net pricing</w:t>
      </w:r>
    </w:p>
    <w:p>
      <w:pPr>
        <w:spacing w:after="0" w:line="488" w:lineRule="exact"/>
        <w:rPr>
          <w:sz w:val="20"/>
          <w:szCs w:val="20"/>
          <w:color w:val="auto"/>
        </w:rPr>
      </w:pPr>
    </w:p>
    <w:p>
      <w:pPr>
        <w:sectPr>
          <w:pgSz w:w="11900" w:h="16838" w:orient="portrait"/>
          <w:cols w:equalWidth="0" w:num="2">
            <w:col w:w="5420" w:space="400"/>
            <w:col w:w="5420"/>
          </w:cols>
          <w:pgMar w:left="320" w:top="1440" w:right="339" w:bottom="1440" w:gutter="0" w:footer="0" w:header="0"/>
        </w:sectPr>
      </w:pP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ASIA PACIFIC</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2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200" w:type="dxa"/>
            <w:vAlign w:val="bottom"/>
            <w:tcBorders>
              <w:top w:val="single" w:sz="8" w:color="4C639D"/>
            </w:tcBorders>
            <w:vMerge w:val="restart"/>
            <w:shd w:val="clear" w:color="auto" w:fill="243782"/>
          </w:tcPr>
          <w:p>
            <w:pPr>
              <w:jc w:val="center"/>
              <w:spacing w:after="0"/>
              <w:rPr>
                <w:sz w:val="20"/>
                <w:szCs w:val="20"/>
                <w:color w:val="auto"/>
              </w:rPr>
            </w:pPr>
            <w:r>
              <w:rPr>
                <w:rFonts w:ascii="Arial" w:cs="Arial" w:eastAsia="Arial" w:hAnsi="Arial"/>
                <w:sz w:val="14"/>
                <w:szCs w:val="14"/>
                <w:i w:val="1"/>
                <w:iCs w:val="1"/>
                <w:color w:val="FFFFFF"/>
              </w:rPr>
              <w:t>Q3 2026</w:t>
            </w:r>
          </w:p>
        </w:tc>
        <w:tc>
          <w:tcPr>
            <w:tcW w:w="100" w:type="dxa"/>
            <w:vAlign w:val="bottom"/>
            <w:tcBorders>
              <w:top w:val="single" w:sz="8" w:color="4C639D"/>
            </w:tcBorders>
          </w:tcPr>
          <w:p>
            <w:pPr>
              <w:spacing w:after="0"/>
              <w:rPr>
                <w:sz w:val="15"/>
                <w:szCs w:val="15"/>
                <w:color w:val="auto"/>
              </w:rPr>
            </w:pPr>
          </w:p>
        </w:tc>
        <w:tc>
          <w:tcPr>
            <w:tcW w:w="1200" w:type="dxa"/>
            <w:vAlign w:val="bottom"/>
            <w:tcBorders>
              <w:top w:val="single" w:sz="8" w:color="4C639D"/>
            </w:tcBorders>
            <w:vMerge w:val="restart"/>
            <w:shd w:val="clear" w:color="auto" w:fill="F2F2F2"/>
          </w:tcPr>
          <w:p>
            <w:pPr>
              <w:jc w:val="center"/>
              <w:spacing w:after="0"/>
              <w:rPr>
                <w:sz w:val="20"/>
                <w:szCs w:val="20"/>
                <w:color w:val="auto"/>
              </w:rPr>
            </w:pPr>
            <w:r>
              <w:rPr>
                <w:rFonts w:ascii="Arial" w:cs="Arial" w:eastAsia="Arial" w:hAnsi="Arial"/>
                <w:sz w:val="14"/>
                <w:szCs w:val="14"/>
                <w:i w:val="1"/>
                <w:iCs w:val="1"/>
                <w:color w:val="243782"/>
              </w:rPr>
              <w:t>Q3 2025</w:t>
            </w:r>
          </w:p>
        </w:tc>
        <w:tc>
          <w:tcPr>
            <w:tcW w:w="120" w:type="dxa"/>
            <w:vAlign w:val="bottom"/>
            <w:tcBorders>
              <w:top w:val="single" w:sz="8" w:color="4C639D"/>
            </w:tcBorders>
          </w:tcPr>
          <w:p>
            <w:pPr>
              <w:spacing w:after="0"/>
              <w:rPr>
                <w:sz w:val="15"/>
                <w:szCs w:val="15"/>
                <w:color w:val="auto"/>
              </w:rPr>
            </w:pPr>
          </w:p>
        </w:tc>
        <w:tc>
          <w:tcPr>
            <w:tcW w:w="1200" w:type="dxa"/>
            <w:vAlign w:val="bottom"/>
            <w:tcBorders>
              <w:top w:val="single" w:sz="8" w:color="4C639D"/>
            </w:tcBorders>
            <w:gridSpan w:val="2"/>
            <w:vMerge w:val="restart"/>
          </w:tcPr>
          <w:p>
            <w:pPr>
              <w:ind w:left="34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55"/>
        </w:trPr>
        <w:tc>
          <w:tcPr>
            <w:tcW w:w="1620" w:type="dxa"/>
            <w:vAlign w:val="bottom"/>
            <w:tcBorders>
              <w:bottom w:val="single" w:sz="8" w:color="7D7D7D"/>
            </w:tcBorders>
          </w:tcPr>
          <w:p>
            <w:pPr>
              <w:ind w:left="20"/>
              <w:spacing w:after="0"/>
              <w:rPr>
                <w:sz w:val="20"/>
                <w:szCs w:val="20"/>
                <w:color w:val="auto"/>
              </w:rPr>
            </w:pPr>
            <w:r>
              <w:rPr>
                <w:rFonts w:ascii="Arial" w:cs="Arial" w:eastAsia="Arial" w:hAnsi="Arial"/>
                <w:sz w:val="11"/>
                <w:szCs w:val="11"/>
                <w:color w:val="auto"/>
              </w:rPr>
              <w:t>stated</w:t>
            </w:r>
          </w:p>
        </w:tc>
        <w:tc>
          <w:tcPr>
            <w:tcW w:w="1200" w:type="dxa"/>
            <w:vAlign w:val="bottom"/>
            <w:tcBorders>
              <w:bottom w:val="single" w:sz="8" w:color="243782"/>
            </w:tcBorders>
            <w:vMerge w:val="continue"/>
            <w:shd w:val="clear" w:color="auto" w:fill="243782"/>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4C639D"/>
            </w:tcBorders>
            <w:vMerge w:val="continue"/>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bottom w:val="single" w:sz="8" w:color="4C639D"/>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620" w:type="dxa"/>
            <w:vAlign w:val="bottom"/>
          </w:tcPr>
          <w:p>
            <w:pPr>
              <w:ind w:left="20"/>
              <w:spacing w:after="0" w:line="171" w:lineRule="exact"/>
              <w:rPr>
                <w:sz w:val="20"/>
                <w:szCs w:val="20"/>
                <w:color w:val="auto"/>
              </w:rPr>
            </w:pPr>
            <w:r>
              <w:rPr>
                <w:rFonts w:ascii="Arial" w:cs="Arial" w:eastAsia="Arial" w:hAnsi="Arial"/>
                <w:sz w:val="13"/>
                <w:szCs w:val="13"/>
                <w:color w:val="auto"/>
              </w:rPr>
              <w:t>Combined shipments</w:t>
            </w:r>
            <w:r>
              <w:rPr>
                <w:rFonts w:ascii="Arial" w:cs="Arial" w:eastAsia="Arial" w:hAnsi="Arial"/>
                <w:sz w:val="16"/>
                <w:szCs w:val="16"/>
                <w:color w:val="auto"/>
                <w:vertAlign w:val="superscript"/>
              </w:rPr>
              <w:t>(6)</w:t>
            </w:r>
          </w:p>
        </w:tc>
        <w:tc>
          <w:tcPr>
            <w:tcW w:w="1200" w:type="dxa"/>
            <w:vAlign w:val="bottom"/>
            <w:shd w:val="clear" w:color="auto" w:fill="243782"/>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rPr>
                <w:sz w:val="20"/>
                <w:szCs w:val="20"/>
                <w:color w:val="auto"/>
              </w:rPr>
            </w:pPr>
            <w:r>
              <w:rPr>
                <w:rFonts w:ascii="Arial" w:cs="Arial" w:eastAsia="Arial" w:hAnsi="Arial"/>
                <w:sz w:val="13"/>
                <w:szCs w:val="13"/>
                <w:color w:val="auto"/>
              </w:rPr>
              <w:t>(000s)</w:t>
            </w:r>
          </w:p>
        </w:tc>
        <w:tc>
          <w:tcPr>
            <w:tcW w:w="120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16</w:t>
            </w:r>
          </w:p>
        </w:tc>
        <w:tc>
          <w:tcPr>
            <w:tcW w:w="100" w:type="dxa"/>
            <w:vAlign w:val="bottom"/>
          </w:tcPr>
          <w:p>
            <w:pPr>
              <w:spacing w:after="0"/>
              <w:rPr>
                <w:sz w:val="16"/>
                <w:szCs w:val="16"/>
                <w:color w:val="auto"/>
              </w:rPr>
            </w:pP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6"/>
              </w:rPr>
              <w:t>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20" w:type="dxa"/>
            <w:vAlign w:val="bottom"/>
            <w:tcBorders>
              <w:top w:val="single" w:sz="8" w:color="7D7D7D"/>
            </w:tcBorders>
          </w:tcPr>
          <w:p>
            <w:pPr>
              <w:ind w:left="20"/>
              <w:spacing w:after="0" w:line="165" w:lineRule="exact"/>
              <w:rPr>
                <w:sz w:val="20"/>
                <w:szCs w:val="20"/>
                <w:color w:val="auto"/>
              </w:rPr>
            </w:pPr>
            <w:r>
              <w:rPr>
                <w:rFonts w:ascii="Arial" w:cs="Arial" w:eastAsia="Arial" w:hAnsi="Arial"/>
                <w:sz w:val="13"/>
                <w:szCs w:val="13"/>
                <w:color w:val="auto"/>
              </w:rPr>
              <w:t>Consolidated shipments</w:t>
            </w:r>
            <w:r>
              <w:rPr>
                <w:rFonts w:ascii="Arial" w:cs="Arial" w:eastAsia="Arial" w:hAnsi="Arial"/>
                <w:sz w:val="16"/>
                <w:szCs w:val="16"/>
                <w:color w:val="auto"/>
                <w:vertAlign w:val="superscript"/>
              </w:rPr>
              <w:t>(6)</w:t>
            </w:r>
          </w:p>
        </w:tc>
        <w:tc>
          <w:tcPr>
            <w:tcW w:w="1200" w:type="dxa"/>
            <w:vAlign w:val="bottom"/>
            <w:tcBorders>
              <w:top w:val="single" w:sz="8" w:color="243782"/>
            </w:tcBorders>
            <w:shd w:val="clear" w:color="auto" w:fill="243782"/>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7D7D7D"/>
            </w:tcBorders>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7D7D7D"/>
            </w:tcBorders>
          </w:tcPr>
          <w:p>
            <w:pPr>
              <w:spacing w:after="0"/>
              <w:rPr>
                <w:sz w:val="14"/>
                <w:szCs w:val="14"/>
                <w:color w:val="auto"/>
              </w:rPr>
            </w:pPr>
          </w:p>
        </w:tc>
        <w:tc>
          <w:tcPr>
            <w:tcW w:w="380" w:type="dxa"/>
            <w:vAlign w:val="bottom"/>
            <w:tcBorders>
              <w:top w:val="single" w:sz="8" w:color="929292"/>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rPr>
                <w:sz w:val="20"/>
                <w:szCs w:val="20"/>
                <w:color w:val="auto"/>
              </w:rPr>
            </w:pPr>
            <w:r>
              <w:rPr>
                <w:rFonts w:ascii="Arial" w:cs="Arial" w:eastAsia="Arial" w:hAnsi="Arial"/>
                <w:sz w:val="13"/>
                <w:szCs w:val="13"/>
                <w:color w:val="auto"/>
              </w:rPr>
              <w:t>(000s)</w:t>
            </w:r>
          </w:p>
        </w:tc>
        <w:tc>
          <w:tcPr>
            <w:tcW w:w="120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15</w:t>
            </w:r>
          </w:p>
        </w:tc>
        <w:tc>
          <w:tcPr>
            <w:tcW w:w="100" w:type="dxa"/>
            <w:vAlign w:val="bottom"/>
          </w:tcPr>
          <w:p>
            <w:pPr>
              <w:spacing w:after="0"/>
              <w:rPr>
                <w:sz w:val="16"/>
                <w:szCs w:val="16"/>
                <w:color w:val="auto"/>
              </w:rPr>
            </w:pP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6"/>
              </w:rPr>
              <w:t>16</w:t>
            </w:r>
          </w:p>
        </w:tc>
        <w:tc>
          <w:tcPr>
            <w:tcW w:w="940" w:type="dxa"/>
            <w:vAlign w:val="bottom"/>
            <w:gridSpan w:val="2"/>
          </w:tcPr>
          <w:p>
            <w:pPr>
              <w:jc w:val="center"/>
              <w:ind w:left="37"/>
              <w:spacing w:after="0"/>
              <w:rPr>
                <w:sz w:val="20"/>
                <w:szCs w:val="20"/>
                <w:color w:val="auto"/>
              </w:rPr>
            </w:pPr>
            <w:r>
              <w:rPr>
                <w:rFonts w:ascii="Arial" w:cs="Arial" w:eastAsia="Arial" w:hAnsi="Arial"/>
                <w:sz w:val="13"/>
                <w:szCs w:val="13"/>
                <w:color w:val="auto"/>
              </w:rPr>
              <w:t>(1)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Net revenues</w:t>
            </w:r>
          </w:p>
        </w:tc>
        <w:tc>
          <w:tcPr>
            <w:tcW w:w="120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445</w:t>
            </w:r>
          </w:p>
        </w:tc>
        <w:tc>
          <w:tcPr>
            <w:tcW w:w="10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476</w:t>
            </w:r>
          </w:p>
        </w:tc>
        <w:tc>
          <w:tcPr>
            <w:tcW w:w="120" w:type="dxa"/>
            <w:vAlign w:val="bottom"/>
          </w:tcPr>
          <w:p>
            <w:pPr>
              <w:spacing w:after="0"/>
              <w:rPr>
                <w:sz w:val="18"/>
                <w:szCs w:val="18"/>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4"/>
              </w:rPr>
              <w:t>(7)%</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AOI</w:t>
            </w:r>
          </w:p>
        </w:tc>
        <w:tc>
          <w:tcPr>
            <w:tcW w:w="120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18</w:t>
            </w:r>
          </w:p>
        </w:tc>
        <w:tc>
          <w:tcPr>
            <w:tcW w:w="10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87"/>
              </w:rPr>
              <w:t>(4)</w:t>
            </w:r>
          </w:p>
        </w:tc>
        <w:tc>
          <w:tcPr>
            <w:tcW w:w="120" w:type="dxa"/>
            <w:vAlign w:val="bottom"/>
          </w:tcPr>
          <w:p>
            <w:pPr>
              <w:spacing w:after="0"/>
              <w:rPr>
                <w:sz w:val="18"/>
                <w:szCs w:val="18"/>
                <w:color w:val="auto"/>
              </w:rPr>
            </w:pPr>
          </w:p>
        </w:tc>
        <w:tc>
          <w:tcPr>
            <w:tcW w:w="820" w:type="dxa"/>
            <w:vAlign w:val="bottom"/>
            <w:tcBorders>
              <w:top w:val="single" w:sz="8" w:color="7D7D7D"/>
            </w:tcBorders>
          </w:tcPr>
          <w:p>
            <w:pPr>
              <w:ind w:left="280"/>
              <w:spacing w:after="0"/>
              <w:rPr>
                <w:sz w:val="20"/>
                <w:szCs w:val="20"/>
                <w:color w:val="auto"/>
              </w:rPr>
            </w:pPr>
            <w:r>
              <w:rPr>
                <w:rFonts w:ascii="Arial" w:cs="Arial" w:eastAsia="Arial" w:hAnsi="Arial"/>
                <w:sz w:val="13"/>
                <w:szCs w:val="13"/>
                <w:color w:val="auto"/>
              </w:rPr>
              <w:t>n.m.</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62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AOI margin</w:t>
            </w:r>
          </w:p>
        </w:tc>
        <w:tc>
          <w:tcPr>
            <w:tcW w:w="120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4"/>
              </w:rPr>
              <w:t>4.0%</w:t>
            </w:r>
          </w:p>
        </w:tc>
        <w:tc>
          <w:tcPr>
            <w:tcW w:w="100" w:type="dxa"/>
            <w:vAlign w:val="bottom"/>
          </w:tcPr>
          <w:p>
            <w:pPr>
              <w:spacing w:after="0"/>
              <w:rPr>
                <w:sz w:val="16"/>
                <w:szCs w:val="16"/>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9"/>
              </w:rPr>
              <w:t>(0.8)%</w:t>
            </w:r>
          </w:p>
        </w:tc>
        <w:tc>
          <w:tcPr>
            <w:tcW w:w="120" w:type="dxa"/>
            <w:vAlign w:val="bottom"/>
          </w:tcPr>
          <w:p>
            <w:pPr>
              <w:spacing w:after="0"/>
              <w:rPr>
                <w:sz w:val="16"/>
                <w:szCs w:val="16"/>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5"/>
              </w:rPr>
              <w:t>+480</w:t>
            </w:r>
          </w:p>
        </w:tc>
        <w:tc>
          <w:tcPr>
            <w:tcW w:w="38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2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820" w:type="dxa"/>
            <w:vAlign w:val="bottom"/>
            <w:shd w:val="clear" w:color="auto" w:fill="4C639D"/>
          </w:tcPr>
          <w:p>
            <w:pPr>
              <w:spacing w:after="0" w:line="20" w:lineRule="exact"/>
              <w:rPr>
                <w:sz w:val="1"/>
                <w:szCs w:val="1"/>
                <w:color w:val="auto"/>
              </w:rPr>
            </w:pPr>
          </w:p>
        </w:tc>
        <w:tc>
          <w:tcPr>
            <w:tcW w:w="38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-685165</wp:posOffset>
            </wp:positionV>
            <wp:extent cx="754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-925195</wp:posOffset>
            </wp:positionV>
            <wp:extent cx="754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 w:lineRule="exact"/>
        <w:rPr>
          <w:sz w:val="20"/>
          <w:szCs w:val="20"/>
          <w:color w:val="auto"/>
        </w:rPr>
      </w:pPr>
    </w:p>
    <w:p>
      <w:pPr>
        <w:ind w:left="180" w:right="6020" w:hanging="154"/>
        <w:spacing w:after="0" w:line="264" w:lineRule="auto"/>
        <w:tabs>
          <w:tab w:leader="none" w:pos="170"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243782"/>
        </w:rPr>
        <w:t xml:space="preserve">Consolidated shipments </w:t>
      </w:r>
      <w:r>
        <w:rPr>
          <w:rFonts w:ascii="Arial" w:cs="Arial" w:eastAsia="Arial" w:hAnsi="Arial"/>
          <w:sz w:val="13"/>
          <w:szCs w:val="13"/>
          <w:color w:val="000000"/>
        </w:rPr>
        <w:t>decreased 6%, reflecting lower volumes in Japan and Australia,</w:t>
      </w:r>
      <w:r>
        <w:rPr>
          <w:rFonts w:ascii="Arial" w:cs="Arial" w:eastAsia="Arial" w:hAnsi="Arial"/>
          <w:sz w:val="13"/>
          <w:szCs w:val="13"/>
          <w:b w:val="1"/>
          <w:bCs w:val="1"/>
          <w:color w:val="243782"/>
        </w:rPr>
        <w:t xml:space="preserve"> </w:t>
      </w:r>
      <w:r>
        <w:rPr>
          <w:rFonts w:ascii="Arial" w:cs="Arial" w:eastAsia="Arial" w:hAnsi="Arial"/>
          <w:sz w:val="13"/>
          <w:szCs w:val="13"/>
          <w:color w:val="000000"/>
        </w:rPr>
        <w:t>partially offset by higher volumes in India and China.</w:t>
      </w:r>
    </w:p>
    <w:p>
      <w:pPr>
        <w:spacing w:after="0" w:line="35" w:lineRule="exact"/>
        <w:rPr>
          <w:rFonts w:ascii="Arial" w:cs="Arial" w:eastAsia="Arial" w:hAnsi="Arial"/>
          <w:sz w:val="13"/>
          <w:szCs w:val="13"/>
          <w:color w:val="auto"/>
        </w:rPr>
      </w:pPr>
    </w:p>
    <w:p>
      <w:pPr>
        <w:ind w:left="180" w:hanging="154"/>
        <w:spacing w:after="0"/>
        <w:tabs>
          <w:tab w:leader="none" w:pos="180"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243782"/>
        </w:rPr>
        <w:t xml:space="preserve">Net revenues </w:t>
      </w:r>
      <w:r>
        <w:rPr>
          <w:rFonts w:ascii="Arial" w:cs="Arial" w:eastAsia="Arial" w:hAnsi="Arial"/>
          <w:sz w:val="13"/>
          <w:szCs w:val="13"/>
          <w:color w:val="000000"/>
        </w:rPr>
        <w:t>decreased 7%, driven by lower volumes and unfavorable mix</w:t>
      </w:r>
    </w:p>
    <w:p>
      <w:pPr>
        <w:spacing w:after="0" w:line="53" w:lineRule="exact"/>
        <w:rPr>
          <w:rFonts w:ascii="Arial" w:cs="Arial" w:eastAsia="Arial" w:hAnsi="Arial"/>
          <w:sz w:val="13"/>
          <w:szCs w:val="13"/>
          <w:color w:val="auto"/>
        </w:rPr>
      </w:pPr>
    </w:p>
    <w:p>
      <w:pPr>
        <w:ind w:left="180" w:right="6080" w:hanging="154"/>
        <w:spacing w:after="0" w:line="264" w:lineRule="auto"/>
        <w:tabs>
          <w:tab w:leader="none" w:pos="170" w:val="left"/>
        </w:tabs>
        <w:numPr>
          <w:ilvl w:val="0"/>
          <w:numId w:val="8"/>
        </w:numPr>
        <w:rPr>
          <w:rFonts w:ascii="Arial" w:cs="Arial" w:eastAsia="Arial" w:hAnsi="Arial"/>
          <w:sz w:val="13"/>
          <w:szCs w:val="13"/>
          <w:color w:val="243782"/>
        </w:rPr>
      </w:pPr>
      <w:r>
        <w:rPr>
          <w:rFonts w:ascii="Arial" w:cs="Arial" w:eastAsia="Arial" w:hAnsi="Arial"/>
          <w:sz w:val="13"/>
          <w:szCs w:val="13"/>
          <w:b w:val="1"/>
          <w:bCs w:val="1"/>
          <w:color w:val="243782"/>
        </w:rPr>
        <w:t xml:space="preserve">Adjusted operating income/(loss) </w:t>
      </w:r>
      <w:r>
        <w:rPr>
          <w:rFonts w:ascii="Arial" w:cs="Arial" w:eastAsia="Arial" w:hAnsi="Arial"/>
          <w:sz w:val="13"/>
          <w:szCs w:val="13"/>
          <w:color w:val="000000"/>
        </w:rPr>
        <w:t>improved by €22 million, primarily driven by industrial</w:t>
      </w:r>
      <w:r>
        <w:rPr>
          <w:rFonts w:ascii="Arial" w:cs="Arial" w:eastAsia="Arial" w:hAnsi="Arial"/>
          <w:sz w:val="13"/>
          <w:szCs w:val="13"/>
          <w:b w:val="1"/>
          <w:bCs w:val="1"/>
          <w:color w:val="243782"/>
        </w:rPr>
        <w:t xml:space="preserve"> </w:t>
      </w:r>
      <w:r>
        <w:rPr>
          <w:rFonts w:ascii="Arial" w:cs="Arial" w:eastAsia="Arial" w:hAnsi="Arial"/>
          <w:sz w:val="13"/>
          <w:szCs w:val="13"/>
          <w:color w:val="000000"/>
        </w:rPr>
        <w:t>cost savings, partially offset by negative mix</w:t>
      </w:r>
    </w:p>
    <w:p>
      <w:pPr>
        <w:spacing w:after="0" w:line="153" w:lineRule="exact"/>
        <w:rPr>
          <w:sz w:val="20"/>
          <w:szCs w:val="20"/>
          <w:color w:val="auto"/>
        </w:rPr>
      </w:pPr>
    </w:p>
    <w:p>
      <w:pPr>
        <w:spacing w:after="0"/>
        <w:rPr>
          <w:sz w:val="20"/>
          <w:szCs w:val="20"/>
          <w:color w:val="auto"/>
        </w:rPr>
      </w:pPr>
      <w:r>
        <w:rPr>
          <w:rFonts w:ascii="Arial" w:cs="Arial" w:eastAsia="Arial" w:hAnsi="Arial"/>
          <w:sz w:val="9"/>
          <w:szCs w:val="9"/>
          <w:color w:val="auto"/>
        </w:rPr>
        <w:t>n.m. = not meaningful</w:t>
      </w:r>
    </w:p>
    <w:p>
      <w:pPr>
        <w:spacing w:after="0" w:line="238" w:lineRule="exact"/>
        <w:rPr>
          <w:sz w:val="20"/>
          <w:szCs w:val="20"/>
          <w:color w:val="auto"/>
        </w:rPr>
      </w:pPr>
    </w:p>
    <w:p>
      <w:pPr>
        <w:jc w:val="both"/>
        <w:ind w:right="320" w:firstLine="8"/>
        <w:spacing w:after="0" w:line="251" w:lineRule="auto"/>
        <w:tabs>
          <w:tab w:leader="none" w:pos="168" w:val="left"/>
        </w:tabs>
        <w:numPr>
          <w:ilvl w:val="0"/>
          <w:numId w:val="9"/>
        </w:numPr>
        <w:rPr>
          <w:rFonts w:ascii="Arial" w:cs="Arial" w:eastAsia="Arial" w:hAnsi="Arial"/>
          <w:sz w:val="13"/>
          <w:szCs w:val="13"/>
          <w:color w:val="auto"/>
        </w:rPr>
      </w:pPr>
      <w:r>
        <w:rPr>
          <w:rFonts w:ascii="Arial" w:cs="Arial" w:eastAsia="Arial" w:hAnsi="Arial"/>
          <w:sz w:val="13"/>
          <w:szCs w:val="13"/>
          <w:color w:val="auto"/>
        </w:rPr>
        <w:t>Effective January 2026, the Company’s segment structure was updated to align with how the Chief Operating Decision Maker (“CODM”) reviews performance and allocates resources. Under the revised structure, the CODM reviews the business through the following operating and reporting segments: North America; Enlarged Europe; Middle East &amp; Africa; South America; and Asia Pacific. Refer to Note 8 for additional information.</w:t>
      </w: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ectPr>
          <w:pgSz w:w="11900" w:h="16838" w:orient="portrait"/>
          <w:cols w:equalWidth="0" w:num="1">
            <w:col w:w="11240"/>
          </w:cols>
          <w:pgMar w:left="320" w:top="1440" w:right="3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3</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243782"/>
        </w:rPr>
        <w:t>SEGMENT PERFORMANCE - YTD 2026*</w:t>
      </w:r>
    </w:p>
    <w:p>
      <w:pPr>
        <w:sectPr>
          <w:pgSz w:w="11900" w:h="16838" w:orient="portrait"/>
          <w:cols w:equalWidth="0" w:num="1">
            <w:col w:w="11240"/>
          </w:cols>
          <w:pgMar w:left="320" w:top="1440" w:right="339" w:bottom="1440" w:gutter="0" w:footer="0" w:header="0"/>
        </w:sect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NORTH AMERICA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180" w:type="dxa"/>
            <w:vAlign w:val="bottom"/>
            <w:tcBorders>
              <w:top w:val="single" w:sz="8" w:color="4C639D"/>
            </w:tcBorders>
            <w:vMerge w:val="restart"/>
            <w:shd w:val="clear" w:color="auto" w:fill="243782"/>
          </w:tcPr>
          <w:p>
            <w:pPr>
              <w:ind w:left="280"/>
              <w:spacing w:after="0"/>
              <w:rPr>
                <w:sz w:val="20"/>
                <w:szCs w:val="20"/>
                <w:color w:val="auto"/>
              </w:rPr>
            </w:pPr>
            <w:r>
              <w:rPr>
                <w:rFonts w:ascii="Arial" w:cs="Arial" w:eastAsia="Arial" w:hAnsi="Arial"/>
                <w:sz w:val="14"/>
                <w:szCs w:val="14"/>
                <w:i w:val="1"/>
                <w:iCs w:val="1"/>
                <w:color w:val="FFFFFF"/>
              </w:rPr>
              <w:t>YTD 2026</w:t>
            </w:r>
          </w:p>
        </w:tc>
        <w:tc>
          <w:tcPr>
            <w:tcW w:w="120" w:type="dxa"/>
            <w:vAlign w:val="bottom"/>
            <w:tcBorders>
              <w:top w:val="single" w:sz="8" w:color="4C639D"/>
            </w:tcBorders>
          </w:tcPr>
          <w:p>
            <w:pPr>
              <w:spacing w:after="0"/>
              <w:rPr>
                <w:sz w:val="15"/>
                <w:szCs w:val="15"/>
                <w:color w:val="auto"/>
              </w:rPr>
            </w:pPr>
          </w:p>
        </w:tc>
        <w:tc>
          <w:tcPr>
            <w:tcW w:w="1180" w:type="dxa"/>
            <w:vAlign w:val="bottom"/>
            <w:tcBorders>
              <w:top w:val="single" w:sz="8" w:color="4C639D"/>
            </w:tcBorders>
            <w:vMerge w:val="restart"/>
            <w:shd w:val="clear" w:color="auto" w:fill="F2F2F2"/>
          </w:tcPr>
          <w:p>
            <w:pPr>
              <w:ind w:left="260"/>
              <w:spacing w:after="0"/>
              <w:rPr>
                <w:sz w:val="20"/>
                <w:szCs w:val="20"/>
                <w:color w:val="auto"/>
              </w:rPr>
            </w:pPr>
            <w:r>
              <w:rPr>
                <w:rFonts w:ascii="Arial" w:cs="Arial" w:eastAsia="Arial" w:hAnsi="Arial"/>
                <w:sz w:val="14"/>
                <w:szCs w:val="14"/>
                <w:i w:val="1"/>
                <w:iCs w:val="1"/>
                <w:color w:val="243782"/>
              </w:rPr>
              <w:t>YTD 2025</w:t>
            </w:r>
          </w:p>
        </w:tc>
        <w:tc>
          <w:tcPr>
            <w:tcW w:w="120" w:type="dxa"/>
            <w:vAlign w:val="bottom"/>
            <w:tcBorders>
              <w:top w:val="single" w:sz="8" w:color="4C639D"/>
            </w:tcBorders>
          </w:tcPr>
          <w:p>
            <w:pPr>
              <w:spacing w:after="0"/>
              <w:rPr>
                <w:sz w:val="15"/>
                <w:szCs w:val="15"/>
                <w:color w:val="auto"/>
              </w:rPr>
            </w:pPr>
          </w:p>
        </w:tc>
        <w:tc>
          <w:tcPr>
            <w:tcW w:w="1200" w:type="dxa"/>
            <w:vAlign w:val="bottom"/>
            <w:tcBorders>
              <w:top w:val="single" w:sz="8" w:color="4C639D"/>
            </w:tcBorders>
            <w:gridSpan w:val="2"/>
            <w:vMerge w:val="restart"/>
          </w:tcPr>
          <w:p>
            <w:pPr>
              <w:ind w:left="34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55"/>
        </w:trPr>
        <w:tc>
          <w:tcPr>
            <w:tcW w:w="1600" w:type="dxa"/>
            <w:vAlign w:val="bottom"/>
            <w:tcBorders>
              <w:bottom w:val="single" w:sz="8" w:color="7D7D7D"/>
            </w:tcBorders>
          </w:tcPr>
          <w:p>
            <w:pPr>
              <w:ind w:left="20"/>
              <w:spacing w:after="0"/>
              <w:rPr>
                <w:sz w:val="20"/>
                <w:szCs w:val="20"/>
                <w:color w:val="auto"/>
              </w:rPr>
            </w:pPr>
            <w:r>
              <w:rPr>
                <w:rFonts w:ascii="Arial" w:cs="Arial" w:eastAsia="Arial" w:hAnsi="Arial"/>
                <w:sz w:val="11"/>
                <w:szCs w:val="11"/>
                <w:color w:val="auto"/>
              </w:rPr>
              <w:t>stated</w:t>
            </w:r>
          </w:p>
        </w:tc>
        <w:tc>
          <w:tcPr>
            <w:tcW w:w="1180" w:type="dxa"/>
            <w:vAlign w:val="bottom"/>
            <w:tcBorders>
              <w:bottom w:val="single" w:sz="8" w:color="243782"/>
            </w:tcBorders>
            <w:vMerge w:val="continue"/>
            <w:shd w:val="clear" w:color="auto" w:fill="243782"/>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4C639D"/>
            </w:tcBorders>
            <w:vMerge w:val="continue"/>
            <w:shd w:val="clear" w:color="auto" w:fill="F2F2F2"/>
          </w:tcPr>
          <w:p>
            <w:pPr>
              <w:spacing w:after="0"/>
              <w:rPr>
                <w:sz w:val="13"/>
                <w:szCs w:val="13"/>
                <w:color w:val="auto"/>
              </w:rPr>
            </w:pPr>
          </w:p>
        </w:tc>
        <w:tc>
          <w:tcPr>
            <w:tcW w:w="120" w:type="dxa"/>
            <w:vAlign w:val="bottom"/>
            <w:tcBorders>
              <w:bottom w:val="single" w:sz="8" w:color="4C639D"/>
            </w:tcBorders>
          </w:tcPr>
          <w:p>
            <w:pPr>
              <w:spacing w:after="0"/>
              <w:rPr>
                <w:sz w:val="13"/>
                <w:szCs w:val="13"/>
                <w:color w:val="auto"/>
              </w:rPr>
            </w:pPr>
          </w:p>
        </w:tc>
        <w:tc>
          <w:tcPr>
            <w:tcW w:w="1200" w:type="dxa"/>
            <w:vAlign w:val="bottom"/>
            <w:tcBorders>
              <w:bottom w:val="single" w:sz="8" w:color="4C639D"/>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3"/>
                <w:szCs w:val="13"/>
                <w:color w:val="auto"/>
              </w:rPr>
              <w:t>Shipments (000s)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8"/>
              </w:rPr>
              <w:t>1,181</w:t>
            </w:r>
          </w:p>
        </w:tc>
        <w:tc>
          <w:tcPr>
            <w:tcW w:w="120" w:type="dxa"/>
            <w:vAlign w:val="bottom"/>
          </w:tcPr>
          <w:p>
            <w:pPr>
              <w:spacing w:after="0"/>
              <w:rPr>
                <w:sz w:val="18"/>
                <w:szCs w:val="18"/>
                <w:color w:val="auto"/>
              </w:rPr>
            </w:pP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1,052</w:t>
            </w:r>
          </w:p>
        </w:tc>
        <w:tc>
          <w:tcPr>
            <w:tcW w:w="940" w:type="dxa"/>
            <w:vAlign w:val="bottom"/>
            <w:gridSpan w:val="2"/>
          </w:tcPr>
          <w:p>
            <w:pPr>
              <w:jc w:val="center"/>
              <w:ind w:left="37"/>
              <w:spacing w:after="0"/>
              <w:rPr>
                <w:sz w:val="20"/>
                <w:szCs w:val="20"/>
                <w:color w:val="auto"/>
              </w:rPr>
            </w:pPr>
            <w:r>
              <w:rPr>
                <w:rFonts w:ascii="Arial" w:cs="Arial" w:eastAsia="Arial" w:hAnsi="Arial"/>
                <w:sz w:val="13"/>
                <w:szCs w:val="13"/>
                <w:color w:val="auto"/>
                <w:w w:val="95"/>
              </w:rPr>
              <w:t>+129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rPr>
              <w:t>Net revenues</w:t>
            </w:r>
          </w:p>
        </w:tc>
        <w:tc>
          <w:tcPr>
            <w:tcW w:w="1180" w:type="dxa"/>
            <w:vAlign w:val="bottom"/>
            <w:tcBorders>
              <w:top w:val="single" w:sz="8" w:color="7D7D7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5"/>
              </w:rPr>
              <w:t>49,893</w:t>
            </w:r>
          </w:p>
        </w:tc>
        <w:tc>
          <w:tcPr>
            <w:tcW w:w="120" w:type="dxa"/>
            <w:vAlign w:val="bottom"/>
          </w:tcPr>
          <w:p>
            <w:pPr>
              <w:spacing w:after="0"/>
              <w:rPr>
                <w:sz w:val="18"/>
                <w:szCs w:val="18"/>
                <w:color w:val="auto"/>
              </w:rPr>
            </w:pPr>
          </w:p>
        </w:tc>
        <w:tc>
          <w:tcPr>
            <w:tcW w:w="1180" w:type="dxa"/>
            <w:vAlign w:val="bottom"/>
            <w:tcBorders>
              <w:top w:val="single" w:sz="8" w:color="7D7D7D"/>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5"/>
              </w:rPr>
              <w:t>44,390</w:t>
            </w:r>
          </w:p>
        </w:tc>
        <w:tc>
          <w:tcPr>
            <w:tcW w:w="120" w:type="dxa"/>
            <w:vAlign w:val="bottom"/>
          </w:tcPr>
          <w:p>
            <w:pPr>
              <w:spacing w:after="0"/>
              <w:rPr>
                <w:sz w:val="18"/>
                <w:szCs w:val="18"/>
                <w:color w:val="auto"/>
              </w:rPr>
            </w:pPr>
          </w:p>
        </w:tc>
        <w:tc>
          <w:tcPr>
            <w:tcW w:w="82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9"/>
              </w:rPr>
              <w:t>12%</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180" w:type="dxa"/>
            <w:vAlign w:val="bottom"/>
            <w:tcBorders>
              <w:top w:val="single" w:sz="8" w:color="7D7D7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611</w:t>
            </w:r>
          </w:p>
        </w:tc>
        <w:tc>
          <w:tcPr>
            <w:tcW w:w="120" w:type="dxa"/>
            <w:vAlign w:val="bottom"/>
          </w:tcPr>
          <w:p>
            <w:pPr>
              <w:spacing w:after="0"/>
              <w:rPr>
                <w:sz w:val="18"/>
                <w:szCs w:val="18"/>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7"/>
              </w:rPr>
              <w:t>(1,457)</w:t>
            </w:r>
          </w:p>
        </w:tc>
        <w:tc>
          <w:tcPr>
            <w:tcW w:w="120" w:type="dxa"/>
            <w:vAlign w:val="bottom"/>
          </w:tcPr>
          <w:p>
            <w:pPr>
              <w:spacing w:after="0"/>
              <w:rPr>
                <w:sz w:val="18"/>
                <w:szCs w:val="18"/>
                <w:color w:val="auto"/>
              </w:rPr>
            </w:pPr>
          </w:p>
        </w:tc>
        <w:tc>
          <w:tcPr>
            <w:tcW w:w="820" w:type="dxa"/>
            <w:vAlign w:val="bottom"/>
            <w:tcBorders>
              <w:top w:val="single" w:sz="8" w:color="929292"/>
            </w:tcBorders>
          </w:tcPr>
          <w:p>
            <w:pPr>
              <w:ind w:left="280"/>
              <w:spacing w:after="0"/>
              <w:rPr>
                <w:sz w:val="20"/>
                <w:szCs w:val="20"/>
                <w:color w:val="auto"/>
              </w:rPr>
            </w:pPr>
            <w:r>
              <w:rPr>
                <w:rFonts w:ascii="Arial" w:cs="Arial" w:eastAsia="Arial" w:hAnsi="Arial"/>
                <w:sz w:val="13"/>
                <w:szCs w:val="13"/>
                <w:color w:val="auto"/>
              </w:rPr>
              <w:t>n.m.</w:t>
            </w:r>
          </w:p>
        </w:tc>
        <w:tc>
          <w:tcPr>
            <w:tcW w:w="3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0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 margin</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4"/>
              </w:rPr>
              <w:t>1.2%</w:t>
            </w:r>
          </w:p>
        </w:tc>
        <w:tc>
          <w:tcPr>
            <w:tcW w:w="120" w:type="dxa"/>
            <w:vAlign w:val="bottom"/>
          </w:tcPr>
          <w:p>
            <w:pPr>
              <w:spacing w:after="0"/>
              <w:rPr>
                <w:sz w:val="16"/>
                <w:szCs w:val="16"/>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9"/>
              </w:rPr>
              <w:t>(3.3)%</w:t>
            </w:r>
          </w:p>
        </w:tc>
        <w:tc>
          <w:tcPr>
            <w:tcW w:w="120" w:type="dxa"/>
            <w:vAlign w:val="bottom"/>
          </w:tcPr>
          <w:p>
            <w:pPr>
              <w:spacing w:after="0"/>
              <w:rPr>
                <w:sz w:val="16"/>
                <w:szCs w:val="16"/>
                <w:color w:val="auto"/>
              </w:rPr>
            </w:pPr>
          </w:p>
        </w:tc>
        <w:tc>
          <w:tcPr>
            <w:tcW w:w="820" w:type="dxa"/>
            <w:vAlign w:val="bottom"/>
            <w:tcBorders>
              <w:top w:val="single" w:sz="8" w:color="929292"/>
            </w:tcBorders>
          </w:tcPr>
          <w:p>
            <w:pPr>
              <w:jc w:val="center"/>
              <w:spacing w:after="0"/>
              <w:rPr>
                <w:sz w:val="20"/>
                <w:szCs w:val="20"/>
                <w:color w:val="auto"/>
              </w:rPr>
            </w:pPr>
            <w:r>
              <w:rPr>
                <w:rFonts w:ascii="Arial" w:cs="Arial" w:eastAsia="Arial" w:hAnsi="Arial"/>
                <w:sz w:val="13"/>
                <w:szCs w:val="13"/>
                <w:color w:val="auto"/>
                <w:w w:val="95"/>
              </w:rPr>
              <w:t>+450</w:t>
            </w:r>
          </w:p>
        </w:tc>
        <w:tc>
          <w:tcPr>
            <w:tcW w:w="38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0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820" w:type="dxa"/>
            <w:vAlign w:val="bottom"/>
            <w:shd w:val="clear" w:color="auto" w:fill="4C639D"/>
          </w:tcPr>
          <w:p>
            <w:pPr>
              <w:spacing w:after="0" w:line="20" w:lineRule="exact"/>
              <w:rPr>
                <w:sz w:val="1"/>
                <w:szCs w:val="1"/>
                <w:color w:val="auto"/>
              </w:rPr>
            </w:pPr>
          </w:p>
        </w:tc>
        <w:tc>
          <w:tcPr>
            <w:tcW w:w="38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ENLARGED EUROPE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6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180" w:type="dxa"/>
            <w:vAlign w:val="bottom"/>
            <w:tcBorders>
              <w:top w:val="single" w:sz="8" w:color="4C639D"/>
            </w:tcBorders>
            <w:vMerge w:val="restart"/>
            <w:shd w:val="clear" w:color="auto" w:fill="243782"/>
          </w:tcPr>
          <w:p>
            <w:pPr>
              <w:ind w:left="260"/>
              <w:spacing w:after="0"/>
              <w:rPr>
                <w:sz w:val="20"/>
                <w:szCs w:val="20"/>
                <w:color w:val="auto"/>
              </w:rPr>
            </w:pPr>
            <w:r>
              <w:rPr>
                <w:rFonts w:ascii="Arial" w:cs="Arial" w:eastAsia="Arial" w:hAnsi="Arial"/>
                <w:sz w:val="14"/>
                <w:szCs w:val="14"/>
                <w:i w:val="1"/>
                <w:iCs w:val="1"/>
                <w:color w:val="FFFFFF"/>
              </w:rPr>
              <w:t>YTD 2026</w:t>
            </w:r>
          </w:p>
        </w:tc>
        <w:tc>
          <w:tcPr>
            <w:tcW w:w="100" w:type="dxa"/>
            <w:vAlign w:val="bottom"/>
            <w:tcBorders>
              <w:top w:val="single" w:sz="8" w:color="4C639D"/>
            </w:tcBorders>
          </w:tcPr>
          <w:p>
            <w:pPr>
              <w:spacing w:after="0"/>
              <w:rPr>
                <w:sz w:val="15"/>
                <w:szCs w:val="15"/>
                <w:color w:val="auto"/>
              </w:rPr>
            </w:pPr>
          </w:p>
        </w:tc>
        <w:tc>
          <w:tcPr>
            <w:tcW w:w="1180" w:type="dxa"/>
            <w:vAlign w:val="bottom"/>
            <w:tcBorders>
              <w:top w:val="single" w:sz="8" w:color="4C639D"/>
            </w:tcBorders>
            <w:vMerge w:val="restart"/>
            <w:shd w:val="clear" w:color="auto" w:fill="F2F2F2"/>
          </w:tcPr>
          <w:p>
            <w:pPr>
              <w:ind w:left="260"/>
              <w:spacing w:after="0"/>
              <w:rPr>
                <w:sz w:val="20"/>
                <w:szCs w:val="20"/>
                <w:color w:val="auto"/>
              </w:rPr>
            </w:pPr>
            <w:r>
              <w:rPr>
                <w:rFonts w:ascii="Arial" w:cs="Arial" w:eastAsia="Arial" w:hAnsi="Arial"/>
                <w:sz w:val="14"/>
                <w:szCs w:val="14"/>
                <w:i w:val="1"/>
                <w:iCs w:val="1"/>
                <w:color w:val="243782"/>
              </w:rPr>
              <w:t>YTD 2025</w:t>
            </w:r>
          </w:p>
        </w:tc>
        <w:tc>
          <w:tcPr>
            <w:tcW w:w="100" w:type="dxa"/>
            <w:vAlign w:val="bottom"/>
            <w:tcBorders>
              <w:top w:val="single" w:sz="8" w:color="4C639D"/>
            </w:tcBorders>
          </w:tcPr>
          <w:p>
            <w:pPr>
              <w:spacing w:after="0"/>
              <w:rPr>
                <w:sz w:val="15"/>
                <w:szCs w:val="15"/>
                <w:color w:val="auto"/>
              </w:rPr>
            </w:pPr>
          </w:p>
        </w:tc>
        <w:tc>
          <w:tcPr>
            <w:tcW w:w="1200" w:type="dxa"/>
            <w:vAlign w:val="bottom"/>
            <w:tcBorders>
              <w:top w:val="single" w:sz="8" w:color="4C639D"/>
            </w:tcBorders>
            <w:gridSpan w:val="2"/>
            <w:vMerge w:val="restart"/>
          </w:tcPr>
          <w:p>
            <w:pPr>
              <w:ind w:left="34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55"/>
        </w:trPr>
        <w:tc>
          <w:tcPr>
            <w:tcW w:w="1660" w:type="dxa"/>
            <w:vAlign w:val="bottom"/>
            <w:tcBorders>
              <w:bottom w:val="single" w:sz="8" w:color="7D7D7D"/>
            </w:tcBorders>
          </w:tcPr>
          <w:p>
            <w:pPr>
              <w:ind w:left="20"/>
              <w:spacing w:after="0"/>
              <w:rPr>
                <w:sz w:val="20"/>
                <w:szCs w:val="20"/>
                <w:color w:val="auto"/>
              </w:rPr>
            </w:pPr>
            <w:r>
              <w:rPr>
                <w:rFonts w:ascii="Arial" w:cs="Arial" w:eastAsia="Arial" w:hAnsi="Arial"/>
                <w:sz w:val="11"/>
                <w:szCs w:val="11"/>
                <w:color w:val="auto"/>
              </w:rPr>
              <w:t>stated</w:t>
            </w:r>
          </w:p>
        </w:tc>
        <w:tc>
          <w:tcPr>
            <w:tcW w:w="1180" w:type="dxa"/>
            <w:vAlign w:val="bottom"/>
            <w:tcBorders>
              <w:bottom w:val="single" w:sz="8" w:color="243782"/>
            </w:tcBorders>
            <w:vMerge w:val="continue"/>
            <w:shd w:val="clear" w:color="auto" w:fill="243782"/>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4C639D"/>
            </w:tcBorders>
            <w:vMerge w:val="continue"/>
            <w:shd w:val="clear" w:color="auto" w:fill="F2F2F2"/>
          </w:tcPr>
          <w:p>
            <w:pPr>
              <w:spacing w:after="0"/>
              <w:rPr>
                <w:sz w:val="13"/>
                <w:szCs w:val="13"/>
                <w:color w:val="auto"/>
              </w:rPr>
            </w:pPr>
          </w:p>
        </w:tc>
        <w:tc>
          <w:tcPr>
            <w:tcW w:w="100" w:type="dxa"/>
            <w:vAlign w:val="bottom"/>
            <w:tcBorders>
              <w:bottom w:val="single" w:sz="8" w:color="4C639D"/>
            </w:tcBorders>
          </w:tcPr>
          <w:p>
            <w:pPr>
              <w:spacing w:after="0"/>
              <w:rPr>
                <w:sz w:val="13"/>
                <w:szCs w:val="13"/>
                <w:color w:val="auto"/>
              </w:rPr>
            </w:pPr>
          </w:p>
        </w:tc>
        <w:tc>
          <w:tcPr>
            <w:tcW w:w="1200" w:type="dxa"/>
            <w:vAlign w:val="bottom"/>
            <w:tcBorders>
              <w:bottom w:val="single" w:sz="8" w:color="4C639D"/>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3"/>
                <w:szCs w:val="13"/>
                <w:color w:val="auto"/>
              </w:rPr>
              <w:t>Shipments (000s)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1,987</w:t>
            </w:r>
          </w:p>
        </w:tc>
        <w:tc>
          <w:tcPr>
            <w:tcW w:w="100" w:type="dxa"/>
            <w:vAlign w:val="bottom"/>
          </w:tcPr>
          <w:p>
            <w:pPr>
              <w:spacing w:after="0"/>
              <w:rPr>
                <w:sz w:val="18"/>
                <w:szCs w:val="18"/>
                <w:color w:val="auto"/>
              </w:rPr>
            </w:pP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1,825</w:t>
            </w:r>
          </w:p>
        </w:tc>
        <w:tc>
          <w:tcPr>
            <w:tcW w:w="800" w:type="dxa"/>
            <w:vAlign w:val="bottom"/>
            <w:gridSpan w:val="2"/>
          </w:tcPr>
          <w:p>
            <w:pPr>
              <w:jc w:val="center"/>
              <w:ind w:left="157"/>
              <w:spacing w:after="0"/>
              <w:rPr>
                <w:sz w:val="20"/>
                <w:szCs w:val="20"/>
                <w:color w:val="auto"/>
              </w:rPr>
            </w:pPr>
            <w:r>
              <w:rPr>
                <w:rFonts w:ascii="Arial" w:cs="Arial" w:eastAsia="Arial" w:hAnsi="Arial"/>
                <w:sz w:val="13"/>
                <w:szCs w:val="13"/>
                <w:color w:val="auto"/>
              </w:rPr>
              <w:t>+162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Net revenues</w:t>
            </w:r>
          </w:p>
        </w:tc>
        <w:tc>
          <w:tcPr>
            <w:tcW w:w="1180" w:type="dxa"/>
            <w:vAlign w:val="bottom"/>
            <w:tcBorders>
              <w:top w:val="single" w:sz="8" w:color="7D7D7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5"/>
              </w:rPr>
              <w:t>44,863</w:t>
            </w:r>
          </w:p>
        </w:tc>
        <w:tc>
          <w:tcPr>
            <w:tcW w:w="100" w:type="dxa"/>
            <w:vAlign w:val="bottom"/>
          </w:tcPr>
          <w:p>
            <w:pPr>
              <w:spacing w:after="0"/>
              <w:rPr>
                <w:sz w:val="18"/>
                <w:szCs w:val="18"/>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5"/>
              </w:rPr>
              <w:t>44,188</w:t>
            </w:r>
          </w:p>
        </w:tc>
        <w:tc>
          <w:tcPr>
            <w:tcW w:w="100" w:type="dxa"/>
            <w:vAlign w:val="bottom"/>
          </w:tcPr>
          <w:p>
            <w:pPr>
              <w:spacing w:after="0"/>
              <w:rPr>
                <w:sz w:val="18"/>
                <w:szCs w:val="18"/>
                <w:color w:val="auto"/>
              </w:rPr>
            </w:pPr>
          </w:p>
        </w:tc>
        <w:tc>
          <w:tcPr>
            <w:tcW w:w="700" w:type="dxa"/>
            <w:vAlign w:val="bottom"/>
            <w:tcBorders>
              <w:top w:val="single" w:sz="8" w:color="7D7D7D"/>
            </w:tcBorders>
          </w:tcPr>
          <w:p>
            <w:pPr>
              <w:jc w:val="center"/>
              <w:ind w:left="55"/>
              <w:spacing w:after="0"/>
              <w:rPr>
                <w:sz w:val="20"/>
                <w:szCs w:val="20"/>
                <w:color w:val="auto"/>
              </w:rPr>
            </w:pPr>
            <w:r>
              <w:rPr>
                <w:rFonts w:ascii="Arial" w:cs="Arial" w:eastAsia="Arial" w:hAnsi="Arial"/>
                <w:sz w:val="13"/>
                <w:szCs w:val="13"/>
                <w:color w:val="auto"/>
                <w:w w:val="95"/>
              </w:rPr>
              <w:t>2%</w:t>
            </w:r>
          </w:p>
        </w:tc>
        <w:tc>
          <w:tcPr>
            <w:tcW w:w="500" w:type="dxa"/>
            <w:vAlign w:val="bottom"/>
            <w:tcBorders>
              <w:top w:val="single" w:sz="8" w:color="7D7D7D"/>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180" w:type="dxa"/>
            <w:vAlign w:val="bottom"/>
            <w:tcBorders>
              <w:top w:val="single" w:sz="8" w:color="7D7D7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8"/>
              </w:rPr>
              <w:t>(397)</w:t>
            </w:r>
          </w:p>
        </w:tc>
        <w:tc>
          <w:tcPr>
            <w:tcW w:w="100" w:type="dxa"/>
            <w:vAlign w:val="bottom"/>
          </w:tcPr>
          <w:p>
            <w:pPr>
              <w:spacing w:after="0"/>
              <w:rPr>
                <w:sz w:val="18"/>
                <w:szCs w:val="18"/>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6"/>
              </w:rPr>
              <w:t>90</w:t>
            </w:r>
          </w:p>
        </w:tc>
        <w:tc>
          <w:tcPr>
            <w:tcW w:w="100" w:type="dxa"/>
            <w:vAlign w:val="bottom"/>
          </w:tcPr>
          <w:p>
            <w:pPr>
              <w:spacing w:after="0"/>
              <w:rPr>
                <w:sz w:val="18"/>
                <w:szCs w:val="18"/>
                <w:color w:val="auto"/>
              </w:rPr>
            </w:pPr>
          </w:p>
        </w:tc>
        <w:tc>
          <w:tcPr>
            <w:tcW w:w="700" w:type="dxa"/>
            <w:vAlign w:val="bottom"/>
            <w:tcBorders>
              <w:top w:val="single" w:sz="8" w:color="929292"/>
            </w:tcBorders>
          </w:tcPr>
          <w:p>
            <w:pPr>
              <w:ind w:left="280"/>
              <w:spacing w:after="0"/>
              <w:rPr>
                <w:sz w:val="20"/>
                <w:szCs w:val="20"/>
                <w:color w:val="auto"/>
              </w:rPr>
            </w:pPr>
            <w:r>
              <w:rPr>
                <w:rFonts w:ascii="Arial" w:cs="Arial" w:eastAsia="Arial" w:hAnsi="Arial"/>
                <w:sz w:val="13"/>
                <w:szCs w:val="13"/>
                <w:color w:val="auto"/>
              </w:rPr>
              <w:t>n.m.</w:t>
            </w:r>
          </w:p>
        </w:tc>
        <w:tc>
          <w:tcPr>
            <w:tcW w:w="50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 margin</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9"/>
              </w:rPr>
              <w:t>(0.9)%</w:t>
            </w:r>
          </w:p>
        </w:tc>
        <w:tc>
          <w:tcPr>
            <w:tcW w:w="100" w:type="dxa"/>
            <w:vAlign w:val="bottom"/>
          </w:tcPr>
          <w:p>
            <w:pPr>
              <w:spacing w:after="0"/>
              <w:rPr>
                <w:sz w:val="16"/>
                <w:szCs w:val="16"/>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700" w:type="dxa"/>
            <w:vAlign w:val="bottom"/>
            <w:tcBorders>
              <w:top w:val="single" w:sz="8" w:color="929292"/>
            </w:tcBorders>
          </w:tcPr>
          <w:p>
            <w:pPr>
              <w:jc w:val="center"/>
              <w:ind w:left="55"/>
              <w:spacing w:after="0"/>
              <w:rPr>
                <w:sz w:val="20"/>
                <w:szCs w:val="20"/>
                <w:color w:val="auto"/>
              </w:rPr>
            </w:pPr>
            <w:r>
              <w:rPr>
                <w:rFonts w:ascii="Arial" w:cs="Arial" w:eastAsia="Arial" w:hAnsi="Arial"/>
                <w:sz w:val="13"/>
                <w:szCs w:val="13"/>
                <w:color w:val="auto"/>
                <w:w w:val="98"/>
              </w:rPr>
              <w:t>(110)</w:t>
            </w:r>
          </w:p>
        </w:tc>
        <w:tc>
          <w:tcPr>
            <w:tcW w:w="500" w:type="dxa"/>
            <w:vAlign w:val="bottom"/>
            <w:tcBorders>
              <w:top w:val="single" w:sz="8" w:color="929292"/>
            </w:tcBorders>
          </w:tcPr>
          <w:p>
            <w:pPr>
              <w:ind w:left="14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6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700" w:type="dxa"/>
            <w:vAlign w:val="bottom"/>
            <w:shd w:val="clear" w:color="auto" w:fill="4C639D"/>
          </w:tcPr>
          <w:p>
            <w:pPr>
              <w:spacing w:after="0" w:line="20" w:lineRule="exact"/>
              <w:rPr>
                <w:sz w:val="1"/>
                <w:szCs w:val="1"/>
                <w:color w:val="auto"/>
              </w:rPr>
            </w:pPr>
          </w:p>
        </w:tc>
        <w:tc>
          <w:tcPr>
            <w:tcW w:w="50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00" w:space="420"/>
            <w:col w:w="5420"/>
          </w:cols>
          <w:pgMar w:left="320" w:top="1440" w:right="33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MIDDLE EAST &amp; AFRICA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180" w:type="dxa"/>
            <w:vAlign w:val="bottom"/>
            <w:tcBorders>
              <w:top w:val="single" w:sz="8" w:color="4C639D"/>
            </w:tcBorders>
            <w:vMerge w:val="restart"/>
            <w:shd w:val="clear" w:color="auto" w:fill="243782"/>
          </w:tcPr>
          <w:p>
            <w:pPr>
              <w:ind w:left="260"/>
              <w:spacing w:after="0"/>
              <w:rPr>
                <w:sz w:val="20"/>
                <w:szCs w:val="20"/>
                <w:color w:val="auto"/>
              </w:rPr>
            </w:pPr>
            <w:r>
              <w:rPr>
                <w:rFonts w:ascii="Arial" w:cs="Arial" w:eastAsia="Arial" w:hAnsi="Arial"/>
                <w:sz w:val="14"/>
                <w:szCs w:val="14"/>
                <w:i w:val="1"/>
                <w:iCs w:val="1"/>
                <w:color w:val="FFFFFF"/>
              </w:rPr>
              <w:t>YTD 2026</w:t>
            </w:r>
          </w:p>
        </w:tc>
        <w:tc>
          <w:tcPr>
            <w:tcW w:w="120" w:type="dxa"/>
            <w:vAlign w:val="bottom"/>
            <w:tcBorders>
              <w:top w:val="single" w:sz="8" w:color="4C639D"/>
            </w:tcBorders>
          </w:tcPr>
          <w:p>
            <w:pPr>
              <w:spacing w:after="0"/>
              <w:rPr>
                <w:sz w:val="14"/>
                <w:szCs w:val="14"/>
                <w:color w:val="auto"/>
              </w:rPr>
            </w:pPr>
          </w:p>
        </w:tc>
        <w:tc>
          <w:tcPr>
            <w:tcW w:w="1180" w:type="dxa"/>
            <w:vAlign w:val="bottom"/>
            <w:tcBorders>
              <w:top w:val="single" w:sz="8" w:color="4C639D"/>
            </w:tcBorders>
            <w:vMerge w:val="restart"/>
            <w:shd w:val="clear" w:color="auto" w:fill="F2F2F2"/>
          </w:tcPr>
          <w:p>
            <w:pPr>
              <w:ind w:left="260"/>
              <w:spacing w:after="0"/>
              <w:rPr>
                <w:sz w:val="20"/>
                <w:szCs w:val="20"/>
                <w:color w:val="auto"/>
              </w:rPr>
            </w:pPr>
            <w:r>
              <w:rPr>
                <w:rFonts w:ascii="Arial" w:cs="Arial" w:eastAsia="Arial" w:hAnsi="Arial"/>
                <w:sz w:val="14"/>
                <w:szCs w:val="14"/>
                <w:i w:val="1"/>
                <w:iCs w:val="1"/>
                <w:color w:val="243782"/>
              </w:rPr>
              <w:t>YTD 2025</w:t>
            </w:r>
          </w:p>
        </w:tc>
        <w:tc>
          <w:tcPr>
            <w:tcW w:w="100" w:type="dxa"/>
            <w:vAlign w:val="bottom"/>
            <w:tcBorders>
              <w:top w:val="single" w:sz="8" w:color="4C639D"/>
            </w:tcBorders>
          </w:tcPr>
          <w:p>
            <w:pPr>
              <w:spacing w:after="0"/>
              <w:rPr>
                <w:sz w:val="14"/>
                <w:szCs w:val="14"/>
                <w:color w:val="auto"/>
              </w:rPr>
            </w:pPr>
          </w:p>
        </w:tc>
        <w:tc>
          <w:tcPr>
            <w:tcW w:w="1200" w:type="dxa"/>
            <w:vAlign w:val="bottom"/>
            <w:tcBorders>
              <w:top w:val="single" w:sz="8" w:color="4C639D"/>
            </w:tcBorders>
            <w:gridSpan w:val="2"/>
            <w:vMerge w:val="restart"/>
          </w:tcPr>
          <w:p>
            <w:pPr>
              <w:ind w:left="36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Arial" w:cs="Arial" w:eastAsia="Arial" w:hAnsi="Arial"/>
                <w:sz w:val="11"/>
                <w:szCs w:val="11"/>
                <w:color w:val="auto"/>
              </w:rPr>
              <w:t>stated</w:t>
            </w:r>
          </w:p>
        </w:tc>
        <w:tc>
          <w:tcPr>
            <w:tcW w:w="1180" w:type="dxa"/>
            <w:vAlign w:val="bottom"/>
            <w:tcBorders>
              <w:bottom w:val="single" w:sz="8" w:color="243782"/>
            </w:tcBorders>
            <w:vMerge w:val="continue"/>
            <w:shd w:val="clear" w:color="auto" w:fill="243782"/>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F2F2F2"/>
            </w:tcBorders>
            <w:vMerge w:val="continue"/>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62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rPr>
              <w:t>Combined shipments</w:t>
            </w:r>
            <w:r>
              <w:rPr>
                <w:rFonts w:ascii="Arial" w:cs="Arial" w:eastAsia="Arial" w:hAnsi="Arial"/>
                <w:sz w:val="16"/>
                <w:szCs w:val="16"/>
                <w:color w:val="auto"/>
                <w:vertAlign w:val="superscript"/>
              </w:rPr>
              <w:t>(6)</w:t>
            </w:r>
          </w:p>
        </w:tc>
        <w:tc>
          <w:tcPr>
            <w:tcW w:w="1180" w:type="dxa"/>
            <w:vAlign w:val="bottom"/>
            <w:tcBorders>
              <w:top w:val="single" w:sz="8" w:color="7D7D7D"/>
            </w:tcBorders>
            <w:shd w:val="clear" w:color="auto" w:fill="243782"/>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4C639D"/>
            </w:tcBorders>
            <w:shd w:val="clear" w:color="auto" w:fill="F2F2F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4C639D"/>
            </w:tcBorders>
          </w:tcPr>
          <w:p>
            <w:pPr>
              <w:spacing w:after="0"/>
              <w:rPr>
                <w:sz w:val="17"/>
                <w:szCs w:val="17"/>
                <w:color w:val="auto"/>
              </w:rPr>
            </w:pPr>
          </w:p>
        </w:tc>
        <w:tc>
          <w:tcPr>
            <w:tcW w:w="480" w:type="dxa"/>
            <w:vAlign w:val="bottom"/>
            <w:tcBorders>
              <w:top w:val="single" w:sz="8" w:color="4C639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rPr>
                <w:sz w:val="20"/>
                <w:szCs w:val="20"/>
                <w:color w:val="auto"/>
              </w:rPr>
            </w:pPr>
            <w:r>
              <w:rPr>
                <w:rFonts w:ascii="Arial" w:cs="Arial" w:eastAsia="Arial" w:hAnsi="Arial"/>
                <w:sz w:val="13"/>
                <w:szCs w:val="13"/>
                <w:color w:val="auto"/>
              </w:rPr>
              <w:t>(000s)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338</w:t>
            </w:r>
          </w:p>
        </w:tc>
        <w:tc>
          <w:tcPr>
            <w:tcW w:w="120" w:type="dxa"/>
            <w:vAlign w:val="bottom"/>
          </w:tcPr>
          <w:p>
            <w:pPr>
              <w:spacing w:after="0"/>
              <w:rPr>
                <w:sz w:val="16"/>
                <w:szCs w:val="16"/>
                <w:color w:val="auto"/>
              </w:rPr>
            </w:pP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379</w:t>
            </w:r>
          </w:p>
        </w:tc>
        <w:tc>
          <w:tcPr>
            <w:tcW w:w="820" w:type="dxa"/>
            <w:vAlign w:val="bottom"/>
            <w:gridSpan w:val="2"/>
          </w:tcPr>
          <w:p>
            <w:pPr>
              <w:jc w:val="center"/>
              <w:ind w:left="157"/>
              <w:spacing w:after="0"/>
              <w:rPr>
                <w:sz w:val="20"/>
                <w:szCs w:val="20"/>
                <w:color w:val="auto"/>
              </w:rPr>
            </w:pPr>
            <w:r>
              <w:rPr>
                <w:rFonts w:ascii="Arial" w:cs="Arial" w:eastAsia="Arial" w:hAnsi="Arial"/>
                <w:sz w:val="13"/>
                <w:szCs w:val="13"/>
                <w:color w:val="auto"/>
              </w:rPr>
              <w:t>(41)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2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rPr>
              <w:t>Consolidated shipments</w:t>
            </w:r>
            <w:r>
              <w:rPr>
                <w:rFonts w:ascii="Arial" w:cs="Arial" w:eastAsia="Arial" w:hAnsi="Arial"/>
                <w:sz w:val="16"/>
                <w:szCs w:val="16"/>
                <w:color w:val="auto"/>
                <w:vertAlign w:val="superscript"/>
              </w:rPr>
              <w:t>(6)</w:t>
            </w:r>
          </w:p>
        </w:tc>
        <w:tc>
          <w:tcPr>
            <w:tcW w:w="1180" w:type="dxa"/>
            <w:vAlign w:val="bottom"/>
            <w:tcBorders>
              <w:top w:val="single" w:sz="8" w:color="7D7D7D"/>
            </w:tcBorders>
            <w:shd w:val="clear" w:color="auto" w:fill="243782"/>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7D7D7D"/>
            </w:tcBorders>
            <w:shd w:val="clear" w:color="auto" w:fill="F2F2F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7D7D7D"/>
            </w:tcBorders>
          </w:tcPr>
          <w:p>
            <w:pPr>
              <w:spacing w:after="0"/>
              <w:rPr>
                <w:sz w:val="17"/>
                <w:szCs w:val="17"/>
                <w:color w:val="auto"/>
              </w:rPr>
            </w:pPr>
          </w:p>
        </w:tc>
        <w:tc>
          <w:tcPr>
            <w:tcW w:w="480" w:type="dxa"/>
            <w:vAlign w:val="bottom"/>
            <w:tcBorders>
              <w:top w:val="single" w:sz="8" w:color="7D7D7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rPr>
                <w:sz w:val="20"/>
                <w:szCs w:val="20"/>
                <w:color w:val="auto"/>
              </w:rPr>
            </w:pPr>
            <w:r>
              <w:rPr>
                <w:rFonts w:ascii="Arial" w:cs="Arial" w:eastAsia="Arial" w:hAnsi="Arial"/>
                <w:sz w:val="13"/>
                <w:szCs w:val="13"/>
                <w:color w:val="auto"/>
              </w:rPr>
              <w:t>(000s)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307</w:t>
            </w:r>
          </w:p>
        </w:tc>
        <w:tc>
          <w:tcPr>
            <w:tcW w:w="120" w:type="dxa"/>
            <w:vAlign w:val="bottom"/>
          </w:tcPr>
          <w:p>
            <w:pPr>
              <w:spacing w:after="0"/>
              <w:rPr>
                <w:sz w:val="16"/>
                <w:szCs w:val="16"/>
                <w:color w:val="auto"/>
              </w:rPr>
            </w:pP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2"/>
              </w:rPr>
              <w:t>320</w:t>
            </w:r>
          </w:p>
        </w:tc>
        <w:tc>
          <w:tcPr>
            <w:tcW w:w="820" w:type="dxa"/>
            <w:vAlign w:val="bottom"/>
            <w:gridSpan w:val="2"/>
          </w:tcPr>
          <w:p>
            <w:pPr>
              <w:jc w:val="center"/>
              <w:ind w:left="157"/>
              <w:spacing w:after="0"/>
              <w:rPr>
                <w:sz w:val="20"/>
                <w:szCs w:val="20"/>
                <w:color w:val="auto"/>
              </w:rPr>
            </w:pPr>
            <w:r>
              <w:rPr>
                <w:rFonts w:ascii="Arial" w:cs="Arial" w:eastAsia="Arial" w:hAnsi="Arial"/>
                <w:sz w:val="13"/>
                <w:szCs w:val="13"/>
                <w:color w:val="auto"/>
              </w:rPr>
              <w:t>(13)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Net revenues</w:t>
            </w:r>
          </w:p>
        </w:tc>
        <w:tc>
          <w:tcPr>
            <w:tcW w:w="1180" w:type="dxa"/>
            <w:vAlign w:val="bottom"/>
            <w:tcBorders>
              <w:top w:val="single" w:sz="8" w:color="7D7D7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6,626</w:t>
            </w:r>
          </w:p>
        </w:tc>
        <w:tc>
          <w:tcPr>
            <w:tcW w:w="120" w:type="dxa"/>
            <w:vAlign w:val="bottom"/>
          </w:tcPr>
          <w:p>
            <w:pPr>
              <w:spacing w:after="0"/>
              <w:rPr>
                <w:sz w:val="18"/>
                <w:szCs w:val="18"/>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8"/>
              </w:rPr>
              <w:t>7,022</w:t>
            </w:r>
          </w:p>
        </w:tc>
        <w:tc>
          <w:tcPr>
            <w:tcW w:w="100" w:type="dxa"/>
            <w:vAlign w:val="bottom"/>
          </w:tcPr>
          <w:p>
            <w:pPr>
              <w:spacing w:after="0"/>
              <w:rPr>
                <w:sz w:val="18"/>
                <w:szCs w:val="18"/>
                <w:color w:val="auto"/>
              </w:rPr>
            </w:pPr>
          </w:p>
        </w:tc>
        <w:tc>
          <w:tcPr>
            <w:tcW w:w="720" w:type="dxa"/>
            <w:vAlign w:val="bottom"/>
            <w:tcBorders>
              <w:top w:val="single" w:sz="8" w:color="7D7D7D"/>
            </w:tcBorders>
          </w:tcPr>
          <w:p>
            <w:pPr>
              <w:jc w:val="center"/>
              <w:ind w:left="55"/>
              <w:spacing w:after="0"/>
              <w:rPr>
                <w:sz w:val="20"/>
                <w:szCs w:val="20"/>
                <w:color w:val="auto"/>
              </w:rPr>
            </w:pPr>
            <w:r>
              <w:rPr>
                <w:rFonts w:ascii="Arial" w:cs="Arial" w:eastAsia="Arial" w:hAnsi="Arial"/>
                <w:sz w:val="13"/>
                <w:szCs w:val="13"/>
                <w:color w:val="auto"/>
              </w:rPr>
              <w:t>(6)%</w:t>
            </w:r>
          </w:p>
        </w:tc>
        <w:tc>
          <w:tcPr>
            <w:tcW w:w="480" w:type="dxa"/>
            <w:vAlign w:val="bottom"/>
            <w:tcBorders>
              <w:top w:val="single" w:sz="8" w:color="7D7D7D"/>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180" w:type="dxa"/>
            <w:vAlign w:val="bottom"/>
            <w:tcBorders>
              <w:top w:val="single" w:sz="8" w:color="7D7D7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855</w:t>
            </w:r>
          </w:p>
        </w:tc>
        <w:tc>
          <w:tcPr>
            <w:tcW w:w="120" w:type="dxa"/>
            <w:vAlign w:val="bottom"/>
          </w:tcPr>
          <w:p>
            <w:pPr>
              <w:spacing w:after="0"/>
              <w:rPr>
                <w:sz w:val="18"/>
                <w:szCs w:val="18"/>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8"/>
              </w:rPr>
              <w:t>1,040</w:t>
            </w:r>
          </w:p>
        </w:tc>
        <w:tc>
          <w:tcPr>
            <w:tcW w:w="100" w:type="dxa"/>
            <w:vAlign w:val="bottom"/>
          </w:tcPr>
          <w:p>
            <w:pPr>
              <w:spacing w:after="0"/>
              <w:rPr>
                <w:sz w:val="18"/>
                <w:szCs w:val="18"/>
                <w:color w:val="auto"/>
              </w:rPr>
            </w:pPr>
          </w:p>
        </w:tc>
        <w:tc>
          <w:tcPr>
            <w:tcW w:w="720" w:type="dxa"/>
            <w:vAlign w:val="bottom"/>
            <w:tcBorders>
              <w:top w:val="single" w:sz="8" w:color="929292"/>
            </w:tcBorders>
          </w:tcPr>
          <w:p>
            <w:pPr>
              <w:jc w:val="center"/>
              <w:ind w:left="55"/>
              <w:spacing w:after="0"/>
              <w:rPr>
                <w:sz w:val="20"/>
                <w:szCs w:val="20"/>
                <w:color w:val="auto"/>
              </w:rPr>
            </w:pPr>
            <w:r>
              <w:rPr>
                <w:rFonts w:ascii="Arial" w:cs="Arial" w:eastAsia="Arial" w:hAnsi="Arial"/>
                <w:sz w:val="13"/>
                <w:szCs w:val="13"/>
                <w:color w:val="auto"/>
                <w:w w:val="92"/>
              </w:rPr>
              <w:t>(18)%</w:t>
            </w:r>
          </w:p>
        </w:tc>
        <w:tc>
          <w:tcPr>
            <w:tcW w:w="48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62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 margin</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12.9%</w:t>
            </w:r>
          </w:p>
        </w:tc>
        <w:tc>
          <w:tcPr>
            <w:tcW w:w="120" w:type="dxa"/>
            <w:vAlign w:val="bottom"/>
          </w:tcPr>
          <w:p>
            <w:pPr>
              <w:spacing w:after="0"/>
              <w:rPr>
                <w:sz w:val="16"/>
                <w:szCs w:val="16"/>
                <w:color w:val="auto"/>
              </w:rPr>
            </w:pPr>
          </w:p>
        </w:tc>
        <w:tc>
          <w:tcPr>
            <w:tcW w:w="118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7"/>
              </w:rPr>
              <w:t>14.8%</w:t>
            </w:r>
          </w:p>
        </w:tc>
        <w:tc>
          <w:tcPr>
            <w:tcW w:w="100" w:type="dxa"/>
            <w:vAlign w:val="bottom"/>
          </w:tcPr>
          <w:p>
            <w:pPr>
              <w:spacing w:after="0"/>
              <w:rPr>
                <w:sz w:val="16"/>
                <w:szCs w:val="16"/>
                <w:color w:val="auto"/>
              </w:rPr>
            </w:pPr>
          </w:p>
        </w:tc>
        <w:tc>
          <w:tcPr>
            <w:tcW w:w="720" w:type="dxa"/>
            <w:vAlign w:val="bottom"/>
            <w:tcBorders>
              <w:top w:val="single" w:sz="8" w:color="929292"/>
            </w:tcBorders>
          </w:tcPr>
          <w:p>
            <w:pPr>
              <w:jc w:val="center"/>
              <w:ind w:left="55"/>
              <w:spacing w:after="0"/>
              <w:rPr>
                <w:sz w:val="20"/>
                <w:szCs w:val="20"/>
                <w:color w:val="auto"/>
              </w:rPr>
            </w:pPr>
            <w:r>
              <w:rPr>
                <w:rFonts w:ascii="Arial" w:cs="Arial" w:eastAsia="Arial" w:hAnsi="Arial"/>
                <w:sz w:val="13"/>
                <w:szCs w:val="13"/>
                <w:color w:val="auto"/>
                <w:w w:val="92"/>
              </w:rPr>
              <w:t>(190)</w:t>
            </w:r>
          </w:p>
        </w:tc>
        <w:tc>
          <w:tcPr>
            <w:tcW w:w="480" w:type="dxa"/>
            <w:vAlign w:val="bottom"/>
            <w:tcBorders>
              <w:top w:val="single" w:sz="8" w:color="929292"/>
            </w:tcBorders>
          </w:tcPr>
          <w:p>
            <w:pPr>
              <w:ind w:left="12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2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720" w:type="dxa"/>
            <w:vAlign w:val="bottom"/>
            <w:shd w:val="clear" w:color="auto" w:fill="4C639D"/>
          </w:tcPr>
          <w:p>
            <w:pPr>
              <w:spacing w:after="0" w:line="20" w:lineRule="exact"/>
              <w:rPr>
                <w:sz w:val="1"/>
                <w:szCs w:val="1"/>
                <w:color w:val="auto"/>
              </w:rPr>
            </w:pPr>
          </w:p>
        </w:tc>
        <w:tc>
          <w:tcPr>
            <w:tcW w:w="48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SOUTH AMERICA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Borders>
              <w:top w:val="single" w:sz="8" w:color="4C639D"/>
            </w:tcBorders>
          </w:tcPr>
          <w:p>
            <w:pPr>
              <w:ind w:left="20"/>
              <w:spacing w:after="0"/>
              <w:rPr>
                <w:sz w:val="20"/>
                <w:szCs w:val="20"/>
                <w:color w:val="auto"/>
              </w:rPr>
            </w:pPr>
            <w:r>
              <w:rPr>
                <w:rFonts w:ascii="Arial" w:cs="Arial" w:eastAsia="Arial" w:hAnsi="Arial"/>
                <w:sz w:val="11"/>
                <w:szCs w:val="11"/>
                <w:color w:val="auto"/>
              </w:rPr>
              <w:t>€ million, except as otherwise</w:t>
            </w:r>
          </w:p>
        </w:tc>
        <w:tc>
          <w:tcPr>
            <w:tcW w:w="1140" w:type="dxa"/>
            <w:vAlign w:val="bottom"/>
            <w:tcBorders>
              <w:top w:val="single" w:sz="8" w:color="4C639D"/>
            </w:tcBorders>
            <w:vMerge w:val="restart"/>
            <w:shd w:val="clear" w:color="auto" w:fill="243782"/>
          </w:tcPr>
          <w:p>
            <w:pPr>
              <w:ind w:left="240"/>
              <w:spacing w:after="0"/>
              <w:rPr>
                <w:sz w:val="20"/>
                <w:szCs w:val="20"/>
                <w:color w:val="auto"/>
              </w:rPr>
            </w:pPr>
            <w:r>
              <w:rPr>
                <w:rFonts w:ascii="Arial" w:cs="Arial" w:eastAsia="Arial" w:hAnsi="Arial"/>
                <w:sz w:val="14"/>
                <w:szCs w:val="14"/>
                <w:i w:val="1"/>
                <w:iCs w:val="1"/>
                <w:color w:val="FFFFFF"/>
              </w:rPr>
              <w:t>YTD 2026</w:t>
            </w:r>
          </w:p>
        </w:tc>
        <w:tc>
          <w:tcPr>
            <w:tcW w:w="100" w:type="dxa"/>
            <w:vAlign w:val="bottom"/>
            <w:tcBorders>
              <w:top w:val="single" w:sz="8" w:color="4C639D"/>
            </w:tcBorders>
          </w:tcPr>
          <w:p>
            <w:pPr>
              <w:spacing w:after="0"/>
              <w:rPr>
                <w:sz w:val="14"/>
                <w:szCs w:val="14"/>
                <w:color w:val="auto"/>
              </w:rPr>
            </w:pPr>
          </w:p>
        </w:tc>
        <w:tc>
          <w:tcPr>
            <w:tcW w:w="1160" w:type="dxa"/>
            <w:vAlign w:val="bottom"/>
            <w:tcBorders>
              <w:top w:val="single" w:sz="8" w:color="4C639D"/>
            </w:tcBorders>
            <w:vMerge w:val="restart"/>
            <w:shd w:val="clear" w:color="auto" w:fill="F2F2F2"/>
          </w:tcPr>
          <w:p>
            <w:pPr>
              <w:ind w:left="260"/>
              <w:spacing w:after="0"/>
              <w:rPr>
                <w:sz w:val="20"/>
                <w:szCs w:val="20"/>
                <w:color w:val="auto"/>
              </w:rPr>
            </w:pPr>
            <w:r>
              <w:rPr>
                <w:rFonts w:ascii="Arial" w:cs="Arial" w:eastAsia="Arial" w:hAnsi="Arial"/>
                <w:sz w:val="14"/>
                <w:szCs w:val="14"/>
                <w:i w:val="1"/>
                <w:iCs w:val="1"/>
                <w:color w:val="243782"/>
              </w:rPr>
              <w:t>YTD 2025</w:t>
            </w:r>
          </w:p>
        </w:tc>
        <w:tc>
          <w:tcPr>
            <w:tcW w:w="100" w:type="dxa"/>
            <w:vAlign w:val="bottom"/>
            <w:tcBorders>
              <w:top w:val="single" w:sz="8" w:color="4C639D"/>
            </w:tcBorders>
          </w:tcPr>
          <w:p>
            <w:pPr>
              <w:spacing w:after="0"/>
              <w:rPr>
                <w:sz w:val="14"/>
                <w:szCs w:val="14"/>
                <w:color w:val="auto"/>
              </w:rPr>
            </w:pPr>
          </w:p>
        </w:tc>
        <w:tc>
          <w:tcPr>
            <w:tcW w:w="860" w:type="dxa"/>
            <w:vAlign w:val="bottom"/>
            <w:tcBorders>
              <w:top w:val="single" w:sz="8" w:color="4C639D"/>
            </w:tcBorders>
            <w:gridSpan w:val="2"/>
            <w:vMerge w:val="restart"/>
          </w:tcPr>
          <w:p>
            <w:pPr>
              <w:ind w:left="360"/>
              <w:spacing w:after="0"/>
              <w:rPr>
                <w:sz w:val="20"/>
                <w:szCs w:val="20"/>
                <w:color w:val="auto"/>
              </w:rPr>
            </w:pPr>
            <w:r>
              <w:rPr>
                <w:rFonts w:ascii="Arial" w:cs="Arial" w:eastAsia="Arial" w:hAnsi="Arial"/>
                <w:sz w:val="14"/>
                <w:szCs w:val="14"/>
                <w:i w:val="1"/>
                <w:iCs w:val="1"/>
                <w:color w:val="243782"/>
                <w:w w:val="97"/>
              </w:rPr>
              <w:t>Change</w:t>
            </w:r>
          </w:p>
        </w:tc>
        <w:tc>
          <w:tcPr>
            <w:tcW w:w="360" w:type="dxa"/>
            <w:vAlign w:val="bottom"/>
            <w:tcBorders>
              <w:top w:val="single" w:sz="8" w:color="4C639D"/>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rPr>
                <w:sz w:val="20"/>
                <w:szCs w:val="20"/>
                <w:color w:val="auto"/>
              </w:rPr>
            </w:pPr>
            <w:r>
              <w:rPr>
                <w:rFonts w:ascii="Arial" w:cs="Arial" w:eastAsia="Arial" w:hAnsi="Arial"/>
                <w:sz w:val="11"/>
                <w:szCs w:val="11"/>
                <w:color w:val="auto"/>
              </w:rPr>
              <w:t>stated</w:t>
            </w:r>
          </w:p>
        </w:tc>
        <w:tc>
          <w:tcPr>
            <w:tcW w:w="1140" w:type="dxa"/>
            <w:vAlign w:val="bottom"/>
            <w:tcBorders>
              <w:bottom w:val="single" w:sz="8" w:color="243782"/>
            </w:tcBorders>
            <w:vMerge w:val="continue"/>
            <w:shd w:val="clear" w:color="auto" w:fill="243782"/>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F2F2F2"/>
            </w:tcBorders>
            <w:vMerge w:val="continue"/>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66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rPr>
              <w:t>Shipments (000s)</w:t>
            </w:r>
          </w:p>
        </w:tc>
        <w:tc>
          <w:tcPr>
            <w:tcW w:w="1140" w:type="dxa"/>
            <w:vAlign w:val="bottom"/>
            <w:tcBorders>
              <w:top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rPr>
              <w:t>723</w:t>
            </w:r>
          </w:p>
        </w:tc>
        <w:tc>
          <w:tcPr>
            <w:tcW w:w="100" w:type="dxa"/>
            <w:vAlign w:val="bottom"/>
          </w:tcPr>
          <w:p>
            <w:pPr>
              <w:spacing w:after="0"/>
              <w:rPr>
                <w:sz w:val="24"/>
                <w:szCs w:val="24"/>
                <w:color w:val="auto"/>
              </w:rPr>
            </w:pPr>
          </w:p>
        </w:tc>
        <w:tc>
          <w:tcPr>
            <w:tcW w:w="1160" w:type="dxa"/>
            <w:vAlign w:val="bottom"/>
            <w:tcBorders>
              <w:top w:val="single" w:sz="8" w:color="4C639D"/>
            </w:tcBorders>
            <w:shd w:val="clear" w:color="auto" w:fill="F2F2F2"/>
          </w:tcPr>
          <w:p>
            <w:pPr>
              <w:jc w:val="center"/>
              <w:spacing w:after="0"/>
              <w:rPr>
                <w:sz w:val="20"/>
                <w:szCs w:val="20"/>
                <w:color w:val="auto"/>
              </w:rPr>
            </w:pPr>
            <w:r>
              <w:rPr>
                <w:rFonts w:ascii="Arial" w:cs="Arial" w:eastAsia="Arial" w:hAnsi="Arial"/>
                <w:sz w:val="13"/>
                <w:szCs w:val="13"/>
                <w:color w:val="auto"/>
                <w:w w:val="92"/>
              </w:rPr>
              <w:t>723</w:t>
            </w:r>
          </w:p>
        </w:tc>
        <w:tc>
          <w:tcPr>
            <w:tcW w:w="100" w:type="dxa"/>
            <w:vAlign w:val="bottom"/>
          </w:tcPr>
          <w:p>
            <w:pPr>
              <w:spacing w:after="0"/>
              <w:rPr>
                <w:sz w:val="24"/>
                <w:szCs w:val="24"/>
                <w:color w:val="auto"/>
              </w:rPr>
            </w:pPr>
          </w:p>
        </w:tc>
        <w:tc>
          <w:tcPr>
            <w:tcW w:w="860" w:type="dxa"/>
            <w:vAlign w:val="bottom"/>
            <w:tcBorders>
              <w:top w:val="single" w:sz="8" w:color="4C639D"/>
            </w:tcBorders>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360" w:type="dxa"/>
            <w:vAlign w:val="bottom"/>
            <w:tcBorders>
              <w:top w:val="single" w:sz="8" w:color="4C639D"/>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660" w:type="dxa"/>
            <w:vAlign w:val="bottom"/>
            <w:tcBorders>
              <w:bottom w:val="single" w:sz="8" w:color="929292"/>
            </w:tcBorders>
          </w:tcPr>
          <w:p>
            <w:pPr>
              <w:spacing w:after="0"/>
              <w:rPr>
                <w:sz w:val="24"/>
                <w:szCs w:val="24"/>
                <w:color w:val="auto"/>
              </w:rPr>
            </w:pPr>
          </w:p>
        </w:tc>
        <w:tc>
          <w:tcPr>
            <w:tcW w:w="1140" w:type="dxa"/>
            <w:vAlign w:val="bottom"/>
            <w:tcBorders>
              <w:bottom w:val="single" w:sz="8" w:color="929292"/>
            </w:tcBorders>
            <w:shd w:val="clear" w:color="auto" w:fill="243782"/>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929292"/>
            </w:tcBorders>
            <w:shd w:val="clear" w:color="auto" w:fill="F2F2F2"/>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7D7D7D"/>
            </w:tcBorders>
          </w:tcPr>
          <w:p>
            <w:pPr>
              <w:spacing w:after="0"/>
              <w:rPr>
                <w:sz w:val="24"/>
                <w:szCs w:val="24"/>
                <w:color w:val="auto"/>
              </w:rPr>
            </w:pPr>
          </w:p>
        </w:tc>
        <w:tc>
          <w:tcPr>
            <w:tcW w:w="20" w:type="dxa"/>
            <w:vAlign w:val="bottom"/>
            <w:tcBorders>
              <w:bottom w:val="single" w:sz="8" w:color="929292"/>
            </w:tcBorders>
          </w:tcPr>
          <w:p>
            <w:pPr>
              <w:spacing w:after="0"/>
              <w:rPr>
                <w:sz w:val="24"/>
                <w:szCs w:val="24"/>
                <w:color w:val="auto"/>
              </w:rPr>
            </w:pPr>
          </w:p>
        </w:tc>
        <w:tc>
          <w:tcPr>
            <w:tcW w:w="360" w:type="dxa"/>
            <w:vAlign w:val="bottom"/>
            <w:tcBorders>
              <w:bottom w:val="single" w:sz="8" w:color="929292"/>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20"/>
              <w:spacing w:after="0"/>
              <w:rPr>
                <w:sz w:val="20"/>
                <w:szCs w:val="20"/>
                <w:color w:val="auto"/>
              </w:rPr>
            </w:pPr>
            <w:r>
              <w:rPr>
                <w:rFonts w:ascii="Arial" w:cs="Arial" w:eastAsia="Arial" w:hAnsi="Arial"/>
                <w:sz w:val="13"/>
                <w:szCs w:val="13"/>
                <w:color w:val="auto"/>
              </w:rPr>
              <w:t>Net revenues</w:t>
            </w:r>
          </w:p>
        </w:tc>
        <w:tc>
          <w:tcPr>
            <w:tcW w:w="114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5"/>
              </w:rPr>
              <w:t>12,081</w:t>
            </w:r>
          </w:p>
        </w:tc>
        <w:tc>
          <w:tcPr>
            <w:tcW w:w="100" w:type="dxa"/>
            <w:vAlign w:val="bottom"/>
          </w:tcPr>
          <w:p>
            <w:pPr>
              <w:spacing w:after="0"/>
              <w:rPr>
                <w:sz w:val="18"/>
                <w:szCs w:val="18"/>
                <w:color w:val="auto"/>
              </w:rPr>
            </w:pP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5"/>
              </w:rPr>
              <w:t>11,760</w:t>
            </w:r>
          </w:p>
        </w:tc>
        <w:tc>
          <w:tcPr>
            <w:tcW w:w="940" w:type="dxa"/>
            <w:vAlign w:val="bottom"/>
            <w:gridSpan w:val="2"/>
          </w:tcPr>
          <w:p>
            <w:pPr>
              <w:jc w:val="center"/>
              <w:ind w:left="17"/>
              <w:spacing w:after="0"/>
              <w:rPr>
                <w:sz w:val="20"/>
                <w:szCs w:val="20"/>
                <w:color w:val="auto"/>
              </w:rPr>
            </w:pPr>
            <w:r>
              <w:rPr>
                <w:rFonts w:ascii="Arial" w:cs="Arial" w:eastAsia="Arial" w:hAnsi="Arial"/>
                <w:sz w:val="13"/>
                <w:szCs w:val="13"/>
                <w:color w:val="auto"/>
                <w:w w:val="95"/>
              </w:rPr>
              <w:t>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w:t>
            </w:r>
          </w:p>
        </w:tc>
        <w:tc>
          <w:tcPr>
            <w:tcW w:w="114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2"/>
              </w:rPr>
              <w:t>1,226</w:t>
            </w:r>
          </w:p>
        </w:tc>
        <w:tc>
          <w:tcPr>
            <w:tcW w:w="100" w:type="dxa"/>
            <w:vAlign w:val="bottom"/>
          </w:tcPr>
          <w:p>
            <w:pPr>
              <w:spacing w:after="0"/>
              <w:rPr>
                <w:sz w:val="18"/>
                <w:szCs w:val="18"/>
                <w:color w:val="auto"/>
              </w:rPr>
            </w:pPr>
          </w:p>
        </w:tc>
        <w:tc>
          <w:tcPr>
            <w:tcW w:w="116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8"/>
              </w:rPr>
              <w:t>1,618</w:t>
            </w:r>
          </w:p>
        </w:tc>
        <w:tc>
          <w:tcPr>
            <w:tcW w:w="100" w:type="dxa"/>
            <w:vAlign w:val="bottom"/>
          </w:tcPr>
          <w:p>
            <w:pPr>
              <w:spacing w:after="0"/>
              <w:rPr>
                <w:sz w:val="18"/>
                <w:szCs w:val="18"/>
                <w:color w:val="auto"/>
              </w:rPr>
            </w:pPr>
          </w:p>
        </w:tc>
        <w:tc>
          <w:tcPr>
            <w:tcW w:w="840" w:type="dxa"/>
            <w:vAlign w:val="bottom"/>
            <w:tcBorders>
              <w:top w:val="single" w:sz="8" w:color="7D7D7D"/>
            </w:tcBorders>
          </w:tcPr>
          <w:p>
            <w:pPr>
              <w:jc w:val="center"/>
              <w:spacing w:after="0"/>
              <w:rPr>
                <w:sz w:val="20"/>
                <w:szCs w:val="20"/>
                <w:color w:val="auto"/>
              </w:rPr>
            </w:pPr>
            <w:r>
              <w:rPr>
                <w:rFonts w:ascii="Arial" w:cs="Arial" w:eastAsia="Arial" w:hAnsi="Arial"/>
                <w:sz w:val="13"/>
                <w:szCs w:val="13"/>
                <w:color w:val="auto"/>
                <w:w w:val="97"/>
              </w:rPr>
              <w:t>(24)%</w:t>
            </w:r>
          </w:p>
        </w:tc>
        <w:tc>
          <w:tcPr>
            <w:tcW w:w="20" w:type="dxa"/>
            <w:vAlign w:val="bottom"/>
            <w:tcBorders>
              <w:top w:val="single" w:sz="8" w:color="929292"/>
            </w:tcBorders>
          </w:tcPr>
          <w:p>
            <w:pPr>
              <w:spacing w:after="0"/>
              <w:rPr>
                <w:sz w:val="18"/>
                <w:szCs w:val="18"/>
                <w:color w:val="auto"/>
              </w:rPr>
            </w:pPr>
          </w:p>
        </w:tc>
        <w:tc>
          <w:tcPr>
            <w:tcW w:w="360" w:type="dxa"/>
            <w:vAlign w:val="bottom"/>
            <w:tcBorders>
              <w:top w:val="single" w:sz="8" w:color="929292"/>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660" w:type="dxa"/>
            <w:vAlign w:val="bottom"/>
            <w:tcBorders>
              <w:top w:val="single" w:sz="8" w:color="929292"/>
            </w:tcBorders>
          </w:tcPr>
          <w:p>
            <w:pPr>
              <w:ind w:left="20"/>
              <w:spacing w:after="0"/>
              <w:rPr>
                <w:sz w:val="20"/>
                <w:szCs w:val="20"/>
                <w:color w:val="auto"/>
              </w:rPr>
            </w:pPr>
            <w:r>
              <w:rPr>
                <w:rFonts w:ascii="Arial" w:cs="Arial" w:eastAsia="Arial" w:hAnsi="Arial"/>
                <w:sz w:val="13"/>
                <w:szCs w:val="13"/>
                <w:color w:val="auto"/>
              </w:rPr>
              <w:t>AOI margin</w:t>
            </w:r>
          </w:p>
        </w:tc>
        <w:tc>
          <w:tcPr>
            <w:tcW w:w="114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7"/>
              </w:rPr>
              <w:t>10.1%</w:t>
            </w:r>
          </w:p>
        </w:tc>
        <w:tc>
          <w:tcPr>
            <w:tcW w:w="100" w:type="dxa"/>
            <w:vAlign w:val="bottom"/>
          </w:tcPr>
          <w:p>
            <w:pPr>
              <w:spacing w:after="0"/>
              <w:rPr>
                <w:sz w:val="16"/>
                <w:szCs w:val="16"/>
                <w:color w:val="auto"/>
              </w:rPr>
            </w:pPr>
          </w:p>
        </w:tc>
        <w:tc>
          <w:tcPr>
            <w:tcW w:w="116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7"/>
              </w:rPr>
              <w:t>13.8%</w:t>
            </w:r>
          </w:p>
        </w:tc>
        <w:tc>
          <w:tcPr>
            <w:tcW w:w="100" w:type="dxa"/>
            <w:vAlign w:val="bottom"/>
          </w:tcPr>
          <w:p>
            <w:pPr>
              <w:spacing w:after="0"/>
              <w:rPr>
                <w:sz w:val="16"/>
                <w:szCs w:val="16"/>
                <w:color w:val="auto"/>
              </w:rPr>
            </w:pPr>
          </w:p>
        </w:tc>
        <w:tc>
          <w:tcPr>
            <w:tcW w:w="840" w:type="dxa"/>
            <w:vAlign w:val="bottom"/>
            <w:tcBorders>
              <w:top w:val="single" w:sz="8" w:color="929292"/>
            </w:tcBorders>
          </w:tcPr>
          <w:p>
            <w:pPr>
              <w:jc w:val="center"/>
              <w:spacing w:after="0"/>
              <w:rPr>
                <w:sz w:val="20"/>
                <w:szCs w:val="20"/>
                <w:color w:val="auto"/>
              </w:rPr>
            </w:pPr>
            <w:r>
              <w:rPr>
                <w:rFonts w:ascii="Arial" w:cs="Arial" w:eastAsia="Arial" w:hAnsi="Arial"/>
                <w:sz w:val="13"/>
                <w:szCs w:val="13"/>
                <w:color w:val="auto"/>
                <w:w w:val="98"/>
              </w:rPr>
              <w:t>(370)</w:t>
            </w:r>
          </w:p>
        </w:tc>
        <w:tc>
          <w:tcPr>
            <w:tcW w:w="20" w:type="dxa"/>
            <w:vAlign w:val="bottom"/>
            <w:tcBorders>
              <w:top w:val="single" w:sz="8" w:color="929292"/>
            </w:tcBorders>
          </w:tcPr>
          <w:p>
            <w:pPr>
              <w:spacing w:after="0"/>
              <w:rPr>
                <w:sz w:val="16"/>
                <w:szCs w:val="16"/>
                <w:color w:val="auto"/>
              </w:rPr>
            </w:pPr>
          </w:p>
        </w:tc>
        <w:tc>
          <w:tcPr>
            <w:tcW w:w="360" w:type="dxa"/>
            <w:vAlign w:val="bottom"/>
            <w:tcBorders>
              <w:top w:val="single" w:sz="8" w:color="929292"/>
            </w:tcBorders>
          </w:tcPr>
          <w:p>
            <w:pPr>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660" w:type="dxa"/>
            <w:vAlign w:val="bottom"/>
            <w:shd w:val="clear" w:color="auto" w:fill="4C639D"/>
          </w:tcPr>
          <w:p>
            <w:pPr>
              <w:spacing w:after="0" w:line="20" w:lineRule="exact"/>
              <w:rPr>
                <w:sz w:val="1"/>
                <w:szCs w:val="1"/>
                <w:color w:val="auto"/>
              </w:rPr>
            </w:pPr>
          </w:p>
        </w:tc>
        <w:tc>
          <w:tcPr>
            <w:tcW w:w="114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1160" w:type="dxa"/>
            <w:vAlign w:val="bottom"/>
            <w:shd w:val="clear" w:color="auto" w:fill="4C639D"/>
          </w:tcPr>
          <w:p>
            <w:pPr>
              <w:spacing w:after="0" w:line="20" w:lineRule="exact"/>
              <w:rPr>
                <w:sz w:val="1"/>
                <w:szCs w:val="1"/>
                <w:color w:val="auto"/>
              </w:rPr>
            </w:pPr>
          </w:p>
        </w:tc>
        <w:tc>
          <w:tcPr>
            <w:tcW w:w="100" w:type="dxa"/>
            <w:vAlign w:val="bottom"/>
            <w:shd w:val="clear" w:color="auto" w:fill="4C639D"/>
          </w:tcPr>
          <w:p>
            <w:pPr>
              <w:spacing w:after="0" w:line="20" w:lineRule="exact"/>
              <w:rPr>
                <w:sz w:val="1"/>
                <w:szCs w:val="1"/>
                <w:color w:val="auto"/>
              </w:rPr>
            </w:pPr>
          </w:p>
        </w:tc>
        <w:tc>
          <w:tcPr>
            <w:tcW w:w="840" w:type="dxa"/>
            <w:vAlign w:val="bottom"/>
            <w:shd w:val="clear" w:color="auto" w:fill="4C639D"/>
          </w:tcPr>
          <w:p>
            <w:pPr>
              <w:spacing w:after="0" w:line="20" w:lineRule="exact"/>
              <w:rPr>
                <w:sz w:val="1"/>
                <w:szCs w:val="1"/>
                <w:color w:val="auto"/>
              </w:rPr>
            </w:pPr>
          </w:p>
        </w:tc>
        <w:tc>
          <w:tcPr>
            <w:tcW w:w="20" w:type="dxa"/>
            <w:vAlign w:val="bottom"/>
            <w:shd w:val="clear" w:color="auto" w:fill="4C639D"/>
          </w:tcPr>
          <w:p>
            <w:pPr>
              <w:spacing w:after="0" w:line="20" w:lineRule="exact"/>
              <w:rPr>
                <w:sz w:val="1"/>
                <w:szCs w:val="1"/>
                <w:color w:val="auto"/>
              </w:rPr>
            </w:pPr>
          </w:p>
        </w:tc>
        <w:tc>
          <w:tcPr>
            <w:tcW w:w="36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-976630</wp:posOffset>
            </wp:positionV>
            <wp:extent cx="728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60"/>
            <w:col w:w="5380"/>
          </w:cols>
          <w:pgMar w:left="320" w:top="1440" w:right="3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20"/>
          <w:szCs w:val="20"/>
          <w:color w:val="243782"/>
        </w:rPr>
        <w:t>ASIA PACIFIC</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Borders>
              <w:top w:val="single" w:sz="8" w:color="4C639D"/>
            </w:tcBorders>
            <w:gridSpan w:val="3"/>
          </w:tcPr>
          <w:p>
            <w:pPr>
              <w:ind w:left="20"/>
              <w:spacing w:after="0"/>
              <w:rPr>
                <w:sz w:val="20"/>
                <w:szCs w:val="20"/>
                <w:color w:val="auto"/>
              </w:rPr>
            </w:pPr>
            <w:r>
              <w:rPr>
                <w:rFonts w:ascii="Arial" w:cs="Arial" w:eastAsia="Arial" w:hAnsi="Arial"/>
                <w:sz w:val="11"/>
                <w:szCs w:val="11"/>
                <w:color w:val="auto"/>
              </w:rPr>
              <w:t>€ million, except as otherwise</w:t>
            </w:r>
          </w:p>
        </w:tc>
        <w:tc>
          <w:tcPr>
            <w:tcW w:w="1180" w:type="dxa"/>
            <w:vAlign w:val="bottom"/>
            <w:tcBorders>
              <w:top w:val="single" w:sz="8" w:color="4C639D"/>
            </w:tcBorders>
            <w:vMerge w:val="restart"/>
            <w:shd w:val="clear" w:color="auto" w:fill="243782"/>
          </w:tcPr>
          <w:p>
            <w:pPr>
              <w:ind w:left="280"/>
              <w:spacing w:after="0"/>
              <w:rPr>
                <w:sz w:val="20"/>
                <w:szCs w:val="20"/>
                <w:color w:val="auto"/>
              </w:rPr>
            </w:pPr>
            <w:r>
              <w:rPr>
                <w:rFonts w:ascii="Arial" w:cs="Arial" w:eastAsia="Arial" w:hAnsi="Arial"/>
                <w:sz w:val="14"/>
                <w:szCs w:val="14"/>
                <w:i w:val="1"/>
                <w:iCs w:val="1"/>
                <w:color w:val="FFFFFF"/>
              </w:rPr>
              <w:t>YTD 2026</w:t>
            </w:r>
          </w:p>
        </w:tc>
        <w:tc>
          <w:tcPr>
            <w:tcW w:w="120" w:type="dxa"/>
            <w:vAlign w:val="bottom"/>
            <w:tcBorders>
              <w:top w:val="single" w:sz="8" w:color="4C639D"/>
            </w:tcBorders>
          </w:tcPr>
          <w:p>
            <w:pPr>
              <w:spacing w:after="0"/>
              <w:rPr>
                <w:sz w:val="14"/>
                <w:szCs w:val="14"/>
                <w:color w:val="auto"/>
              </w:rPr>
            </w:pPr>
          </w:p>
        </w:tc>
        <w:tc>
          <w:tcPr>
            <w:tcW w:w="1200" w:type="dxa"/>
            <w:vAlign w:val="bottom"/>
            <w:tcBorders>
              <w:top w:val="single" w:sz="8" w:color="4C639D"/>
            </w:tcBorders>
            <w:vMerge w:val="restart"/>
            <w:shd w:val="clear" w:color="auto" w:fill="F2F2F2"/>
          </w:tcPr>
          <w:p>
            <w:pPr>
              <w:ind w:left="280"/>
              <w:spacing w:after="0"/>
              <w:rPr>
                <w:sz w:val="20"/>
                <w:szCs w:val="20"/>
                <w:color w:val="auto"/>
              </w:rPr>
            </w:pPr>
            <w:r>
              <w:rPr>
                <w:rFonts w:ascii="Arial" w:cs="Arial" w:eastAsia="Arial" w:hAnsi="Arial"/>
                <w:sz w:val="14"/>
                <w:szCs w:val="14"/>
                <w:i w:val="1"/>
                <w:iCs w:val="1"/>
                <w:color w:val="243782"/>
              </w:rPr>
              <w:t>YTD 2025</w:t>
            </w:r>
          </w:p>
        </w:tc>
        <w:tc>
          <w:tcPr>
            <w:tcW w:w="120" w:type="dxa"/>
            <w:vAlign w:val="bottom"/>
            <w:tcBorders>
              <w:top w:val="single" w:sz="8" w:color="4C639D"/>
            </w:tcBorders>
          </w:tcPr>
          <w:p>
            <w:pPr>
              <w:spacing w:after="0"/>
              <w:rPr>
                <w:sz w:val="14"/>
                <w:szCs w:val="14"/>
                <w:color w:val="auto"/>
              </w:rPr>
            </w:pPr>
          </w:p>
        </w:tc>
        <w:tc>
          <w:tcPr>
            <w:tcW w:w="1200" w:type="dxa"/>
            <w:vAlign w:val="bottom"/>
            <w:tcBorders>
              <w:top w:val="single" w:sz="8" w:color="4C639D"/>
            </w:tcBorders>
            <w:gridSpan w:val="2"/>
            <w:vMerge w:val="restart"/>
          </w:tcPr>
          <w:p>
            <w:pPr>
              <w:ind w:left="360"/>
              <w:spacing w:after="0"/>
              <w:rPr>
                <w:sz w:val="20"/>
                <w:szCs w:val="20"/>
                <w:color w:val="auto"/>
              </w:rPr>
            </w:pPr>
            <w:r>
              <w:rPr>
                <w:rFonts w:ascii="Arial" w:cs="Arial" w:eastAsia="Arial" w:hAnsi="Arial"/>
                <w:sz w:val="14"/>
                <w:szCs w:val="14"/>
                <w:i w:val="1"/>
                <w:iCs w:val="1"/>
                <w:color w:val="243782"/>
              </w:rPr>
              <w:t>Change</w:t>
            </w:r>
          </w:p>
        </w:tc>
        <w:tc>
          <w:tcPr>
            <w:tcW w:w="0" w:type="dxa"/>
            <w:vAlign w:val="bottom"/>
          </w:tcPr>
          <w:p>
            <w:pPr>
              <w:spacing w:after="0"/>
              <w:rPr>
                <w:sz w:val="1"/>
                <w:szCs w:val="1"/>
                <w:color w:val="auto"/>
              </w:rPr>
            </w:pPr>
          </w:p>
        </w:tc>
      </w:tr>
      <w:tr>
        <w:trPr>
          <w:trHeight w:val="175"/>
        </w:trPr>
        <w:tc>
          <w:tcPr>
            <w:tcW w:w="1620" w:type="dxa"/>
            <w:vAlign w:val="bottom"/>
            <w:gridSpan w:val="3"/>
          </w:tcPr>
          <w:p>
            <w:pPr>
              <w:ind w:left="20"/>
              <w:spacing w:after="0"/>
              <w:rPr>
                <w:sz w:val="20"/>
                <w:szCs w:val="20"/>
                <w:color w:val="auto"/>
              </w:rPr>
            </w:pPr>
            <w:r>
              <w:rPr>
                <w:rFonts w:ascii="Arial" w:cs="Arial" w:eastAsia="Arial" w:hAnsi="Arial"/>
                <w:sz w:val="11"/>
                <w:szCs w:val="11"/>
                <w:color w:val="auto"/>
              </w:rPr>
              <w:t>stated</w:t>
            </w:r>
          </w:p>
        </w:tc>
        <w:tc>
          <w:tcPr>
            <w:tcW w:w="1180" w:type="dxa"/>
            <w:vAlign w:val="bottom"/>
            <w:tcBorders>
              <w:bottom w:val="single" w:sz="8" w:color="243782"/>
            </w:tcBorders>
            <w:vMerge w:val="continue"/>
            <w:shd w:val="clear" w:color="auto" w:fill="243782"/>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F2F2F2"/>
            </w:tcBorders>
            <w:vMerge w:val="continue"/>
            <w:shd w:val="clear" w:color="auto" w:fill="F2F2F2"/>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200" w:type="dxa"/>
            <w:vAlign w:val="bottom"/>
            <w:tcBorders>
              <w:top w:val="single" w:sz="8" w:color="7D7D7D"/>
            </w:tcBorders>
          </w:tcPr>
          <w:p>
            <w:pPr>
              <w:ind w:left="20"/>
              <w:spacing w:after="0"/>
              <w:rPr>
                <w:sz w:val="20"/>
                <w:szCs w:val="20"/>
                <w:color w:val="auto"/>
              </w:rPr>
            </w:pPr>
            <w:r>
              <w:rPr>
                <w:rFonts w:ascii="Arial" w:cs="Arial" w:eastAsia="Arial" w:hAnsi="Arial"/>
                <w:sz w:val="13"/>
                <w:szCs w:val="13"/>
                <w:color w:val="auto"/>
                <w:w w:val="94"/>
              </w:rPr>
              <w:t>Combined shipments</w:t>
            </w:r>
          </w:p>
        </w:tc>
        <w:tc>
          <w:tcPr>
            <w:tcW w:w="80" w:type="dxa"/>
            <w:vAlign w:val="bottom"/>
            <w:tcBorders>
              <w:top w:val="single" w:sz="8" w:color="7D7D7D"/>
            </w:tcBorders>
          </w:tcPr>
          <w:p>
            <w:pPr>
              <w:jc w:val="right"/>
              <w:spacing w:after="0"/>
              <w:rPr>
                <w:sz w:val="20"/>
                <w:szCs w:val="20"/>
                <w:color w:val="auto"/>
              </w:rPr>
            </w:pPr>
            <w:r>
              <w:rPr>
                <w:rFonts w:ascii="Arial" w:cs="Arial" w:eastAsia="Arial" w:hAnsi="Arial"/>
                <w:sz w:val="8"/>
                <w:szCs w:val="8"/>
                <w:color w:val="auto"/>
                <w:strike w:val="1"/>
                <w:w w:val="83"/>
              </w:rPr>
              <w:t>(6</w:t>
            </w:r>
          </w:p>
        </w:tc>
        <w:tc>
          <w:tcPr>
            <w:tcW w:w="340" w:type="dxa"/>
            <w:vAlign w:val="bottom"/>
            <w:tcBorders>
              <w:top w:val="single" w:sz="8" w:color="7D7D7D"/>
            </w:tcBorders>
          </w:tcPr>
          <w:p>
            <w:pPr>
              <w:jc w:val="right"/>
              <w:ind w:right="315"/>
              <w:spacing w:after="0"/>
              <w:rPr>
                <w:sz w:val="20"/>
                <w:szCs w:val="20"/>
                <w:color w:val="auto"/>
              </w:rPr>
            </w:pPr>
            <w:r>
              <w:rPr>
                <w:rFonts w:ascii="Arial" w:cs="Arial" w:eastAsia="Arial" w:hAnsi="Arial"/>
                <w:sz w:val="1"/>
                <w:szCs w:val="1"/>
                <w:color w:val="auto"/>
                <w:w w:val="4294967281"/>
              </w:rPr>
              <w:t>)</w:t>
            </w:r>
          </w:p>
        </w:tc>
        <w:tc>
          <w:tcPr>
            <w:tcW w:w="1180" w:type="dxa"/>
            <w:vAlign w:val="bottom"/>
            <w:tcBorders>
              <w:top w:val="single" w:sz="8" w:color="4C639D"/>
            </w:tcBorders>
            <w:shd w:val="clear" w:color="auto" w:fill="243782"/>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4C639D"/>
            </w:tcBorders>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4C639D"/>
            </w:tcBorders>
          </w:tcPr>
          <w:p>
            <w:pPr>
              <w:spacing w:after="0"/>
              <w:rPr>
                <w:sz w:val="14"/>
                <w:szCs w:val="14"/>
                <w:color w:val="auto"/>
              </w:rPr>
            </w:pPr>
          </w:p>
        </w:tc>
        <w:tc>
          <w:tcPr>
            <w:tcW w:w="500" w:type="dxa"/>
            <w:vAlign w:val="bottom"/>
            <w:tcBorders>
              <w:top w:val="single" w:sz="8" w:color="4C639D"/>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20" w:type="dxa"/>
            <w:vAlign w:val="bottom"/>
            <w:gridSpan w:val="3"/>
          </w:tcPr>
          <w:p>
            <w:pPr>
              <w:ind w:left="20"/>
              <w:spacing w:after="0"/>
              <w:rPr>
                <w:sz w:val="20"/>
                <w:szCs w:val="20"/>
                <w:color w:val="auto"/>
              </w:rPr>
            </w:pPr>
            <w:r>
              <w:rPr>
                <w:rFonts w:ascii="Arial" w:cs="Arial" w:eastAsia="Arial" w:hAnsi="Arial"/>
                <w:sz w:val="13"/>
                <w:szCs w:val="13"/>
                <w:color w:val="auto"/>
              </w:rPr>
              <w:t>(000s)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47</w:t>
            </w:r>
          </w:p>
        </w:tc>
        <w:tc>
          <w:tcPr>
            <w:tcW w:w="120" w:type="dxa"/>
            <w:vAlign w:val="bottom"/>
          </w:tcPr>
          <w:p>
            <w:pPr>
              <w:spacing w:after="0"/>
              <w:rPr>
                <w:sz w:val="16"/>
                <w:szCs w:val="16"/>
                <w:color w:val="auto"/>
              </w:rPr>
            </w:pP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6"/>
              </w:rPr>
              <w:t>45</w:t>
            </w:r>
          </w:p>
        </w:tc>
        <w:tc>
          <w:tcPr>
            <w:tcW w:w="820" w:type="dxa"/>
            <w:vAlign w:val="bottom"/>
            <w:gridSpan w:val="2"/>
          </w:tcPr>
          <w:p>
            <w:pPr>
              <w:jc w:val="center"/>
              <w:ind w:left="197"/>
              <w:spacing w:after="0"/>
              <w:rPr>
                <w:sz w:val="20"/>
                <w:szCs w:val="20"/>
                <w:color w:val="auto"/>
              </w:rPr>
            </w:pPr>
            <w:r>
              <w:rPr>
                <w:rFonts w:ascii="Arial" w:cs="Arial" w:eastAsia="Arial" w:hAnsi="Arial"/>
                <w:sz w:val="13"/>
                <w:szCs w:val="13"/>
                <w:color w:val="auto"/>
              </w:rPr>
              <w:t>+2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20" w:type="dxa"/>
            <w:vAlign w:val="bottom"/>
            <w:tcBorders>
              <w:top w:val="single" w:sz="8" w:color="929292"/>
            </w:tcBorders>
            <w:gridSpan w:val="3"/>
          </w:tcPr>
          <w:p>
            <w:pPr>
              <w:ind w:left="20"/>
              <w:spacing w:after="0" w:line="165" w:lineRule="exact"/>
              <w:rPr>
                <w:sz w:val="20"/>
                <w:szCs w:val="20"/>
                <w:color w:val="auto"/>
              </w:rPr>
            </w:pPr>
            <w:r>
              <w:rPr>
                <w:rFonts w:ascii="Arial" w:cs="Arial" w:eastAsia="Arial" w:hAnsi="Arial"/>
                <w:sz w:val="13"/>
                <w:szCs w:val="13"/>
                <w:color w:val="auto"/>
              </w:rPr>
              <w:t>Consolidated shipments</w:t>
            </w:r>
            <w:r>
              <w:rPr>
                <w:rFonts w:ascii="Arial" w:cs="Arial" w:eastAsia="Arial" w:hAnsi="Arial"/>
                <w:sz w:val="16"/>
                <w:szCs w:val="16"/>
                <w:color w:val="auto"/>
                <w:vertAlign w:val="superscript"/>
              </w:rPr>
              <w:t>(6)</w:t>
            </w:r>
          </w:p>
        </w:tc>
        <w:tc>
          <w:tcPr>
            <w:tcW w:w="1180" w:type="dxa"/>
            <w:vAlign w:val="bottom"/>
            <w:tcBorders>
              <w:top w:val="single" w:sz="8" w:color="7D7D7D"/>
            </w:tcBorders>
            <w:shd w:val="clear" w:color="auto" w:fill="243782"/>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7D7D7D"/>
            </w:tcBorders>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7D7D7D"/>
            </w:tcBorders>
          </w:tcPr>
          <w:p>
            <w:pPr>
              <w:spacing w:after="0"/>
              <w:rPr>
                <w:sz w:val="14"/>
                <w:szCs w:val="14"/>
                <w:color w:val="auto"/>
              </w:rPr>
            </w:pPr>
          </w:p>
        </w:tc>
        <w:tc>
          <w:tcPr>
            <w:tcW w:w="500" w:type="dxa"/>
            <w:vAlign w:val="bottom"/>
            <w:tcBorders>
              <w:top w:val="single" w:sz="8" w:color="7D7D7D"/>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20" w:type="dxa"/>
            <w:vAlign w:val="bottom"/>
            <w:gridSpan w:val="3"/>
          </w:tcPr>
          <w:p>
            <w:pPr>
              <w:ind w:left="20"/>
              <w:spacing w:after="0"/>
              <w:rPr>
                <w:sz w:val="20"/>
                <w:szCs w:val="20"/>
                <w:color w:val="auto"/>
              </w:rPr>
            </w:pPr>
            <w:r>
              <w:rPr>
                <w:rFonts w:ascii="Arial" w:cs="Arial" w:eastAsia="Arial" w:hAnsi="Arial"/>
                <w:sz w:val="13"/>
                <w:szCs w:val="13"/>
                <w:color w:val="auto"/>
              </w:rPr>
              <w:t>(000s)</w:t>
            </w:r>
          </w:p>
        </w:tc>
        <w:tc>
          <w:tcPr>
            <w:tcW w:w="1180" w:type="dxa"/>
            <w:vAlign w:val="bottom"/>
            <w:tcBorders>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46</w:t>
            </w:r>
          </w:p>
        </w:tc>
        <w:tc>
          <w:tcPr>
            <w:tcW w:w="120" w:type="dxa"/>
            <w:vAlign w:val="bottom"/>
          </w:tcPr>
          <w:p>
            <w:pPr>
              <w:spacing w:after="0"/>
              <w:rPr>
                <w:sz w:val="16"/>
                <w:szCs w:val="16"/>
                <w:color w:val="auto"/>
              </w:rPr>
            </w:pP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6"/>
              </w:rPr>
              <w:t>45</w:t>
            </w:r>
          </w:p>
        </w:tc>
        <w:tc>
          <w:tcPr>
            <w:tcW w:w="820" w:type="dxa"/>
            <w:vAlign w:val="bottom"/>
            <w:gridSpan w:val="2"/>
          </w:tcPr>
          <w:p>
            <w:pPr>
              <w:jc w:val="center"/>
              <w:ind w:left="197"/>
              <w:spacing w:after="0"/>
              <w:rPr>
                <w:sz w:val="20"/>
                <w:szCs w:val="20"/>
                <w:color w:val="auto"/>
              </w:rPr>
            </w:pPr>
            <w:r>
              <w:rPr>
                <w:rFonts w:ascii="Arial" w:cs="Arial" w:eastAsia="Arial" w:hAnsi="Arial"/>
                <w:sz w:val="13"/>
                <w:szCs w:val="13"/>
                <w:color w:val="auto"/>
              </w:rPr>
              <w:t>+1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20" w:type="dxa"/>
            <w:vAlign w:val="bottom"/>
            <w:gridSpan w:val="3"/>
          </w:tcPr>
          <w:p>
            <w:pPr>
              <w:ind w:left="20"/>
              <w:spacing w:after="0"/>
              <w:rPr>
                <w:sz w:val="20"/>
                <w:szCs w:val="20"/>
                <w:color w:val="auto"/>
              </w:rPr>
            </w:pPr>
            <w:r>
              <w:rPr>
                <w:rFonts w:ascii="Arial" w:cs="Arial" w:eastAsia="Arial" w:hAnsi="Arial"/>
                <w:sz w:val="13"/>
                <w:szCs w:val="13"/>
                <w:color w:val="auto"/>
              </w:rPr>
              <w:t>Net revenues</w:t>
            </w:r>
          </w:p>
        </w:tc>
        <w:tc>
          <w:tcPr>
            <w:tcW w:w="1180" w:type="dxa"/>
            <w:vAlign w:val="bottom"/>
            <w:tcBorders>
              <w:top w:val="single" w:sz="8" w:color="7D7D7D"/>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8"/>
              </w:rPr>
              <w:t>1,379</w:t>
            </w:r>
          </w:p>
        </w:tc>
        <w:tc>
          <w:tcPr>
            <w:tcW w:w="12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8"/>
              </w:rPr>
              <w:t>1,486</w:t>
            </w:r>
          </w:p>
        </w:tc>
        <w:tc>
          <w:tcPr>
            <w:tcW w:w="120" w:type="dxa"/>
            <w:vAlign w:val="bottom"/>
          </w:tcPr>
          <w:p>
            <w:pPr>
              <w:spacing w:after="0"/>
              <w:rPr>
                <w:sz w:val="18"/>
                <w:szCs w:val="18"/>
                <w:color w:val="auto"/>
              </w:rPr>
            </w:pPr>
          </w:p>
        </w:tc>
        <w:tc>
          <w:tcPr>
            <w:tcW w:w="700" w:type="dxa"/>
            <w:vAlign w:val="bottom"/>
            <w:tcBorders>
              <w:top w:val="single" w:sz="8" w:color="7D7D7D"/>
            </w:tcBorders>
          </w:tcPr>
          <w:p>
            <w:pPr>
              <w:jc w:val="center"/>
              <w:ind w:left="75"/>
              <w:spacing w:after="0"/>
              <w:rPr>
                <w:sz w:val="20"/>
                <w:szCs w:val="20"/>
                <w:color w:val="auto"/>
              </w:rPr>
            </w:pPr>
            <w:r>
              <w:rPr>
                <w:rFonts w:ascii="Arial" w:cs="Arial" w:eastAsia="Arial" w:hAnsi="Arial"/>
                <w:sz w:val="13"/>
                <w:szCs w:val="13"/>
                <w:color w:val="auto"/>
              </w:rPr>
              <w:t>(7)%</w:t>
            </w:r>
          </w:p>
        </w:tc>
        <w:tc>
          <w:tcPr>
            <w:tcW w:w="500" w:type="dxa"/>
            <w:vAlign w:val="bottom"/>
            <w:tcBorders>
              <w:top w:val="single" w:sz="8" w:color="7D7D7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929292"/>
            </w:tcBorders>
            <w:gridSpan w:val="3"/>
          </w:tcPr>
          <w:p>
            <w:pPr>
              <w:ind w:left="20"/>
              <w:spacing w:after="0"/>
              <w:rPr>
                <w:sz w:val="20"/>
                <w:szCs w:val="20"/>
                <w:color w:val="auto"/>
              </w:rPr>
            </w:pPr>
            <w:r>
              <w:rPr>
                <w:rFonts w:ascii="Arial" w:cs="Arial" w:eastAsia="Arial" w:hAnsi="Arial"/>
                <w:sz w:val="13"/>
                <w:szCs w:val="13"/>
                <w:color w:val="auto"/>
              </w:rPr>
              <w:t>AOI</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6"/>
              </w:rPr>
              <w:t>15</w:t>
            </w:r>
          </w:p>
        </w:tc>
        <w:tc>
          <w:tcPr>
            <w:tcW w:w="120" w:type="dxa"/>
            <w:vAlign w:val="bottom"/>
          </w:tcPr>
          <w:p>
            <w:pPr>
              <w:spacing w:after="0"/>
              <w:rPr>
                <w:sz w:val="18"/>
                <w:szCs w:val="18"/>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700" w:type="dxa"/>
            <w:vAlign w:val="bottom"/>
            <w:tcBorders>
              <w:top w:val="single" w:sz="8" w:color="7D7D7D"/>
            </w:tcBorders>
          </w:tcPr>
          <w:p>
            <w:pPr>
              <w:ind w:left="300"/>
              <w:spacing w:after="0"/>
              <w:rPr>
                <w:sz w:val="20"/>
                <w:szCs w:val="20"/>
                <w:color w:val="auto"/>
              </w:rPr>
            </w:pPr>
            <w:r>
              <w:rPr>
                <w:rFonts w:ascii="Arial" w:cs="Arial" w:eastAsia="Arial" w:hAnsi="Arial"/>
                <w:sz w:val="13"/>
                <w:szCs w:val="13"/>
                <w:color w:val="auto"/>
              </w:rPr>
              <w:t>n.m.</w:t>
            </w:r>
          </w:p>
        </w:tc>
        <w:tc>
          <w:tcPr>
            <w:tcW w:w="500" w:type="dxa"/>
            <w:vAlign w:val="bottom"/>
            <w:tcBorders>
              <w:top w:val="single" w:sz="8" w:color="7D7D7D"/>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20" w:type="dxa"/>
            <w:vAlign w:val="bottom"/>
            <w:tcBorders>
              <w:top w:val="single" w:sz="8" w:color="929292"/>
            </w:tcBorders>
            <w:gridSpan w:val="3"/>
          </w:tcPr>
          <w:p>
            <w:pPr>
              <w:ind w:left="20"/>
              <w:spacing w:after="0"/>
              <w:rPr>
                <w:sz w:val="20"/>
                <w:szCs w:val="20"/>
                <w:color w:val="auto"/>
              </w:rPr>
            </w:pPr>
            <w:r>
              <w:rPr>
                <w:rFonts w:ascii="Arial" w:cs="Arial" w:eastAsia="Arial" w:hAnsi="Arial"/>
                <w:sz w:val="13"/>
                <w:szCs w:val="13"/>
                <w:color w:val="auto"/>
              </w:rPr>
              <w:t>AOI margin</w:t>
            </w:r>
          </w:p>
        </w:tc>
        <w:tc>
          <w:tcPr>
            <w:tcW w:w="1180" w:type="dxa"/>
            <w:vAlign w:val="bottom"/>
            <w:tcBorders>
              <w:top w:val="single" w:sz="8" w:color="929292"/>
              <w:bottom w:val="single" w:sz="8" w:color="243782"/>
            </w:tcBorders>
            <w:shd w:val="clear" w:color="auto" w:fill="243782"/>
          </w:tcPr>
          <w:p>
            <w:pPr>
              <w:jc w:val="center"/>
              <w:spacing w:after="0"/>
              <w:rPr>
                <w:sz w:val="20"/>
                <w:szCs w:val="20"/>
                <w:color w:val="auto"/>
              </w:rPr>
            </w:pPr>
            <w:r>
              <w:rPr>
                <w:rFonts w:ascii="Arial" w:cs="Arial" w:eastAsia="Arial" w:hAnsi="Arial"/>
                <w:sz w:val="13"/>
                <w:szCs w:val="13"/>
                <w:color w:val="FFFFFF"/>
                <w:w w:val="94"/>
              </w:rPr>
              <w:t>1.1%</w:t>
            </w:r>
          </w:p>
        </w:tc>
        <w:tc>
          <w:tcPr>
            <w:tcW w:w="120" w:type="dxa"/>
            <w:vAlign w:val="bottom"/>
          </w:tcPr>
          <w:p>
            <w:pPr>
              <w:spacing w:after="0"/>
              <w:rPr>
                <w:sz w:val="16"/>
                <w:szCs w:val="16"/>
                <w:color w:val="auto"/>
              </w:rPr>
            </w:pPr>
          </w:p>
        </w:tc>
        <w:tc>
          <w:tcPr>
            <w:tcW w:w="1200" w:type="dxa"/>
            <w:vAlign w:val="bottom"/>
            <w:tcBorders>
              <w:top w:val="single" w:sz="8" w:color="929292"/>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9"/>
              </w:rPr>
              <w:t>(0.3)%</w:t>
            </w:r>
          </w:p>
        </w:tc>
        <w:tc>
          <w:tcPr>
            <w:tcW w:w="120" w:type="dxa"/>
            <w:vAlign w:val="bottom"/>
          </w:tcPr>
          <w:p>
            <w:pPr>
              <w:spacing w:after="0"/>
              <w:rPr>
                <w:sz w:val="16"/>
                <w:szCs w:val="16"/>
                <w:color w:val="auto"/>
              </w:rPr>
            </w:pPr>
          </w:p>
        </w:tc>
        <w:tc>
          <w:tcPr>
            <w:tcW w:w="700" w:type="dxa"/>
            <w:vAlign w:val="bottom"/>
            <w:tcBorders>
              <w:top w:val="single" w:sz="8" w:color="929292"/>
            </w:tcBorders>
          </w:tcPr>
          <w:p>
            <w:pPr>
              <w:jc w:val="center"/>
              <w:ind w:left="75"/>
              <w:spacing w:after="0"/>
              <w:rPr>
                <w:sz w:val="20"/>
                <w:szCs w:val="20"/>
                <w:color w:val="auto"/>
              </w:rPr>
            </w:pPr>
            <w:r>
              <w:rPr>
                <w:rFonts w:ascii="Arial" w:cs="Arial" w:eastAsia="Arial" w:hAnsi="Arial"/>
                <w:sz w:val="13"/>
                <w:szCs w:val="13"/>
                <w:color w:val="auto"/>
                <w:w w:val="95"/>
              </w:rPr>
              <w:t>+140</w:t>
            </w:r>
          </w:p>
        </w:tc>
        <w:tc>
          <w:tcPr>
            <w:tcW w:w="500" w:type="dxa"/>
            <w:vAlign w:val="bottom"/>
            <w:tcBorders>
              <w:top w:val="single" w:sz="8" w:color="929292"/>
            </w:tcBorders>
          </w:tcPr>
          <w:p>
            <w:pPr>
              <w:ind w:left="14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20"/>
        </w:trPr>
        <w:tc>
          <w:tcPr>
            <w:tcW w:w="1200" w:type="dxa"/>
            <w:vAlign w:val="bottom"/>
            <w:shd w:val="clear" w:color="auto" w:fill="4C639D"/>
          </w:tcPr>
          <w:p>
            <w:pPr>
              <w:spacing w:after="0" w:line="20" w:lineRule="exact"/>
              <w:rPr>
                <w:sz w:val="1"/>
                <w:szCs w:val="1"/>
                <w:color w:val="auto"/>
              </w:rPr>
            </w:pPr>
          </w:p>
        </w:tc>
        <w:tc>
          <w:tcPr>
            <w:tcW w:w="80" w:type="dxa"/>
            <w:vAlign w:val="bottom"/>
            <w:shd w:val="clear" w:color="auto" w:fill="4C639D"/>
          </w:tcPr>
          <w:p>
            <w:pPr>
              <w:spacing w:after="0" w:line="20" w:lineRule="exact"/>
              <w:rPr>
                <w:sz w:val="1"/>
                <w:szCs w:val="1"/>
                <w:color w:val="auto"/>
              </w:rPr>
            </w:pPr>
          </w:p>
        </w:tc>
        <w:tc>
          <w:tcPr>
            <w:tcW w:w="340" w:type="dxa"/>
            <w:vAlign w:val="bottom"/>
            <w:shd w:val="clear" w:color="auto" w:fill="4C639D"/>
          </w:tcPr>
          <w:p>
            <w:pPr>
              <w:spacing w:after="0" w:line="20" w:lineRule="exact"/>
              <w:rPr>
                <w:sz w:val="1"/>
                <w:szCs w:val="1"/>
                <w:color w:val="auto"/>
              </w:rPr>
            </w:pPr>
          </w:p>
        </w:tc>
        <w:tc>
          <w:tcPr>
            <w:tcW w:w="118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1200" w:type="dxa"/>
            <w:vAlign w:val="bottom"/>
            <w:shd w:val="clear" w:color="auto" w:fill="4C639D"/>
          </w:tcPr>
          <w:p>
            <w:pPr>
              <w:spacing w:after="0" w:line="20" w:lineRule="exact"/>
              <w:rPr>
                <w:sz w:val="1"/>
                <w:szCs w:val="1"/>
                <w:color w:val="auto"/>
              </w:rPr>
            </w:pPr>
          </w:p>
        </w:tc>
        <w:tc>
          <w:tcPr>
            <w:tcW w:w="120" w:type="dxa"/>
            <w:vAlign w:val="bottom"/>
            <w:shd w:val="clear" w:color="auto" w:fill="4C639D"/>
          </w:tcPr>
          <w:p>
            <w:pPr>
              <w:spacing w:after="0" w:line="20" w:lineRule="exact"/>
              <w:rPr>
                <w:sz w:val="1"/>
                <w:szCs w:val="1"/>
                <w:color w:val="auto"/>
              </w:rPr>
            </w:pPr>
          </w:p>
        </w:tc>
        <w:tc>
          <w:tcPr>
            <w:tcW w:w="700" w:type="dxa"/>
            <w:vAlign w:val="bottom"/>
            <w:shd w:val="clear" w:color="auto" w:fill="4C639D"/>
          </w:tcPr>
          <w:p>
            <w:pPr>
              <w:spacing w:after="0" w:line="20" w:lineRule="exact"/>
              <w:rPr>
                <w:sz w:val="1"/>
                <w:szCs w:val="1"/>
                <w:color w:val="auto"/>
              </w:rPr>
            </w:pPr>
          </w:p>
        </w:tc>
        <w:tc>
          <w:tcPr>
            <w:tcW w:w="500" w:type="dxa"/>
            <w:vAlign w:val="bottom"/>
            <w:shd w:val="clear" w:color="auto" w:fill="4C639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9"/>
          <w:szCs w:val="9"/>
          <w:color w:val="auto"/>
        </w:rPr>
        <w:t>n.m. = not meaningful</w:t>
      </w:r>
    </w:p>
    <w:p>
      <w:pPr>
        <w:spacing w:after="0" w:line="238" w:lineRule="exact"/>
        <w:rPr>
          <w:sz w:val="20"/>
          <w:szCs w:val="20"/>
          <w:color w:val="auto"/>
        </w:rPr>
      </w:pPr>
    </w:p>
    <w:p>
      <w:pPr>
        <w:jc w:val="both"/>
        <w:ind w:firstLine="8"/>
        <w:spacing w:after="0" w:line="262" w:lineRule="auto"/>
        <w:tabs>
          <w:tab w:leader="none" w:pos="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Effective January 2026, the Company’s segment structure was updated to align with how the Chief Operating Decision Maker (“CODM”) reviews performance and allocates resources. Under the revised structure, the CODM reviews the business through the following operating and reporting segments: North America; Enlarged Europe; Middle East &amp; Africa; South America; and Asia Pacific. Refer to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4</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color w:val="243782"/>
        </w:rPr>
        <w:t>Reconciliations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243782"/>
        </w:rPr>
        <w:t>Net revenues from external customers to Net revenues and Net profit to Adjusted operating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60" w:type="dxa"/>
            <w:vAlign w:val="bottom"/>
            <w:tcBorders>
              <w:top w:val="single" w:sz="8" w:color="4C639D"/>
            </w:tcBorders>
            <w:vMerge w:val="restart"/>
          </w:tcPr>
          <w:p>
            <w:pPr>
              <w:ind w:left="780"/>
              <w:spacing w:after="0"/>
              <w:rPr>
                <w:sz w:val="20"/>
                <w:szCs w:val="20"/>
                <w:color w:val="auto"/>
              </w:rPr>
            </w:pPr>
            <w:r>
              <w:rPr>
                <w:rFonts w:ascii="Arial" w:cs="Arial" w:eastAsia="Arial" w:hAnsi="Arial"/>
                <w:sz w:val="22"/>
                <w:szCs w:val="22"/>
                <w:color w:val="243782"/>
              </w:rPr>
              <w:t>Q3 2026</w:t>
            </w:r>
          </w:p>
        </w:tc>
        <w:tc>
          <w:tcPr>
            <w:tcW w:w="1100" w:type="dxa"/>
            <w:vAlign w:val="bottom"/>
            <w:tcBorders>
              <w:top w:val="single" w:sz="8" w:color="4C639D"/>
            </w:tcBorders>
            <w:vMerge w:val="restart"/>
          </w:tcPr>
          <w:p>
            <w:pPr>
              <w:ind w:left="40"/>
              <w:spacing w:after="0"/>
              <w:rPr>
                <w:sz w:val="20"/>
                <w:szCs w:val="20"/>
                <w:color w:val="auto"/>
              </w:rPr>
            </w:pPr>
            <w:r>
              <w:rPr>
                <w:rFonts w:ascii="Arial" w:cs="Arial" w:eastAsia="Arial" w:hAnsi="Arial"/>
                <w:sz w:val="13"/>
                <w:szCs w:val="13"/>
                <w:color w:val="243782"/>
              </w:rPr>
              <w:t>(€ million)</w:t>
            </w:r>
          </w:p>
        </w:tc>
        <w:tc>
          <w:tcPr>
            <w:tcW w:w="1060" w:type="dxa"/>
            <w:vAlign w:val="bottom"/>
            <w:tcBorders>
              <w:top w:val="single" w:sz="8" w:color="4C639D"/>
            </w:tcBorders>
          </w:tcPr>
          <w:p>
            <w:pPr>
              <w:jc w:val="right"/>
              <w:ind w:right="318"/>
              <w:spacing w:after="0"/>
              <w:rPr>
                <w:sz w:val="20"/>
                <w:szCs w:val="20"/>
                <w:color w:val="auto"/>
              </w:rPr>
            </w:pPr>
            <w:r>
              <w:rPr>
                <w:rFonts w:ascii="Arial" w:cs="Arial" w:eastAsia="Arial" w:hAnsi="Arial"/>
                <w:sz w:val="12"/>
                <w:szCs w:val="12"/>
                <w:b w:val="1"/>
                <w:bCs w:val="1"/>
                <w:color w:val="243782"/>
              </w:rPr>
              <w:t>NORTH</w:t>
            </w:r>
          </w:p>
        </w:tc>
        <w:tc>
          <w:tcPr>
            <w:tcW w:w="1020" w:type="dxa"/>
            <w:vAlign w:val="bottom"/>
            <w:tcBorders>
              <w:top w:val="single" w:sz="8" w:color="4C639D"/>
            </w:tcBorders>
          </w:tcPr>
          <w:p>
            <w:pPr>
              <w:jc w:val="right"/>
              <w:ind w:right="158"/>
              <w:spacing w:after="0"/>
              <w:rPr>
                <w:sz w:val="20"/>
                <w:szCs w:val="20"/>
                <w:color w:val="auto"/>
              </w:rPr>
            </w:pPr>
            <w:r>
              <w:rPr>
                <w:rFonts w:ascii="Arial" w:cs="Arial" w:eastAsia="Arial" w:hAnsi="Arial"/>
                <w:sz w:val="12"/>
                <w:szCs w:val="12"/>
                <w:b w:val="1"/>
                <w:bCs w:val="1"/>
                <w:color w:val="243782"/>
              </w:rPr>
              <w:t>ENLARGED</w:t>
            </w:r>
          </w:p>
        </w:tc>
        <w:tc>
          <w:tcPr>
            <w:tcW w:w="1140" w:type="dxa"/>
            <w:vAlign w:val="bottom"/>
            <w:tcBorders>
              <w:top w:val="single" w:sz="8" w:color="4C639D"/>
            </w:tcBorders>
          </w:tcPr>
          <w:p>
            <w:pPr>
              <w:jc w:val="right"/>
              <w:ind w:right="98"/>
              <w:spacing w:after="0"/>
              <w:rPr>
                <w:sz w:val="20"/>
                <w:szCs w:val="20"/>
                <w:color w:val="auto"/>
              </w:rPr>
            </w:pPr>
            <w:r>
              <w:rPr>
                <w:rFonts w:ascii="Arial" w:cs="Arial" w:eastAsia="Arial" w:hAnsi="Arial"/>
                <w:sz w:val="12"/>
                <w:szCs w:val="12"/>
                <w:b w:val="1"/>
                <w:bCs w:val="1"/>
                <w:color w:val="243782"/>
              </w:rPr>
              <w:t>MIDDLE EAST &amp;</w:t>
            </w:r>
          </w:p>
        </w:tc>
        <w:tc>
          <w:tcPr>
            <w:tcW w:w="1020" w:type="dxa"/>
            <w:vAlign w:val="bottom"/>
            <w:tcBorders>
              <w:top w:val="single" w:sz="8" w:color="4C639D"/>
            </w:tcBorders>
          </w:tcPr>
          <w:p>
            <w:pPr>
              <w:jc w:val="right"/>
              <w:ind w:right="318"/>
              <w:spacing w:after="0"/>
              <w:rPr>
                <w:sz w:val="20"/>
                <w:szCs w:val="20"/>
                <w:color w:val="auto"/>
              </w:rPr>
            </w:pPr>
            <w:r>
              <w:rPr>
                <w:rFonts w:ascii="Arial" w:cs="Arial" w:eastAsia="Arial" w:hAnsi="Arial"/>
                <w:sz w:val="12"/>
                <w:szCs w:val="12"/>
                <w:b w:val="1"/>
                <w:bCs w:val="1"/>
                <w:color w:val="243782"/>
              </w:rPr>
              <w:t>SOUTH</w:t>
            </w:r>
          </w:p>
        </w:tc>
        <w:tc>
          <w:tcPr>
            <w:tcW w:w="110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shd w:val="clear" w:color="auto" w:fill="24378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4C639D"/>
            </w:tcBorders>
            <w:vMerge w:val="continue"/>
          </w:tcPr>
          <w:p>
            <w:pPr>
              <w:spacing w:after="0"/>
              <w:rPr>
                <w:sz w:val="16"/>
                <w:szCs w:val="16"/>
                <w:color w:val="auto"/>
              </w:rPr>
            </w:pPr>
          </w:p>
        </w:tc>
        <w:tc>
          <w:tcPr>
            <w:tcW w:w="1100" w:type="dxa"/>
            <w:vAlign w:val="bottom"/>
            <w:tcBorders>
              <w:bottom w:val="single" w:sz="8" w:color="4C639D"/>
            </w:tcBorders>
            <w:vMerge w:val="continue"/>
          </w:tcPr>
          <w:p>
            <w:pPr>
              <w:spacing w:after="0"/>
              <w:rPr>
                <w:sz w:val="16"/>
                <w:szCs w:val="16"/>
                <w:color w:val="auto"/>
              </w:rPr>
            </w:pPr>
          </w:p>
        </w:tc>
        <w:tc>
          <w:tcPr>
            <w:tcW w:w="106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AMERICA</w:t>
            </w:r>
          </w:p>
        </w:tc>
        <w:tc>
          <w:tcPr>
            <w:tcW w:w="102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EUROPE</w:t>
            </w:r>
          </w:p>
        </w:tc>
        <w:tc>
          <w:tcPr>
            <w:tcW w:w="1140" w:type="dxa"/>
            <w:vAlign w:val="bottom"/>
            <w:tcBorders>
              <w:bottom w:val="single" w:sz="8" w:color="4C639D"/>
            </w:tcBorders>
          </w:tcPr>
          <w:p>
            <w:pPr>
              <w:jc w:val="right"/>
              <w:ind w:right="338"/>
              <w:spacing w:after="0"/>
              <w:rPr>
                <w:sz w:val="20"/>
                <w:szCs w:val="20"/>
                <w:color w:val="auto"/>
              </w:rPr>
            </w:pPr>
            <w:r>
              <w:rPr>
                <w:rFonts w:ascii="Arial" w:cs="Arial" w:eastAsia="Arial" w:hAnsi="Arial"/>
                <w:sz w:val="12"/>
                <w:szCs w:val="12"/>
                <w:b w:val="1"/>
                <w:bCs w:val="1"/>
                <w:color w:val="243782"/>
              </w:rPr>
              <w:t>AFRICA</w:t>
            </w:r>
          </w:p>
        </w:tc>
        <w:tc>
          <w:tcPr>
            <w:tcW w:w="102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AMERICA</w:t>
            </w:r>
          </w:p>
        </w:tc>
        <w:tc>
          <w:tcPr>
            <w:tcW w:w="1100" w:type="dxa"/>
            <w:vAlign w:val="bottom"/>
            <w:tcBorders>
              <w:bottom w:val="single" w:sz="8" w:color="4C639D"/>
            </w:tcBorders>
          </w:tcPr>
          <w:p>
            <w:pPr>
              <w:jc w:val="right"/>
              <w:ind w:right="198"/>
              <w:spacing w:after="0"/>
              <w:rPr>
                <w:sz w:val="20"/>
                <w:szCs w:val="20"/>
                <w:color w:val="auto"/>
              </w:rPr>
            </w:pPr>
            <w:r>
              <w:rPr>
                <w:rFonts w:ascii="Arial" w:cs="Arial" w:eastAsia="Arial" w:hAnsi="Arial"/>
                <w:sz w:val="11"/>
                <w:szCs w:val="11"/>
                <w:b w:val="1"/>
                <w:bCs w:val="1"/>
                <w:color w:val="243782"/>
              </w:rPr>
              <w:t>ASIA PACIFIC</w:t>
            </w:r>
          </w:p>
        </w:tc>
        <w:tc>
          <w:tcPr>
            <w:tcW w:w="1020" w:type="dxa"/>
            <w:vAlign w:val="bottom"/>
            <w:tcBorders>
              <w:bottom w:val="single" w:sz="8" w:color="4C639D"/>
            </w:tcBorders>
          </w:tcPr>
          <w:p>
            <w:pPr>
              <w:jc w:val="right"/>
              <w:ind w:right="277"/>
              <w:spacing w:after="0"/>
              <w:rPr>
                <w:sz w:val="20"/>
                <w:szCs w:val="20"/>
                <w:color w:val="auto"/>
              </w:rPr>
            </w:pPr>
            <w:r>
              <w:rPr>
                <w:rFonts w:ascii="Arial" w:cs="Arial" w:eastAsia="Arial" w:hAnsi="Arial"/>
                <w:sz w:val="12"/>
                <w:szCs w:val="12"/>
                <w:b w:val="1"/>
                <w:bCs w:val="1"/>
                <w:color w:val="243782"/>
              </w:rPr>
              <w:t>OTHER</w:t>
            </w:r>
            <w:r>
              <w:rPr>
                <w:rFonts w:ascii="Arial" w:cs="Arial" w:eastAsia="Arial" w:hAnsi="Arial"/>
                <w:sz w:val="15"/>
                <w:szCs w:val="15"/>
                <w:b w:val="1"/>
                <w:bCs w:val="1"/>
                <w:color w:val="243782"/>
                <w:vertAlign w:val="superscript"/>
              </w:rPr>
              <w:t>(*)</w:t>
            </w:r>
          </w:p>
        </w:tc>
        <w:tc>
          <w:tcPr>
            <w:tcW w:w="1020" w:type="dxa"/>
            <w:vAlign w:val="bottom"/>
            <w:tcBorders>
              <w:bottom w:val="single" w:sz="8" w:color="4C639D"/>
            </w:tcBorders>
            <w:shd w:val="clear" w:color="auto" w:fill="243782"/>
          </w:tcPr>
          <w:p>
            <w:pPr>
              <w:jc w:val="right"/>
              <w:ind w:right="97"/>
              <w:spacing w:after="0"/>
              <w:rPr>
                <w:sz w:val="20"/>
                <w:szCs w:val="20"/>
                <w:color w:val="auto"/>
              </w:rPr>
            </w:pPr>
            <w:r>
              <w:rPr>
                <w:rFonts w:ascii="Arial" w:cs="Arial" w:eastAsia="Arial" w:hAnsi="Arial"/>
                <w:sz w:val="12"/>
                <w:szCs w:val="12"/>
                <w:b w:val="1"/>
                <w:bCs w:val="1"/>
                <w:color w:val="FFFFFF"/>
              </w:rPr>
              <w:t>STELLANTIS</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100" w:type="dxa"/>
            <w:vAlign w:val="bottom"/>
          </w:tcPr>
          <w:p>
            <w:pPr>
              <w:spacing w:after="0"/>
              <w:rPr>
                <w:sz w:val="18"/>
                <w:szCs w:val="18"/>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color w:val="auto"/>
              </w:rPr>
              <w:t>15,570</w:t>
            </w: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14,062</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1,673</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4,088</w:t>
            </w:r>
          </w:p>
        </w:tc>
        <w:tc>
          <w:tcPr>
            <w:tcW w:w="1100" w:type="dxa"/>
            <w:vAlign w:val="bottom"/>
          </w:tcPr>
          <w:p>
            <w:pPr>
              <w:jc w:val="right"/>
              <w:ind w:right="138"/>
              <w:spacing w:after="0"/>
              <w:rPr>
                <w:sz w:val="20"/>
                <w:szCs w:val="20"/>
                <w:color w:val="auto"/>
              </w:rPr>
            </w:pPr>
            <w:r>
              <w:rPr>
                <w:rFonts w:ascii="Arial" w:cs="Arial" w:eastAsia="Arial" w:hAnsi="Arial"/>
                <w:sz w:val="13"/>
                <w:szCs w:val="13"/>
                <w:color w:val="auto"/>
              </w:rPr>
              <w:t>445</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1,773</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37,611</w:t>
            </w:r>
          </w:p>
        </w:tc>
        <w:tc>
          <w:tcPr>
            <w:tcW w:w="0" w:type="dxa"/>
            <w:vAlign w:val="bottom"/>
          </w:tcPr>
          <w:p>
            <w:pPr>
              <w:spacing w:after="0"/>
              <w:rPr>
                <w:sz w:val="1"/>
                <w:szCs w:val="1"/>
                <w:color w:val="auto"/>
              </w:rPr>
            </w:pPr>
          </w:p>
        </w:tc>
      </w:tr>
      <w:tr>
        <w:trPr>
          <w:trHeight w:val="209"/>
        </w:trPr>
        <w:tc>
          <w:tcPr>
            <w:tcW w:w="3860" w:type="dxa"/>
            <w:vAlign w:val="bottom"/>
            <w:tcBorders>
              <w:top w:val="single" w:sz="8" w:color="DBDBDB"/>
            </w:tcBorders>
            <w:gridSpan w:val="2"/>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060" w:type="dxa"/>
            <w:vAlign w:val="bottom"/>
            <w:tcBorders>
              <w:top w:val="single" w:sz="8" w:color="DBDBDB"/>
            </w:tcBorders>
          </w:tcPr>
          <w:p>
            <w:pPr>
              <w:jc w:val="right"/>
              <w:ind w:right="98"/>
              <w:spacing w:after="0"/>
              <w:rPr>
                <w:sz w:val="20"/>
                <w:szCs w:val="20"/>
                <w:color w:val="auto"/>
              </w:rPr>
            </w:pPr>
            <w:r>
              <w:rPr>
                <w:rFonts w:ascii="Arial" w:cs="Arial" w:eastAsia="Arial" w:hAnsi="Arial"/>
                <w:sz w:val="13"/>
                <w:szCs w:val="13"/>
                <w:color w:val="auto"/>
              </w:rPr>
              <w:t>16</w:t>
            </w:r>
          </w:p>
        </w:tc>
        <w:tc>
          <w:tcPr>
            <w:tcW w:w="1020" w:type="dxa"/>
            <w:vAlign w:val="bottom"/>
            <w:tcBorders>
              <w:top w:val="single" w:sz="8" w:color="DBDBDB"/>
            </w:tcBorders>
          </w:tcPr>
          <w:p>
            <w:pPr>
              <w:jc w:val="right"/>
              <w:ind w:right="58"/>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DBDBDB"/>
            </w:tcBorders>
          </w:tcPr>
          <w:p>
            <w:pPr>
              <w:jc w:val="right"/>
              <w:ind w:right="138"/>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DBDBDB"/>
            </w:tcBorders>
          </w:tcPr>
          <w:p>
            <w:pPr>
              <w:jc w:val="right"/>
              <w:ind w:right="98"/>
              <w:spacing w:after="0"/>
              <w:rPr>
                <w:sz w:val="20"/>
                <w:szCs w:val="20"/>
                <w:color w:val="auto"/>
              </w:rPr>
            </w:pPr>
            <w:r>
              <w:rPr>
                <w:rFonts w:ascii="Arial" w:cs="Arial" w:eastAsia="Arial" w:hAnsi="Arial"/>
                <w:sz w:val="13"/>
                <w:szCs w:val="13"/>
                <w:color w:val="auto"/>
              </w:rPr>
              <w:t>32</w:t>
            </w:r>
          </w:p>
        </w:tc>
        <w:tc>
          <w:tcPr>
            <w:tcW w:w="1100" w:type="dxa"/>
            <w:vAlign w:val="bottom"/>
            <w:tcBorders>
              <w:top w:val="single" w:sz="8" w:color="DBDBDB"/>
            </w:tcBorders>
          </w:tcPr>
          <w:p>
            <w:pPr>
              <w:jc w:val="right"/>
              <w:ind w:right="138"/>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DBDBDB"/>
            </w:tcBorders>
          </w:tcPr>
          <w:p>
            <w:pPr>
              <w:jc w:val="right"/>
              <w:ind w:right="77"/>
              <w:spacing w:after="0"/>
              <w:rPr>
                <w:sz w:val="20"/>
                <w:szCs w:val="20"/>
                <w:color w:val="auto"/>
              </w:rPr>
            </w:pPr>
            <w:r>
              <w:rPr>
                <w:rFonts w:ascii="Arial" w:cs="Arial" w:eastAsia="Arial" w:hAnsi="Arial"/>
                <w:sz w:val="13"/>
                <w:szCs w:val="13"/>
                <w:color w:val="auto"/>
              </w:rPr>
              <w:t>(48)</w:t>
            </w: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revenues</w:t>
            </w:r>
          </w:p>
        </w:tc>
        <w:tc>
          <w:tcPr>
            <w:tcW w:w="1100" w:type="dxa"/>
            <w:vAlign w:val="bottom"/>
            <w:tcBorders>
              <w:top w:val="single" w:sz="8" w:color="DBDBDB"/>
            </w:tcBorders>
          </w:tcPr>
          <w:p>
            <w:pPr>
              <w:spacing w:after="0"/>
              <w:rPr>
                <w:sz w:val="18"/>
                <w:szCs w:val="18"/>
                <w:color w:val="auto"/>
              </w:rPr>
            </w:pPr>
          </w:p>
        </w:tc>
        <w:tc>
          <w:tcPr>
            <w:tcW w:w="1060" w:type="dxa"/>
            <w:vAlign w:val="bottom"/>
            <w:tcBorders>
              <w:top w:val="single" w:sz="8" w:color="DBDBDB"/>
              <w:bottom w:val="single" w:sz="8" w:color="243782"/>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15,586</w:t>
            </w:r>
          </w:p>
        </w:tc>
        <w:tc>
          <w:tcPr>
            <w:tcW w:w="1020" w:type="dxa"/>
            <w:vAlign w:val="bottom"/>
            <w:tcBorders>
              <w:top w:val="single" w:sz="8" w:color="DBDBDB"/>
              <w:bottom w:val="single" w:sz="8" w:color="243782"/>
            </w:tcBorders>
            <w:shd w:val="clear" w:color="auto" w:fill="243782"/>
          </w:tcPr>
          <w:p>
            <w:pPr>
              <w:jc w:val="right"/>
              <w:ind w:right="58"/>
              <w:spacing w:after="0"/>
              <w:rPr>
                <w:sz w:val="20"/>
                <w:szCs w:val="20"/>
                <w:color w:val="auto"/>
              </w:rPr>
            </w:pPr>
            <w:r>
              <w:rPr>
                <w:rFonts w:ascii="Arial" w:cs="Arial" w:eastAsia="Arial" w:hAnsi="Arial"/>
                <w:sz w:val="13"/>
                <w:szCs w:val="13"/>
                <w:b w:val="1"/>
                <w:bCs w:val="1"/>
                <w:color w:val="FFFFFF"/>
              </w:rPr>
              <w:t>14,062</w:t>
            </w:r>
          </w:p>
        </w:tc>
        <w:tc>
          <w:tcPr>
            <w:tcW w:w="1140" w:type="dxa"/>
            <w:vAlign w:val="bottom"/>
            <w:tcBorders>
              <w:top w:val="single" w:sz="8" w:color="DBDBDB"/>
              <w:bottom w:val="single" w:sz="8" w:color="243782"/>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1,673</w:t>
            </w:r>
          </w:p>
        </w:tc>
        <w:tc>
          <w:tcPr>
            <w:tcW w:w="1020" w:type="dxa"/>
            <w:vAlign w:val="bottom"/>
            <w:tcBorders>
              <w:top w:val="single" w:sz="8" w:color="DBDBDB"/>
              <w:bottom w:val="single" w:sz="8" w:color="243782"/>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4,120</w:t>
            </w:r>
          </w:p>
        </w:tc>
        <w:tc>
          <w:tcPr>
            <w:tcW w:w="1100" w:type="dxa"/>
            <w:vAlign w:val="bottom"/>
            <w:tcBorders>
              <w:top w:val="single" w:sz="8" w:color="DBDBDB"/>
              <w:bottom w:val="single" w:sz="8" w:color="243782"/>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445</w:t>
            </w:r>
          </w:p>
        </w:tc>
        <w:tc>
          <w:tcPr>
            <w:tcW w:w="1020" w:type="dxa"/>
            <w:vAlign w:val="bottom"/>
            <w:tcBorders>
              <w:top w:val="single" w:sz="8" w:color="DBDBDB"/>
              <w:bottom w:val="single" w:sz="8" w:color="243782"/>
            </w:tcBorders>
            <w:shd w:val="clear" w:color="auto" w:fill="243782"/>
          </w:tcPr>
          <w:p>
            <w:pPr>
              <w:jc w:val="right"/>
              <w:ind w:right="117"/>
              <w:spacing w:after="0"/>
              <w:rPr>
                <w:sz w:val="20"/>
                <w:szCs w:val="20"/>
                <w:color w:val="auto"/>
              </w:rPr>
            </w:pPr>
            <w:r>
              <w:rPr>
                <w:rFonts w:ascii="Arial" w:cs="Arial" w:eastAsia="Arial" w:hAnsi="Arial"/>
                <w:sz w:val="13"/>
                <w:szCs w:val="13"/>
                <w:b w:val="1"/>
                <w:bCs w:val="1"/>
                <w:color w:val="FFFFFF"/>
              </w:rPr>
              <w:t>1,725</w:t>
            </w:r>
          </w:p>
        </w:tc>
        <w:tc>
          <w:tcPr>
            <w:tcW w:w="1020" w:type="dxa"/>
            <w:vAlign w:val="bottom"/>
            <w:tcBorders>
              <w:top w:val="single" w:sz="8" w:color="DBDBDB"/>
              <w:bottom w:val="single" w:sz="8" w:color="243782"/>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37,611</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profit/(loss)</w:t>
            </w:r>
          </w:p>
        </w:tc>
        <w:tc>
          <w:tcPr>
            <w:tcW w:w="1100" w:type="dxa"/>
            <w:vAlign w:val="bottom"/>
            <w:tcBorders>
              <w:top w:val="single" w:sz="8" w:color="DBDBDB"/>
            </w:tcBorders>
          </w:tcPr>
          <w:p>
            <w:pPr>
              <w:spacing w:after="0"/>
              <w:rPr>
                <w:sz w:val="18"/>
                <w:szCs w:val="18"/>
                <w:color w:val="auto"/>
              </w:rPr>
            </w:pPr>
          </w:p>
        </w:tc>
        <w:tc>
          <w:tcPr>
            <w:tcW w:w="10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(453)</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Tax expense/(benefit)</w:t>
            </w:r>
          </w:p>
        </w:tc>
        <w:tc>
          <w:tcPr>
            <w:tcW w:w="1100" w:type="dxa"/>
            <w:vAlign w:val="bottom"/>
            <w:tcBorders>
              <w:top w:val="single" w:sz="8" w:color="DBDBDB"/>
            </w:tcBorders>
          </w:tcPr>
          <w:p>
            <w:pPr>
              <w:spacing w:after="0"/>
              <w:rPr>
                <w:sz w:val="18"/>
                <w:szCs w:val="18"/>
                <w:color w:val="auto"/>
              </w:rPr>
            </w:pPr>
          </w:p>
        </w:tc>
        <w:tc>
          <w:tcPr>
            <w:tcW w:w="10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(79)</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Net financial expenses/(income)</w:t>
            </w:r>
          </w:p>
        </w:tc>
        <w:tc>
          <w:tcPr>
            <w:tcW w:w="1100" w:type="dxa"/>
            <w:vAlign w:val="bottom"/>
            <w:tcBorders>
              <w:top w:val="single" w:sz="8" w:color="DBDBDB"/>
            </w:tcBorders>
          </w:tcPr>
          <w:p>
            <w:pPr>
              <w:spacing w:after="0"/>
              <w:rPr>
                <w:sz w:val="18"/>
                <w:szCs w:val="18"/>
                <w:color w:val="auto"/>
              </w:rPr>
            </w:pPr>
          </w:p>
        </w:tc>
        <w:tc>
          <w:tcPr>
            <w:tcW w:w="10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201</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100" w:type="dxa"/>
            <w:vAlign w:val="bottom"/>
            <w:tcBorders>
              <w:top w:val="single" w:sz="8" w:color="DBDBDB"/>
            </w:tcBorders>
          </w:tcPr>
          <w:p>
            <w:pPr>
              <w:spacing w:after="0"/>
              <w:rPr>
                <w:sz w:val="18"/>
                <w:szCs w:val="18"/>
                <w:color w:val="auto"/>
              </w:rPr>
            </w:pPr>
          </w:p>
        </w:tc>
        <w:tc>
          <w:tcPr>
            <w:tcW w:w="106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14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10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(331)</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Adjustments:</w:t>
            </w:r>
          </w:p>
        </w:tc>
        <w:tc>
          <w:tcPr>
            <w:tcW w:w="1100" w:type="dxa"/>
            <w:vAlign w:val="bottom"/>
            <w:tcBorders>
              <w:top w:val="single" w:sz="8" w:color="DBDBDB"/>
            </w:tcBorders>
          </w:tcPr>
          <w:p>
            <w:pPr>
              <w:spacing w:after="0"/>
              <w:rPr>
                <w:sz w:val="18"/>
                <w:szCs w:val="18"/>
                <w:color w:val="auto"/>
              </w:rPr>
            </w:pPr>
          </w:p>
        </w:tc>
        <w:tc>
          <w:tcPr>
            <w:tcW w:w="10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(A)</w:t>
            </w:r>
          </w:p>
        </w:tc>
        <w:tc>
          <w:tcPr>
            <w:tcW w:w="1100" w:type="dxa"/>
            <w:vAlign w:val="bottom"/>
            <w:tcBorders>
              <w:top w:val="single" w:sz="8" w:color="DBDBDB"/>
              <w:bottom w:val="single" w:sz="8" w:color="DBDBDB"/>
            </w:tcBorders>
          </w:tcPr>
          <w:p>
            <w:pPr>
              <w:spacing w:after="0"/>
              <w:rPr>
                <w:sz w:val="18"/>
                <w:szCs w:val="18"/>
                <w:color w:val="auto"/>
              </w:rPr>
            </w:pPr>
          </w:p>
        </w:tc>
        <w:tc>
          <w:tcPr>
            <w:tcW w:w="1060" w:type="dxa"/>
            <w:vAlign w:val="bottom"/>
            <w:tcBorders>
              <w:top w:val="single" w:sz="8" w:color="DBDBDB"/>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218</w:t>
            </w:r>
          </w:p>
        </w:tc>
        <w:tc>
          <w:tcPr>
            <w:tcW w:w="1140" w:type="dxa"/>
            <w:vAlign w:val="bottom"/>
            <w:tcBorders>
              <w:top w:val="single" w:sz="8" w:color="DBDBDB"/>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5</w:t>
            </w:r>
          </w:p>
        </w:tc>
        <w:tc>
          <w:tcPr>
            <w:tcW w:w="1100" w:type="dxa"/>
            <w:vAlign w:val="bottom"/>
            <w:tcBorders>
              <w:top w:val="single" w:sz="8" w:color="DBDBDB"/>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223</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Write-down of investment in Leasys</w:t>
            </w:r>
            <w:r>
              <w:rPr>
                <w:rFonts w:ascii="Arial" w:cs="Arial" w:eastAsia="Arial" w:hAnsi="Arial"/>
                <w:sz w:val="16"/>
                <w:szCs w:val="16"/>
                <w:color w:val="auto"/>
                <w:vertAlign w:val="superscript"/>
              </w:rPr>
              <w:t>(B)</w:t>
            </w:r>
          </w:p>
        </w:tc>
        <w:tc>
          <w:tcPr>
            <w:tcW w:w="110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118</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118</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w w:val="96"/>
              </w:rPr>
              <w:t>Restructuring and other costs, net of reversals</w:t>
            </w:r>
            <w:r>
              <w:rPr>
                <w:rFonts w:ascii="Arial" w:cs="Arial" w:eastAsia="Arial" w:hAnsi="Arial"/>
                <w:sz w:val="16"/>
                <w:szCs w:val="16"/>
                <w:color w:val="auto"/>
                <w:w w:val="96"/>
                <w:vertAlign w:val="superscript"/>
              </w:rPr>
              <w:t>(C)</w:t>
            </w:r>
          </w:p>
        </w:tc>
        <w:tc>
          <w:tcPr>
            <w:tcW w:w="110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49</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15</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2</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66</w:t>
            </w:r>
          </w:p>
        </w:tc>
        <w:tc>
          <w:tcPr>
            <w:tcW w:w="0" w:type="dxa"/>
            <w:vAlign w:val="bottom"/>
          </w:tcPr>
          <w:p>
            <w:pPr>
              <w:spacing w:after="0"/>
              <w:rPr>
                <w:sz w:val="1"/>
                <w:szCs w:val="1"/>
                <w:color w:val="auto"/>
              </w:rPr>
            </w:pPr>
          </w:p>
        </w:tc>
      </w:tr>
      <w:tr>
        <w:trPr>
          <w:trHeight w:val="165"/>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Costs related to product plan realignments and program</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shd w:val="clear" w:color="auto" w:fill="4C639D"/>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cancellations</w:t>
            </w:r>
            <w:r>
              <w:rPr>
                <w:rFonts w:ascii="Arial" w:cs="Arial" w:eastAsia="Arial" w:hAnsi="Arial"/>
                <w:sz w:val="16"/>
                <w:szCs w:val="16"/>
                <w:color w:val="auto"/>
                <w:vertAlign w:val="superscript"/>
              </w:rPr>
              <w:t>(D)</w:t>
            </w:r>
          </w:p>
        </w:tc>
        <w:tc>
          <w:tcPr>
            <w:tcW w:w="1100" w:type="dxa"/>
            <w:vAlign w:val="bottom"/>
            <w:tcBorders>
              <w:bottom w:val="single" w:sz="8" w:color="DBDBDB"/>
            </w:tcBorders>
          </w:tcPr>
          <w:p>
            <w:pPr>
              <w:spacing w:after="0"/>
              <w:rPr>
                <w:sz w:val="16"/>
                <w:szCs w:val="16"/>
                <w:color w:val="auto"/>
              </w:rPr>
            </w:pPr>
          </w:p>
        </w:tc>
        <w:tc>
          <w:tcPr>
            <w:tcW w:w="106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31</w:t>
            </w:r>
          </w:p>
        </w:tc>
        <w:tc>
          <w:tcPr>
            <w:tcW w:w="102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31</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(E)</w:t>
            </w:r>
          </w:p>
        </w:tc>
        <w:tc>
          <w:tcPr>
            <w:tcW w:w="110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83</w:t>
            </w:r>
          </w:p>
        </w:tc>
        <w:tc>
          <w:tcPr>
            <w:tcW w:w="102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70</w:t>
            </w:r>
          </w:p>
        </w:tc>
        <w:tc>
          <w:tcPr>
            <w:tcW w:w="114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(1)</w:t>
            </w:r>
          </w:p>
        </w:tc>
        <w:tc>
          <w:tcPr>
            <w:tcW w:w="102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(1)</w:t>
            </w:r>
          </w:p>
        </w:tc>
        <w:tc>
          <w:tcPr>
            <w:tcW w:w="110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(5)</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3</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149</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100" w:type="dxa"/>
            <w:vAlign w:val="bottom"/>
          </w:tcPr>
          <w:p>
            <w:pPr>
              <w:spacing w:after="0"/>
              <w:rPr>
                <w:sz w:val="18"/>
                <w:szCs w:val="18"/>
                <w:color w:val="auto"/>
              </w:rPr>
            </w:pPr>
          </w:p>
        </w:tc>
        <w:tc>
          <w:tcPr>
            <w:tcW w:w="1060" w:type="dxa"/>
            <w:vAlign w:val="bottom"/>
          </w:tcPr>
          <w:p>
            <w:pPr>
              <w:jc w:val="right"/>
              <w:ind w:right="98"/>
              <w:spacing w:after="0"/>
              <w:rPr>
                <w:sz w:val="20"/>
                <w:szCs w:val="20"/>
                <w:color w:val="auto"/>
              </w:rPr>
            </w:pPr>
            <w:r>
              <w:rPr>
                <w:rFonts w:ascii="Arial" w:cs="Arial" w:eastAsia="Arial" w:hAnsi="Arial"/>
                <w:sz w:val="13"/>
                <w:szCs w:val="13"/>
                <w:b w:val="1"/>
                <w:bCs w:val="1"/>
                <w:color w:val="4C639D"/>
              </w:rPr>
              <w:t>114</w:t>
            </w:r>
          </w:p>
        </w:tc>
        <w:tc>
          <w:tcPr>
            <w:tcW w:w="1020" w:type="dxa"/>
            <w:vAlign w:val="bottom"/>
          </w:tcPr>
          <w:p>
            <w:pPr>
              <w:jc w:val="right"/>
              <w:ind w:right="58"/>
              <w:spacing w:after="0"/>
              <w:rPr>
                <w:sz w:val="20"/>
                <w:szCs w:val="20"/>
                <w:color w:val="auto"/>
              </w:rPr>
            </w:pPr>
            <w:r>
              <w:rPr>
                <w:rFonts w:ascii="Arial" w:cs="Arial" w:eastAsia="Arial" w:hAnsi="Arial"/>
                <w:sz w:val="13"/>
                <w:szCs w:val="13"/>
                <w:b w:val="1"/>
                <w:bCs w:val="1"/>
                <w:color w:val="4C639D"/>
              </w:rPr>
              <w:t>337</w:t>
            </w:r>
          </w:p>
        </w:tc>
        <w:tc>
          <w:tcPr>
            <w:tcW w:w="1140" w:type="dxa"/>
            <w:vAlign w:val="bottom"/>
          </w:tcPr>
          <w:p>
            <w:pPr>
              <w:jc w:val="right"/>
              <w:ind w:right="118"/>
              <w:spacing w:after="0"/>
              <w:rPr>
                <w:sz w:val="20"/>
                <w:szCs w:val="20"/>
                <w:color w:val="auto"/>
              </w:rPr>
            </w:pPr>
            <w:r>
              <w:rPr>
                <w:rFonts w:ascii="Arial" w:cs="Arial" w:eastAsia="Arial" w:hAnsi="Arial"/>
                <w:sz w:val="13"/>
                <w:szCs w:val="13"/>
                <w:b w:val="1"/>
                <w:bCs w:val="1"/>
                <w:color w:val="4C639D"/>
              </w:rPr>
              <w:t>(1)</w:t>
            </w:r>
          </w:p>
        </w:tc>
        <w:tc>
          <w:tcPr>
            <w:tcW w:w="1020" w:type="dxa"/>
            <w:vAlign w:val="bottom"/>
          </w:tcPr>
          <w:p>
            <w:pPr>
              <w:jc w:val="right"/>
              <w:ind w:right="98"/>
              <w:spacing w:after="0"/>
              <w:rPr>
                <w:sz w:val="20"/>
                <w:szCs w:val="20"/>
                <w:color w:val="auto"/>
              </w:rPr>
            </w:pPr>
            <w:r>
              <w:rPr>
                <w:rFonts w:ascii="Arial" w:cs="Arial" w:eastAsia="Arial" w:hAnsi="Arial"/>
                <w:sz w:val="13"/>
                <w:szCs w:val="13"/>
                <w:b w:val="1"/>
                <w:bCs w:val="1"/>
                <w:color w:val="4C639D"/>
              </w:rPr>
              <w:t>19</w:t>
            </w:r>
          </w:p>
        </w:tc>
        <w:tc>
          <w:tcPr>
            <w:tcW w:w="1100" w:type="dxa"/>
            <w:vAlign w:val="bottom"/>
          </w:tcPr>
          <w:p>
            <w:pPr>
              <w:jc w:val="right"/>
              <w:ind w:right="118"/>
              <w:spacing w:after="0"/>
              <w:rPr>
                <w:sz w:val="20"/>
                <w:szCs w:val="20"/>
                <w:color w:val="auto"/>
              </w:rPr>
            </w:pPr>
            <w:r>
              <w:rPr>
                <w:rFonts w:ascii="Arial" w:cs="Arial" w:eastAsia="Arial" w:hAnsi="Arial"/>
                <w:sz w:val="13"/>
                <w:szCs w:val="13"/>
                <w:b w:val="1"/>
                <w:bCs w:val="1"/>
                <w:color w:val="4C639D"/>
              </w:rPr>
              <w:t>(5)</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4C639D"/>
              </w:rPr>
              <w:t>123</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587</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3"/>
                <w:szCs w:val="13"/>
                <w:b w:val="1"/>
                <w:bCs w:val="1"/>
                <w:color w:val="243782"/>
              </w:rPr>
              <w:t>Adjusted operating income/(loss)</w:t>
            </w:r>
            <w:r>
              <w:rPr>
                <w:rFonts w:ascii="Arial" w:cs="Arial" w:eastAsia="Arial" w:hAnsi="Arial"/>
                <w:sz w:val="16"/>
                <w:szCs w:val="16"/>
                <w:b w:val="1"/>
                <w:bCs w:val="1"/>
                <w:color w:val="243782"/>
                <w:vertAlign w:val="superscript"/>
              </w:rPr>
              <w:t>(1)</w:t>
            </w:r>
          </w:p>
        </w:tc>
        <w:tc>
          <w:tcPr>
            <w:tcW w:w="1100" w:type="dxa"/>
            <w:vAlign w:val="bottom"/>
            <w:tcBorders>
              <w:top w:val="single" w:sz="8" w:color="DBDBDB"/>
              <w:bottom w:val="single" w:sz="8" w:color="DBDBDB"/>
            </w:tcBorders>
          </w:tcPr>
          <w:p>
            <w:pPr>
              <w:spacing w:after="0"/>
              <w:rPr>
                <w:sz w:val="18"/>
                <w:szCs w:val="18"/>
                <w:color w:val="auto"/>
              </w:rPr>
            </w:pPr>
          </w:p>
        </w:tc>
        <w:tc>
          <w:tcPr>
            <w:tcW w:w="1060" w:type="dxa"/>
            <w:vAlign w:val="bottom"/>
            <w:tcBorders>
              <w:top w:val="single" w:sz="8" w:color="DBDBDB"/>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64</w:t>
            </w:r>
          </w:p>
        </w:tc>
        <w:tc>
          <w:tcPr>
            <w:tcW w:w="1020" w:type="dxa"/>
            <w:vAlign w:val="bottom"/>
            <w:tcBorders>
              <w:top w:val="single" w:sz="8" w:color="DBDBDB"/>
            </w:tcBorders>
            <w:shd w:val="clear" w:color="auto" w:fill="243782"/>
          </w:tcPr>
          <w:p>
            <w:pPr>
              <w:jc w:val="right"/>
              <w:ind w:right="18"/>
              <w:spacing w:after="0"/>
              <w:rPr>
                <w:sz w:val="20"/>
                <w:szCs w:val="20"/>
                <w:color w:val="auto"/>
              </w:rPr>
            </w:pPr>
            <w:r>
              <w:rPr>
                <w:rFonts w:ascii="Arial" w:cs="Arial" w:eastAsia="Arial" w:hAnsi="Arial"/>
                <w:sz w:val="13"/>
                <w:szCs w:val="13"/>
                <w:b w:val="1"/>
                <w:bCs w:val="1"/>
                <w:color w:val="FFFFFF"/>
              </w:rPr>
              <w:t>(311)</w:t>
            </w:r>
          </w:p>
        </w:tc>
        <w:tc>
          <w:tcPr>
            <w:tcW w:w="1140" w:type="dxa"/>
            <w:vAlign w:val="bottom"/>
            <w:tcBorders>
              <w:top w:val="single" w:sz="8" w:color="DBDBDB"/>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244</w:t>
            </w:r>
          </w:p>
        </w:tc>
        <w:tc>
          <w:tcPr>
            <w:tcW w:w="1020" w:type="dxa"/>
            <w:vAlign w:val="bottom"/>
            <w:tcBorders>
              <w:top w:val="single" w:sz="8" w:color="DBDBDB"/>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431</w:t>
            </w:r>
          </w:p>
        </w:tc>
        <w:tc>
          <w:tcPr>
            <w:tcW w:w="1100" w:type="dxa"/>
            <w:vAlign w:val="bottom"/>
            <w:tcBorders>
              <w:top w:val="single" w:sz="8" w:color="DBDBDB"/>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18</w:t>
            </w:r>
          </w:p>
        </w:tc>
        <w:tc>
          <w:tcPr>
            <w:tcW w:w="1020" w:type="dxa"/>
            <w:vAlign w:val="bottom"/>
            <w:tcBorders>
              <w:top w:val="single" w:sz="8" w:color="DBDBDB"/>
            </w:tcBorders>
            <w:shd w:val="clear" w:color="auto" w:fill="243782"/>
          </w:tcPr>
          <w:p>
            <w:pPr>
              <w:jc w:val="right"/>
              <w:ind w:right="77"/>
              <w:spacing w:after="0"/>
              <w:rPr>
                <w:sz w:val="20"/>
                <w:szCs w:val="20"/>
                <w:color w:val="auto"/>
              </w:rPr>
            </w:pPr>
            <w:r>
              <w:rPr>
                <w:rFonts w:ascii="Arial" w:cs="Arial" w:eastAsia="Arial" w:hAnsi="Arial"/>
                <w:sz w:val="13"/>
                <w:szCs w:val="13"/>
                <w:b w:val="1"/>
                <w:bCs w:val="1"/>
                <w:color w:val="FFFFFF"/>
              </w:rPr>
              <w:t>(190)</w:t>
            </w:r>
          </w:p>
        </w:tc>
        <w:tc>
          <w:tcPr>
            <w:tcW w:w="1020" w:type="dxa"/>
            <w:vAlign w:val="bottom"/>
            <w:tcBorders>
              <w:top w:val="single" w:sz="8" w:color="DBDBDB"/>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256</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________________________________________________________________________________________________________________________________________________________________________________________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 Other activities, unallocated items and eliminations</w:t>
      </w:r>
    </w:p>
    <w:p>
      <w:pPr>
        <w:spacing w:after="0" w:line="5"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Related to stop-drive campaigns on certain vehicles, mainly in Enlarged Europe</w:t>
      </w:r>
    </w:p>
    <w:p>
      <w:pPr>
        <w:spacing w:after="0" w:line="3" w:lineRule="exact"/>
        <w:rPr>
          <w:rFonts w:ascii="Arial" w:cs="Arial" w:eastAsia="Arial" w:hAnsi="Arial"/>
          <w:sz w:val="12"/>
          <w:szCs w:val="12"/>
          <w:color w:val="auto"/>
        </w:rPr>
      </w:pPr>
    </w:p>
    <w:p>
      <w:pPr>
        <w:ind w:left="200" w:hanging="192"/>
        <w:spacing w:after="0" w:line="234" w:lineRule="auto"/>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During the three months ended September 30, 2026, the Company recognized a €118 million charge related to its investment in Leasys SAS ("Leasys")</w:t>
      </w:r>
    </w:p>
    <w:p>
      <w:pPr>
        <w:ind w:left="200" w:hanging="192"/>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Primarily related to workforce reductions, mainly in Enlarged Europe</w:t>
      </w:r>
    </w:p>
    <w:p>
      <w:pPr>
        <w:spacing w:after="0" w:line="3" w:lineRule="exact"/>
        <w:rPr>
          <w:rFonts w:ascii="Arial" w:cs="Arial" w:eastAsia="Arial" w:hAnsi="Arial"/>
          <w:sz w:val="12"/>
          <w:szCs w:val="12"/>
          <w:color w:val="auto"/>
        </w:rPr>
      </w:pPr>
    </w:p>
    <w:p>
      <w:pPr>
        <w:ind w:left="200" w:hanging="192"/>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Related to costs incurred as a result of product plan realignments and program cancellations in North America</w:t>
      </w:r>
    </w:p>
    <w:p>
      <w:pPr>
        <w:spacing w:after="0" w:line="3" w:lineRule="exact"/>
        <w:rPr>
          <w:rFonts w:ascii="Arial" w:cs="Arial" w:eastAsia="Arial" w:hAnsi="Arial"/>
          <w:sz w:val="12"/>
          <w:szCs w:val="12"/>
          <w:color w:val="auto"/>
        </w:rPr>
      </w:pPr>
    </w:p>
    <w:p>
      <w:pPr>
        <w:ind w:left="200" w:hanging="192"/>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Comprised primarily of adjustments to costs related to the transformation of certain plants in North America and Enlarged Europe, along with a regulatory impairment charge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60" w:type="dxa"/>
            <w:vAlign w:val="bottom"/>
            <w:tcBorders>
              <w:top w:val="single" w:sz="8" w:color="4C639D"/>
            </w:tcBorders>
            <w:vMerge w:val="restart"/>
          </w:tcPr>
          <w:p>
            <w:pPr>
              <w:ind w:left="780"/>
              <w:spacing w:after="0"/>
              <w:rPr>
                <w:sz w:val="20"/>
                <w:szCs w:val="20"/>
                <w:color w:val="auto"/>
              </w:rPr>
            </w:pPr>
            <w:r>
              <w:rPr>
                <w:rFonts w:ascii="Arial" w:cs="Arial" w:eastAsia="Arial" w:hAnsi="Arial"/>
                <w:sz w:val="22"/>
                <w:szCs w:val="22"/>
                <w:color w:val="243782"/>
              </w:rPr>
              <w:t>Q3 2025</w:t>
            </w:r>
          </w:p>
        </w:tc>
        <w:tc>
          <w:tcPr>
            <w:tcW w:w="1100" w:type="dxa"/>
            <w:vAlign w:val="bottom"/>
            <w:tcBorders>
              <w:top w:val="single" w:sz="8" w:color="4C639D"/>
            </w:tcBorders>
            <w:vMerge w:val="restart"/>
          </w:tcPr>
          <w:p>
            <w:pPr>
              <w:ind w:left="40"/>
              <w:spacing w:after="0"/>
              <w:rPr>
                <w:sz w:val="20"/>
                <w:szCs w:val="20"/>
                <w:color w:val="auto"/>
              </w:rPr>
            </w:pPr>
            <w:r>
              <w:rPr>
                <w:rFonts w:ascii="Arial" w:cs="Arial" w:eastAsia="Arial" w:hAnsi="Arial"/>
                <w:sz w:val="13"/>
                <w:szCs w:val="13"/>
                <w:color w:val="243782"/>
              </w:rPr>
              <w:t>(€ million)</w:t>
            </w:r>
          </w:p>
        </w:tc>
        <w:tc>
          <w:tcPr>
            <w:tcW w:w="1080" w:type="dxa"/>
            <w:vAlign w:val="bottom"/>
            <w:tcBorders>
              <w:top w:val="single" w:sz="8" w:color="4C639D"/>
            </w:tcBorders>
          </w:tcPr>
          <w:p>
            <w:pPr>
              <w:jc w:val="right"/>
              <w:ind w:right="338"/>
              <w:spacing w:after="0"/>
              <w:rPr>
                <w:sz w:val="20"/>
                <w:szCs w:val="20"/>
                <w:color w:val="auto"/>
              </w:rPr>
            </w:pPr>
            <w:r>
              <w:rPr>
                <w:rFonts w:ascii="Arial" w:cs="Arial" w:eastAsia="Arial" w:hAnsi="Arial"/>
                <w:sz w:val="12"/>
                <w:szCs w:val="12"/>
                <w:b w:val="1"/>
                <w:bCs w:val="1"/>
                <w:color w:val="243782"/>
              </w:rPr>
              <w:t>NORTH</w:t>
            </w:r>
          </w:p>
        </w:tc>
        <w:tc>
          <w:tcPr>
            <w:tcW w:w="980" w:type="dxa"/>
            <w:vAlign w:val="bottom"/>
            <w:tcBorders>
              <w:top w:val="single" w:sz="8" w:color="4C639D"/>
            </w:tcBorders>
          </w:tcPr>
          <w:p>
            <w:pPr>
              <w:jc w:val="right"/>
              <w:ind w:right="138"/>
              <w:spacing w:after="0"/>
              <w:rPr>
                <w:sz w:val="20"/>
                <w:szCs w:val="20"/>
                <w:color w:val="auto"/>
              </w:rPr>
            </w:pPr>
            <w:r>
              <w:rPr>
                <w:rFonts w:ascii="Arial" w:cs="Arial" w:eastAsia="Arial" w:hAnsi="Arial"/>
                <w:sz w:val="12"/>
                <w:szCs w:val="12"/>
                <w:b w:val="1"/>
                <w:bCs w:val="1"/>
                <w:color w:val="243782"/>
              </w:rPr>
              <w:t>ENLARGED</w:t>
            </w:r>
          </w:p>
        </w:tc>
        <w:tc>
          <w:tcPr>
            <w:tcW w:w="1160" w:type="dxa"/>
            <w:vAlign w:val="bottom"/>
            <w:tcBorders>
              <w:top w:val="single" w:sz="8" w:color="4C639D"/>
            </w:tcBorders>
          </w:tcPr>
          <w:p>
            <w:pPr>
              <w:jc w:val="right"/>
              <w:ind w:right="98"/>
              <w:spacing w:after="0"/>
              <w:rPr>
                <w:sz w:val="20"/>
                <w:szCs w:val="20"/>
                <w:color w:val="auto"/>
              </w:rPr>
            </w:pPr>
            <w:r>
              <w:rPr>
                <w:rFonts w:ascii="Arial" w:cs="Arial" w:eastAsia="Arial" w:hAnsi="Arial"/>
                <w:sz w:val="12"/>
                <w:szCs w:val="12"/>
                <w:b w:val="1"/>
                <w:bCs w:val="1"/>
                <w:color w:val="243782"/>
              </w:rPr>
              <w:t>MIDDLE EAST &amp;</w:t>
            </w:r>
          </w:p>
        </w:tc>
        <w:tc>
          <w:tcPr>
            <w:tcW w:w="1020" w:type="dxa"/>
            <w:vAlign w:val="bottom"/>
            <w:tcBorders>
              <w:top w:val="single" w:sz="8" w:color="4C639D"/>
            </w:tcBorders>
          </w:tcPr>
          <w:p>
            <w:pPr>
              <w:jc w:val="right"/>
              <w:ind w:right="318"/>
              <w:spacing w:after="0"/>
              <w:rPr>
                <w:sz w:val="20"/>
                <w:szCs w:val="20"/>
                <w:color w:val="auto"/>
              </w:rPr>
            </w:pPr>
            <w:r>
              <w:rPr>
                <w:rFonts w:ascii="Arial" w:cs="Arial" w:eastAsia="Arial" w:hAnsi="Arial"/>
                <w:sz w:val="12"/>
                <w:szCs w:val="12"/>
                <w:b w:val="1"/>
                <w:bCs w:val="1"/>
                <w:color w:val="243782"/>
              </w:rPr>
              <w:t>SOUTH</w:t>
            </w:r>
          </w:p>
        </w:tc>
        <w:tc>
          <w:tcPr>
            <w:tcW w:w="110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shd w:val="clear" w:color="auto" w:fill="24378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4C639D"/>
            </w:tcBorders>
            <w:vMerge w:val="continue"/>
          </w:tcPr>
          <w:p>
            <w:pPr>
              <w:spacing w:after="0"/>
              <w:rPr>
                <w:sz w:val="16"/>
                <w:szCs w:val="16"/>
                <w:color w:val="auto"/>
              </w:rPr>
            </w:pPr>
          </w:p>
        </w:tc>
        <w:tc>
          <w:tcPr>
            <w:tcW w:w="1100" w:type="dxa"/>
            <w:vAlign w:val="bottom"/>
            <w:tcBorders>
              <w:bottom w:val="single" w:sz="8" w:color="4C639D"/>
            </w:tcBorders>
            <w:vMerge w:val="continue"/>
          </w:tcPr>
          <w:p>
            <w:pPr>
              <w:spacing w:after="0"/>
              <w:rPr>
                <w:sz w:val="16"/>
                <w:szCs w:val="16"/>
                <w:color w:val="auto"/>
              </w:rPr>
            </w:pPr>
          </w:p>
        </w:tc>
        <w:tc>
          <w:tcPr>
            <w:tcW w:w="1080" w:type="dxa"/>
            <w:vAlign w:val="bottom"/>
            <w:tcBorders>
              <w:bottom w:val="single" w:sz="8" w:color="4C639D"/>
            </w:tcBorders>
          </w:tcPr>
          <w:p>
            <w:pPr>
              <w:jc w:val="right"/>
              <w:ind w:right="258"/>
              <w:spacing w:after="0"/>
              <w:rPr>
                <w:sz w:val="20"/>
                <w:szCs w:val="20"/>
                <w:color w:val="auto"/>
              </w:rPr>
            </w:pPr>
            <w:r>
              <w:rPr>
                <w:rFonts w:ascii="Arial" w:cs="Arial" w:eastAsia="Arial" w:hAnsi="Arial"/>
                <w:sz w:val="12"/>
                <w:szCs w:val="12"/>
                <w:b w:val="1"/>
                <w:bCs w:val="1"/>
                <w:color w:val="243782"/>
              </w:rPr>
              <w:t>AMERICA</w:t>
            </w:r>
          </w:p>
        </w:tc>
        <w:tc>
          <w:tcPr>
            <w:tcW w:w="980" w:type="dxa"/>
            <w:vAlign w:val="bottom"/>
            <w:tcBorders>
              <w:bottom w:val="single" w:sz="8" w:color="4C639D"/>
            </w:tcBorders>
          </w:tcPr>
          <w:p>
            <w:pPr>
              <w:jc w:val="right"/>
              <w:ind w:right="218"/>
              <w:spacing w:after="0"/>
              <w:rPr>
                <w:sz w:val="20"/>
                <w:szCs w:val="20"/>
                <w:color w:val="auto"/>
              </w:rPr>
            </w:pPr>
            <w:r>
              <w:rPr>
                <w:rFonts w:ascii="Arial" w:cs="Arial" w:eastAsia="Arial" w:hAnsi="Arial"/>
                <w:sz w:val="12"/>
                <w:szCs w:val="12"/>
                <w:b w:val="1"/>
                <w:bCs w:val="1"/>
                <w:color w:val="243782"/>
              </w:rPr>
              <w:t>EUROPE</w:t>
            </w:r>
          </w:p>
        </w:tc>
        <w:tc>
          <w:tcPr>
            <w:tcW w:w="1160" w:type="dxa"/>
            <w:vAlign w:val="bottom"/>
            <w:tcBorders>
              <w:bottom w:val="single" w:sz="8" w:color="4C639D"/>
            </w:tcBorders>
          </w:tcPr>
          <w:p>
            <w:pPr>
              <w:jc w:val="right"/>
              <w:ind w:right="338"/>
              <w:spacing w:after="0"/>
              <w:rPr>
                <w:sz w:val="20"/>
                <w:szCs w:val="20"/>
                <w:color w:val="auto"/>
              </w:rPr>
            </w:pPr>
            <w:r>
              <w:rPr>
                <w:rFonts w:ascii="Arial" w:cs="Arial" w:eastAsia="Arial" w:hAnsi="Arial"/>
                <w:sz w:val="12"/>
                <w:szCs w:val="12"/>
                <w:b w:val="1"/>
                <w:bCs w:val="1"/>
                <w:color w:val="243782"/>
              </w:rPr>
              <w:t>AFRICA</w:t>
            </w:r>
          </w:p>
        </w:tc>
        <w:tc>
          <w:tcPr>
            <w:tcW w:w="102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AMERICA</w:t>
            </w:r>
          </w:p>
        </w:tc>
        <w:tc>
          <w:tcPr>
            <w:tcW w:w="1100" w:type="dxa"/>
            <w:vAlign w:val="bottom"/>
            <w:tcBorders>
              <w:bottom w:val="single" w:sz="8" w:color="4C639D"/>
            </w:tcBorders>
          </w:tcPr>
          <w:p>
            <w:pPr>
              <w:ind w:left="120"/>
              <w:spacing w:after="0"/>
              <w:rPr>
                <w:sz w:val="20"/>
                <w:szCs w:val="20"/>
                <w:color w:val="auto"/>
              </w:rPr>
            </w:pPr>
            <w:r>
              <w:rPr>
                <w:rFonts w:ascii="Arial" w:cs="Arial" w:eastAsia="Arial" w:hAnsi="Arial"/>
                <w:sz w:val="11"/>
                <w:szCs w:val="11"/>
                <w:b w:val="1"/>
                <w:bCs w:val="1"/>
                <w:color w:val="243782"/>
              </w:rPr>
              <w:t>ASIA PACIFIC</w:t>
            </w:r>
          </w:p>
        </w:tc>
        <w:tc>
          <w:tcPr>
            <w:tcW w:w="1020" w:type="dxa"/>
            <w:vAlign w:val="bottom"/>
            <w:tcBorders>
              <w:bottom w:val="single" w:sz="8" w:color="4C639D"/>
            </w:tcBorders>
          </w:tcPr>
          <w:p>
            <w:pPr>
              <w:jc w:val="right"/>
              <w:ind w:right="277"/>
              <w:spacing w:after="0"/>
              <w:rPr>
                <w:sz w:val="20"/>
                <w:szCs w:val="20"/>
                <w:color w:val="auto"/>
              </w:rPr>
            </w:pPr>
            <w:r>
              <w:rPr>
                <w:rFonts w:ascii="Arial" w:cs="Arial" w:eastAsia="Arial" w:hAnsi="Arial"/>
                <w:sz w:val="12"/>
                <w:szCs w:val="12"/>
                <w:b w:val="1"/>
                <w:bCs w:val="1"/>
                <w:color w:val="243782"/>
              </w:rPr>
              <w:t>OTHER</w:t>
            </w:r>
            <w:r>
              <w:rPr>
                <w:rFonts w:ascii="Arial" w:cs="Arial" w:eastAsia="Arial" w:hAnsi="Arial"/>
                <w:sz w:val="15"/>
                <w:szCs w:val="15"/>
                <w:b w:val="1"/>
                <w:bCs w:val="1"/>
                <w:color w:val="243782"/>
                <w:vertAlign w:val="superscript"/>
              </w:rPr>
              <w:t>(*)</w:t>
            </w:r>
          </w:p>
        </w:tc>
        <w:tc>
          <w:tcPr>
            <w:tcW w:w="1020" w:type="dxa"/>
            <w:vAlign w:val="bottom"/>
            <w:tcBorders>
              <w:bottom w:val="single" w:sz="8" w:color="4C639D"/>
            </w:tcBorders>
            <w:shd w:val="clear" w:color="auto" w:fill="243782"/>
          </w:tcPr>
          <w:p>
            <w:pPr>
              <w:jc w:val="right"/>
              <w:ind w:right="97"/>
              <w:spacing w:after="0"/>
              <w:rPr>
                <w:sz w:val="20"/>
                <w:szCs w:val="20"/>
                <w:color w:val="auto"/>
              </w:rPr>
            </w:pPr>
            <w:r>
              <w:rPr>
                <w:rFonts w:ascii="Arial" w:cs="Arial" w:eastAsia="Arial" w:hAnsi="Arial"/>
                <w:sz w:val="12"/>
                <w:szCs w:val="12"/>
                <w:b w:val="1"/>
                <w:bCs w:val="1"/>
                <w:color w:val="FFFFFF"/>
              </w:rPr>
              <w:t>STELLANTIS</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10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3"/>
                <w:szCs w:val="13"/>
                <w:color w:val="auto"/>
              </w:rPr>
              <w:t>16,079</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13,622</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2,053</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3,927</w:t>
            </w:r>
          </w:p>
        </w:tc>
        <w:tc>
          <w:tcPr>
            <w:tcW w:w="1100" w:type="dxa"/>
            <w:vAlign w:val="bottom"/>
          </w:tcPr>
          <w:p>
            <w:pPr>
              <w:ind w:left="680"/>
              <w:spacing w:after="0"/>
              <w:rPr>
                <w:sz w:val="20"/>
                <w:szCs w:val="20"/>
                <w:color w:val="auto"/>
              </w:rPr>
            </w:pPr>
            <w:r>
              <w:rPr>
                <w:rFonts w:ascii="Arial" w:cs="Arial" w:eastAsia="Arial" w:hAnsi="Arial"/>
                <w:sz w:val="13"/>
                <w:szCs w:val="13"/>
                <w:color w:val="auto"/>
              </w:rPr>
              <w:t>476</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1,049</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37,206</w:t>
            </w:r>
          </w:p>
        </w:tc>
        <w:tc>
          <w:tcPr>
            <w:tcW w:w="0" w:type="dxa"/>
            <w:vAlign w:val="bottom"/>
          </w:tcPr>
          <w:p>
            <w:pPr>
              <w:spacing w:after="0"/>
              <w:rPr>
                <w:sz w:val="1"/>
                <w:szCs w:val="1"/>
                <w:color w:val="auto"/>
              </w:rPr>
            </w:pPr>
          </w:p>
        </w:tc>
      </w:tr>
      <w:tr>
        <w:trPr>
          <w:trHeight w:val="210"/>
        </w:trPr>
        <w:tc>
          <w:tcPr>
            <w:tcW w:w="3860" w:type="dxa"/>
            <w:vAlign w:val="bottom"/>
            <w:tcBorders>
              <w:top w:val="single" w:sz="8" w:color="DBDBDB"/>
            </w:tcBorders>
            <w:gridSpan w:val="2"/>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080" w:type="dxa"/>
            <w:vAlign w:val="bottom"/>
            <w:tcBorders>
              <w:top w:val="single" w:sz="8" w:color="DBDBDB"/>
            </w:tcBorders>
          </w:tcPr>
          <w:p>
            <w:pPr>
              <w:jc w:val="right"/>
              <w:ind w:right="118"/>
              <w:spacing w:after="0"/>
              <w:rPr>
                <w:sz w:val="20"/>
                <w:szCs w:val="20"/>
                <w:color w:val="auto"/>
              </w:rPr>
            </w:pPr>
            <w:r>
              <w:rPr>
                <w:rFonts w:ascii="Arial" w:cs="Arial" w:eastAsia="Arial" w:hAnsi="Arial"/>
                <w:sz w:val="13"/>
                <w:szCs w:val="13"/>
                <w:color w:val="auto"/>
              </w:rPr>
              <w:t>8</w:t>
            </w:r>
          </w:p>
        </w:tc>
        <w:tc>
          <w:tcPr>
            <w:tcW w:w="980" w:type="dxa"/>
            <w:vAlign w:val="bottom"/>
            <w:tcBorders>
              <w:top w:val="single" w:sz="8" w:color="DBDBDB"/>
            </w:tcBorders>
          </w:tcPr>
          <w:p>
            <w:pPr>
              <w:jc w:val="right"/>
              <w:ind w:right="38"/>
              <w:spacing w:after="0"/>
              <w:rPr>
                <w:sz w:val="20"/>
                <w:szCs w:val="20"/>
                <w:color w:val="auto"/>
              </w:rPr>
            </w:pPr>
            <w:r>
              <w:rPr>
                <w:rFonts w:ascii="Arial" w:cs="Arial" w:eastAsia="Arial" w:hAnsi="Arial"/>
                <w:sz w:val="13"/>
                <w:szCs w:val="13"/>
                <w:color w:val="auto"/>
              </w:rPr>
              <w:t>9</w:t>
            </w:r>
          </w:p>
        </w:tc>
        <w:tc>
          <w:tcPr>
            <w:tcW w:w="1160" w:type="dxa"/>
            <w:vAlign w:val="bottom"/>
            <w:tcBorders>
              <w:top w:val="single" w:sz="8" w:color="DBDBDB"/>
            </w:tcBorders>
          </w:tcPr>
          <w:p>
            <w:pPr>
              <w:jc w:val="right"/>
              <w:ind w:right="138"/>
              <w:spacing w:after="0"/>
              <w:rPr>
                <w:sz w:val="20"/>
                <w:szCs w:val="20"/>
                <w:color w:val="auto"/>
              </w:rPr>
            </w:pPr>
            <w:r>
              <w:rPr>
                <w:rFonts w:ascii="Arial" w:cs="Arial" w:eastAsia="Arial" w:hAnsi="Arial"/>
                <w:sz w:val="13"/>
                <w:szCs w:val="13"/>
                <w:color w:val="auto"/>
              </w:rPr>
              <w:t>7</w:t>
            </w:r>
          </w:p>
        </w:tc>
        <w:tc>
          <w:tcPr>
            <w:tcW w:w="1020" w:type="dxa"/>
            <w:vAlign w:val="bottom"/>
            <w:tcBorders>
              <w:top w:val="single" w:sz="8" w:color="DBDBDB"/>
            </w:tcBorders>
          </w:tcPr>
          <w:p>
            <w:pPr>
              <w:jc w:val="right"/>
              <w:ind w:right="98"/>
              <w:spacing w:after="0"/>
              <w:rPr>
                <w:sz w:val="20"/>
                <w:szCs w:val="20"/>
                <w:color w:val="auto"/>
              </w:rPr>
            </w:pPr>
            <w:r>
              <w:rPr>
                <w:rFonts w:ascii="Arial" w:cs="Arial" w:eastAsia="Arial" w:hAnsi="Arial"/>
                <w:sz w:val="13"/>
                <w:szCs w:val="13"/>
                <w:color w:val="auto"/>
              </w:rPr>
              <w:t>62</w:t>
            </w:r>
          </w:p>
        </w:tc>
        <w:tc>
          <w:tcPr>
            <w:tcW w:w="1100" w:type="dxa"/>
            <w:vAlign w:val="bottom"/>
            <w:tcBorders>
              <w:top w:val="single" w:sz="8" w:color="DBDBDB"/>
            </w:tcBorders>
          </w:tcPr>
          <w:p>
            <w:pPr>
              <w:ind w:left="76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DBDBDB"/>
            </w:tcBorders>
          </w:tcPr>
          <w:p>
            <w:pPr>
              <w:jc w:val="right"/>
              <w:ind w:right="77"/>
              <w:spacing w:after="0"/>
              <w:rPr>
                <w:sz w:val="20"/>
                <w:szCs w:val="20"/>
                <w:color w:val="auto"/>
              </w:rPr>
            </w:pPr>
            <w:r>
              <w:rPr>
                <w:rFonts w:ascii="Arial" w:cs="Arial" w:eastAsia="Arial" w:hAnsi="Arial"/>
                <w:sz w:val="13"/>
                <w:szCs w:val="13"/>
                <w:color w:val="auto"/>
              </w:rPr>
              <w:t>(86)</w:t>
            </w: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revenues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bottom w:val="single" w:sz="8" w:color="243782"/>
            </w:tcBorders>
            <w:shd w:val="clear" w:color="auto" w:fill="243782"/>
          </w:tcPr>
          <w:p>
            <w:pPr>
              <w:jc w:val="right"/>
              <w:ind w:right="118"/>
              <w:spacing w:after="0"/>
              <w:rPr>
                <w:sz w:val="20"/>
                <w:szCs w:val="20"/>
                <w:color w:val="auto"/>
              </w:rPr>
            </w:pPr>
            <w:r>
              <w:rPr>
                <w:rFonts w:ascii="Arial" w:cs="Arial" w:eastAsia="Arial" w:hAnsi="Arial"/>
                <w:sz w:val="13"/>
                <w:szCs w:val="13"/>
                <w:b w:val="1"/>
                <w:bCs w:val="1"/>
                <w:color w:val="FFFFFF"/>
              </w:rPr>
              <w:t>16,087</w:t>
            </w:r>
          </w:p>
        </w:tc>
        <w:tc>
          <w:tcPr>
            <w:tcW w:w="980" w:type="dxa"/>
            <w:vAlign w:val="bottom"/>
            <w:tcBorders>
              <w:top w:val="single" w:sz="8" w:color="DBDBDB"/>
              <w:bottom w:val="single" w:sz="8" w:color="243782"/>
            </w:tcBorders>
            <w:shd w:val="clear" w:color="auto" w:fill="243782"/>
          </w:tcPr>
          <w:p>
            <w:pPr>
              <w:jc w:val="right"/>
              <w:ind w:right="38"/>
              <w:spacing w:after="0"/>
              <w:rPr>
                <w:sz w:val="20"/>
                <w:szCs w:val="20"/>
                <w:color w:val="auto"/>
              </w:rPr>
            </w:pPr>
            <w:r>
              <w:rPr>
                <w:rFonts w:ascii="Arial" w:cs="Arial" w:eastAsia="Arial" w:hAnsi="Arial"/>
                <w:sz w:val="13"/>
                <w:szCs w:val="13"/>
                <w:b w:val="1"/>
                <w:bCs w:val="1"/>
                <w:color w:val="FFFFFF"/>
              </w:rPr>
              <w:t>13,631</w:t>
            </w:r>
          </w:p>
        </w:tc>
        <w:tc>
          <w:tcPr>
            <w:tcW w:w="1160" w:type="dxa"/>
            <w:vAlign w:val="bottom"/>
            <w:tcBorders>
              <w:top w:val="single" w:sz="8" w:color="DBDBDB"/>
              <w:bottom w:val="single" w:sz="8" w:color="243782"/>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2,060</w:t>
            </w:r>
          </w:p>
        </w:tc>
        <w:tc>
          <w:tcPr>
            <w:tcW w:w="1020" w:type="dxa"/>
            <w:vAlign w:val="bottom"/>
            <w:tcBorders>
              <w:top w:val="single" w:sz="8" w:color="DBDBDB"/>
              <w:bottom w:val="single" w:sz="8" w:color="243782"/>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3,989</w:t>
            </w:r>
          </w:p>
        </w:tc>
        <w:tc>
          <w:tcPr>
            <w:tcW w:w="1100" w:type="dxa"/>
            <w:vAlign w:val="bottom"/>
            <w:tcBorders>
              <w:top w:val="single" w:sz="8" w:color="DBDBDB"/>
              <w:bottom w:val="single" w:sz="8" w:color="243782"/>
            </w:tcBorders>
            <w:shd w:val="clear" w:color="auto" w:fill="243782"/>
          </w:tcPr>
          <w:p>
            <w:pPr>
              <w:ind w:left="680"/>
              <w:spacing w:after="0"/>
              <w:rPr>
                <w:sz w:val="20"/>
                <w:szCs w:val="20"/>
                <w:color w:val="auto"/>
              </w:rPr>
            </w:pPr>
            <w:r>
              <w:rPr>
                <w:rFonts w:ascii="Arial" w:cs="Arial" w:eastAsia="Arial" w:hAnsi="Arial"/>
                <w:sz w:val="13"/>
                <w:szCs w:val="13"/>
                <w:b w:val="1"/>
                <w:bCs w:val="1"/>
                <w:color w:val="FFFFFF"/>
              </w:rPr>
              <w:t>476</w:t>
            </w:r>
          </w:p>
        </w:tc>
        <w:tc>
          <w:tcPr>
            <w:tcW w:w="1020" w:type="dxa"/>
            <w:vAlign w:val="bottom"/>
            <w:tcBorders>
              <w:top w:val="single" w:sz="8" w:color="DBDBDB"/>
              <w:bottom w:val="single" w:sz="8" w:color="243782"/>
            </w:tcBorders>
            <w:shd w:val="clear" w:color="auto" w:fill="243782"/>
          </w:tcPr>
          <w:p>
            <w:pPr>
              <w:jc w:val="right"/>
              <w:ind w:right="117"/>
              <w:spacing w:after="0"/>
              <w:rPr>
                <w:sz w:val="20"/>
                <w:szCs w:val="20"/>
                <w:color w:val="auto"/>
              </w:rPr>
            </w:pPr>
            <w:r>
              <w:rPr>
                <w:rFonts w:ascii="Arial" w:cs="Arial" w:eastAsia="Arial" w:hAnsi="Arial"/>
                <w:sz w:val="13"/>
                <w:szCs w:val="13"/>
                <w:b w:val="1"/>
                <w:bCs w:val="1"/>
                <w:color w:val="FFFFFF"/>
              </w:rPr>
              <w:t>963</w:t>
            </w:r>
          </w:p>
        </w:tc>
        <w:tc>
          <w:tcPr>
            <w:tcW w:w="1020" w:type="dxa"/>
            <w:vAlign w:val="bottom"/>
            <w:tcBorders>
              <w:top w:val="single" w:sz="8" w:color="DBDBDB"/>
              <w:bottom w:val="single" w:sz="8" w:color="243782"/>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37,206</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profit/(loss)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980" w:type="dxa"/>
            <w:vAlign w:val="bottom"/>
            <w:tcBorders>
              <w:top w:val="single" w:sz="8" w:color="DBDBDB"/>
            </w:tcBorders>
          </w:tcPr>
          <w:p>
            <w:pPr>
              <w:spacing w:after="0"/>
              <w:rPr>
                <w:sz w:val="18"/>
                <w:szCs w:val="18"/>
                <w:color w:val="auto"/>
              </w:rPr>
            </w:pPr>
          </w:p>
        </w:tc>
        <w:tc>
          <w:tcPr>
            <w:tcW w:w="11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(4,532)</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Tax expense/(benefit)</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980" w:type="dxa"/>
            <w:vAlign w:val="bottom"/>
            <w:tcBorders>
              <w:top w:val="single" w:sz="8" w:color="DBDBDB"/>
            </w:tcBorders>
          </w:tcPr>
          <w:p>
            <w:pPr>
              <w:spacing w:after="0"/>
              <w:rPr>
                <w:sz w:val="18"/>
                <w:szCs w:val="18"/>
                <w:color w:val="auto"/>
              </w:rPr>
            </w:pPr>
          </w:p>
        </w:tc>
        <w:tc>
          <w:tcPr>
            <w:tcW w:w="11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(1,163)</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Net financial expenses/(income)</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980" w:type="dxa"/>
            <w:vAlign w:val="bottom"/>
            <w:tcBorders>
              <w:top w:val="single" w:sz="8" w:color="DBDBDB"/>
            </w:tcBorders>
          </w:tcPr>
          <w:p>
            <w:pPr>
              <w:spacing w:after="0"/>
              <w:rPr>
                <w:sz w:val="18"/>
                <w:szCs w:val="18"/>
                <w:color w:val="auto"/>
              </w:rPr>
            </w:pPr>
          </w:p>
        </w:tc>
        <w:tc>
          <w:tcPr>
            <w:tcW w:w="11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(6)</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4C639D"/>
            </w:tcBorders>
          </w:tcPr>
          <w:p>
            <w:pPr>
              <w:spacing w:after="0"/>
              <w:rPr>
                <w:sz w:val="18"/>
                <w:szCs w:val="18"/>
                <w:color w:val="auto"/>
              </w:rPr>
            </w:pPr>
          </w:p>
        </w:tc>
        <w:tc>
          <w:tcPr>
            <w:tcW w:w="980" w:type="dxa"/>
            <w:vAlign w:val="bottom"/>
            <w:tcBorders>
              <w:top w:val="single" w:sz="8" w:color="4C639D"/>
            </w:tcBorders>
          </w:tcPr>
          <w:p>
            <w:pPr>
              <w:spacing w:after="0"/>
              <w:rPr>
                <w:sz w:val="18"/>
                <w:szCs w:val="18"/>
                <w:color w:val="auto"/>
              </w:rPr>
            </w:pPr>
          </w:p>
        </w:tc>
        <w:tc>
          <w:tcPr>
            <w:tcW w:w="116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10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(5,701)</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Adjustments: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980" w:type="dxa"/>
            <w:vAlign w:val="bottom"/>
            <w:tcBorders>
              <w:top w:val="single" w:sz="8" w:color="DBDBDB"/>
            </w:tcBorders>
          </w:tcPr>
          <w:p>
            <w:pPr>
              <w:spacing w:after="0"/>
              <w:rPr>
                <w:sz w:val="18"/>
                <w:szCs w:val="18"/>
                <w:color w:val="auto"/>
              </w:rPr>
            </w:pPr>
          </w:p>
        </w:tc>
        <w:tc>
          <w:tcPr>
            <w:tcW w:w="11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3"/>
                <w:szCs w:val="13"/>
                <w:color w:val="auto"/>
                <w:w w:val="98"/>
              </w:rPr>
              <w:t>Change in estimate for contractual warranties</w:t>
            </w:r>
            <w:r>
              <w:rPr>
                <w:rFonts w:ascii="Arial" w:cs="Arial" w:eastAsia="Arial" w:hAnsi="Arial"/>
                <w:sz w:val="16"/>
                <w:szCs w:val="16"/>
                <w:color w:val="auto"/>
                <w:w w:val="98"/>
                <w:vertAlign w:val="superscript"/>
              </w:rPr>
              <w:t>(A)</w:t>
            </w:r>
          </w:p>
        </w:tc>
        <w:tc>
          <w:tcPr>
            <w:tcW w:w="1100" w:type="dxa"/>
            <w:vAlign w:val="bottom"/>
            <w:tcBorders>
              <w:top w:val="single" w:sz="8" w:color="DBDBDB"/>
              <w:bottom w:val="single" w:sz="8" w:color="DBDBDB"/>
            </w:tcBorders>
          </w:tcPr>
          <w:p>
            <w:pPr>
              <w:spacing w:after="0"/>
              <w:rPr>
                <w:sz w:val="18"/>
                <w:szCs w:val="18"/>
                <w:color w:val="auto"/>
              </w:rPr>
            </w:pPr>
          </w:p>
        </w:tc>
        <w:tc>
          <w:tcPr>
            <w:tcW w:w="1080" w:type="dxa"/>
            <w:vAlign w:val="bottom"/>
            <w:tcBorders>
              <w:top w:val="single" w:sz="8" w:color="DBDBDB"/>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3,252</w:t>
            </w:r>
          </w:p>
        </w:tc>
        <w:tc>
          <w:tcPr>
            <w:tcW w:w="980" w:type="dxa"/>
            <w:vAlign w:val="bottom"/>
            <w:tcBorders>
              <w:top w:val="single" w:sz="8" w:color="DBDBDB"/>
              <w:bottom w:val="single" w:sz="8" w:color="DBDBDB"/>
            </w:tcBorders>
          </w:tcPr>
          <w:p>
            <w:pPr>
              <w:jc w:val="right"/>
              <w:ind w:right="38"/>
              <w:spacing w:after="0"/>
              <w:rPr>
                <w:sz w:val="20"/>
                <w:szCs w:val="20"/>
                <w:color w:val="auto"/>
              </w:rPr>
            </w:pPr>
            <w:r>
              <w:rPr>
                <w:rFonts w:ascii="Arial" w:cs="Arial" w:eastAsia="Arial" w:hAnsi="Arial"/>
                <w:sz w:val="13"/>
                <w:szCs w:val="13"/>
                <w:b w:val="1"/>
                <w:bCs w:val="1"/>
                <w:color w:val="4C639D"/>
              </w:rPr>
              <w:t>—</w:t>
            </w:r>
          </w:p>
        </w:tc>
        <w:tc>
          <w:tcPr>
            <w:tcW w:w="1160" w:type="dxa"/>
            <w:vAlign w:val="bottom"/>
            <w:tcBorders>
              <w:top w:val="single" w:sz="8" w:color="DBDBDB"/>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top w:val="single" w:sz="8" w:color="DBDBDB"/>
              <w:bottom w:val="single" w:sz="8" w:color="DBDBDB"/>
            </w:tcBorders>
          </w:tcPr>
          <w:p>
            <w:pPr>
              <w:ind w:left="760"/>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3,252</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Costs related to program cancellations</w:t>
            </w:r>
            <w:r>
              <w:rPr>
                <w:rFonts w:ascii="Arial" w:cs="Arial" w:eastAsia="Arial" w:hAnsi="Arial"/>
                <w:sz w:val="16"/>
                <w:szCs w:val="16"/>
                <w:color w:val="auto"/>
                <w:vertAlign w:val="superscript"/>
              </w:rPr>
              <w:t>(B)</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1,734</w:t>
            </w:r>
          </w:p>
        </w:tc>
        <w:tc>
          <w:tcPr>
            <w:tcW w:w="980" w:type="dxa"/>
            <w:vAlign w:val="bottom"/>
            <w:tcBorders>
              <w:bottom w:val="single" w:sz="8" w:color="DBDBDB"/>
            </w:tcBorders>
          </w:tcPr>
          <w:p>
            <w:pPr>
              <w:jc w:val="right"/>
              <w:ind w:right="38"/>
              <w:spacing w:after="0"/>
              <w:rPr>
                <w:sz w:val="20"/>
                <w:szCs w:val="20"/>
                <w:color w:val="auto"/>
              </w:rPr>
            </w:pPr>
            <w:r>
              <w:rPr>
                <w:rFonts w:ascii="Arial" w:cs="Arial" w:eastAsia="Arial" w:hAnsi="Arial"/>
                <w:sz w:val="13"/>
                <w:szCs w:val="13"/>
                <w:b w:val="1"/>
                <w:bCs w:val="1"/>
                <w:color w:val="4C639D"/>
              </w:rPr>
              <w:t>12</w:t>
            </w:r>
          </w:p>
        </w:tc>
        <w:tc>
          <w:tcPr>
            <w:tcW w:w="116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2</w:t>
            </w:r>
          </w:p>
        </w:tc>
        <w:tc>
          <w:tcPr>
            <w:tcW w:w="1100" w:type="dxa"/>
            <w:vAlign w:val="bottom"/>
            <w:tcBorders>
              <w:bottom w:val="single" w:sz="8" w:color="DBDBDB"/>
            </w:tcBorders>
          </w:tcPr>
          <w:p>
            <w:pPr>
              <w:ind w:left="760"/>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1,748</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w w:val="96"/>
              </w:rPr>
              <w:t>Restructuring and other costs, net of reversals</w:t>
            </w:r>
            <w:r>
              <w:rPr>
                <w:rFonts w:ascii="Arial" w:cs="Arial" w:eastAsia="Arial" w:hAnsi="Arial"/>
                <w:sz w:val="16"/>
                <w:szCs w:val="16"/>
                <w:color w:val="auto"/>
                <w:w w:val="96"/>
                <w:vertAlign w:val="superscript"/>
              </w:rPr>
              <w:t>(C)</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(31)</w:t>
            </w:r>
          </w:p>
        </w:tc>
        <w:tc>
          <w:tcPr>
            <w:tcW w:w="980" w:type="dxa"/>
            <w:vAlign w:val="bottom"/>
            <w:tcBorders>
              <w:bottom w:val="single" w:sz="8" w:color="DBDBDB"/>
            </w:tcBorders>
          </w:tcPr>
          <w:p>
            <w:pPr>
              <w:jc w:val="right"/>
              <w:ind w:right="38"/>
              <w:spacing w:after="0"/>
              <w:rPr>
                <w:sz w:val="20"/>
                <w:szCs w:val="20"/>
                <w:color w:val="auto"/>
              </w:rPr>
            </w:pPr>
            <w:r>
              <w:rPr>
                <w:rFonts w:ascii="Arial" w:cs="Arial" w:eastAsia="Arial" w:hAnsi="Arial"/>
                <w:sz w:val="13"/>
                <w:szCs w:val="13"/>
                <w:b w:val="1"/>
                <w:bCs w:val="1"/>
                <w:color w:val="4C639D"/>
              </w:rPr>
              <w:t>411</w:t>
            </w:r>
          </w:p>
        </w:tc>
        <w:tc>
          <w:tcPr>
            <w:tcW w:w="116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6</w:t>
            </w:r>
          </w:p>
        </w:tc>
        <w:tc>
          <w:tcPr>
            <w:tcW w:w="1100" w:type="dxa"/>
            <w:vAlign w:val="bottom"/>
            <w:tcBorders>
              <w:bottom w:val="single" w:sz="8" w:color="DBDBDB"/>
            </w:tcBorders>
          </w:tcPr>
          <w:p>
            <w:pPr>
              <w:ind w:left="760"/>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15</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401</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Fuel cell program discontinuation</w:t>
            </w:r>
            <w:r>
              <w:rPr>
                <w:rFonts w:ascii="Arial" w:cs="Arial" w:eastAsia="Arial" w:hAnsi="Arial"/>
                <w:sz w:val="16"/>
                <w:szCs w:val="16"/>
                <w:color w:val="auto"/>
                <w:vertAlign w:val="superscript"/>
              </w:rPr>
              <w:t>(D)</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980" w:type="dxa"/>
            <w:vAlign w:val="bottom"/>
            <w:tcBorders>
              <w:bottom w:val="single" w:sz="8" w:color="DBDBDB"/>
            </w:tcBorders>
          </w:tcPr>
          <w:p>
            <w:pPr>
              <w:jc w:val="right"/>
              <w:ind w:right="38"/>
              <w:spacing w:after="0"/>
              <w:rPr>
                <w:sz w:val="20"/>
                <w:szCs w:val="20"/>
                <w:color w:val="auto"/>
              </w:rPr>
            </w:pPr>
            <w:r>
              <w:rPr>
                <w:rFonts w:ascii="Arial" w:cs="Arial" w:eastAsia="Arial" w:hAnsi="Arial"/>
                <w:sz w:val="13"/>
                <w:szCs w:val="13"/>
                <w:b w:val="1"/>
                <w:bCs w:val="1"/>
                <w:color w:val="4C639D"/>
              </w:rPr>
              <w:t>79</w:t>
            </w:r>
          </w:p>
        </w:tc>
        <w:tc>
          <w:tcPr>
            <w:tcW w:w="116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ind w:left="760"/>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79</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(E)</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980" w:type="dxa"/>
            <w:vAlign w:val="bottom"/>
            <w:tcBorders>
              <w:bottom w:val="single" w:sz="8" w:color="DBDBDB"/>
            </w:tcBorders>
          </w:tcPr>
          <w:p>
            <w:pPr>
              <w:jc w:val="right"/>
              <w:ind w:right="38"/>
              <w:spacing w:after="0"/>
              <w:rPr>
                <w:sz w:val="20"/>
                <w:szCs w:val="20"/>
                <w:color w:val="auto"/>
              </w:rPr>
            </w:pPr>
            <w:r>
              <w:rPr>
                <w:rFonts w:ascii="Arial" w:cs="Arial" w:eastAsia="Arial" w:hAnsi="Arial"/>
                <w:sz w:val="13"/>
                <w:szCs w:val="13"/>
                <w:b w:val="1"/>
                <w:bCs w:val="1"/>
                <w:color w:val="4C639D"/>
              </w:rPr>
              <w:t>50</w:t>
            </w:r>
          </w:p>
        </w:tc>
        <w:tc>
          <w:tcPr>
            <w:tcW w:w="116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6</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ind w:left="760"/>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56</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3"/>
                <w:szCs w:val="13"/>
                <w:color w:val="auto"/>
              </w:rPr>
              <w:t>Platform impairments</w:t>
            </w:r>
          </w:p>
        </w:tc>
        <w:tc>
          <w:tcPr>
            <w:tcW w:w="110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3"/>
                <w:szCs w:val="13"/>
                <w:b w:val="1"/>
                <w:bCs w:val="1"/>
                <w:color w:val="4C639D"/>
              </w:rPr>
              <w:t>—</w:t>
            </w:r>
          </w:p>
        </w:tc>
        <w:tc>
          <w:tcPr>
            <w:tcW w:w="980" w:type="dxa"/>
            <w:vAlign w:val="bottom"/>
          </w:tcPr>
          <w:p>
            <w:pPr>
              <w:jc w:val="right"/>
              <w:ind w:right="38"/>
              <w:spacing w:after="0"/>
              <w:rPr>
                <w:sz w:val="20"/>
                <w:szCs w:val="20"/>
                <w:color w:val="auto"/>
              </w:rPr>
            </w:pPr>
            <w:r>
              <w:rPr>
                <w:rFonts w:ascii="Arial" w:cs="Arial" w:eastAsia="Arial" w:hAnsi="Arial"/>
                <w:sz w:val="13"/>
                <w:szCs w:val="13"/>
                <w:b w:val="1"/>
                <w:bCs w:val="1"/>
                <w:color w:val="4C639D"/>
              </w:rPr>
              <w:t>1</w:t>
            </w:r>
          </w:p>
        </w:tc>
        <w:tc>
          <w:tcPr>
            <w:tcW w:w="1160" w:type="dxa"/>
            <w:vAlign w:val="bottom"/>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Pr>
          <w:p>
            <w:pPr>
              <w:ind w:left="760"/>
              <w:spacing w:after="0"/>
              <w:rPr>
                <w:sz w:val="20"/>
                <w:szCs w:val="20"/>
                <w:color w:val="auto"/>
              </w:rPr>
            </w:pPr>
            <w:r>
              <w:rPr>
                <w:rFonts w:ascii="Arial" w:cs="Arial" w:eastAsia="Arial" w:hAnsi="Arial"/>
                <w:sz w:val="13"/>
                <w:szCs w:val="13"/>
                <w:b w:val="1"/>
                <w:bCs w:val="1"/>
                <w:color w:val="4C639D"/>
              </w:rPr>
              <w:t>—</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(F)</w:t>
            </w:r>
          </w:p>
        </w:tc>
        <w:tc>
          <w:tcPr>
            <w:tcW w:w="1100" w:type="dxa"/>
            <w:vAlign w:val="bottom"/>
            <w:tcBorders>
              <w:top w:val="single" w:sz="8" w:color="DBDBDB"/>
              <w:bottom w:val="single" w:sz="8" w:color="DBDBDB"/>
            </w:tcBorders>
          </w:tcPr>
          <w:p>
            <w:pPr>
              <w:spacing w:after="0"/>
              <w:rPr>
                <w:sz w:val="18"/>
                <w:szCs w:val="18"/>
                <w:color w:val="auto"/>
              </w:rPr>
            </w:pPr>
          </w:p>
        </w:tc>
        <w:tc>
          <w:tcPr>
            <w:tcW w:w="1080" w:type="dxa"/>
            <w:vAlign w:val="bottom"/>
            <w:tcBorders>
              <w:top w:val="single" w:sz="8" w:color="DBDBDB"/>
              <w:bottom w:val="single" w:sz="8" w:color="4C639D"/>
            </w:tcBorders>
          </w:tcPr>
          <w:p>
            <w:pPr>
              <w:jc w:val="right"/>
              <w:ind w:right="118"/>
              <w:spacing w:after="0"/>
              <w:rPr>
                <w:sz w:val="20"/>
                <w:szCs w:val="20"/>
                <w:color w:val="auto"/>
              </w:rPr>
            </w:pPr>
            <w:r>
              <w:rPr>
                <w:rFonts w:ascii="Arial" w:cs="Arial" w:eastAsia="Arial" w:hAnsi="Arial"/>
                <w:sz w:val="13"/>
                <w:szCs w:val="13"/>
                <w:b w:val="1"/>
                <w:bCs w:val="1"/>
                <w:color w:val="4C639D"/>
              </w:rPr>
              <w:t>257</w:t>
            </w:r>
          </w:p>
        </w:tc>
        <w:tc>
          <w:tcPr>
            <w:tcW w:w="980" w:type="dxa"/>
            <w:vAlign w:val="bottom"/>
            <w:tcBorders>
              <w:top w:val="single" w:sz="8" w:color="DBDBDB"/>
              <w:bottom w:val="single" w:sz="8" w:color="4C639D"/>
            </w:tcBorders>
          </w:tcPr>
          <w:p>
            <w:pPr>
              <w:jc w:val="right"/>
              <w:ind w:right="38"/>
              <w:spacing w:after="0"/>
              <w:rPr>
                <w:sz w:val="20"/>
                <w:szCs w:val="20"/>
                <w:color w:val="auto"/>
              </w:rPr>
            </w:pPr>
            <w:r>
              <w:rPr>
                <w:rFonts w:ascii="Arial" w:cs="Arial" w:eastAsia="Arial" w:hAnsi="Arial"/>
                <w:sz w:val="13"/>
                <w:szCs w:val="13"/>
                <w:b w:val="1"/>
                <w:bCs w:val="1"/>
                <w:color w:val="4C639D"/>
              </w:rPr>
              <w:t>13</w:t>
            </w:r>
          </w:p>
        </w:tc>
        <w:tc>
          <w:tcPr>
            <w:tcW w:w="1160" w:type="dxa"/>
            <w:vAlign w:val="bottom"/>
            <w:tcBorders>
              <w:top w:val="single" w:sz="8" w:color="DBDBDB"/>
              <w:bottom w:val="single" w:sz="8" w:color="4C639D"/>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4C639D"/>
            </w:tcBorders>
          </w:tcPr>
          <w:p>
            <w:pPr>
              <w:jc w:val="right"/>
              <w:ind w:right="58"/>
              <w:spacing w:after="0"/>
              <w:rPr>
                <w:sz w:val="20"/>
                <w:szCs w:val="20"/>
                <w:color w:val="auto"/>
              </w:rPr>
            </w:pPr>
            <w:r>
              <w:rPr>
                <w:rFonts w:ascii="Arial" w:cs="Arial" w:eastAsia="Arial" w:hAnsi="Arial"/>
                <w:sz w:val="13"/>
                <w:szCs w:val="13"/>
                <w:b w:val="1"/>
                <w:bCs w:val="1"/>
                <w:color w:val="4C639D"/>
              </w:rPr>
              <w:t>(1)</w:t>
            </w:r>
          </w:p>
        </w:tc>
        <w:tc>
          <w:tcPr>
            <w:tcW w:w="1100" w:type="dxa"/>
            <w:vAlign w:val="bottom"/>
            <w:tcBorders>
              <w:top w:val="single" w:sz="8" w:color="DBDBDB"/>
              <w:bottom w:val="single" w:sz="8" w:color="4C639D"/>
            </w:tcBorders>
          </w:tcPr>
          <w:p>
            <w:pPr>
              <w:ind w:left="780"/>
              <w:spacing w:after="0"/>
              <w:rPr>
                <w:sz w:val="20"/>
                <w:szCs w:val="20"/>
                <w:color w:val="auto"/>
              </w:rPr>
            </w:pPr>
            <w:r>
              <w:rPr>
                <w:rFonts w:ascii="Arial" w:cs="Arial" w:eastAsia="Arial" w:hAnsi="Arial"/>
                <w:sz w:val="13"/>
                <w:szCs w:val="13"/>
                <w:b w:val="1"/>
                <w:bCs w:val="1"/>
                <w:color w:val="4C639D"/>
              </w:rPr>
              <w:t>(5)</w:t>
            </w:r>
          </w:p>
        </w:tc>
        <w:tc>
          <w:tcPr>
            <w:tcW w:w="1020" w:type="dxa"/>
            <w:vAlign w:val="bottom"/>
            <w:tcBorders>
              <w:top w:val="single" w:sz="8" w:color="DBDBDB"/>
              <w:bottom w:val="single" w:sz="8" w:color="4C639D"/>
            </w:tcBorders>
          </w:tcPr>
          <w:p>
            <w:pPr>
              <w:jc w:val="right"/>
              <w:ind w:right="77"/>
              <w:spacing w:after="0"/>
              <w:rPr>
                <w:sz w:val="20"/>
                <w:szCs w:val="20"/>
                <w:color w:val="auto"/>
              </w:rPr>
            </w:pPr>
            <w:r>
              <w:rPr>
                <w:rFonts w:ascii="Arial" w:cs="Arial" w:eastAsia="Arial" w:hAnsi="Arial"/>
                <w:sz w:val="13"/>
                <w:szCs w:val="13"/>
                <w:b w:val="1"/>
                <w:bCs w:val="1"/>
                <w:color w:val="4C639D"/>
              </w:rPr>
              <w:t>(10)</w:t>
            </w:r>
          </w:p>
        </w:tc>
        <w:tc>
          <w:tcPr>
            <w:tcW w:w="1020" w:type="dxa"/>
            <w:vAlign w:val="bottom"/>
            <w:tcBorders>
              <w:top w:val="single" w:sz="8" w:color="DBDBDB"/>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254</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10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3"/>
                <w:szCs w:val="13"/>
                <w:b w:val="1"/>
                <w:bCs w:val="1"/>
                <w:color w:val="4C639D"/>
              </w:rPr>
              <w:t>5,212</w:t>
            </w:r>
          </w:p>
        </w:tc>
        <w:tc>
          <w:tcPr>
            <w:tcW w:w="980" w:type="dxa"/>
            <w:vAlign w:val="bottom"/>
          </w:tcPr>
          <w:p>
            <w:pPr>
              <w:jc w:val="right"/>
              <w:ind w:right="38"/>
              <w:spacing w:after="0"/>
              <w:rPr>
                <w:sz w:val="20"/>
                <w:szCs w:val="20"/>
                <w:color w:val="auto"/>
              </w:rPr>
            </w:pPr>
            <w:r>
              <w:rPr>
                <w:rFonts w:ascii="Arial" w:cs="Arial" w:eastAsia="Arial" w:hAnsi="Arial"/>
                <w:sz w:val="13"/>
                <w:szCs w:val="13"/>
                <w:b w:val="1"/>
                <w:bCs w:val="1"/>
                <w:color w:val="4C639D"/>
              </w:rPr>
              <w:t>566</w:t>
            </w:r>
          </w:p>
        </w:tc>
        <w:tc>
          <w:tcPr>
            <w:tcW w:w="1160" w:type="dxa"/>
            <w:vAlign w:val="bottom"/>
          </w:tcPr>
          <w:p>
            <w:pPr>
              <w:jc w:val="right"/>
              <w:ind w:right="138"/>
              <w:spacing w:after="0"/>
              <w:rPr>
                <w:sz w:val="20"/>
                <w:szCs w:val="20"/>
                <w:color w:val="auto"/>
              </w:rPr>
            </w:pPr>
            <w:r>
              <w:rPr>
                <w:rFonts w:ascii="Arial" w:cs="Arial" w:eastAsia="Arial" w:hAnsi="Arial"/>
                <w:sz w:val="13"/>
                <w:szCs w:val="13"/>
                <w:b w:val="1"/>
                <w:bCs w:val="1"/>
                <w:color w:val="4C639D"/>
              </w:rPr>
              <w:t>6</w:t>
            </w:r>
          </w:p>
        </w:tc>
        <w:tc>
          <w:tcPr>
            <w:tcW w:w="1020" w:type="dxa"/>
            <w:vAlign w:val="bottom"/>
          </w:tcPr>
          <w:p>
            <w:pPr>
              <w:jc w:val="right"/>
              <w:ind w:right="98"/>
              <w:spacing w:after="0"/>
              <w:rPr>
                <w:sz w:val="20"/>
                <w:szCs w:val="20"/>
                <w:color w:val="auto"/>
              </w:rPr>
            </w:pPr>
            <w:r>
              <w:rPr>
                <w:rFonts w:ascii="Arial" w:cs="Arial" w:eastAsia="Arial" w:hAnsi="Arial"/>
                <w:sz w:val="13"/>
                <w:szCs w:val="13"/>
                <w:b w:val="1"/>
                <w:bCs w:val="1"/>
                <w:color w:val="4C639D"/>
              </w:rPr>
              <w:t>7</w:t>
            </w:r>
          </w:p>
        </w:tc>
        <w:tc>
          <w:tcPr>
            <w:tcW w:w="1100" w:type="dxa"/>
            <w:vAlign w:val="bottom"/>
          </w:tcPr>
          <w:p>
            <w:pPr>
              <w:ind w:left="780"/>
              <w:spacing w:after="0"/>
              <w:rPr>
                <w:sz w:val="20"/>
                <w:szCs w:val="20"/>
                <w:color w:val="auto"/>
              </w:rPr>
            </w:pPr>
            <w:r>
              <w:rPr>
                <w:rFonts w:ascii="Arial" w:cs="Arial" w:eastAsia="Arial" w:hAnsi="Arial"/>
                <w:sz w:val="13"/>
                <w:szCs w:val="13"/>
                <w:b w:val="1"/>
                <w:bCs w:val="1"/>
                <w:color w:val="4C639D"/>
              </w:rPr>
              <w:t>(5)</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4C639D"/>
              </w:rPr>
              <w:t>5</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5,791</w:t>
            </w:r>
          </w:p>
        </w:tc>
        <w:tc>
          <w:tcPr>
            <w:tcW w:w="0" w:type="dxa"/>
            <w:vAlign w:val="bottom"/>
          </w:tcPr>
          <w:p>
            <w:pPr>
              <w:spacing w:after="0"/>
              <w:rPr>
                <w:sz w:val="1"/>
                <w:szCs w:val="1"/>
                <w:color w:val="auto"/>
              </w:rPr>
            </w:pPr>
          </w:p>
        </w:tc>
      </w:tr>
      <w:tr>
        <w:trPr>
          <w:trHeight w:val="223"/>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4C639D"/>
              </w:rPr>
              <w:t>Adjusted operating income/(loss)</w:t>
            </w:r>
            <w:r>
              <w:rPr>
                <w:rFonts w:ascii="Arial" w:cs="Arial" w:eastAsia="Arial" w:hAnsi="Arial"/>
                <w:sz w:val="16"/>
                <w:szCs w:val="16"/>
                <w:b w:val="1"/>
                <w:bCs w:val="1"/>
                <w:color w:val="4C639D"/>
                <w:vertAlign w:val="superscript"/>
              </w:rPr>
              <w:t>(1)</w:t>
            </w:r>
          </w:p>
        </w:tc>
        <w:tc>
          <w:tcPr>
            <w:tcW w:w="1100" w:type="dxa"/>
            <w:vAlign w:val="bottom"/>
            <w:tcBorders>
              <w:top w:val="single" w:sz="8" w:color="DBDBDB"/>
            </w:tcBorders>
          </w:tcPr>
          <w:p>
            <w:pPr>
              <w:spacing w:after="0"/>
              <w:rPr>
                <w:sz w:val="19"/>
                <w:szCs w:val="19"/>
                <w:color w:val="auto"/>
              </w:rPr>
            </w:pPr>
          </w:p>
        </w:tc>
        <w:tc>
          <w:tcPr>
            <w:tcW w:w="1080" w:type="dxa"/>
            <w:vAlign w:val="bottom"/>
            <w:tcBorders>
              <w:top w:val="single" w:sz="8" w:color="DBDBDB"/>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(475)</w:t>
            </w:r>
          </w:p>
        </w:tc>
        <w:tc>
          <w:tcPr>
            <w:tcW w:w="980" w:type="dxa"/>
            <w:vAlign w:val="bottom"/>
            <w:tcBorders>
              <w:top w:val="single" w:sz="8" w:color="DBDBDB"/>
            </w:tcBorders>
            <w:shd w:val="clear" w:color="auto" w:fill="243782"/>
          </w:tcPr>
          <w:p>
            <w:pPr>
              <w:jc w:val="right"/>
              <w:ind w:right="38"/>
              <w:spacing w:after="0"/>
              <w:rPr>
                <w:sz w:val="20"/>
                <w:szCs w:val="20"/>
                <w:color w:val="auto"/>
              </w:rPr>
            </w:pPr>
            <w:r>
              <w:rPr>
                <w:rFonts w:ascii="Arial" w:cs="Arial" w:eastAsia="Arial" w:hAnsi="Arial"/>
                <w:sz w:val="13"/>
                <w:szCs w:val="13"/>
                <w:b w:val="1"/>
                <w:bCs w:val="1"/>
                <w:color w:val="FFFFFF"/>
              </w:rPr>
              <w:t>157</w:t>
            </w:r>
          </w:p>
        </w:tc>
        <w:tc>
          <w:tcPr>
            <w:tcW w:w="1160" w:type="dxa"/>
            <w:vAlign w:val="bottom"/>
            <w:tcBorders>
              <w:top w:val="single" w:sz="8" w:color="DBDBDB"/>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272</w:t>
            </w:r>
          </w:p>
        </w:tc>
        <w:tc>
          <w:tcPr>
            <w:tcW w:w="1020" w:type="dxa"/>
            <w:vAlign w:val="bottom"/>
            <w:tcBorders>
              <w:top w:val="single" w:sz="8" w:color="DBDBDB"/>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429</w:t>
            </w:r>
          </w:p>
        </w:tc>
        <w:tc>
          <w:tcPr>
            <w:tcW w:w="1100" w:type="dxa"/>
            <w:vAlign w:val="bottom"/>
            <w:tcBorders>
              <w:top w:val="single" w:sz="8" w:color="DBDBDB"/>
            </w:tcBorders>
            <w:shd w:val="clear" w:color="auto" w:fill="243782"/>
          </w:tcPr>
          <w:p>
            <w:pPr>
              <w:ind w:left="780"/>
              <w:spacing w:after="0"/>
              <w:rPr>
                <w:sz w:val="20"/>
                <w:szCs w:val="20"/>
                <w:color w:val="auto"/>
              </w:rPr>
            </w:pPr>
            <w:r>
              <w:rPr>
                <w:rFonts w:ascii="Arial" w:cs="Arial" w:eastAsia="Arial" w:hAnsi="Arial"/>
                <w:sz w:val="13"/>
                <w:szCs w:val="13"/>
                <w:b w:val="1"/>
                <w:bCs w:val="1"/>
                <w:color w:val="FFFFFF"/>
              </w:rPr>
              <w:t>(4)</w:t>
            </w:r>
          </w:p>
        </w:tc>
        <w:tc>
          <w:tcPr>
            <w:tcW w:w="1020" w:type="dxa"/>
            <w:vAlign w:val="bottom"/>
            <w:tcBorders>
              <w:top w:val="single" w:sz="8" w:color="DBDBDB"/>
            </w:tcBorders>
            <w:shd w:val="clear" w:color="auto" w:fill="243782"/>
          </w:tcPr>
          <w:p>
            <w:pPr>
              <w:jc w:val="right"/>
              <w:ind w:right="77"/>
              <w:spacing w:after="0"/>
              <w:rPr>
                <w:sz w:val="20"/>
                <w:szCs w:val="20"/>
                <w:color w:val="auto"/>
              </w:rPr>
            </w:pPr>
            <w:r>
              <w:rPr>
                <w:rFonts w:ascii="Arial" w:cs="Arial" w:eastAsia="Arial" w:hAnsi="Arial"/>
                <w:sz w:val="13"/>
                <w:szCs w:val="13"/>
                <w:b w:val="1"/>
                <w:bCs w:val="1"/>
                <w:color w:val="FFFFFF"/>
              </w:rPr>
              <w:t>(289)</w:t>
            </w:r>
          </w:p>
        </w:tc>
        <w:tc>
          <w:tcPr>
            <w:tcW w:w="1020" w:type="dxa"/>
            <w:vAlign w:val="bottom"/>
            <w:tcBorders>
              <w:top w:val="single" w:sz="8" w:color="DBDBDB"/>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90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________________________________________________________________________________________________________________________________________________________________________________________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 Other activities, unallocated items and eliminations</w:t>
      </w:r>
    </w:p>
    <w:p>
      <w:pPr>
        <w:ind w:right="20" w:firstLine="8"/>
        <w:spacing w:after="0"/>
        <w:tabs>
          <w:tab w:leader="none" w:pos="18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Related to the change in estimate for contractual warranty provisions, resulting from the reassessment of the estimation process, taking into account recent increases in cost inflation and a deterioration in quality, as a result of operational choices, which did not deliver the expected quality performance</w:t>
      </w:r>
    </w:p>
    <w:p>
      <w:pPr>
        <w:ind w:left="200" w:hanging="192"/>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Primarily related to costs incurred as a result of program cancellations</w:t>
      </w:r>
    </w:p>
    <w:p>
      <w:pPr>
        <w:spacing w:after="0" w:line="3" w:lineRule="exact"/>
        <w:rPr>
          <w:rFonts w:ascii="Arial" w:cs="Arial" w:eastAsia="Arial" w:hAnsi="Arial"/>
          <w:sz w:val="12"/>
          <w:szCs w:val="12"/>
          <w:color w:val="auto"/>
        </w:rPr>
      </w:pPr>
    </w:p>
    <w:p>
      <w:pPr>
        <w:ind w:left="200" w:hanging="192"/>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Primarily related to workforce reductions, mainly in Enlarged Europe</w:t>
      </w:r>
    </w:p>
    <w:p>
      <w:pPr>
        <w:spacing w:after="0" w:line="3" w:lineRule="exact"/>
        <w:rPr>
          <w:rFonts w:ascii="Arial" w:cs="Arial" w:eastAsia="Arial" w:hAnsi="Arial"/>
          <w:sz w:val="12"/>
          <w:szCs w:val="12"/>
          <w:color w:val="auto"/>
        </w:rPr>
      </w:pPr>
    </w:p>
    <w:p>
      <w:pPr>
        <w:ind w:right="240" w:firstLine="8"/>
        <w:spacing w:after="0"/>
        <w:tabs>
          <w:tab w:leader="none" w:pos="195"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Related to the Company’s decision to discontinue its hydrogen fuel cell strategy, comprising €12 million of impairments of capitalized development expenditures and property, plant and equipment, €47 million of provisions for risks, and €20 million of other expenses</w:t>
      </w:r>
    </w:p>
    <w:p>
      <w:pPr>
        <w:ind w:left="200" w:hanging="192"/>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Related to stop-drive campaigns on certain vehicles in Enlarged Europe announced in June 2025</w:t>
      </w:r>
    </w:p>
    <w:p>
      <w:pPr>
        <w:spacing w:after="0" w:line="3" w:lineRule="exact"/>
        <w:rPr>
          <w:rFonts w:ascii="Arial" w:cs="Arial" w:eastAsia="Arial" w:hAnsi="Arial"/>
          <w:sz w:val="12"/>
          <w:szCs w:val="12"/>
          <w:color w:val="auto"/>
        </w:rPr>
      </w:pPr>
    </w:p>
    <w:p>
      <w:pPr>
        <w:ind w:right="280" w:firstLine="8"/>
        <w:spacing w:after="0" w:line="253" w:lineRule="auto"/>
        <w:tabs>
          <w:tab w:leader="none" w:pos="182"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Comprised primarily of (i) net costs recognized to support the workforce during the transformation of certain plants in North America, (ii) gains on disposal of investments in Enlarged Europe and (iii) a gain from dilution related to the investment in Archer Aviation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60" w:type="dxa"/>
            <w:vAlign w:val="bottom"/>
            <w:tcBorders>
              <w:top w:val="single" w:sz="8" w:color="4C639D"/>
            </w:tcBorders>
            <w:vMerge w:val="restart"/>
          </w:tcPr>
          <w:p>
            <w:pPr>
              <w:ind w:left="700"/>
              <w:spacing w:after="0"/>
              <w:rPr>
                <w:sz w:val="20"/>
                <w:szCs w:val="20"/>
                <w:color w:val="auto"/>
              </w:rPr>
            </w:pPr>
            <w:r>
              <w:rPr>
                <w:rFonts w:ascii="Arial" w:cs="Arial" w:eastAsia="Arial" w:hAnsi="Arial"/>
                <w:sz w:val="22"/>
                <w:szCs w:val="22"/>
                <w:color w:val="243782"/>
              </w:rPr>
              <w:t>YTD 2026</w:t>
            </w:r>
          </w:p>
        </w:tc>
        <w:tc>
          <w:tcPr>
            <w:tcW w:w="1100" w:type="dxa"/>
            <w:vAlign w:val="bottom"/>
            <w:tcBorders>
              <w:top w:val="single" w:sz="8" w:color="4C639D"/>
            </w:tcBorders>
            <w:vMerge w:val="restart"/>
          </w:tcPr>
          <w:p>
            <w:pPr>
              <w:ind w:left="40"/>
              <w:spacing w:after="0"/>
              <w:rPr>
                <w:sz w:val="20"/>
                <w:szCs w:val="20"/>
                <w:color w:val="auto"/>
              </w:rPr>
            </w:pPr>
            <w:r>
              <w:rPr>
                <w:rFonts w:ascii="Arial" w:cs="Arial" w:eastAsia="Arial" w:hAnsi="Arial"/>
                <w:sz w:val="13"/>
                <w:szCs w:val="13"/>
                <w:color w:val="243782"/>
              </w:rPr>
              <w:t>(€ million)</w:t>
            </w:r>
          </w:p>
        </w:tc>
        <w:tc>
          <w:tcPr>
            <w:tcW w:w="1080" w:type="dxa"/>
            <w:vAlign w:val="bottom"/>
            <w:tcBorders>
              <w:top w:val="single" w:sz="8" w:color="4C639D"/>
            </w:tcBorders>
          </w:tcPr>
          <w:p>
            <w:pPr>
              <w:jc w:val="right"/>
              <w:ind w:right="338"/>
              <w:spacing w:after="0"/>
              <w:rPr>
                <w:sz w:val="20"/>
                <w:szCs w:val="20"/>
                <w:color w:val="auto"/>
              </w:rPr>
            </w:pPr>
            <w:r>
              <w:rPr>
                <w:rFonts w:ascii="Arial" w:cs="Arial" w:eastAsia="Arial" w:hAnsi="Arial"/>
                <w:sz w:val="12"/>
                <w:szCs w:val="12"/>
                <w:b w:val="1"/>
                <w:bCs w:val="1"/>
                <w:color w:val="243782"/>
              </w:rPr>
              <w:t>NORTH</w:t>
            </w:r>
          </w:p>
        </w:tc>
        <w:tc>
          <w:tcPr>
            <w:tcW w:w="1000" w:type="dxa"/>
            <w:vAlign w:val="bottom"/>
            <w:tcBorders>
              <w:top w:val="single" w:sz="8" w:color="4C639D"/>
            </w:tcBorders>
          </w:tcPr>
          <w:p>
            <w:pPr>
              <w:jc w:val="right"/>
              <w:ind w:right="158"/>
              <w:spacing w:after="0"/>
              <w:rPr>
                <w:sz w:val="20"/>
                <w:szCs w:val="20"/>
                <w:color w:val="auto"/>
              </w:rPr>
            </w:pPr>
            <w:r>
              <w:rPr>
                <w:rFonts w:ascii="Arial" w:cs="Arial" w:eastAsia="Arial" w:hAnsi="Arial"/>
                <w:sz w:val="12"/>
                <w:szCs w:val="12"/>
                <w:b w:val="1"/>
                <w:bCs w:val="1"/>
                <w:color w:val="243782"/>
              </w:rPr>
              <w:t>ENLARGED</w:t>
            </w:r>
          </w:p>
        </w:tc>
        <w:tc>
          <w:tcPr>
            <w:tcW w:w="1140" w:type="dxa"/>
            <w:vAlign w:val="bottom"/>
            <w:tcBorders>
              <w:top w:val="single" w:sz="8" w:color="4C639D"/>
            </w:tcBorders>
          </w:tcPr>
          <w:p>
            <w:pPr>
              <w:jc w:val="right"/>
              <w:ind w:right="98"/>
              <w:spacing w:after="0"/>
              <w:rPr>
                <w:sz w:val="20"/>
                <w:szCs w:val="20"/>
                <w:color w:val="auto"/>
              </w:rPr>
            </w:pPr>
            <w:r>
              <w:rPr>
                <w:rFonts w:ascii="Arial" w:cs="Arial" w:eastAsia="Arial" w:hAnsi="Arial"/>
                <w:sz w:val="12"/>
                <w:szCs w:val="12"/>
                <w:b w:val="1"/>
                <w:bCs w:val="1"/>
                <w:color w:val="243782"/>
              </w:rPr>
              <w:t>MIDDLE EAST &amp;</w:t>
            </w:r>
          </w:p>
        </w:tc>
        <w:tc>
          <w:tcPr>
            <w:tcW w:w="1020" w:type="dxa"/>
            <w:vAlign w:val="bottom"/>
            <w:tcBorders>
              <w:top w:val="single" w:sz="8" w:color="4C639D"/>
            </w:tcBorders>
          </w:tcPr>
          <w:p>
            <w:pPr>
              <w:jc w:val="right"/>
              <w:ind w:right="318"/>
              <w:spacing w:after="0"/>
              <w:rPr>
                <w:sz w:val="20"/>
                <w:szCs w:val="20"/>
                <w:color w:val="auto"/>
              </w:rPr>
            </w:pPr>
            <w:r>
              <w:rPr>
                <w:rFonts w:ascii="Arial" w:cs="Arial" w:eastAsia="Arial" w:hAnsi="Arial"/>
                <w:sz w:val="12"/>
                <w:szCs w:val="12"/>
                <w:b w:val="1"/>
                <w:bCs w:val="1"/>
                <w:color w:val="243782"/>
              </w:rPr>
              <w:t>SOUTH</w:t>
            </w:r>
          </w:p>
        </w:tc>
        <w:tc>
          <w:tcPr>
            <w:tcW w:w="110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shd w:val="clear" w:color="auto" w:fill="24378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4C639D"/>
            </w:tcBorders>
            <w:vMerge w:val="continue"/>
          </w:tcPr>
          <w:p>
            <w:pPr>
              <w:spacing w:after="0"/>
              <w:rPr>
                <w:sz w:val="16"/>
                <w:szCs w:val="16"/>
                <w:color w:val="auto"/>
              </w:rPr>
            </w:pPr>
          </w:p>
        </w:tc>
        <w:tc>
          <w:tcPr>
            <w:tcW w:w="1100" w:type="dxa"/>
            <w:vAlign w:val="bottom"/>
            <w:tcBorders>
              <w:bottom w:val="single" w:sz="8" w:color="4C639D"/>
            </w:tcBorders>
            <w:vMerge w:val="continue"/>
          </w:tcPr>
          <w:p>
            <w:pPr>
              <w:spacing w:after="0"/>
              <w:rPr>
                <w:sz w:val="16"/>
                <w:szCs w:val="16"/>
                <w:color w:val="auto"/>
              </w:rPr>
            </w:pPr>
          </w:p>
        </w:tc>
        <w:tc>
          <w:tcPr>
            <w:tcW w:w="1080" w:type="dxa"/>
            <w:vAlign w:val="bottom"/>
            <w:tcBorders>
              <w:bottom w:val="single" w:sz="8" w:color="4C639D"/>
            </w:tcBorders>
          </w:tcPr>
          <w:p>
            <w:pPr>
              <w:jc w:val="right"/>
              <w:ind w:right="258"/>
              <w:spacing w:after="0"/>
              <w:rPr>
                <w:sz w:val="20"/>
                <w:szCs w:val="20"/>
                <w:color w:val="auto"/>
              </w:rPr>
            </w:pPr>
            <w:r>
              <w:rPr>
                <w:rFonts w:ascii="Arial" w:cs="Arial" w:eastAsia="Arial" w:hAnsi="Arial"/>
                <w:sz w:val="12"/>
                <w:szCs w:val="12"/>
                <w:b w:val="1"/>
                <w:bCs w:val="1"/>
                <w:color w:val="243782"/>
              </w:rPr>
              <w:t>AMERICA</w:t>
            </w:r>
          </w:p>
        </w:tc>
        <w:tc>
          <w:tcPr>
            <w:tcW w:w="100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EUROPE</w:t>
            </w:r>
          </w:p>
        </w:tc>
        <w:tc>
          <w:tcPr>
            <w:tcW w:w="1140" w:type="dxa"/>
            <w:vAlign w:val="bottom"/>
            <w:tcBorders>
              <w:bottom w:val="single" w:sz="8" w:color="4C639D"/>
            </w:tcBorders>
          </w:tcPr>
          <w:p>
            <w:pPr>
              <w:jc w:val="right"/>
              <w:ind w:right="338"/>
              <w:spacing w:after="0"/>
              <w:rPr>
                <w:sz w:val="20"/>
                <w:szCs w:val="20"/>
                <w:color w:val="auto"/>
              </w:rPr>
            </w:pPr>
            <w:r>
              <w:rPr>
                <w:rFonts w:ascii="Arial" w:cs="Arial" w:eastAsia="Arial" w:hAnsi="Arial"/>
                <w:sz w:val="12"/>
                <w:szCs w:val="12"/>
                <w:b w:val="1"/>
                <w:bCs w:val="1"/>
                <w:color w:val="243782"/>
              </w:rPr>
              <w:t>AFRICA</w:t>
            </w:r>
          </w:p>
        </w:tc>
        <w:tc>
          <w:tcPr>
            <w:tcW w:w="102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AMERICA</w:t>
            </w:r>
          </w:p>
        </w:tc>
        <w:tc>
          <w:tcPr>
            <w:tcW w:w="1100" w:type="dxa"/>
            <w:vAlign w:val="bottom"/>
            <w:tcBorders>
              <w:bottom w:val="single" w:sz="8" w:color="4C639D"/>
            </w:tcBorders>
          </w:tcPr>
          <w:p>
            <w:pPr>
              <w:jc w:val="right"/>
              <w:ind w:right="198"/>
              <w:spacing w:after="0"/>
              <w:rPr>
                <w:sz w:val="20"/>
                <w:szCs w:val="20"/>
                <w:color w:val="auto"/>
              </w:rPr>
            </w:pPr>
            <w:r>
              <w:rPr>
                <w:rFonts w:ascii="Arial" w:cs="Arial" w:eastAsia="Arial" w:hAnsi="Arial"/>
                <w:sz w:val="11"/>
                <w:szCs w:val="11"/>
                <w:b w:val="1"/>
                <w:bCs w:val="1"/>
                <w:color w:val="243782"/>
              </w:rPr>
              <w:t>ASIA PACIFIC</w:t>
            </w:r>
          </w:p>
        </w:tc>
        <w:tc>
          <w:tcPr>
            <w:tcW w:w="1020" w:type="dxa"/>
            <w:vAlign w:val="bottom"/>
            <w:tcBorders>
              <w:bottom w:val="single" w:sz="8" w:color="4C639D"/>
            </w:tcBorders>
          </w:tcPr>
          <w:p>
            <w:pPr>
              <w:jc w:val="right"/>
              <w:ind w:right="277"/>
              <w:spacing w:after="0"/>
              <w:rPr>
                <w:sz w:val="20"/>
                <w:szCs w:val="20"/>
                <w:color w:val="auto"/>
              </w:rPr>
            </w:pPr>
            <w:r>
              <w:rPr>
                <w:rFonts w:ascii="Arial" w:cs="Arial" w:eastAsia="Arial" w:hAnsi="Arial"/>
                <w:sz w:val="12"/>
                <w:szCs w:val="12"/>
                <w:b w:val="1"/>
                <w:bCs w:val="1"/>
                <w:color w:val="243782"/>
              </w:rPr>
              <w:t>OTHER</w:t>
            </w:r>
            <w:r>
              <w:rPr>
                <w:rFonts w:ascii="Arial" w:cs="Arial" w:eastAsia="Arial" w:hAnsi="Arial"/>
                <w:sz w:val="15"/>
                <w:szCs w:val="15"/>
                <w:b w:val="1"/>
                <w:bCs w:val="1"/>
                <w:color w:val="243782"/>
                <w:vertAlign w:val="superscript"/>
              </w:rPr>
              <w:t>(*)</w:t>
            </w:r>
          </w:p>
        </w:tc>
        <w:tc>
          <w:tcPr>
            <w:tcW w:w="1020" w:type="dxa"/>
            <w:vAlign w:val="bottom"/>
            <w:tcBorders>
              <w:bottom w:val="single" w:sz="8" w:color="4C639D"/>
            </w:tcBorders>
            <w:shd w:val="clear" w:color="auto" w:fill="243782"/>
          </w:tcPr>
          <w:p>
            <w:pPr>
              <w:jc w:val="right"/>
              <w:ind w:right="97"/>
              <w:spacing w:after="0"/>
              <w:rPr>
                <w:sz w:val="20"/>
                <w:szCs w:val="20"/>
                <w:color w:val="auto"/>
              </w:rPr>
            </w:pPr>
            <w:r>
              <w:rPr>
                <w:rFonts w:ascii="Arial" w:cs="Arial" w:eastAsia="Arial" w:hAnsi="Arial"/>
                <w:sz w:val="12"/>
                <w:szCs w:val="12"/>
                <w:b w:val="1"/>
                <w:bCs w:val="1"/>
                <w:color w:val="FFFFFF"/>
              </w:rPr>
              <w:t>STELLANTIS</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10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3"/>
                <w:szCs w:val="13"/>
                <w:color w:val="auto"/>
              </w:rPr>
              <w:t>49,877</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44,859</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6,626</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11,965</w:t>
            </w:r>
          </w:p>
        </w:tc>
        <w:tc>
          <w:tcPr>
            <w:tcW w:w="1100" w:type="dxa"/>
            <w:vAlign w:val="bottom"/>
          </w:tcPr>
          <w:p>
            <w:pPr>
              <w:jc w:val="right"/>
              <w:ind w:right="138"/>
              <w:spacing w:after="0"/>
              <w:rPr>
                <w:sz w:val="20"/>
                <w:szCs w:val="20"/>
                <w:color w:val="auto"/>
              </w:rPr>
            </w:pPr>
            <w:r>
              <w:rPr>
                <w:rFonts w:ascii="Arial" w:cs="Arial" w:eastAsia="Arial" w:hAnsi="Arial"/>
                <w:sz w:val="13"/>
                <w:szCs w:val="13"/>
                <w:color w:val="auto"/>
              </w:rPr>
              <w:t>1,379</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4,519</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119,225</w:t>
            </w:r>
          </w:p>
        </w:tc>
        <w:tc>
          <w:tcPr>
            <w:tcW w:w="0" w:type="dxa"/>
            <w:vAlign w:val="bottom"/>
          </w:tcPr>
          <w:p>
            <w:pPr>
              <w:spacing w:after="0"/>
              <w:rPr>
                <w:sz w:val="1"/>
                <w:szCs w:val="1"/>
                <w:color w:val="auto"/>
              </w:rPr>
            </w:pPr>
          </w:p>
        </w:tc>
      </w:tr>
      <w:tr>
        <w:trPr>
          <w:trHeight w:val="209"/>
        </w:trPr>
        <w:tc>
          <w:tcPr>
            <w:tcW w:w="3860" w:type="dxa"/>
            <w:vAlign w:val="bottom"/>
            <w:tcBorders>
              <w:top w:val="single" w:sz="8" w:color="DBDBDB"/>
            </w:tcBorders>
            <w:gridSpan w:val="2"/>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080" w:type="dxa"/>
            <w:vAlign w:val="bottom"/>
            <w:tcBorders>
              <w:top w:val="single" w:sz="8" w:color="DBDBDB"/>
            </w:tcBorders>
          </w:tcPr>
          <w:p>
            <w:pPr>
              <w:jc w:val="right"/>
              <w:ind w:right="118"/>
              <w:spacing w:after="0"/>
              <w:rPr>
                <w:sz w:val="20"/>
                <w:szCs w:val="20"/>
                <w:color w:val="auto"/>
              </w:rPr>
            </w:pPr>
            <w:r>
              <w:rPr>
                <w:rFonts w:ascii="Arial" w:cs="Arial" w:eastAsia="Arial" w:hAnsi="Arial"/>
                <w:sz w:val="13"/>
                <w:szCs w:val="13"/>
                <w:color w:val="auto"/>
              </w:rPr>
              <w:t>16</w:t>
            </w:r>
          </w:p>
        </w:tc>
        <w:tc>
          <w:tcPr>
            <w:tcW w:w="1000" w:type="dxa"/>
            <w:vAlign w:val="bottom"/>
            <w:tcBorders>
              <w:top w:val="single" w:sz="8" w:color="DBDBDB"/>
            </w:tcBorders>
          </w:tcPr>
          <w:p>
            <w:pPr>
              <w:jc w:val="right"/>
              <w:ind w:right="58"/>
              <w:spacing w:after="0"/>
              <w:rPr>
                <w:sz w:val="20"/>
                <w:szCs w:val="20"/>
                <w:color w:val="auto"/>
              </w:rPr>
            </w:pPr>
            <w:r>
              <w:rPr>
                <w:rFonts w:ascii="Arial" w:cs="Arial" w:eastAsia="Arial" w:hAnsi="Arial"/>
                <w:sz w:val="13"/>
                <w:szCs w:val="13"/>
                <w:color w:val="auto"/>
              </w:rPr>
              <w:t>4</w:t>
            </w:r>
          </w:p>
        </w:tc>
        <w:tc>
          <w:tcPr>
            <w:tcW w:w="1140" w:type="dxa"/>
            <w:vAlign w:val="bottom"/>
            <w:tcBorders>
              <w:top w:val="single" w:sz="8" w:color="DBDBDB"/>
            </w:tcBorders>
          </w:tcPr>
          <w:p>
            <w:pPr>
              <w:jc w:val="right"/>
              <w:ind w:right="138"/>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DBDBDB"/>
            </w:tcBorders>
          </w:tcPr>
          <w:p>
            <w:pPr>
              <w:jc w:val="right"/>
              <w:ind w:right="98"/>
              <w:spacing w:after="0"/>
              <w:rPr>
                <w:sz w:val="20"/>
                <w:szCs w:val="20"/>
                <w:color w:val="auto"/>
              </w:rPr>
            </w:pPr>
            <w:r>
              <w:rPr>
                <w:rFonts w:ascii="Arial" w:cs="Arial" w:eastAsia="Arial" w:hAnsi="Arial"/>
                <w:sz w:val="13"/>
                <w:szCs w:val="13"/>
                <w:color w:val="auto"/>
              </w:rPr>
              <w:t>116</w:t>
            </w:r>
          </w:p>
        </w:tc>
        <w:tc>
          <w:tcPr>
            <w:tcW w:w="1100" w:type="dxa"/>
            <w:vAlign w:val="bottom"/>
            <w:tcBorders>
              <w:top w:val="single" w:sz="8" w:color="DBDBDB"/>
            </w:tcBorders>
          </w:tcPr>
          <w:p>
            <w:pPr>
              <w:jc w:val="right"/>
              <w:ind w:right="138"/>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DBDBDB"/>
            </w:tcBorders>
          </w:tcPr>
          <w:p>
            <w:pPr>
              <w:jc w:val="right"/>
              <w:ind w:right="77"/>
              <w:spacing w:after="0"/>
              <w:rPr>
                <w:sz w:val="20"/>
                <w:szCs w:val="20"/>
                <w:color w:val="auto"/>
              </w:rPr>
            </w:pPr>
            <w:r>
              <w:rPr>
                <w:rFonts w:ascii="Arial" w:cs="Arial" w:eastAsia="Arial" w:hAnsi="Arial"/>
                <w:sz w:val="13"/>
                <w:szCs w:val="13"/>
                <w:color w:val="auto"/>
              </w:rPr>
              <w:t>(136)</w:t>
            </w: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revenues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bottom w:val="single" w:sz="8" w:color="243782"/>
            </w:tcBorders>
            <w:shd w:val="clear" w:color="auto" w:fill="243782"/>
          </w:tcPr>
          <w:p>
            <w:pPr>
              <w:jc w:val="right"/>
              <w:ind w:right="118"/>
              <w:spacing w:after="0"/>
              <w:rPr>
                <w:sz w:val="20"/>
                <w:szCs w:val="20"/>
                <w:color w:val="auto"/>
              </w:rPr>
            </w:pPr>
            <w:r>
              <w:rPr>
                <w:rFonts w:ascii="Arial" w:cs="Arial" w:eastAsia="Arial" w:hAnsi="Arial"/>
                <w:sz w:val="13"/>
                <w:szCs w:val="13"/>
                <w:b w:val="1"/>
                <w:bCs w:val="1"/>
                <w:color w:val="FFFFFF"/>
              </w:rPr>
              <w:t>49,893</w:t>
            </w:r>
          </w:p>
        </w:tc>
        <w:tc>
          <w:tcPr>
            <w:tcW w:w="1000" w:type="dxa"/>
            <w:vAlign w:val="bottom"/>
            <w:tcBorders>
              <w:top w:val="single" w:sz="8" w:color="DBDBDB"/>
              <w:bottom w:val="single" w:sz="8" w:color="243782"/>
            </w:tcBorders>
            <w:shd w:val="clear" w:color="auto" w:fill="243782"/>
          </w:tcPr>
          <w:p>
            <w:pPr>
              <w:jc w:val="right"/>
              <w:ind w:right="58"/>
              <w:spacing w:after="0"/>
              <w:rPr>
                <w:sz w:val="20"/>
                <w:szCs w:val="20"/>
                <w:color w:val="auto"/>
              </w:rPr>
            </w:pPr>
            <w:r>
              <w:rPr>
                <w:rFonts w:ascii="Arial" w:cs="Arial" w:eastAsia="Arial" w:hAnsi="Arial"/>
                <w:sz w:val="13"/>
                <w:szCs w:val="13"/>
                <w:b w:val="1"/>
                <w:bCs w:val="1"/>
                <w:color w:val="FFFFFF"/>
              </w:rPr>
              <w:t>44,863</w:t>
            </w:r>
          </w:p>
        </w:tc>
        <w:tc>
          <w:tcPr>
            <w:tcW w:w="1140" w:type="dxa"/>
            <w:vAlign w:val="bottom"/>
            <w:tcBorders>
              <w:top w:val="single" w:sz="8" w:color="DBDBDB"/>
              <w:bottom w:val="single" w:sz="8" w:color="243782"/>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6,626</w:t>
            </w:r>
          </w:p>
        </w:tc>
        <w:tc>
          <w:tcPr>
            <w:tcW w:w="1020" w:type="dxa"/>
            <w:vAlign w:val="bottom"/>
            <w:tcBorders>
              <w:top w:val="single" w:sz="8" w:color="DBDBDB"/>
              <w:bottom w:val="single" w:sz="8" w:color="243782"/>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12,081</w:t>
            </w:r>
          </w:p>
        </w:tc>
        <w:tc>
          <w:tcPr>
            <w:tcW w:w="1100" w:type="dxa"/>
            <w:vAlign w:val="bottom"/>
            <w:tcBorders>
              <w:top w:val="single" w:sz="8" w:color="DBDBDB"/>
              <w:bottom w:val="single" w:sz="8" w:color="243782"/>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1,379</w:t>
            </w:r>
          </w:p>
        </w:tc>
        <w:tc>
          <w:tcPr>
            <w:tcW w:w="1020" w:type="dxa"/>
            <w:vAlign w:val="bottom"/>
            <w:tcBorders>
              <w:top w:val="single" w:sz="8" w:color="DBDBDB"/>
              <w:bottom w:val="single" w:sz="8" w:color="243782"/>
            </w:tcBorders>
            <w:shd w:val="clear" w:color="auto" w:fill="243782"/>
          </w:tcPr>
          <w:p>
            <w:pPr>
              <w:jc w:val="right"/>
              <w:ind w:right="117"/>
              <w:spacing w:after="0"/>
              <w:rPr>
                <w:sz w:val="20"/>
                <w:szCs w:val="20"/>
                <w:color w:val="auto"/>
              </w:rPr>
            </w:pPr>
            <w:r>
              <w:rPr>
                <w:rFonts w:ascii="Arial" w:cs="Arial" w:eastAsia="Arial" w:hAnsi="Arial"/>
                <w:sz w:val="13"/>
                <w:szCs w:val="13"/>
                <w:b w:val="1"/>
                <w:bCs w:val="1"/>
                <w:color w:val="FFFFFF"/>
              </w:rPr>
              <w:t>4,383</w:t>
            </w:r>
          </w:p>
        </w:tc>
        <w:tc>
          <w:tcPr>
            <w:tcW w:w="1020" w:type="dxa"/>
            <w:vAlign w:val="bottom"/>
            <w:tcBorders>
              <w:top w:val="single" w:sz="8" w:color="DBDBDB"/>
              <w:bottom w:val="single" w:sz="8" w:color="243782"/>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119,225</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profit/(loss)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217</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Tax expense/(benefit)</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289</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Net financial expenses/(income)</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553</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4C639D"/>
            </w:tcBorders>
          </w:tcPr>
          <w:p>
            <w:pPr>
              <w:spacing w:after="0"/>
              <w:rPr>
                <w:sz w:val="18"/>
                <w:szCs w:val="18"/>
                <w:color w:val="auto"/>
              </w:rPr>
            </w:pPr>
          </w:p>
        </w:tc>
        <w:tc>
          <w:tcPr>
            <w:tcW w:w="1000" w:type="dxa"/>
            <w:vAlign w:val="bottom"/>
            <w:tcBorders>
              <w:top w:val="single" w:sz="8" w:color="4C639D"/>
            </w:tcBorders>
          </w:tcPr>
          <w:p>
            <w:pPr>
              <w:spacing w:after="0"/>
              <w:rPr>
                <w:sz w:val="18"/>
                <w:szCs w:val="18"/>
                <w:color w:val="auto"/>
              </w:rPr>
            </w:pPr>
          </w:p>
        </w:tc>
        <w:tc>
          <w:tcPr>
            <w:tcW w:w="114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10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1,059</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Adjustments: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3"/>
                <w:szCs w:val="13"/>
                <w:color w:val="auto"/>
                <w:w w:val="97"/>
              </w:rPr>
              <w:t>Restructuring and other costs, net of reversals</w:t>
            </w:r>
            <w:r>
              <w:rPr>
                <w:rFonts w:ascii="Arial" w:cs="Arial" w:eastAsia="Arial" w:hAnsi="Arial"/>
                <w:sz w:val="16"/>
                <w:szCs w:val="16"/>
                <w:color w:val="auto"/>
                <w:w w:val="97"/>
                <w:vertAlign w:val="superscript"/>
              </w:rPr>
              <w:t>(A)</w:t>
            </w:r>
          </w:p>
        </w:tc>
        <w:tc>
          <w:tcPr>
            <w:tcW w:w="1100" w:type="dxa"/>
            <w:vAlign w:val="bottom"/>
            <w:tcBorders>
              <w:top w:val="single" w:sz="8" w:color="DBDBDB"/>
              <w:bottom w:val="single" w:sz="8" w:color="DBDBDB"/>
            </w:tcBorders>
          </w:tcPr>
          <w:p>
            <w:pPr>
              <w:spacing w:after="0"/>
              <w:rPr>
                <w:sz w:val="18"/>
                <w:szCs w:val="18"/>
                <w:color w:val="auto"/>
              </w:rPr>
            </w:pPr>
          </w:p>
        </w:tc>
        <w:tc>
          <w:tcPr>
            <w:tcW w:w="1080" w:type="dxa"/>
            <w:vAlign w:val="bottom"/>
            <w:tcBorders>
              <w:top w:val="single" w:sz="8" w:color="DBDBDB"/>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(21)</w:t>
            </w:r>
          </w:p>
        </w:tc>
        <w:tc>
          <w:tcPr>
            <w:tcW w:w="1000" w:type="dxa"/>
            <w:vAlign w:val="bottom"/>
            <w:tcBorders>
              <w:top w:val="single" w:sz="8" w:color="DBDBDB"/>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507</w:t>
            </w:r>
          </w:p>
        </w:tc>
        <w:tc>
          <w:tcPr>
            <w:tcW w:w="1140" w:type="dxa"/>
            <w:vAlign w:val="bottom"/>
            <w:tcBorders>
              <w:top w:val="single" w:sz="8" w:color="DBDBDB"/>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4</w:t>
            </w:r>
          </w:p>
        </w:tc>
        <w:tc>
          <w:tcPr>
            <w:tcW w:w="1020" w:type="dxa"/>
            <w:vAlign w:val="bottom"/>
            <w:tcBorders>
              <w:top w:val="single" w:sz="8" w:color="DBDBDB"/>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52</w:t>
            </w:r>
          </w:p>
        </w:tc>
        <w:tc>
          <w:tcPr>
            <w:tcW w:w="1100" w:type="dxa"/>
            <w:vAlign w:val="bottom"/>
            <w:tcBorders>
              <w:top w:val="single" w:sz="8" w:color="DBDBDB"/>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2</w:t>
            </w:r>
          </w:p>
        </w:tc>
        <w:tc>
          <w:tcPr>
            <w:tcW w:w="1020" w:type="dxa"/>
            <w:vAlign w:val="bottom"/>
            <w:tcBorders>
              <w:top w:val="single" w:sz="8" w:color="DBDBDB"/>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4</w:t>
            </w:r>
          </w:p>
        </w:tc>
        <w:tc>
          <w:tcPr>
            <w:tcW w:w="1020" w:type="dxa"/>
            <w:vAlign w:val="bottom"/>
            <w:tcBorders>
              <w:top w:val="single" w:sz="8" w:color="DBDBDB"/>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548</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(B)</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318</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5</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6</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329</w:t>
            </w:r>
          </w:p>
        </w:tc>
        <w:tc>
          <w:tcPr>
            <w:tcW w:w="0" w:type="dxa"/>
            <w:vAlign w:val="bottom"/>
          </w:tcPr>
          <w:p>
            <w:pPr>
              <w:spacing w:after="0"/>
              <w:rPr>
                <w:sz w:val="1"/>
                <w:szCs w:val="1"/>
                <w:color w:val="auto"/>
              </w:rPr>
            </w:pPr>
          </w:p>
        </w:tc>
      </w:tr>
      <w:tr>
        <w:trPr>
          <w:trHeight w:val="165"/>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Costs related to product plan realignments and program</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shd w:val="clear" w:color="auto" w:fill="4C639D"/>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cancellations</w:t>
            </w:r>
            <w:r>
              <w:rPr>
                <w:rFonts w:ascii="Arial" w:cs="Arial" w:eastAsia="Arial" w:hAnsi="Arial"/>
                <w:sz w:val="16"/>
                <w:szCs w:val="16"/>
                <w:color w:val="auto"/>
                <w:vertAlign w:val="superscript"/>
              </w:rPr>
              <w:t>(C)</w:t>
            </w:r>
          </w:p>
        </w:tc>
        <w:tc>
          <w:tcPr>
            <w:tcW w:w="1100" w:type="dxa"/>
            <w:vAlign w:val="bottom"/>
            <w:tcBorders>
              <w:bottom w:val="single" w:sz="8" w:color="DBDBDB"/>
            </w:tcBorders>
          </w:tcPr>
          <w:p>
            <w:pPr>
              <w:spacing w:after="0"/>
              <w:rPr>
                <w:sz w:val="16"/>
                <w:szCs w:val="16"/>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252</w:t>
            </w:r>
          </w:p>
        </w:tc>
        <w:tc>
          <w:tcPr>
            <w:tcW w:w="1000" w:type="dxa"/>
            <w:vAlign w:val="bottom"/>
            <w:tcBorders>
              <w:bottom w:val="single" w:sz="8" w:color="DBDBDB"/>
            </w:tcBorders>
          </w:tcPr>
          <w:p>
            <w:pPr>
              <w:jc w:val="right"/>
              <w:ind w:right="18"/>
              <w:spacing w:after="0"/>
              <w:rPr>
                <w:sz w:val="20"/>
                <w:szCs w:val="20"/>
                <w:color w:val="auto"/>
              </w:rPr>
            </w:pPr>
            <w:r>
              <w:rPr>
                <w:rFonts w:ascii="Arial" w:cs="Arial" w:eastAsia="Arial" w:hAnsi="Arial"/>
                <w:sz w:val="13"/>
                <w:szCs w:val="13"/>
                <w:b w:val="1"/>
                <w:bCs w:val="1"/>
                <w:color w:val="4C639D"/>
              </w:rPr>
              <w:t>(25)</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227</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Write-down of investment in Leasys</w:t>
            </w:r>
            <w:r>
              <w:rPr>
                <w:rFonts w:ascii="Arial" w:cs="Arial" w:eastAsia="Arial" w:hAnsi="Arial"/>
                <w:sz w:val="16"/>
                <w:szCs w:val="16"/>
                <w:color w:val="auto"/>
                <w:vertAlign w:val="superscript"/>
              </w:rPr>
              <w:t>(D)</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118</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118</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(Gains)/losses on disposal of investments</w:t>
            </w:r>
            <w:r>
              <w:rPr>
                <w:rFonts w:ascii="Arial" w:cs="Arial" w:eastAsia="Arial" w:hAnsi="Arial"/>
                <w:sz w:val="16"/>
                <w:szCs w:val="16"/>
                <w:color w:val="auto"/>
                <w:vertAlign w:val="superscript"/>
              </w:rPr>
              <w:t>(E)</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12</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(2)</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77"/>
              <w:spacing w:after="0"/>
              <w:rPr>
                <w:sz w:val="20"/>
                <w:szCs w:val="20"/>
                <w:color w:val="auto"/>
              </w:rPr>
            </w:pPr>
            <w:r>
              <w:rPr>
                <w:rFonts w:ascii="Arial" w:cs="Arial" w:eastAsia="Arial" w:hAnsi="Arial"/>
                <w:sz w:val="13"/>
                <w:szCs w:val="13"/>
                <w:b w:val="1"/>
                <w:bCs w:val="1"/>
                <w:color w:val="4C639D"/>
              </w:rPr>
              <w:t>(69)</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(59)</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U.S. GHG regulation change</w:t>
            </w:r>
            <w:r>
              <w:rPr>
                <w:rFonts w:ascii="Arial" w:cs="Arial" w:eastAsia="Arial" w:hAnsi="Arial"/>
                <w:sz w:val="16"/>
                <w:szCs w:val="16"/>
                <w:color w:val="auto"/>
                <w:vertAlign w:val="superscript"/>
              </w:rPr>
              <w:t>(F)</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(66)</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(66)</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Renegotiated regulatory purchase commitments of credits</w:t>
            </w:r>
            <w:r>
              <w:rPr>
                <w:rFonts w:ascii="Arial" w:cs="Arial" w:eastAsia="Arial" w:hAnsi="Arial"/>
                <w:sz w:val="16"/>
                <w:szCs w:val="16"/>
                <w:color w:val="auto"/>
                <w:vertAlign w:val="superscript"/>
              </w:rPr>
              <w:t>(G)</w:t>
            </w:r>
          </w:p>
        </w:tc>
        <w:tc>
          <w:tcPr>
            <w:tcW w:w="108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(317)</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(317)</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(H)</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4C639D"/>
            </w:tcBorders>
          </w:tcPr>
          <w:p>
            <w:pPr>
              <w:jc w:val="right"/>
              <w:ind w:right="118"/>
              <w:spacing w:after="0"/>
              <w:rPr>
                <w:sz w:val="20"/>
                <w:szCs w:val="20"/>
                <w:color w:val="auto"/>
              </w:rPr>
            </w:pPr>
            <w:r>
              <w:rPr>
                <w:rFonts w:ascii="Arial" w:cs="Arial" w:eastAsia="Arial" w:hAnsi="Arial"/>
                <w:sz w:val="13"/>
                <w:szCs w:val="13"/>
                <w:b w:val="1"/>
                <w:bCs w:val="1"/>
                <w:color w:val="4C639D"/>
              </w:rPr>
              <w:t>91</w:t>
            </w:r>
          </w:p>
        </w:tc>
        <w:tc>
          <w:tcPr>
            <w:tcW w:w="1000" w:type="dxa"/>
            <w:vAlign w:val="bottom"/>
            <w:tcBorders>
              <w:bottom w:val="single" w:sz="8" w:color="4C639D"/>
            </w:tcBorders>
          </w:tcPr>
          <w:p>
            <w:pPr>
              <w:jc w:val="right"/>
              <w:ind w:right="58"/>
              <w:spacing w:after="0"/>
              <w:rPr>
                <w:sz w:val="20"/>
                <w:szCs w:val="20"/>
                <w:color w:val="auto"/>
              </w:rPr>
            </w:pPr>
            <w:r>
              <w:rPr>
                <w:rFonts w:ascii="Arial" w:cs="Arial" w:eastAsia="Arial" w:hAnsi="Arial"/>
                <w:sz w:val="13"/>
                <w:szCs w:val="13"/>
                <w:b w:val="1"/>
                <w:bCs w:val="1"/>
                <w:color w:val="4C639D"/>
              </w:rPr>
              <w:t>67</w:t>
            </w:r>
          </w:p>
        </w:tc>
        <w:tc>
          <w:tcPr>
            <w:tcW w:w="1140" w:type="dxa"/>
            <w:vAlign w:val="bottom"/>
            <w:tcBorders>
              <w:bottom w:val="single" w:sz="8" w:color="4C639D"/>
            </w:tcBorders>
          </w:tcPr>
          <w:p>
            <w:pPr>
              <w:jc w:val="right"/>
              <w:ind w:right="138"/>
              <w:spacing w:after="0"/>
              <w:rPr>
                <w:sz w:val="20"/>
                <w:szCs w:val="20"/>
                <w:color w:val="auto"/>
              </w:rPr>
            </w:pPr>
            <w:r>
              <w:rPr>
                <w:rFonts w:ascii="Arial" w:cs="Arial" w:eastAsia="Arial" w:hAnsi="Arial"/>
                <w:sz w:val="13"/>
                <w:szCs w:val="13"/>
                <w:b w:val="1"/>
                <w:bCs w:val="1"/>
                <w:color w:val="4C639D"/>
              </w:rPr>
              <w:t>1</w:t>
            </w:r>
          </w:p>
        </w:tc>
        <w:tc>
          <w:tcPr>
            <w:tcW w:w="1020" w:type="dxa"/>
            <w:vAlign w:val="bottom"/>
            <w:tcBorders>
              <w:bottom w:val="single" w:sz="8" w:color="4C639D"/>
            </w:tcBorders>
          </w:tcPr>
          <w:p>
            <w:pPr>
              <w:jc w:val="right"/>
              <w:ind w:right="58"/>
              <w:spacing w:after="0"/>
              <w:rPr>
                <w:sz w:val="20"/>
                <w:szCs w:val="20"/>
                <w:color w:val="auto"/>
              </w:rPr>
            </w:pPr>
            <w:r>
              <w:rPr>
                <w:rFonts w:ascii="Arial" w:cs="Arial" w:eastAsia="Arial" w:hAnsi="Arial"/>
                <w:sz w:val="13"/>
                <w:szCs w:val="13"/>
                <w:b w:val="1"/>
                <w:bCs w:val="1"/>
                <w:color w:val="4C639D"/>
              </w:rPr>
              <w:t>(1)</w:t>
            </w:r>
          </w:p>
        </w:tc>
        <w:tc>
          <w:tcPr>
            <w:tcW w:w="1100" w:type="dxa"/>
            <w:vAlign w:val="bottom"/>
            <w:tcBorders>
              <w:bottom w:val="single" w:sz="8" w:color="4C639D"/>
            </w:tcBorders>
          </w:tcPr>
          <w:p>
            <w:pPr>
              <w:jc w:val="right"/>
              <w:ind w:right="118"/>
              <w:spacing w:after="0"/>
              <w:rPr>
                <w:sz w:val="20"/>
                <w:szCs w:val="20"/>
                <w:color w:val="auto"/>
              </w:rPr>
            </w:pPr>
            <w:r>
              <w:rPr>
                <w:rFonts w:ascii="Arial" w:cs="Arial" w:eastAsia="Arial" w:hAnsi="Arial"/>
                <w:sz w:val="13"/>
                <w:szCs w:val="13"/>
                <w:b w:val="1"/>
                <w:bCs w:val="1"/>
                <w:color w:val="4C639D"/>
              </w:rPr>
              <w:t>(9)</w:t>
            </w:r>
          </w:p>
        </w:tc>
        <w:tc>
          <w:tcPr>
            <w:tcW w:w="1020" w:type="dxa"/>
            <w:vAlign w:val="bottom"/>
            <w:tcBorders>
              <w:bottom w:val="single" w:sz="8" w:color="4C639D"/>
            </w:tcBorders>
          </w:tcPr>
          <w:p>
            <w:pPr>
              <w:jc w:val="right"/>
              <w:ind w:right="117"/>
              <w:spacing w:after="0"/>
              <w:rPr>
                <w:sz w:val="20"/>
                <w:szCs w:val="20"/>
                <w:color w:val="auto"/>
              </w:rPr>
            </w:pPr>
            <w:r>
              <w:rPr>
                <w:rFonts w:ascii="Arial" w:cs="Arial" w:eastAsia="Arial" w:hAnsi="Arial"/>
                <w:sz w:val="13"/>
                <w:szCs w:val="13"/>
                <w:b w:val="1"/>
                <w:bCs w:val="1"/>
                <w:color w:val="4C639D"/>
              </w:rPr>
              <w:t>1</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150</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10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Arial" w:cs="Arial" w:eastAsia="Arial" w:hAnsi="Arial"/>
                <w:sz w:val="13"/>
                <w:szCs w:val="13"/>
                <w:b w:val="1"/>
                <w:bCs w:val="1"/>
                <w:color w:val="4C639D"/>
              </w:rPr>
              <w:t>(61)</w:t>
            </w:r>
          </w:p>
        </w:tc>
        <w:tc>
          <w:tcPr>
            <w:tcW w:w="1000" w:type="dxa"/>
            <w:vAlign w:val="bottom"/>
          </w:tcPr>
          <w:p>
            <w:pPr>
              <w:jc w:val="right"/>
              <w:ind w:right="58"/>
              <w:spacing w:after="0"/>
              <w:rPr>
                <w:sz w:val="20"/>
                <w:szCs w:val="20"/>
                <w:color w:val="auto"/>
              </w:rPr>
            </w:pPr>
            <w:r>
              <w:rPr>
                <w:rFonts w:ascii="Arial" w:cs="Arial" w:eastAsia="Arial" w:hAnsi="Arial"/>
                <w:sz w:val="13"/>
                <w:szCs w:val="13"/>
                <w:b w:val="1"/>
                <w:bCs w:val="1"/>
                <w:color w:val="4C639D"/>
              </w:rPr>
              <w:t>879</w:t>
            </w:r>
          </w:p>
        </w:tc>
        <w:tc>
          <w:tcPr>
            <w:tcW w:w="1140" w:type="dxa"/>
            <w:vAlign w:val="bottom"/>
          </w:tcPr>
          <w:p>
            <w:pPr>
              <w:jc w:val="right"/>
              <w:ind w:right="138"/>
              <w:spacing w:after="0"/>
              <w:rPr>
                <w:sz w:val="20"/>
                <w:szCs w:val="20"/>
                <w:color w:val="auto"/>
              </w:rPr>
            </w:pPr>
            <w:r>
              <w:rPr>
                <w:rFonts w:ascii="Arial" w:cs="Arial" w:eastAsia="Arial" w:hAnsi="Arial"/>
                <w:sz w:val="13"/>
                <w:szCs w:val="13"/>
                <w:b w:val="1"/>
                <w:bCs w:val="1"/>
                <w:color w:val="4C639D"/>
              </w:rPr>
              <w:t>10</w:t>
            </w:r>
          </w:p>
        </w:tc>
        <w:tc>
          <w:tcPr>
            <w:tcW w:w="1020" w:type="dxa"/>
            <w:vAlign w:val="bottom"/>
          </w:tcPr>
          <w:p>
            <w:pPr>
              <w:jc w:val="right"/>
              <w:ind w:right="98"/>
              <w:spacing w:after="0"/>
              <w:rPr>
                <w:sz w:val="20"/>
                <w:szCs w:val="20"/>
                <w:color w:val="auto"/>
              </w:rPr>
            </w:pPr>
            <w:r>
              <w:rPr>
                <w:rFonts w:ascii="Arial" w:cs="Arial" w:eastAsia="Arial" w:hAnsi="Arial"/>
                <w:sz w:val="13"/>
                <w:szCs w:val="13"/>
                <w:b w:val="1"/>
                <w:bCs w:val="1"/>
                <w:color w:val="4C639D"/>
              </w:rPr>
              <w:t>55</w:t>
            </w:r>
          </w:p>
        </w:tc>
        <w:tc>
          <w:tcPr>
            <w:tcW w:w="1100" w:type="dxa"/>
            <w:vAlign w:val="bottom"/>
          </w:tcPr>
          <w:p>
            <w:pPr>
              <w:jc w:val="right"/>
              <w:ind w:right="118"/>
              <w:spacing w:after="0"/>
              <w:rPr>
                <w:sz w:val="20"/>
                <w:szCs w:val="20"/>
                <w:color w:val="auto"/>
              </w:rPr>
            </w:pPr>
            <w:r>
              <w:rPr>
                <w:rFonts w:ascii="Arial" w:cs="Arial" w:eastAsia="Arial" w:hAnsi="Arial"/>
                <w:sz w:val="13"/>
                <w:szCs w:val="13"/>
                <w:b w:val="1"/>
                <w:bCs w:val="1"/>
                <w:color w:val="4C639D"/>
              </w:rPr>
              <w:t>(7)</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4C639D"/>
              </w:rPr>
              <w:t>54</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930</w:t>
            </w:r>
          </w:p>
        </w:tc>
        <w:tc>
          <w:tcPr>
            <w:tcW w:w="0" w:type="dxa"/>
            <w:vAlign w:val="bottom"/>
          </w:tcPr>
          <w:p>
            <w:pPr>
              <w:spacing w:after="0"/>
              <w:rPr>
                <w:sz w:val="1"/>
                <w:szCs w:val="1"/>
                <w:color w:val="auto"/>
              </w:rPr>
            </w:pPr>
          </w:p>
        </w:tc>
      </w:tr>
      <w:tr>
        <w:trPr>
          <w:trHeight w:val="223"/>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4C639D"/>
              </w:rPr>
              <w:t>Adjusted operating income/(loss)</w:t>
            </w:r>
            <w:r>
              <w:rPr>
                <w:rFonts w:ascii="Arial" w:cs="Arial" w:eastAsia="Arial" w:hAnsi="Arial"/>
                <w:sz w:val="16"/>
                <w:szCs w:val="16"/>
                <w:b w:val="1"/>
                <w:bCs w:val="1"/>
                <w:color w:val="4C639D"/>
                <w:vertAlign w:val="superscript"/>
              </w:rPr>
              <w:t>(1)</w:t>
            </w:r>
          </w:p>
        </w:tc>
        <w:tc>
          <w:tcPr>
            <w:tcW w:w="1100" w:type="dxa"/>
            <w:vAlign w:val="bottom"/>
            <w:tcBorders>
              <w:top w:val="single" w:sz="8" w:color="DBDBDB"/>
            </w:tcBorders>
          </w:tcPr>
          <w:p>
            <w:pPr>
              <w:spacing w:after="0"/>
              <w:rPr>
                <w:sz w:val="19"/>
                <w:szCs w:val="19"/>
                <w:color w:val="auto"/>
              </w:rPr>
            </w:pPr>
          </w:p>
        </w:tc>
        <w:tc>
          <w:tcPr>
            <w:tcW w:w="1080" w:type="dxa"/>
            <w:vAlign w:val="bottom"/>
            <w:tcBorders>
              <w:top w:val="single" w:sz="8" w:color="DBDBDB"/>
            </w:tcBorders>
            <w:shd w:val="clear" w:color="auto" w:fill="243782"/>
          </w:tcPr>
          <w:p>
            <w:pPr>
              <w:jc w:val="right"/>
              <w:ind w:right="118"/>
              <w:spacing w:after="0"/>
              <w:rPr>
                <w:sz w:val="20"/>
                <w:szCs w:val="20"/>
                <w:color w:val="auto"/>
              </w:rPr>
            </w:pPr>
            <w:r>
              <w:rPr>
                <w:rFonts w:ascii="Arial" w:cs="Arial" w:eastAsia="Arial" w:hAnsi="Arial"/>
                <w:sz w:val="13"/>
                <w:szCs w:val="13"/>
                <w:b w:val="1"/>
                <w:bCs w:val="1"/>
                <w:color w:val="FFFFFF"/>
              </w:rPr>
              <w:t>611</w:t>
            </w:r>
          </w:p>
        </w:tc>
        <w:tc>
          <w:tcPr>
            <w:tcW w:w="1000" w:type="dxa"/>
            <w:vAlign w:val="bottom"/>
            <w:tcBorders>
              <w:top w:val="single" w:sz="8" w:color="DBDBDB"/>
            </w:tcBorders>
            <w:shd w:val="clear" w:color="auto" w:fill="243782"/>
          </w:tcPr>
          <w:p>
            <w:pPr>
              <w:jc w:val="right"/>
              <w:ind w:right="18"/>
              <w:spacing w:after="0"/>
              <w:rPr>
                <w:sz w:val="20"/>
                <w:szCs w:val="20"/>
                <w:color w:val="auto"/>
              </w:rPr>
            </w:pPr>
            <w:r>
              <w:rPr>
                <w:rFonts w:ascii="Arial" w:cs="Arial" w:eastAsia="Arial" w:hAnsi="Arial"/>
                <w:sz w:val="13"/>
                <w:szCs w:val="13"/>
                <w:b w:val="1"/>
                <w:bCs w:val="1"/>
                <w:color w:val="FFFFFF"/>
              </w:rPr>
              <w:t>(397)</w:t>
            </w:r>
          </w:p>
        </w:tc>
        <w:tc>
          <w:tcPr>
            <w:tcW w:w="1140" w:type="dxa"/>
            <w:vAlign w:val="bottom"/>
            <w:tcBorders>
              <w:top w:val="single" w:sz="8" w:color="DBDBDB"/>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855</w:t>
            </w:r>
          </w:p>
        </w:tc>
        <w:tc>
          <w:tcPr>
            <w:tcW w:w="1020" w:type="dxa"/>
            <w:vAlign w:val="bottom"/>
            <w:tcBorders>
              <w:top w:val="single" w:sz="8" w:color="DBDBDB"/>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1,226</w:t>
            </w:r>
          </w:p>
        </w:tc>
        <w:tc>
          <w:tcPr>
            <w:tcW w:w="1100" w:type="dxa"/>
            <w:vAlign w:val="bottom"/>
            <w:tcBorders>
              <w:top w:val="single" w:sz="8" w:color="DBDBDB"/>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15</w:t>
            </w:r>
          </w:p>
        </w:tc>
        <w:tc>
          <w:tcPr>
            <w:tcW w:w="1020" w:type="dxa"/>
            <w:vAlign w:val="bottom"/>
            <w:tcBorders>
              <w:top w:val="single" w:sz="8" w:color="DBDBDB"/>
            </w:tcBorders>
            <w:shd w:val="clear" w:color="auto" w:fill="243782"/>
          </w:tcPr>
          <w:p>
            <w:pPr>
              <w:jc w:val="right"/>
              <w:ind w:right="77"/>
              <w:spacing w:after="0"/>
              <w:rPr>
                <w:sz w:val="20"/>
                <w:szCs w:val="20"/>
                <w:color w:val="auto"/>
              </w:rPr>
            </w:pPr>
            <w:r>
              <w:rPr>
                <w:rFonts w:ascii="Arial" w:cs="Arial" w:eastAsia="Arial" w:hAnsi="Arial"/>
                <w:sz w:val="13"/>
                <w:szCs w:val="13"/>
                <w:b w:val="1"/>
                <w:bCs w:val="1"/>
                <w:color w:val="FFFFFF"/>
              </w:rPr>
              <w:t>(321)</w:t>
            </w:r>
          </w:p>
        </w:tc>
        <w:tc>
          <w:tcPr>
            <w:tcW w:w="1020" w:type="dxa"/>
            <w:vAlign w:val="bottom"/>
            <w:tcBorders>
              <w:top w:val="single" w:sz="8" w:color="DBDBDB"/>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1,989</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________________________________________________________________________________________________________________________________________________________________________________________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 Other activities, unallocated items and eliminations</w:t>
      </w:r>
    </w:p>
    <w:p>
      <w:pPr>
        <w:ind w:right="7000" w:firstLine="8"/>
        <w:spacing w:after="0" w:line="262" w:lineRule="auto"/>
        <w:tabs>
          <w:tab w:leader="none" w:pos="188" w:val="left"/>
        </w:tabs>
        <w:numPr>
          <w:ilvl w:val="0"/>
          <w:numId w:val="13"/>
        </w:numPr>
        <w:rPr>
          <w:rFonts w:ascii="Arial" w:cs="Arial" w:eastAsia="Arial" w:hAnsi="Arial"/>
          <w:sz w:val="11"/>
          <w:szCs w:val="11"/>
          <w:color w:val="auto"/>
        </w:rPr>
      </w:pPr>
      <w:r>
        <w:rPr>
          <w:rFonts w:ascii="Arial" w:cs="Arial" w:eastAsia="Arial" w:hAnsi="Arial"/>
          <w:sz w:val="11"/>
          <w:szCs w:val="11"/>
          <w:color w:val="auto"/>
        </w:rPr>
        <w:t>Primarily related to workforce reductions, mainly in Enlarged Europe (B)Related to stop-drive campaigns on certain vehicles mainly in Enlarged Europe</w:t>
      </w:r>
    </w:p>
    <w:p>
      <w:pPr>
        <w:ind w:right="300"/>
        <w:spacing w:after="0" w:line="246" w:lineRule="auto"/>
        <w:rPr>
          <w:rFonts w:ascii="Arial" w:cs="Arial" w:eastAsia="Arial" w:hAnsi="Arial"/>
          <w:sz w:val="11"/>
          <w:szCs w:val="11"/>
          <w:color w:val="auto"/>
        </w:rPr>
      </w:pPr>
      <w:r>
        <w:rPr>
          <w:rFonts w:ascii="Arial" w:cs="Arial" w:eastAsia="Arial" w:hAnsi="Arial"/>
          <w:sz w:val="12"/>
          <w:szCs w:val="12"/>
          <w:color w:val="auto"/>
        </w:rPr>
        <w:t>(C)Primarily related to costs incurred as result of product plan realignments and program cancellations, including €252 million recognized in North America, as well as a provision reversal of €25 million in Enlarged Europe</w:t>
      </w:r>
    </w:p>
    <w:p>
      <w:pPr>
        <w:spacing w:after="0"/>
        <w:rPr>
          <w:rFonts w:ascii="Arial" w:cs="Arial" w:eastAsia="Arial" w:hAnsi="Arial"/>
          <w:sz w:val="11"/>
          <w:szCs w:val="11"/>
          <w:color w:val="auto"/>
        </w:rPr>
      </w:pPr>
      <w:r>
        <w:rPr>
          <w:rFonts w:ascii="Arial" w:cs="Arial" w:eastAsia="Arial" w:hAnsi="Arial"/>
          <w:sz w:val="12"/>
          <w:szCs w:val="12"/>
          <w:color w:val="auto"/>
        </w:rPr>
        <w:t>(D)During the nine months ended September 30, 2026, the Company recognized a €118 million charge related to its investment in Leasys</w:t>
      </w:r>
    </w:p>
    <w:p>
      <w:pPr>
        <w:spacing w:after="0" w:line="3" w:lineRule="exact"/>
        <w:rPr>
          <w:rFonts w:ascii="Arial" w:cs="Arial" w:eastAsia="Arial" w:hAnsi="Arial"/>
          <w:sz w:val="11"/>
          <w:szCs w:val="11"/>
          <w:color w:val="auto"/>
        </w:rPr>
      </w:pPr>
    </w:p>
    <w:p>
      <w:pPr>
        <w:ind w:right="120"/>
        <w:spacing w:after="0"/>
        <w:rPr>
          <w:rFonts w:ascii="Arial" w:cs="Arial" w:eastAsia="Arial" w:hAnsi="Arial"/>
          <w:sz w:val="11"/>
          <w:szCs w:val="11"/>
          <w:color w:val="auto"/>
        </w:rPr>
      </w:pPr>
      <w:r>
        <w:rPr>
          <w:rFonts w:ascii="Arial" w:cs="Arial" w:eastAsia="Arial" w:hAnsi="Arial"/>
          <w:sz w:val="12"/>
          <w:szCs w:val="12"/>
          <w:color w:val="auto"/>
        </w:rPr>
        <w:t>(E)Comprised primarily of (i) gains recognized as a result of the loss of significant influence over Archer and the resulting termination of the equity method, (ii) a dilution gain related to the investment in Comau Group, and (iii) gains/(losses) recognized on the disposal of non-significant assets in Enlarged Europe</w:t>
      </w:r>
    </w:p>
    <w:p>
      <w:pPr>
        <w:ind w:right="40"/>
        <w:spacing w:after="0" w:line="246" w:lineRule="auto"/>
        <w:rPr>
          <w:rFonts w:ascii="Arial" w:cs="Arial" w:eastAsia="Arial" w:hAnsi="Arial"/>
          <w:sz w:val="11"/>
          <w:szCs w:val="11"/>
          <w:color w:val="auto"/>
        </w:rPr>
      </w:pPr>
      <w:r>
        <w:rPr>
          <w:rFonts w:ascii="Arial" w:cs="Arial" w:eastAsia="Arial" w:hAnsi="Arial"/>
          <w:sz w:val="12"/>
          <w:szCs w:val="12"/>
          <w:color w:val="auto"/>
        </w:rPr>
        <w:t>(F)Following the repeal of the U.S. GHG emissions standards, the Company recognized a gain of €66 million within Cost of revenues. The net gain consisted of an impairment of GHG-related Other intangible assets of €284 million and the elimination of the related GHG provision of €350 million</w:t>
      </w:r>
    </w:p>
    <w:p>
      <w:pPr>
        <w:ind w:left="200" w:hanging="192"/>
        <w:spacing w:after="0"/>
        <w:tabs>
          <w:tab w:leader="none" w:pos="2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a net gain of €317 million within Cost of revenues related to renegotiated contractual commitments for the purchase of regulatory compliance credits</w:t>
      </w:r>
    </w:p>
    <w:p>
      <w:pPr>
        <w:spacing w:after="0" w:line="3" w:lineRule="exact"/>
        <w:rPr>
          <w:rFonts w:ascii="Arial" w:cs="Arial" w:eastAsia="Arial" w:hAnsi="Arial"/>
          <w:sz w:val="12"/>
          <w:szCs w:val="12"/>
          <w:color w:val="auto"/>
        </w:rPr>
      </w:pPr>
    </w:p>
    <w:p>
      <w:pPr>
        <w:ind w:left="200" w:hanging="192"/>
        <w:spacing w:after="0"/>
        <w:tabs>
          <w:tab w:leader="none" w:pos="2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Comprised primarily of adjustments to costs related to the transformation of certain plants in North America and Enlarged Europe, along with a regulatory impairment charge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60" w:type="dxa"/>
            <w:vAlign w:val="bottom"/>
            <w:tcBorders>
              <w:top w:val="single" w:sz="8" w:color="4C639D"/>
            </w:tcBorders>
            <w:vMerge w:val="restart"/>
          </w:tcPr>
          <w:p>
            <w:pPr>
              <w:ind w:left="700"/>
              <w:spacing w:after="0"/>
              <w:rPr>
                <w:sz w:val="20"/>
                <w:szCs w:val="20"/>
                <w:color w:val="auto"/>
              </w:rPr>
            </w:pPr>
            <w:r>
              <w:rPr>
                <w:rFonts w:ascii="Arial" w:cs="Arial" w:eastAsia="Arial" w:hAnsi="Arial"/>
                <w:sz w:val="22"/>
                <w:szCs w:val="22"/>
                <w:color w:val="243782"/>
              </w:rPr>
              <w:t>YTD 2025</w:t>
            </w:r>
          </w:p>
        </w:tc>
        <w:tc>
          <w:tcPr>
            <w:tcW w:w="1100" w:type="dxa"/>
            <w:vAlign w:val="bottom"/>
            <w:tcBorders>
              <w:top w:val="single" w:sz="8" w:color="4C639D"/>
            </w:tcBorders>
            <w:vMerge w:val="restart"/>
          </w:tcPr>
          <w:p>
            <w:pPr>
              <w:ind w:left="40"/>
              <w:spacing w:after="0"/>
              <w:rPr>
                <w:sz w:val="20"/>
                <w:szCs w:val="20"/>
                <w:color w:val="auto"/>
              </w:rPr>
            </w:pPr>
            <w:r>
              <w:rPr>
                <w:rFonts w:ascii="Arial" w:cs="Arial" w:eastAsia="Arial" w:hAnsi="Arial"/>
                <w:sz w:val="13"/>
                <w:szCs w:val="13"/>
                <w:color w:val="243782"/>
              </w:rPr>
              <w:t>(€ million)</w:t>
            </w:r>
          </w:p>
        </w:tc>
        <w:tc>
          <w:tcPr>
            <w:tcW w:w="1080" w:type="dxa"/>
            <w:vAlign w:val="bottom"/>
            <w:tcBorders>
              <w:top w:val="single" w:sz="8" w:color="4C639D"/>
            </w:tcBorders>
          </w:tcPr>
          <w:p>
            <w:pPr>
              <w:jc w:val="right"/>
              <w:ind w:right="338"/>
              <w:spacing w:after="0"/>
              <w:rPr>
                <w:sz w:val="20"/>
                <w:szCs w:val="20"/>
                <w:color w:val="auto"/>
              </w:rPr>
            </w:pPr>
            <w:r>
              <w:rPr>
                <w:rFonts w:ascii="Arial" w:cs="Arial" w:eastAsia="Arial" w:hAnsi="Arial"/>
                <w:sz w:val="12"/>
                <w:szCs w:val="12"/>
                <w:b w:val="1"/>
                <w:bCs w:val="1"/>
                <w:color w:val="243782"/>
              </w:rPr>
              <w:t>NORTH</w:t>
            </w:r>
          </w:p>
        </w:tc>
        <w:tc>
          <w:tcPr>
            <w:tcW w:w="1000" w:type="dxa"/>
            <w:vAlign w:val="bottom"/>
            <w:tcBorders>
              <w:top w:val="single" w:sz="8" w:color="4C639D"/>
            </w:tcBorders>
          </w:tcPr>
          <w:p>
            <w:pPr>
              <w:jc w:val="right"/>
              <w:ind w:right="158"/>
              <w:spacing w:after="0"/>
              <w:rPr>
                <w:sz w:val="20"/>
                <w:szCs w:val="20"/>
                <w:color w:val="auto"/>
              </w:rPr>
            </w:pPr>
            <w:r>
              <w:rPr>
                <w:rFonts w:ascii="Arial" w:cs="Arial" w:eastAsia="Arial" w:hAnsi="Arial"/>
                <w:sz w:val="12"/>
                <w:szCs w:val="12"/>
                <w:b w:val="1"/>
                <w:bCs w:val="1"/>
                <w:color w:val="243782"/>
              </w:rPr>
              <w:t>ENLARGED</w:t>
            </w:r>
          </w:p>
        </w:tc>
        <w:tc>
          <w:tcPr>
            <w:tcW w:w="1140" w:type="dxa"/>
            <w:vAlign w:val="bottom"/>
            <w:tcBorders>
              <w:top w:val="single" w:sz="8" w:color="4C639D"/>
            </w:tcBorders>
          </w:tcPr>
          <w:p>
            <w:pPr>
              <w:jc w:val="right"/>
              <w:ind w:right="98"/>
              <w:spacing w:after="0"/>
              <w:rPr>
                <w:sz w:val="20"/>
                <w:szCs w:val="20"/>
                <w:color w:val="auto"/>
              </w:rPr>
            </w:pPr>
            <w:r>
              <w:rPr>
                <w:rFonts w:ascii="Arial" w:cs="Arial" w:eastAsia="Arial" w:hAnsi="Arial"/>
                <w:sz w:val="12"/>
                <w:szCs w:val="12"/>
                <w:b w:val="1"/>
                <w:bCs w:val="1"/>
                <w:color w:val="243782"/>
              </w:rPr>
              <w:t>MIDDLE EAST &amp;</w:t>
            </w:r>
          </w:p>
        </w:tc>
        <w:tc>
          <w:tcPr>
            <w:tcW w:w="1020" w:type="dxa"/>
            <w:vAlign w:val="bottom"/>
            <w:tcBorders>
              <w:top w:val="single" w:sz="8" w:color="4C639D"/>
            </w:tcBorders>
          </w:tcPr>
          <w:p>
            <w:pPr>
              <w:jc w:val="right"/>
              <w:ind w:right="318"/>
              <w:spacing w:after="0"/>
              <w:rPr>
                <w:sz w:val="20"/>
                <w:szCs w:val="20"/>
                <w:color w:val="auto"/>
              </w:rPr>
            </w:pPr>
            <w:r>
              <w:rPr>
                <w:rFonts w:ascii="Arial" w:cs="Arial" w:eastAsia="Arial" w:hAnsi="Arial"/>
                <w:sz w:val="12"/>
                <w:szCs w:val="12"/>
                <w:b w:val="1"/>
                <w:bCs w:val="1"/>
                <w:color w:val="243782"/>
              </w:rPr>
              <w:t>SOUTH</w:t>
            </w:r>
          </w:p>
        </w:tc>
        <w:tc>
          <w:tcPr>
            <w:tcW w:w="110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tcPr>
          <w:p>
            <w:pPr>
              <w:spacing w:after="0"/>
              <w:rPr>
                <w:sz w:val="15"/>
                <w:szCs w:val="15"/>
                <w:color w:val="auto"/>
              </w:rPr>
            </w:pPr>
          </w:p>
        </w:tc>
        <w:tc>
          <w:tcPr>
            <w:tcW w:w="1020" w:type="dxa"/>
            <w:vAlign w:val="bottom"/>
            <w:tcBorders>
              <w:top w:val="single" w:sz="8" w:color="4C639D"/>
            </w:tcBorders>
            <w:shd w:val="clear" w:color="auto" w:fill="24378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4C639D"/>
            </w:tcBorders>
            <w:vMerge w:val="continue"/>
          </w:tcPr>
          <w:p>
            <w:pPr>
              <w:spacing w:after="0"/>
              <w:rPr>
                <w:sz w:val="16"/>
                <w:szCs w:val="16"/>
                <w:color w:val="auto"/>
              </w:rPr>
            </w:pPr>
          </w:p>
        </w:tc>
        <w:tc>
          <w:tcPr>
            <w:tcW w:w="1100" w:type="dxa"/>
            <w:vAlign w:val="bottom"/>
            <w:tcBorders>
              <w:bottom w:val="single" w:sz="8" w:color="4C639D"/>
            </w:tcBorders>
            <w:vMerge w:val="continue"/>
          </w:tcPr>
          <w:p>
            <w:pPr>
              <w:spacing w:after="0"/>
              <w:rPr>
                <w:sz w:val="16"/>
                <w:szCs w:val="16"/>
                <w:color w:val="auto"/>
              </w:rPr>
            </w:pPr>
          </w:p>
        </w:tc>
        <w:tc>
          <w:tcPr>
            <w:tcW w:w="1080" w:type="dxa"/>
            <w:vAlign w:val="bottom"/>
            <w:tcBorders>
              <w:bottom w:val="single" w:sz="8" w:color="4C639D"/>
            </w:tcBorders>
          </w:tcPr>
          <w:p>
            <w:pPr>
              <w:jc w:val="right"/>
              <w:ind w:right="258"/>
              <w:spacing w:after="0"/>
              <w:rPr>
                <w:sz w:val="20"/>
                <w:szCs w:val="20"/>
                <w:color w:val="auto"/>
              </w:rPr>
            </w:pPr>
            <w:r>
              <w:rPr>
                <w:rFonts w:ascii="Arial" w:cs="Arial" w:eastAsia="Arial" w:hAnsi="Arial"/>
                <w:sz w:val="12"/>
                <w:szCs w:val="12"/>
                <w:b w:val="1"/>
                <w:bCs w:val="1"/>
                <w:color w:val="243782"/>
              </w:rPr>
              <w:t>AMERICA</w:t>
            </w:r>
          </w:p>
        </w:tc>
        <w:tc>
          <w:tcPr>
            <w:tcW w:w="100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EUROPE</w:t>
            </w:r>
          </w:p>
        </w:tc>
        <w:tc>
          <w:tcPr>
            <w:tcW w:w="1140" w:type="dxa"/>
            <w:vAlign w:val="bottom"/>
            <w:tcBorders>
              <w:bottom w:val="single" w:sz="8" w:color="4C639D"/>
            </w:tcBorders>
          </w:tcPr>
          <w:p>
            <w:pPr>
              <w:jc w:val="right"/>
              <w:ind w:right="338"/>
              <w:spacing w:after="0"/>
              <w:rPr>
                <w:sz w:val="20"/>
                <w:szCs w:val="20"/>
                <w:color w:val="auto"/>
              </w:rPr>
            </w:pPr>
            <w:r>
              <w:rPr>
                <w:rFonts w:ascii="Arial" w:cs="Arial" w:eastAsia="Arial" w:hAnsi="Arial"/>
                <w:sz w:val="12"/>
                <w:szCs w:val="12"/>
                <w:b w:val="1"/>
                <w:bCs w:val="1"/>
                <w:color w:val="243782"/>
              </w:rPr>
              <w:t>AFRICA</w:t>
            </w:r>
          </w:p>
        </w:tc>
        <w:tc>
          <w:tcPr>
            <w:tcW w:w="1020" w:type="dxa"/>
            <w:vAlign w:val="bottom"/>
            <w:tcBorders>
              <w:bottom w:val="single" w:sz="8" w:color="4C639D"/>
            </w:tcBorders>
          </w:tcPr>
          <w:p>
            <w:pPr>
              <w:jc w:val="right"/>
              <w:ind w:right="238"/>
              <w:spacing w:after="0"/>
              <w:rPr>
                <w:sz w:val="20"/>
                <w:szCs w:val="20"/>
                <w:color w:val="auto"/>
              </w:rPr>
            </w:pPr>
            <w:r>
              <w:rPr>
                <w:rFonts w:ascii="Arial" w:cs="Arial" w:eastAsia="Arial" w:hAnsi="Arial"/>
                <w:sz w:val="12"/>
                <w:szCs w:val="12"/>
                <w:b w:val="1"/>
                <w:bCs w:val="1"/>
                <w:color w:val="243782"/>
              </w:rPr>
              <w:t>AMERICA</w:t>
            </w:r>
          </w:p>
        </w:tc>
        <w:tc>
          <w:tcPr>
            <w:tcW w:w="1100" w:type="dxa"/>
            <w:vAlign w:val="bottom"/>
            <w:tcBorders>
              <w:bottom w:val="single" w:sz="8" w:color="4C639D"/>
            </w:tcBorders>
          </w:tcPr>
          <w:p>
            <w:pPr>
              <w:jc w:val="right"/>
              <w:ind w:right="198"/>
              <w:spacing w:after="0"/>
              <w:rPr>
                <w:sz w:val="20"/>
                <w:szCs w:val="20"/>
                <w:color w:val="auto"/>
              </w:rPr>
            </w:pPr>
            <w:r>
              <w:rPr>
                <w:rFonts w:ascii="Arial" w:cs="Arial" w:eastAsia="Arial" w:hAnsi="Arial"/>
                <w:sz w:val="11"/>
                <w:szCs w:val="11"/>
                <w:b w:val="1"/>
                <w:bCs w:val="1"/>
                <w:color w:val="243782"/>
              </w:rPr>
              <w:t>ASIA PACIFIC</w:t>
            </w:r>
          </w:p>
        </w:tc>
        <w:tc>
          <w:tcPr>
            <w:tcW w:w="1020" w:type="dxa"/>
            <w:vAlign w:val="bottom"/>
            <w:tcBorders>
              <w:bottom w:val="single" w:sz="8" w:color="4C639D"/>
            </w:tcBorders>
          </w:tcPr>
          <w:p>
            <w:pPr>
              <w:jc w:val="right"/>
              <w:ind w:right="277"/>
              <w:spacing w:after="0"/>
              <w:rPr>
                <w:sz w:val="20"/>
                <w:szCs w:val="20"/>
                <w:color w:val="auto"/>
              </w:rPr>
            </w:pPr>
            <w:r>
              <w:rPr>
                <w:rFonts w:ascii="Arial" w:cs="Arial" w:eastAsia="Arial" w:hAnsi="Arial"/>
                <w:sz w:val="12"/>
                <w:szCs w:val="12"/>
                <w:b w:val="1"/>
                <w:bCs w:val="1"/>
                <w:color w:val="243782"/>
              </w:rPr>
              <w:t>OTHER</w:t>
            </w:r>
            <w:r>
              <w:rPr>
                <w:rFonts w:ascii="Arial" w:cs="Arial" w:eastAsia="Arial" w:hAnsi="Arial"/>
                <w:sz w:val="15"/>
                <w:szCs w:val="15"/>
                <w:b w:val="1"/>
                <w:bCs w:val="1"/>
                <w:color w:val="243782"/>
                <w:vertAlign w:val="superscript"/>
              </w:rPr>
              <w:t>(*)</w:t>
            </w:r>
          </w:p>
        </w:tc>
        <w:tc>
          <w:tcPr>
            <w:tcW w:w="1020" w:type="dxa"/>
            <w:vAlign w:val="bottom"/>
            <w:tcBorders>
              <w:bottom w:val="single" w:sz="8" w:color="4C639D"/>
            </w:tcBorders>
            <w:shd w:val="clear" w:color="auto" w:fill="243782"/>
          </w:tcPr>
          <w:p>
            <w:pPr>
              <w:jc w:val="right"/>
              <w:ind w:right="97"/>
              <w:spacing w:after="0"/>
              <w:rPr>
                <w:sz w:val="20"/>
                <w:szCs w:val="20"/>
                <w:color w:val="auto"/>
              </w:rPr>
            </w:pPr>
            <w:r>
              <w:rPr>
                <w:rFonts w:ascii="Arial" w:cs="Arial" w:eastAsia="Arial" w:hAnsi="Arial"/>
                <w:sz w:val="12"/>
                <w:szCs w:val="12"/>
                <w:b w:val="1"/>
                <w:bCs w:val="1"/>
                <w:color w:val="FFFFFF"/>
              </w:rPr>
              <w:t>STELLANTIS</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10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3"/>
                <w:szCs w:val="13"/>
                <w:color w:val="auto"/>
              </w:rPr>
              <w:t>44,382</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44,177</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7,009</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11,625</w:t>
            </w:r>
          </w:p>
        </w:tc>
        <w:tc>
          <w:tcPr>
            <w:tcW w:w="1100" w:type="dxa"/>
            <w:vAlign w:val="bottom"/>
          </w:tcPr>
          <w:p>
            <w:pPr>
              <w:jc w:val="right"/>
              <w:ind w:right="138"/>
              <w:spacing w:after="0"/>
              <w:rPr>
                <w:sz w:val="20"/>
                <w:szCs w:val="20"/>
                <w:color w:val="auto"/>
              </w:rPr>
            </w:pPr>
            <w:r>
              <w:rPr>
                <w:rFonts w:ascii="Arial" w:cs="Arial" w:eastAsia="Arial" w:hAnsi="Arial"/>
                <w:sz w:val="13"/>
                <w:szCs w:val="13"/>
                <w:color w:val="auto"/>
              </w:rPr>
              <w:t>1,482</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2,792</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111,467</w:t>
            </w:r>
          </w:p>
        </w:tc>
        <w:tc>
          <w:tcPr>
            <w:tcW w:w="0" w:type="dxa"/>
            <w:vAlign w:val="bottom"/>
          </w:tcPr>
          <w:p>
            <w:pPr>
              <w:spacing w:after="0"/>
              <w:rPr>
                <w:sz w:val="1"/>
                <w:szCs w:val="1"/>
                <w:color w:val="auto"/>
              </w:rPr>
            </w:pPr>
          </w:p>
        </w:tc>
      </w:tr>
      <w:tr>
        <w:trPr>
          <w:trHeight w:val="209"/>
        </w:trPr>
        <w:tc>
          <w:tcPr>
            <w:tcW w:w="3860" w:type="dxa"/>
            <w:vAlign w:val="bottom"/>
            <w:tcBorders>
              <w:top w:val="single" w:sz="8" w:color="DBDBDB"/>
            </w:tcBorders>
            <w:gridSpan w:val="2"/>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080" w:type="dxa"/>
            <w:vAlign w:val="bottom"/>
            <w:tcBorders>
              <w:top w:val="single" w:sz="8" w:color="DBDBDB"/>
            </w:tcBorders>
          </w:tcPr>
          <w:p>
            <w:pPr>
              <w:jc w:val="right"/>
              <w:ind w:right="118"/>
              <w:spacing w:after="0"/>
              <w:rPr>
                <w:sz w:val="20"/>
                <w:szCs w:val="20"/>
                <w:color w:val="auto"/>
              </w:rPr>
            </w:pPr>
            <w:r>
              <w:rPr>
                <w:rFonts w:ascii="Arial" w:cs="Arial" w:eastAsia="Arial" w:hAnsi="Arial"/>
                <w:sz w:val="13"/>
                <w:szCs w:val="13"/>
                <w:color w:val="auto"/>
              </w:rPr>
              <w:t>8</w:t>
            </w:r>
          </w:p>
        </w:tc>
        <w:tc>
          <w:tcPr>
            <w:tcW w:w="1000" w:type="dxa"/>
            <w:vAlign w:val="bottom"/>
            <w:tcBorders>
              <w:top w:val="single" w:sz="8" w:color="DBDBDB"/>
            </w:tcBorders>
          </w:tcPr>
          <w:p>
            <w:pPr>
              <w:jc w:val="right"/>
              <w:ind w:right="58"/>
              <w:spacing w:after="0"/>
              <w:rPr>
                <w:sz w:val="20"/>
                <w:szCs w:val="20"/>
                <w:color w:val="auto"/>
              </w:rPr>
            </w:pPr>
            <w:r>
              <w:rPr>
                <w:rFonts w:ascii="Arial" w:cs="Arial" w:eastAsia="Arial" w:hAnsi="Arial"/>
                <w:sz w:val="13"/>
                <w:szCs w:val="13"/>
                <w:color w:val="auto"/>
              </w:rPr>
              <w:t>11</w:t>
            </w:r>
          </w:p>
        </w:tc>
        <w:tc>
          <w:tcPr>
            <w:tcW w:w="1140" w:type="dxa"/>
            <w:vAlign w:val="bottom"/>
            <w:tcBorders>
              <w:top w:val="single" w:sz="8" w:color="DBDBDB"/>
            </w:tcBorders>
          </w:tcPr>
          <w:p>
            <w:pPr>
              <w:jc w:val="right"/>
              <w:ind w:right="138"/>
              <w:spacing w:after="0"/>
              <w:rPr>
                <w:sz w:val="20"/>
                <w:szCs w:val="20"/>
                <w:color w:val="auto"/>
              </w:rPr>
            </w:pPr>
            <w:r>
              <w:rPr>
                <w:rFonts w:ascii="Arial" w:cs="Arial" w:eastAsia="Arial" w:hAnsi="Arial"/>
                <w:sz w:val="13"/>
                <w:szCs w:val="13"/>
                <w:color w:val="auto"/>
              </w:rPr>
              <w:t>13</w:t>
            </w:r>
          </w:p>
        </w:tc>
        <w:tc>
          <w:tcPr>
            <w:tcW w:w="1020" w:type="dxa"/>
            <w:vAlign w:val="bottom"/>
            <w:tcBorders>
              <w:top w:val="single" w:sz="8" w:color="DBDBDB"/>
            </w:tcBorders>
          </w:tcPr>
          <w:p>
            <w:pPr>
              <w:jc w:val="right"/>
              <w:ind w:right="98"/>
              <w:spacing w:after="0"/>
              <w:rPr>
                <w:sz w:val="20"/>
                <w:szCs w:val="20"/>
                <w:color w:val="auto"/>
              </w:rPr>
            </w:pPr>
            <w:r>
              <w:rPr>
                <w:rFonts w:ascii="Arial" w:cs="Arial" w:eastAsia="Arial" w:hAnsi="Arial"/>
                <w:sz w:val="13"/>
                <w:szCs w:val="13"/>
                <w:color w:val="auto"/>
              </w:rPr>
              <w:t>135</w:t>
            </w:r>
          </w:p>
        </w:tc>
        <w:tc>
          <w:tcPr>
            <w:tcW w:w="1100" w:type="dxa"/>
            <w:vAlign w:val="bottom"/>
            <w:tcBorders>
              <w:top w:val="single" w:sz="8" w:color="DBDBDB"/>
            </w:tcBorders>
          </w:tcPr>
          <w:p>
            <w:pPr>
              <w:jc w:val="right"/>
              <w:ind w:right="138"/>
              <w:spacing w:after="0"/>
              <w:rPr>
                <w:sz w:val="20"/>
                <w:szCs w:val="20"/>
                <w:color w:val="auto"/>
              </w:rPr>
            </w:pPr>
            <w:r>
              <w:rPr>
                <w:rFonts w:ascii="Arial" w:cs="Arial" w:eastAsia="Arial" w:hAnsi="Arial"/>
                <w:sz w:val="13"/>
                <w:szCs w:val="13"/>
                <w:color w:val="auto"/>
              </w:rPr>
              <w:t>4</w:t>
            </w:r>
          </w:p>
        </w:tc>
        <w:tc>
          <w:tcPr>
            <w:tcW w:w="1020" w:type="dxa"/>
            <w:vAlign w:val="bottom"/>
            <w:tcBorders>
              <w:top w:val="single" w:sz="8" w:color="DBDBDB"/>
            </w:tcBorders>
          </w:tcPr>
          <w:p>
            <w:pPr>
              <w:jc w:val="right"/>
              <w:ind w:right="77"/>
              <w:spacing w:after="0"/>
              <w:rPr>
                <w:sz w:val="20"/>
                <w:szCs w:val="20"/>
                <w:color w:val="auto"/>
              </w:rPr>
            </w:pPr>
            <w:r>
              <w:rPr>
                <w:rFonts w:ascii="Arial" w:cs="Arial" w:eastAsia="Arial" w:hAnsi="Arial"/>
                <w:sz w:val="13"/>
                <w:szCs w:val="13"/>
                <w:color w:val="auto"/>
              </w:rPr>
              <w:t>(171)</w:t>
            </w: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revenues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bottom w:val="single" w:sz="8" w:color="243782"/>
            </w:tcBorders>
            <w:shd w:val="clear" w:color="auto" w:fill="243782"/>
          </w:tcPr>
          <w:p>
            <w:pPr>
              <w:jc w:val="right"/>
              <w:ind w:right="118"/>
              <w:spacing w:after="0"/>
              <w:rPr>
                <w:sz w:val="20"/>
                <w:szCs w:val="20"/>
                <w:color w:val="auto"/>
              </w:rPr>
            </w:pPr>
            <w:r>
              <w:rPr>
                <w:rFonts w:ascii="Arial" w:cs="Arial" w:eastAsia="Arial" w:hAnsi="Arial"/>
                <w:sz w:val="13"/>
                <w:szCs w:val="13"/>
                <w:b w:val="1"/>
                <w:bCs w:val="1"/>
                <w:color w:val="FFFFFF"/>
              </w:rPr>
              <w:t>44,390</w:t>
            </w:r>
          </w:p>
        </w:tc>
        <w:tc>
          <w:tcPr>
            <w:tcW w:w="1000" w:type="dxa"/>
            <w:vAlign w:val="bottom"/>
            <w:tcBorders>
              <w:top w:val="single" w:sz="8" w:color="DBDBDB"/>
              <w:bottom w:val="single" w:sz="8" w:color="243782"/>
            </w:tcBorders>
            <w:shd w:val="clear" w:color="auto" w:fill="243782"/>
          </w:tcPr>
          <w:p>
            <w:pPr>
              <w:jc w:val="right"/>
              <w:ind w:right="58"/>
              <w:spacing w:after="0"/>
              <w:rPr>
                <w:sz w:val="20"/>
                <w:szCs w:val="20"/>
                <w:color w:val="auto"/>
              </w:rPr>
            </w:pPr>
            <w:r>
              <w:rPr>
                <w:rFonts w:ascii="Arial" w:cs="Arial" w:eastAsia="Arial" w:hAnsi="Arial"/>
                <w:sz w:val="13"/>
                <w:szCs w:val="13"/>
                <w:b w:val="1"/>
                <w:bCs w:val="1"/>
                <w:color w:val="FFFFFF"/>
              </w:rPr>
              <w:t>44,188</w:t>
            </w:r>
          </w:p>
        </w:tc>
        <w:tc>
          <w:tcPr>
            <w:tcW w:w="1140" w:type="dxa"/>
            <w:vAlign w:val="bottom"/>
            <w:tcBorders>
              <w:top w:val="single" w:sz="8" w:color="DBDBDB"/>
              <w:bottom w:val="single" w:sz="8" w:color="243782"/>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7,022</w:t>
            </w:r>
          </w:p>
        </w:tc>
        <w:tc>
          <w:tcPr>
            <w:tcW w:w="1020" w:type="dxa"/>
            <w:vAlign w:val="bottom"/>
            <w:tcBorders>
              <w:top w:val="single" w:sz="8" w:color="DBDBDB"/>
              <w:bottom w:val="single" w:sz="8" w:color="243782"/>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11,760</w:t>
            </w:r>
          </w:p>
        </w:tc>
        <w:tc>
          <w:tcPr>
            <w:tcW w:w="1100" w:type="dxa"/>
            <w:vAlign w:val="bottom"/>
            <w:tcBorders>
              <w:top w:val="single" w:sz="8" w:color="DBDBDB"/>
              <w:bottom w:val="single" w:sz="8" w:color="243782"/>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1,486</w:t>
            </w:r>
          </w:p>
        </w:tc>
        <w:tc>
          <w:tcPr>
            <w:tcW w:w="1020" w:type="dxa"/>
            <w:vAlign w:val="bottom"/>
            <w:tcBorders>
              <w:top w:val="single" w:sz="8" w:color="DBDBDB"/>
              <w:bottom w:val="single" w:sz="8" w:color="243782"/>
            </w:tcBorders>
            <w:shd w:val="clear" w:color="auto" w:fill="243782"/>
          </w:tcPr>
          <w:p>
            <w:pPr>
              <w:jc w:val="right"/>
              <w:ind w:right="117"/>
              <w:spacing w:after="0"/>
              <w:rPr>
                <w:sz w:val="20"/>
                <w:szCs w:val="20"/>
                <w:color w:val="auto"/>
              </w:rPr>
            </w:pPr>
            <w:r>
              <w:rPr>
                <w:rFonts w:ascii="Arial" w:cs="Arial" w:eastAsia="Arial" w:hAnsi="Arial"/>
                <w:sz w:val="13"/>
                <w:szCs w:val="13"/>
                <w:b w:val="1"/>
                <w:bCs w:val="1"/>
                <w:color w:val="FFFFFF"/>
              </w:rPr>
              <w:t>2,621</w:t>
            </w:r>
          </w:p>
        </w:tc>
        <w:tc>
          <w:tcPr>
            <w:tcW w:w="1020" w:type="dxa"/>
            <w:vAlign w:val="bottom"/>
            <w:tcBorders>
              <w:top w:val="single" w:sz="8" w:color="DBDBDB"/>
              <w:bottom w:val="single" w:sz="8" w:color="243782"/>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111,467</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Net profit/(loss)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(6,788)</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Tax expense/(benefit)</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(1,777)</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Net financial expenses/(income)</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154</w:t>
            </w: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4C639D"/>
            </w:tcBorders>
          </w:tcPr>
          <w:p>
            <w:pPr>
              <w:spacing w:after="0"/>
              <w:rPr>
                <w:sz w:val="18"/>
                <w:szCs w:val="18"/>
                <w:color w:val="auto"/>
              </w:rPr>
            </w:pPr>
          </w:p>
        </w:tc>
        <w:tc>
          <w:tcPr>
            <w:tcW w:w="1000" w:type="dxa"/>
            <w:vAlign w:val="bottom"/>
            <w:tcBorders>
              <w:top w:val="single" w:sz="8" w:color="4C639D"/>
            </w:tcBorders>
          </w:tcPr>
          <w:p>
            <w:pPr>
              <w:spacing w:after="0"/>
              <w:rPr>
                <w:sz w:val="18"/>
                <w:szCs w:val="18"/>
                <w:color w:val="auto"/>
              </w:rPr>
            </w:pPr>
          </w:p>
        </w:tc>
        <w:tc>
          <w:tcPr>
            <w:tcW w:w="114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100" w:type="dxa"/>
            <w:vAlign w:val="bottom"/>
            <w:tcBorders>
              <w:top w:val="single" w:sz="8" w:color="4C639D"/>
            </w:tcBorders>
          </w:tcPr>
          <w:p>
            <w:pPr>
              <w:spacing w:after="0"/>
              <w:rPr>
                <w:sz w:val="18"/>
                <w:szCs w:val="18"/>
                <w:color w:val="auto"/>
              </w:rPr>
            </w:pPr>
          </w:p>
        </w:tc>
        <w:tc>
          <w:tcPr>
            <w:tcW w:w="1020" w:type="dxa"/>
            <w:vAlign w:val="bottom"/>
            <w:tcBorders>
              <w:top w:val="single" w:sz="8" w:color="4C639D"/>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(8,411)</w:t>
            </w:r>
          </w:p>
        </w:tc>
        <w:tc>
          <w:tcPr>
            <w:tcW w:w="0" w:type="dxa"/>
            <w:vAlign w:val="bottom"/>
          </w:tcPr>
          <w:p>
            <w:pPr>
              <w:spacing w:after="0"/>
              <w:rPr>
                <w:sz w:val="1"/>
                <w:szCs w:val="1"/>
                <w:color w:val="auto"/>
              </w:rPr>
            </w:pPr>
          </w:p>
        </w:tc>
      </w:tr>
      <w:tr>
        <w:trPr>
          <w:trHeight w:val="210"/>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color w:val="auto"/>
              </w:rPr>
              <w:t>Adjustments:</w:t>
            </w:r>
          </w:p>
        </w:tc>
        <w:tc>
          <w:tcPr>
            <w:tcW w:w="1100" w:type="dxa"/>
            <w:vAlign w:val="bottom"/>
            <w:tcBorders>
              <w:top w:val="single" w:sz="8" w:color="DBDBDB"/>
            </w:tcBorders>
          </w:tcPr>
          <w:p>
            <w:pPr>
              <w:spacing w:after="0"/>
              <w:rPr>
                <w:sz w:val="18"/>
                <w:szCs w:val="18"/>
                <w:color w:val="auto"/>
              </w:rPr>
            </w:pPr>
          </w:p>
        </w:tc>
        <w:tc>
          <w:tcPr>
            <w:tcW w:w="108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10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020" w:type="dxa"/>
            <w:vAlign w:val="bottom"/>
            <w:tcBorders>
              <w:top w:val="single" w:sz="8" w:color="DBDBDB"/>
              <w:bottom w:val="single" w:sz="8" w:color="4C639D"/>
            </w:tcBorders>
            <w:shd w:val="clear" w:color="auto" w:fill="4C639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3"/>
                <w:szCs w:val="13"/>
                <w:color w:val="auto"/>
                <w:w w:val="98"/>
              </w:rPr>
              <w:t>Change in estimate for contractual warranties</w:t>
            </w:r>
            <w:r>
              <w:rPr>
                <w:rFonts w:ascii="Arial" w:cs="Arial" w:eastAsia="Arial" w:hAnsi="Arial"/>
                <w:sz w:val="16"/>
                <w:szCs w:val="16"/>
                <w:color w:val="auto"/>
                <w:w w:val="98"/>
                <w:vertAlign w:val="superscript"/>
              </w:rPr>
              <w:t>(A)</w:t>
            </w:r>
          </w:p>
        </w:tc>
        <w:tc>
          <w:tcPr>
            <w:tcW w:w="1100" w:type="dxa"/>
            <w:vAlign w:val="bottom"/>
            <w:tcBorders>
              <w:top w:val="single" w:sz="8" w:color="DBDBDB"/>
              <w:bottom w:val="single" w:sz="8" w:color="DBDBDB"/>
            </w:tcBorders>
          </w:tcPr>
          <w:p>
            <w:pPr>
              <w:spacing w:after="0"/>
              <w:rPr>
                <w:sz w:val="18"/>
                <w:szCs w:val="18"/>
                <w:color w:val="auto"/>
              </w:rPr>
            </w:pPr>
          </w:p>
        </w:tc>
        <w:tc>
          <w:tcPr>
            <w:tcW w:w="1080" w:type="dxa"/>
            <w:vAlign w:val="bottom"/>
            <w:tcBorders>
              <w:top w:val="single" w:sz="8" w:color="DBDBDB"/>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3,252</w:t>
            </w:r>
          </w:p>
        </w:tc>
        <w:tc>
          <w:tcPr>
            <w:tcW w:w="1000" w:type="dxa"/>
            <w:vAlign w:val="bottom"/>
            <w:tcBorders>
              <w:top w:val="single" w:sz="8" w:color="DBDBDB"/>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top w:val="single" w:sz="8" w:color="DBDBDB"/>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top w:val="single" w:sz="8" w:color="DBDBDB"/>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top w:val="single" w:sz="8" w:color="DBDBDB"/>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3,252</w:t>
            </w:r>
          </w:p>
        </w:tc>
        <w:tc>
          <w:tcPr>
            <w:tcW w:w="0" w:type="dxa"/>
            <w:vAlign w:val="bottom"/>
          </w:tcPr>
          <w:p>
            <w:pPr>
              <w:spacing w:after="0"/>
              <w:rPr>
                <w:sz w:val="1"/>
                <w:szCs w:val="1"/>
                <w:color w:val="auto"/>
              </w:rPr>
            </w:pPr>
          </w:p>
        </w:tc>
      </w:tr>
      <w:tr>
        <w:trPr>
          <w:trHeight w:val="165"/>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Costs related to product plan realignments and program</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shd w:val="clear" w:color="auto" w:fill="4C639D"/>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cancellations</w:t>
            </w:r>
            <w:r>
              <w:rPr>
                <w:rFonts w:ascii="Arial" w:cs="Arial" w:eastAsia="Arial" w:hAnsi="Arial"/>
                <w:sz w:val="16"/>
                <w:szCs w:val="16"/>
                <w:color w:val="auto"/>
                <w:vertAlign w:val="superscript"/>
              </w:rPr>
              <w:t>(B)</w:t>
            </w:r>
          </w:p>
        </w:tc>
        <w:tc>
          <w:tcPr>
            <w:tcW w:w="1100" w:type="dxa"/>
            <w:vAlign w:val="bottom"/>
            <w:tcBorders>
              <w:bottom w:val="single" w:sz="8" w:color="DBDBDB"/>
            </w:tcBorders>
          </w:tcPr>
          <w:p>
            <w:pPr>
              <w:spacing w:after="0"/>
              <w:rPr>
                <w:sz w:val="16"/>
                <w:szCs w:val="16"/>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2,061</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146</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8</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321</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1</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2,537</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w w:val="96"/>
              </w:rPr>
              <w:t>Restructuring and other costs, net of reversals</w:t>
            </w:r>
            <w:r>
              <w:rPr>
                <w:rFonts w:ascii="Arial" w:cs="Arial" w:eastAsia="Arial" w:hAnsi="Arial"/>
                <w:sz w:val="16"/>
                <w:szCs w:val="16"/>
                <w:color w:val="auto"/>
                <w:w w:val="96"/>
                <w:vertAlign w:val="superscript"/>
              </w:rPr>
              <w:t>(C)</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(72)</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942</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10</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43</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923</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Fuel cell program discontinuation</w:t>
            </w:r>
            <w:r>
              <w:rPr>
                <w:rFonts w:ascii="Arial" w:cs="Arial" w:eastAsia="Arial" w:hAnsi="Arial"/>
                <w:sz w:val="16"/>
                <w:szCs w:val="16"/>
                <w:color w:val="auto"/>
                <w:vertAlign w:val="superscript"/>
              </w:rPr>
              <w:t>(D)</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812</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812</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(E)</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289</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6</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295</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Platform impairments</w:t>
            </w:r>
            <w:r>
              <w:rPr>
                <w:rFonts w:ascii="Arial" w:cs="Arial" w:eastAsia="Arial" w:hAnsi="Arial"/>
                <w:sz w:val="16"/>
                <w:szCs w:val="16"/>
                <w:color w:val="auto"/>
                <w:vertAlign w:val="superscript"/>
              </w:rPr>
              <w:t>(F)</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579</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579</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Corporate average fuel economy ("CAFE") penalty rate</w:t>
            </w:r>
            <w:r>
              <w:rPr>
                <w:rFonts w:ascii="Arial" w:cs="Arial" w:eastAsia="Arial" w:hAnsi="Arial"/>
                <w:sz w:val="16"/>
                <w:szCs w:val="16"/>
                <w:color w:val="auto"/>
                <w:vertAlign w:val="superscript"/>
              </w:rPr>
              <w:t>(G)</w:t>
            </w: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269</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269</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Stellantis Türkiye disposal</w:t>
            </w:r>
            <w:r>
              <w:rPr>
                <w:rFonts w:ascii="Arial" w:cs="Arial" w:eastAsia="Arial" w:hAnsi="Arial"/>
                <w:sz w:val="16"/>
                <w:szCs w:val="16"/>
                <w:color w:val="auto"/>
                <w:vertAlign w:val="superscript"/>
              </w:rPr>
              <w:t>(H)</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w:t>
            </w:r>
          </w:p>
        </w:tc>
        <w:tc>
          <w:tcPr>
            <w:tcW w:w="100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246</w:t>
            </w:r>
          </w:p>
        </w:tc>
        <w:tc>
          <w:tcPr>
            <w:tcW w:w="102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b w:val="1"/>
                <w:bCs w:val="1"/>
                <w:color w:val="4C639D"/>
              </w:rPr>
              <w:t>—</w:t>
            </w:r>
          </w:p>
        </w:tc>
        <w:tc>
          <w:tcPr>
            <w:tcW w:w="110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246</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(I)</w:t>
            </w:r>
          </w:p>
        </w:tc>
        <w:tc>
          <w:tcPr>
            <w:tcW w:w="110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174</w:t>
            </w:r>
          </w:p>
        </w:tc>
        <w:tc>
          <w:tcPr>
            <w:tcW w:w="1000" w:type="dxa"/>
            <w:vAlign w:val="bottom"/>
            <w:tcBorders>
              <w:bottom w:val="single" w:sz="8" w:color="DBDBDB"/>
            </w:tcBorders>
          </w:tcPr>
          <w:p>
            <w:pPr>
              <w:jc w:val="right"/>
              <w:ind w:right="18"/>
              <w:spacing w:after="0"/>
              <w:rPr>
                <w:sz w:val="20"/>
                <w:szCs w:val="20"/>
                <w:color w:val="auto"/>
              </w:rPr>
            </w:pPr>
            <w:r>
              <w:rPr>
                <w:rFonts w:ascii="Arial" w:cs="Arial" w:eastAsia="Arial" w:hAnsi="Arial"/>
                <w:sz w:val="13"/>
                <w:szCs w:val="13"/>
                <w:b w:val="1"/>
                <w:bCs w:val="1"/>
                <w:color w:val="4C639D"/>
              </w:rPr>
              <w:t>(10)</w:t>
            </w:r>
          </w:p>
        </w:tc>
        <w:tc>
          <w:tcPr>
            <w:tcW w:w="1140" w:type="dxa"/>
            <w:vAlign w:val="bottom"/>
            <w:tcBorders>
              <w:bottom w:val="single" w:sz="8" w:color="DBDBDB"/>
            </w:tcBorders>
          </w:tcPr>
          <w:p>
            <w:pPr>
              <w:jc w:val="right"/>
              <w:ind w:right="138"/>
              <w:spacing w:after="0"/>
              <w:rPr>
                <w:sz w:val="20"/>
                <w:szCs w:val="20"/>
                <w:color w:val="auto"/>
              </w:rPr>
            </w:pPr>
            <w:r>
              <w:rPr>
                <w:rFonts w:ascii="Arial" w:cs="Arial" w:eastAsia="Arial" w:hAnsi="Arial"/>
                <w:sz w:val="13"/>
                <w:szCs w:val="13"/>
                <w:b w:val="1"/>
                <w:bCs w:val="1"/>
                <w:color w:val="4C639D"/>
              </w:rPr>
              <w:t>—</w:t>
            </w:r>
          </w:p>
        </w:tc>
        <w:tc>
          <w:tcPr>
            <w:tcW w:w="1020" w:type="dxa"/>
            <w:vAlign w:val="bottom"/>
            <w:tcBorders>
              <w:bottom w:val="single" w:sz="8" w:color="DBDBDB"/>
            </w:tcBorders>
          </w:tcPr>
          <w:p>
            <w:pPr>
              <w:jc w:val="right"/>
              <w:ind w:right="58"/>
              <w:spacing w:after="0"/>
              <w:rPr>
                <w:sz w:val="20"/>
                <w:szCs w:val="20"/>
                <w:color w:val="auto"/>
              </w:rPr>
            </w:pPr>
            <w:r>
              <w:rPr>
                <w:rFonts w:ascii="Arial" w:cs="Arial" w:eastAsia="Arial" w:hAnsi="Arial"/>
                <w:sz w:val="13"/>
                <w:szCs w:val="13"/>
                <w:b w:val="1"/>
                <w:bCs w:val="1"/>
                <w:color w:val="4C639D"/>
              </w:rPr>
              <w:t>(1)</w:t>
            </w:r>
          </w:p>
        </w:tc>
        <w:tc>
          <w:tcPr>
            <w:tcW w:w="1100" w:type="dxa"/>
            <w:vAlign w:val="bottom"/>
            <w:tcBorders>
              <w:bottom w:val="single" w:sz="8" w:color="DBDBDB"/>
            </w:tcBorders>
          </w:tcPr>
          <w:p>
            <w:pPr>
              <w:jc w:val="right"/>
              <w:ind w:right="118"/>
              <w:spacing w:after="0"/>
              <w:rPr>
                <w:sz w:val="20"/>
                <w:szCs w:val="20"/>
                <w:color w:val="auto"/>
              </w:rPr>
            </w:pPr>
            <w:r>
              <w:rPr>
                <w:rFonts w:ascii="Arial" w:cs="Arial" w:eastAsia="Arial" w:hAnsi="Arial"/>
                <w:sz w:val="13"/>
                <w:szCs w:val="13"/>
                <w:b w:val="1"/>
                <w:bCs w:val="1"/>
                <w:color w:val="4C639D"/>
              </w:rPr>
              <w:t>(3)</w:t>
            </w:r>
          </w:p>
        </w:tc>
        <w:tc>
          <w:tcPr>
            <w:tcW w:w="1020" w:type="dxa"/>
            <w:vAlign w:val="bottom"/>
            <w:tcBorders>
              <w:bottom w:val="single" w:sz="8" w:color="DBDBDB"/>
            </w:tcBorders>
          </w:tcPr>
          <w:p>
            <w:pPr>
              <w:jc w:val="right"/>
              <w:ind w:right="77"/>
              <w:spacing w:after="0"/>
              <w:rPr>
                <w:sz w:val="20"/>
                <w:szCs w:val="20"/>
                <w:color w:val="auto"/>
              </w:rPr>
            </w:pPr>
            <w:r>
              <w:rPr>
                <w:rFonts w:ascii="Arial" w:cs="Arial" w:eastAsia="Arial" w:hAnsi="Arial"/>
                <w:sz w:val="13"/>
                <w:szCs w:val="13"/>
                <w:b w:val="1"/>
                <w:bCs w:val="1"/>
                <w:color w:val="4C639D"/>
              </w:rPr>
              <w:t>(32)</w:t>
            </w:r>
          </w:p>
        </w:tc>
        <w:tc>
          <w:tcPr>
            <w:tcW w:w="102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128</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10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3"/>
                <w:szCs w:val="13"/>
                <w:b w:val="1"/>
                <w:bCs w:val="1"/>
                <w:color w:val="4C639D"/>
              </w:rPr>
              <w:t>5,684</w:t>
            </w:r>
          </w:p>
        </w:tc>
        <w:tc>
          <w:tcPr>
            <w:tcW w:w="1000" w:type="dxa"/>
            <w:vAlign w:val="bottom"/>
          </w:tcPr>
          <w:p>
            <w:pPr>
              <w:jc w:val="right"/>
              <w:ind w:right="58"/>
              <w:spacing w:after="0"/>
              <w:rPr>
                <w:sz w:val="20"/>
                <w:szCs w:val="20"/>
                <w:color w:val="auto"/>
              </w:rPr>
            </w:pPr>
            <w:r>
              <w:rPr>
                <w:rFonts w:ascii="Arial" w:cs="Arial" w:eastAsia="Arial" w:hAnsi="Arial"/>
                <w:sz w:val="13"/>
                <w:szCs w:val="13"/>
                <w:b w:val="1"/>
                <w:bCs w:val="1"/>
                <w:color w:val="4C639D"/>
              </w:rPr>
              <w:t>2,758</w:t>
            </w:r>
          </w:p>
        </w:tc>
        <w:tc>
          <w:tcPr>
            <w:tcW w:w="1140" w:type="dxa"/>
            <w:vAlign w:val="bottom"/>
          </w:tcPr>
          <w:p>
            <w:pPr>
              <w:jc w:val="right"/>
              <w:ind w:right="138"/>
              <w:spacing w:after="0"/>
              <w:rPr>
                <w:sz w:val="20"/>
                <w:szCs w:val="20"/>
                <w:color w:val="auto"/>
              </w:rPr>
            </w:pPr>
            <w:r>
              <w:rPr>
                <w:rFonts w:ascii="Arial" w:cs="Arial" w:eastAsia="Arial" w:hAnsi="Arial"/>
                <w:sz w:val="13"/>
                <w:szCs w:val="13"/>
                <w:b w:val="1"/>
                <w:bCs w:val="1"/>
                <w:color w:val="4C639D"/>
              </w:rPr>
              <w:t>260</w:t>
            </w:r>
          </w:p>
        </w:tc>
        <w:tc>
          <w:tcPr>
            <w:tcW w:w="1020" w:type="dxa"/>
            <w:vAlign w:val="bottom"/>
          </w:tcPr>
          <w:p>
            <w:pPr>
              <w:jc w:val="right"/>
              <w:ind w:right="98"/>
              <w:spacing w:after="0"/>
              <w:rPr>
                <w:sz w:val="20"/>
                <w:szCs w:val="20"/>
                <w:color w:val="auto"/>
              </w:rPr>
            </w:pPr>
            <w:r>
              <w:rPr>
                <w:rFonts w:ascii="Arial" w:cs="Arial" w:eastAsia="Arial" w:hAnsi="Arial"/>
                <w:sz w:val="13"/>
                <w:szCs w:val="13"/>
                <w:b w:val="1"/>
                <w:bCs w:val="1"/>
                <w:color w:val="4C639D"/>
              </w:rPr>
              <w:t>330</w:t>
            </w:r>
          </w:p>
        </w:tc>
        <w:tc>
          <w:tcPr>
            <w:tcW w:w="1100" w:type="dxa"/>
            <w:vAlign w:val="bottom"/>
          </w:tcPr>
          <w:p>
            <w:pPr>
              <w:jc w:val="right"/>
              <w:ind w:right="118"/>
              <w:spacing w:after="0"/>
              <w:rPr>
                <w:sz w:val="20"/>
                <w:szCs w:val="20"/>
                <w:color w:val="auto"/>
              </w:rPr>
            </w:pPr>
            <w:r>
              <w:rPr>
                <w:rFonts w:ascii="Arial" w:cs="Arial" w:eastAsia="Arial" w:hAnsi="Arial"/>
                <w:sz w:val="13"/>
                <w:szCs w:val="13"/>
                <w:b w:val="1"/>
                <w:bCs w:val="1"/>
                <w:color w:val="4C639D"/>
              </w:rPr>
              <w:t>(2)</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4C639D"/>
              </w:rPr>
              <w:t>11</w:t>
            </w:r>
          </w:p>
        </w:tc>
        <w:tc>
          <w:tcPr>
            <w:tcW w:w="102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9,041</w:t>
            </w:r>
          </w:p>
        </w:tc>
        <w:tc>
          <w:tcPr>
            <w:tcW w:w="0" w:type="dxa"/>
            <w:vAlign w:val="bottom"/>
          </w:tcPr>
          <w:p>
            <w:pPr>
              <w:spacing w:after="0"/>
              <w:rPr>
                <w:sz w:val="1"/>
                <w:szCs w:val="1"/>
                <w:color w:val="auto"/>
              </w:rPr>
            </w:pPr>
          </w:p>
        </w:tc>
      </w:tr>
      <w:tr>
        <w:trPr>
          <w:trHeight w:val="223"/>
        </w:trPr>
        <w:tc>
          <w:tcPr>
            <w:tcW w:w="2760" w:type="dxa"/>
            <w:vAlign w:val="bottom"/>
            <w:tcBorders>
              <w:top w:val="single" w:sz="8" w:color="DBDBDB"/>
            </w:tcBorders>
          </w:tcPr>
          <w:p>
            <w:pPr>
              <w:ind w:left="20"/>
              <w:spacing w:after="0"/>
              <w:rPr>
                <w:sz w:val="20"/>
                <w:szCs w:val="20"/>
                <w:color w:val="auto"/>
              </w:rPr>
            </w:pPr>
            <w:r>
              <w:rPr>
                <w:rFonts w:ascii="Arial" w:cs="Arial" w:eastAsia="Arial" w:hAnsi="Arial"/>
                <w:sz w:val="13"/>
                <w:szCs w:val="13"/>
                <w:b w:val="1"/>
                <w:bCs w:val="1"/>
                <w:color w:val="4C639D"/>
              </w:rPr>
              <w:t>Adjusted operating income/(loss)</w:t>
            </w:r>
            <w:r>
              <w:rPr>
                <w:rFonts w:ascii="Arial" w:cs="Arial" w:eastAsia="Arial" w:hAnsi="Arial"/>
                <w:sz w:val="16"/>
                <w:szCs w:val="16"/>
                <w:b w:val="1"/>
                <w:bCs w:val="1"/>
                <w:color w:val="4C639D"/>
                <w:vertAlign w:val="superscript"/>
              </w:rPr>
              <w:t>(1)</w:t>
            </w:r>
          </w:p>
        </w:tc>
        <w:tc>
          <w:tcPr>
            <w:tcW w:w="1100" w:type="dxa"/>
            <w:vAlign w:val="bottom"/>
            <w:tcBorders>
              <w:top w:val="single" w:sz="8" w:color="DBDBDB"/>
            </w:tcBorders>
          </w:tcPr>
          <w:p>
            <w:pPr>
              <w:spacing w:after="0"/>
              <w:rPr>
                <w:sz w:val="19"/>
                <w:szCs w:val="19"/>
                <w:color w:val="auto"/>
              </w:rPr>
            </w:pPr>
          </w:p>
        </w:tc>
        <w:tc>
          <w:tcPr>
            <w:tcW w:w="1080" w:type="dxa"/>
            <w:vAlign w:val="bottom"/>
            <w:tcBorders>
              <w:top w:val="single" w:sz="8" w:color="DBDBDB"/>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(1,457)</w:t>
            </w:r>
          </w:p>
        </w:tc>
        <w:tc>
          <w:tcPr>
            <w:tcW w:w="1000" w:type="dxa"/>
            <w:vAlign w:val="bottom"/>
            <w:tcBorders>
              <w:top w:val="single" w:sz="8" w:color="DBDBDB"/>
            </w:tcBorders>
            <w:shd w:val="clear" w:color="auto" w:fill="243782"/>
          </w:tcPr>
          <w:p>
            <w:pPr>
              <w:jc w:val="right"/>
              <w:ind w:right="58"/>
              <w:spacing w:after="0"/>
              <w:rPr>
                <w:sz w:val="20"/>
                <w:szCs w:val="20"/>
                <w:color w:val="auto"/>
              </w:rPr>
            </w:pPr>
            <w:r>
              <w:rPr>
                <w:rFonts w:ascii="Arial" w:cs="Arial" w:eastAsia="Arial" w:hAnsi="Arial"/>
                <w:sz w:val="13"/>
                <w:szCs w:val="13"/>
                <w:b w:val="1"/>
                <w:bCs w:val="1"/>
                <w:color w:val="FFFFFF"/>
              </w:rPr>
              <w:t>90</w:t>
            </w:r>
          </w:p>
        </w:tc>
        <w:tc>
          <w:tcPr>
            <w:tcW w:w="1140" w:type="dxa"/>
            <w:vAlign w:val="bottom"/>
            <w:tcBorders>
              <w:top w:val="single" w:sz="8" w:color="DBDBDB"/>
            </w:tcBorders>
            <w:shd w:val="clear" w:color="auto" w:fill="243782"/>
          </w:tcPr>
          <w:p>
            <w:pPr>
              <w:jc w:val="right"/>
              <w:ind w:right="138"/>
              <w:spacing w:after="0"/>
              <w:rPr>
                <w:sz w:val="20"/>
                <w:szCs w:val="20"/>
                <w:color w:val="auto"/>
              </w:rPr>
            </w:pPr>
            <w:r>
              <w:rPr>
                <w:rFonts w:ascii="Arial" w:cs="Arial" w:eastAsia="Arial" w:hAnsi="Arial"/>
                <w:sz w:val="13"/>
                <w:szCs w:val="13"/>
                <w:b w:val="1"/>
                <w:bCs w:val="1"/>
                <w:color w:val="FFFFFF"/>
              </w:rPr>
              <w:t>1,040</w:t>
            </w:r>
          </w:p>
        </w:tc>
        <w:tc>
          <w:tcPr>
            <w:tcW w:w="1020" w:type="dxa"/>
            <w:vAlign w:val="bottom"/>
            <w:tcBorders>
              <w:top w:val="single" w:sz="8" w:color="DBDBDB"/>
            </w:tcBorders>
            <w:shd w:val="clear" w:color="auto" w:fill="243782"/>
          </w:tcPr>
          <w:p>
            <w:pPr>
              <w:jc w:val="right"/>
              <w:ind w:right="98"/>
              <w:spacing w:after="0"/>
              <w:rPr>
                <w:sz w:val="20"/>
                <w:szCs w:val="20"/>
                <w:color w:val="auto"/>
              </w:rPr>
            </w:pPr>
            <w:r>
              <w:rPr>
                <w:rFonts w:ascii="Arial" w:cs="Arial" w:eastAsia="Arial" w:hAnsi="Arial"/>
                <w:sz w:val="13"/>
                <w:szCs w:val="13"/>
                <w:b w:val="1"/>
                <w:bCs w:val="1"/>
                <w:color w:val="FFFFFF"/>
              </w:rPr>
              <w:t>1,618</w:t>
            </w:r>
          </w:p>
        </w:tc>
        <w:tc>
          <w:tcPr>
            <w:tcW w:w="1100" w:type="dxa"/>
            <w:vAlign w:val="bottom"/>
            <w:tcBorders>
              <w:top w:val="single" w:sz="8" w:color="DBDBDB"/>
            </w:tcBorders>
            <w:shd w:val="clear" w:color="auto" w:fill="243782"/>
          </w:tcPr>
          <w:p>
            <w:pPr>
              <w:jc w:val="right"/>
              <w:ind w:right="118"/>
              <w:spacing w:after="0"/>
              <w:rPr>
                <w:sz w:val="20"/>
                <w:szCs w:val="20"/>
                <w:color w:val="auto"/>
              </w:rPr>
            </w:pPr>
            <w:r>
              <w:rPr>
                <w:rFonts w:ascii="Arial" w:cs="Arial" w:eastAsia="Arial" w:hAnsi="Arial"/>
                <w:sz w:val="13"/>
                <w:szCs w:val="13"/>
                <w:b w:val="1"/>
                <w:bCs w:val="1"/>
                <w:color w:val="FFFFFF"/>
              </w:rPr>
              <w:t>(4)</w:t>
            </w:r>
          </w:p>
        </w:tc>
        <w:tc>
          <w:tcPr>
            <w:tcW w:w="1020" w:type="dxa"/>
            <w:vAlign w:val="bottom"/>
            <w:tcBorders>
              <w:top w:val="single" w:sz="8" w:color="DBDBDB"/>
            </w:tcBorders>
            <w:shd w:val="clear" w:color="auto" w:fill="243782"/>
          </w:tcPr>
          <w:p>
            <w:pPr>
              <w:jc w:val="right"/>
              <w:ind w:right="77"/>
              <w:spacing w:after="0"/>
              <w:rPr>
                <w:sz w:val="20"/>
                <w:szCs w:val="20"/>
                <w:color w:val="auto"/>
              </w:rPr>
            </w:pPr>
            <w:r>
              <w:rPr>
                <w:rFonts w:ascii="Arial" w:cs="Arial" w:eastAsia="Arial" w:hAnsi="Arial"/>
                <w:sz w:val="13"/>
                <w:szCs w:val="13"/>
                <w:b w:val="1"/>
                <w:bCs w:val="1"/>
                <w:color w:val="FFFFFF"/>
              </w:rPr>
              <w:t>(657)</w:t>
            </w:r>
          </w:p>
        </w:tc>
        <w:tc>
          <w:tcPr>
            <w:tcW w:w="1020" w:type="dxa"/>
            <w:vAlign w:val="bottom"/>
            <w:tcBorders>
              <w:top w:val="single" w:sz="8" w:color="DBDBDB"/>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630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________________________________________________________________________________________________________________________________________________________________________________________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 Other activities, unallocated items and eliminations</w:t>
      </w:r>
    </w:p>
    <w:p>
      <w:pPr>
        <w:ind w:right="20" w:firstLine="8"/>
        <w:spacing w:after="0"/>
        <w:tabs>
          <w:tab w:leader="none" w:pos="188"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Related to the change in estimate for contractual warranty provisions, resulting from the reassessment of the estimation process, taking into account recent increases in cost inflation and a deterioration in quality, as a result of operational choices, which did not deliver the expected quality performance</w:t>
      </w:r>
    </w:p>
    <w:p>
      <w:pPr>
        <w:ind w:left="200" w:hanging="192"/>
        <w:spacing w:after="0"/>
        <w:tabs>
          <w:tab w:leader="none" w:pos="2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Primarily related to costs incurred as result of product plan realignments and program cancellations</w:t>
      </w:r>
    </w:p>
    <w:p>
      <w:pPr>
        <w:spacing w:after="0" w:line="3" w:lineRule="exact"/>
        <w:rPr>
          <w:rFonts w:ascii="Arial" w:cs="Arial" w:eastAsia="Arial" w:hAnsi="Arial"/>
          <w:sz w:val="12"/>
          <w:szCs w:val="12"/>
          <w:color w:val="auto"/>
        </w:rPr>
      </w:pPr>
    </w:p>
    <w:p>
      <w:pPr>
        <w:ind w:left="200" w:hanging="192"/>
        <w:spacing w:after="0"/>
        <w:tabs>
          <w:tab w:leader="none" w:pos="2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Primarily related to workforce reductions, mainly in Enlarged Europe, partially offset by a €72 million reduction in estimated North America restructuring costs</w:t>
      </w:r>
    </w:p>
    <w:p>
      <w:pPr>
        <w:spacing w:after="0" w:line="3" w:lineRule="exact"/>
        <w:rPr>
          <w:rFonts w:ascii="Arial" w:cs="Arial" w:eastAsia="Arial" w:hAnsi="Arial"/>
          <w:sz w:val="12"/>
          <w:szCs w:val="12"/>
          <w:color w:val="auto"/>
        </w:rPr>
      </w:pPr>
    </w:p>
    <w:p>
      <w:pPr>
        <w:ind w:right="120" w:firstLine="8"/>
        <w:spacing w:after="0" w:line="262" w:lineRule="auto"/>
        <w:tabs>
          <w:tab w:leader="none" w:pos="195" w:val="left"/>
        </w:tabs>
        <w:numPr>
          <w:ilvl w:val="0"/>
          <w:numId w:val="15"/>
        </w:numPr>
        <w:rPr>
          <w:rFonts w:ascii="Arial" w:cs="Arial" w:eastAsia="Arial" w:hAnsi="Arial"/>
          <w:sz w:val="11"/>
          <w:szCs w:val="11"/>
          <w:color w:val="auto"/>
        </w:rPr>
      </w:pPr>
      <w:r>
        <w:rPr>
          <w:rFonts w:ascii="Arial" w:cs="Arial" w:eastAsia="Arial" w:hAnsi="Arial"/>
          <w:sz w:val="11"/>
          <w:szCs w:val="11"/>
          <w:color w:val="auto"/>
        </w:rPr>
        <w:t>During the nine months ended September 30, 2025, Stellantis decided to discontinue its fuel cell strategy. As a result, the following items have been impaired: (i) investment in Symbio (€179 million), (ii) loans granted to Symbio (€162 million), (iii) capitalized development expenditures and property, plant and equipment related to fuel cells (€341 million), (iv) in addition, provisions for risks were recognized (€110 million) and</w:t>
      </w:r>
    </w:p>
    <w:p>
      <w:pPr>
        <w:spacing w:after="0"/>
        <w:rPr>
          <w:rFonts w:ascii="Arial" w:cs="Arial" w:eastAsia="Arial" w:hAnsi="Arial"/>
          <w:sz w:val="11"/>
          <w:szCs w:val="11"/>
          <w:color w:val="auto"/>
        </w:rPr>
      </w:pPr>
      <w:r>
        <w:rPr>
          <w:rFonts w:ascii="Arial" w:cs="Arial" w:eastAsia="Arial" w:hAnsi="Arial"/>
          <w:sz w:val="12"/>
          <w:szCs w:val="12"/>
          <w:color w:val="auto"/>
        </w:rPr>
        <w:t>(v) other expenses (€20 million)</w:t>
      </w:r>
    </w:p>
    <w:p>
      <w:pPr>
        <w:spacing w:after="0" w:line="3" w:lineRule="exact"/>
        <w:rPr>
          <w:rFonts w:ascii="Arial" w:cs="Arial" w:eastAsia="Arial" w:hAnsi="Arial"/>
          <w:sz w:val="11"/>
          <w:szCs w:val="11"/>
          <w:color w:val="auto"/>
        </w:rPr>
      </w:pPr>
    </w:p>
    <w:p>
      <w:pPr>
        <w:ind w:left="200" w:hanging="192"/>
        <w:spacing w:after="0"/>
        <w:tabs>
          <w:tab w:leader="none" w:pos="2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Related to stop-drive campaigns on certain vehicles in Enlarged Europe announced in June 2025</w:t>
      </w:r>
    </w:p>
    <w:p>
      <w:pPr>
        <w:spacing w:after="0" w:line="3" w:lineRule="exact"/>
        <w:rPr>
          <w:rFonts w:ascii="Arial" w:cs="Arial" w:eastAsia="Arial" w:hAnsi="Arial"/>
          <w:sz w:val="12"/>
          <w:szCs w:val="12"/>
          <w:color w:val="auto"/>
        </w:rPr>
      </w:pPr>
    </w:p>
    <w:p>
      <w:pPr>
        <w:ind w:left="180" w:hanging="172"/>
        <w:spacing w:after="0"/>
        <w:tabs>
          <w:tab w:leader="none" w:pos="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Due to reduced volumes, platforms used for Maserati and Alfa Romeo vehicles were impaired and recognized in Enlarged Europe for €579 million</w:t>
      </w:r>
    </w:p>
    <w:p>
      <w:pPr>
        <w:spacing w:after="0" w:line="3" w:lineRule="exact"/>
        <w:rPr>
          <w:rFonts w:ascii="Arial" w:cs="Arial" w:eastAsia="Arial" w:hAnsi="Arial"/>
          <w:sz w:val="12"/>
          <w:szCs w:val="12"/>
          <w:color w:val="auto"/>
        </w:rPr>
      </w:pPr>
    </w:p>
    <w:p>
      <w:pPr>
        <w:ind w:right="100" w:firstLine="8"/>
        <w:spacing w:after="0" w:line="262" w:lineRule="auto"/>
        <w:tabs>
          <w:tab w:leader="none" w:pos="201"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 a result of the elimination of CAFE fines with the enactment of the One Big Beautiful Bill, the Company recognized a net expense of €97 million, comprised of net €172 million of CAFE credits recognized as a reduction of Cost of revenues, which remains included in Adjusted operating income as these amounts reduced prior year CAFE fines, and a net expense of €269 million, which is excluded from AOI and comprised of</w:t>
      </w:r>
    </w:p>
    <w:p>
      <w:pPr>
        <w:ind w:right="640"/>
        <w:spacing w:after="0" w:line="246" w:lineRule="auto"/>
        <w:rPr>
          <w:rFonts w:ascii="Arial" w:cs="Arial" w:eastAsia="Arial" w:hAnsi="Arial"/>
          <w:sz w:val="11"/>
          <w:szCs w:val="11"/>
          <w:color w:val="auto"/>
        </w:rPr>
      </w:pPr>
      <w:r>
        <w:rPr>
          <w:rFonts w:ascii="Arial" w:cs="Arial" w:eastAsia="Arial" w:hAnsi="Arial"/>
          <w:sz w:val="12"/>
          <w:szCs w:val="12"/>
          <w:color w:val="auto"/>
        </w:rPr>
        <w:t>(i) elimination of the CAFE provision of €844 million, (ii) impairment of the regulatory credit assets of €609 million, and (iii) onerous contracts related to contractual purchase commitments for CAFE credits of €504 million</w:t>
      </w:r>
    </w:p>
    <w:p>
      <w:pPr>
        <w:ind w:right="400" w:firstLine="8"/>
        <w:spacing w:after="0" w:line="246" w:lineRule="auto"/>
        <w:tabs>
          <w:tab w:leader="none" w:pos="195" w:val="left"/>
        </w:tabs>
        <w:numPr>
          <w:ilvl w:val="0"/>
          <w:numId w:val="15"/>
        </w:numPr>
        <w:rPr>
          <w:rFonts w:ascii="Arial" w:cs="Arial" w:eastAsia="Arial" w:hAnsi="Arial"/>
          <w:sz w:val="12"/>
          <w:szCs w:val="12"/>
          <w:color w:val="auto"/>
        </w:rPr>
      </w:pPr>
      <w:r>
        <w:rPr>
          <w:rFonts w:ascii="Arial" w:cs="Arial" w:eastAsia="Arial" w:hAnsi="Arial"/>
          <w:sz w:val="12"/>
          <w:szCs w:val="12"/>
          <w:color w:val="auto"/>
        </w:rPr>
        <w:t>Sale of Stellantis Türkiye to the Company’s joint venture, Tofas, for which the Company recognized an estimated loss on disposal of €246 million, driven primarily by the recycling of the cumulative translation reserve from Equity to the Consolidated Income Statement upon disposal</w:t>
      </w:r>
    </w:p>
    <w:p>
      <w:pPr>
        <w:ind w:firstLine="8"/>
        <w:spacing w:after="0" w:line="241" w:lineRule="auto"/>
        <w:tabs>
          <w:tab w:leader="none" w:pos="143"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Comprised primarily of (i) net costs to support the workforce during the transformation of certain plants in North America, (ii) gains on sales of real estate in Enlarged Europe, and (iii) a gain from dilution related to the investment in Archer Aviation</w:t>
      </w:r>
    </w:p>
    <w:p>
      <w:pPr>
        <w:spacing w:after="0" w:line="32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243782"/>
        </w:rPr>
        <w:t>Diluted EPS to Adjusted diluted EPS</w:t>
      </w:r>
      <w:r>
        <w:rPr>
          <w:rFonts w:ascii="Arial" w:cs="Arial" w:eastAsia="Arial" w:hAnsi="Arial"/>
          <w:sz w:val="23"/>
          <w:szCs w:val="23"/>
          <w:color w:val="243782"/>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59690</wp:posOffset>
            </wp:positionV>
            <wp:extent cx="8255" cy="2734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273431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780" w:type="dxa"/>
            <w:vAlign w:val="bottom"/>
            <w:tcBorders>
              <w:bottom w:val="single" w:sz="8" w:color="4C639D"/>
            </w:tcBorders>
          </w:tcPr>
          <w:p>
            <w:pPr>
              <w:ind w:left="20"/>
              <w:spacing w:after="0"/>
              <w:rPr>
                <w:sz w:val="20"/>
                <w:szCs w:val="20"/>
                <w:color w:val="auto"/>
              </w:rPr>
            </w:pPr>
            <w:r>
              <w:rPr>
                <w:rFonts w:ascii="Arial" w:cs="Arial" w:eastAsia="Arial" w:hAnsi="Arial"/>
                <w:sz w:val="12"/>
                <w:szCs w:val="12"/>
                <w:color w:val="243782"/>
              </w:rPr>
              <w:t>Results from continuing operations</w:t>
            </w:r>
          </w:p>
        </w:tc>
        <w:tc>
          <w:tcPr>
            <w:tcW w:w="1280" w:type="dxa"/>
            <w:vAlign w:val="bottom"/>
            <w:tcBorders>
              <w:bottom w:val="single" w:sz="8" w:color="243782"/>
            </w:tcBorders>
          </w:tcPr>
          <w:p>
            <w:pPr>
              <w:spacing w:after="0"/>
              <w:rPr>
                <w:sz w:val="14"/>
                <w:szCs w:val="14"/>
                <w:color w:val="auto"/>
              </w:rPr>
            </w:pPr>
          </w:p>
        </w:tc>
        <w:tc>
          <w:tcPr>
            <w:tcW w:w="120" w:type="dxa"/>
            <w:vAlign w:val="bottom"/>
            <w:tcBorders>
              <w:bottom w:val="single" w:sz="8" w:color="243782"/>
            </w:tcBorders>
          </w:tcPr>
          <w:p>
            <w:pPr>
              <w:spacing w:after="0"/>
              <w:rPr>
                <w:sz w:val="14"/>
                <w:szCs w:val="14"/>
                <w:color w:val="auto"/>
              </w:rPr>
            </w:pPr>
          </w:p>
        </w:tc>
        <w:tc>
          <w:tcPr>
            <w:tcW w:w="1280" w:type="dxa"/>
            <w:vAlign w:val="bottom"/>
            <w:tcBorders>
              <w:bottom w:val="single" w:sz="8" w:color="243782"/>
            </w:tcBorders>
          </w:tcPr>
          <w:p>
            <w:pPr>
              <w:spacing w:after="0"/>
              <w:rPr>
                <w:sz w:val="14"/>
                <w:szCs w:val="14"/>
                <w:color w:val="auto"/>
              </w:rPr>
            </w:pPr>
          </w:p>
        </w:tc>
        <w:tc>
          <w:tcPr>
            <w:tcW w:w="100" w:type="dxa"/>
            <w:vAlign w:val="bottom"/>
            <w:tcBorders>
              <w:bottom w:val="single" w:sz="8" w:color="243782"/>
            </w:tcBorders>
          </w:tcPr>
          <w:p>
            <w:pPr>
              <w:spacing w:after="0"/>
              <w:rPr>
                <w:sz w:val="14"/>
                <w:szCs w:val="14"/>
                <w:color w:val="auto"/>
              </w:rPr>
            </w:pPr>
          </w:p>
        </w:tc>
        <w:tc>
          <w:tcPr>
            <w:tcW w:w="1280" w:type="dxa"/>
            <w:vAlign w:val="bottom"/>
            <w:tcBorders>
              <w:bottom w:val="single" w:sz="8" w:color="243782"/>
            </w:tcBorders>
          </w:tcPr>
          <w:p>
            <w:pPr>
              <w:spacing w:after="0"/>
              <w:rPr>
                <w:sz w:val="14"/>
                <w:szCs w:val="14"/>
                <w:color w:val="auto"/>
              </w:rPr>
            </w:pPr>
          </w:p>
        </w:tc>
        <w:tc>
          <w:tcPr>
            <w:tcW w:w="120" w:type="dxa"/>
            <w:vAlign w:val="bottom"/>
            <w:tcBorders>
              <w:bottom w:val="single" w:sz="8" w:color="243782"/>
            </w:tcBorders>
          </w:tcPr>
          <w:p>
            <w:pPr>
              <w:spacing w:after="0"/>
              <w:rPr>
                <w:sz w:val="14"/>
                <w:szCs w:val="14"/>
                <w:color w:val="auto"/>
              </w:rPr>
            </w:pPr>
          </w:p>
        </w:tc>
        <w:tc>
          <w:tcPr>
            <w:tcW w:w="1280" w:type="dxa"/>
            <w:vAlign w:val="bottom"/>
            <w:tcBorders>
              <w:bottom w:val="single" w:sz="8" w:color="243782"/>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243782"/>
              </w:rPr>
              <w:t>(€ million, except as otherwise stated)</w:t>
            </w:r>
          </w:p>
        </w:tc>
        <w:tc>
          <w:tcPr>
            <w:tcW w:w="1280" w:type="dxa"/>
            <w:vAlign w:val="bottom"/>
            <w:tcBorders>
              <w:bottom w:val="single" w:sz="8" w:color="DBDBDB"/>
            </w:tcBorders>
            <w:shd w:val="clear" w:color="auto" w:fill="243782"/>
          </w:tcPr>
          <w:p>
            <w:pPr>
              <w:jc w:val="right"/>
              <w:ind w:right="292"/>
              <w:spacing w:after="0"/>
              <w:rPr>
                <w:sz w:val="20"/>
                <w:szCs w:val="20"/>
                <w:color w:val="auto"/>
              </w:rPr>
            </w:pPr>
            <w:r>
              <w:rPr>
                <w:rFonts w:ascii="Arial" w:cs="Arial" w:eastAsia="Arial" w:hAnsi="Arial"/>
                <w:sz w:val="14"/>
                <w:szCs w:val="14"/>
                <w:b w:val="1"/>
                <w:bCs w:val="1"/>
                <w:color w:val="FFFFFF"/>
              </w:rPr>
              <w:t>Q3 2026</w:t>
            </w:r>
          </w:p>
        </w:tc>
        <w:tc>
          <w:tcPr>
            <w:tcW w:w="120" w:type="dxa"/>
            <w:vAlign w:val="bottom"/>
            <w:tcBorders>
              <w:bottom w:val="single" w:sz="8" w:color="DBDBDB"/>
              <w:right w:val="single" w:sz="8" w:color="F2F2F2"/>
            </w:tcBorders>
          </w:tcPr>
          <w:p>
            <w:pPr>
              <w:spacing w:after="0"/>
              <w:rPr>
                <w:sz w:val="20"/>
                <w:szCs w:val="20"/>
                <w:color w:val="auto"/>
              </w:rPr>
            </w:pPr>
          </w:p>
        </w:tc>
        <w:tc>
          <w:tcPr>
            <w:tcW w:w="1280" w:type="dxa"/>
            <w:vAlign w:val="bottom"/>
            <w:tcBorders>
              <w:bottom w:val="single" w:sz="8" w:color="DBDBDB"/>
            </w:tcBorders>
            <w:shd w:val="clear" w:color="auto" w:fill="F2F2F2"/>
          </w:tcPr>
          <w:p>
            <w:pPr>
              <w:jc w:val="right"/>
              <w:ind w:right="312"/>
              <w:spacing w:after="0"/>
              <w:rPr>
                <w:sz w:val="20"/>
                <w:szCs w:val="20"/>
                <w:color w:val="auto"/>
              </w:rPr>
            </w:pPr>
            <w:r>
              <w:rPr>
                <w:rFonts w:ascii="Arial" w:cs="Arial" w:eastAsia="Arial" w:hAnsi="Arial"/>
                <w:sz w:val="14"/>
                <w:szCs w:val="14"/>
                <w:b w:val="1"/>
                <w:bCs w:val="1"/>
                <w:color w:val="243782"/>
              </w:rPr>
              <w:t>Q3 2025</w:t>
            </w:r>
          </w:p>
        </w:tc>
        <w:tc>
          <w:tcPr>
            <w:tcW w:w="10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shd w:val="clear" w:color="auto" w:fill="243782"/>
          </w:tcPr>
          <w:p>
            <w:pPr>
              <w:jc w:val="right"/>
              <w:ind w:right="252"/>
              <w:spacing w:after="0"/>
              <w:rPr>
                <w:sz w:val="20"/>
                <w:szCs w:val="20"/>
                <w:color w:val="auto"/>
              </w:rPr>
            </w:pPr>
            <w:r>
              <w:rPr>
                <w:rFonts w:ascii="Arial" w:cs="Arial" w:eastAsia="Arial" w:hAnsi="Arial"/>
                <w:sz w:val="14"/>
                <w:szCs w:val="14"/>
                <w:b w:val="1"/>
                <w:bCs w:val="1"/>
                <w:color w:val="FFFFFF"/>
              </w:rPr>
              <w:t>YTD 2026</w:t>
            </w:r>
          </w:p>
        </w:tc>
        <w:tc>
          <w:tcPr>
            <w:tcW w:w="120" w:type="dxa"/>
            <w:vAlign w:val="bottom"/>
            <w:tcBorders>
              <w:bottom w:val="single" w:sz="8" w:color="DBDBDB"/>
              <w:right w:val="single" w:sz="8" w:color="F2F2F2"/>
            </w:tcBorders>
          </w:tcPr>
          <w:p>
            <w:pPr>
              <w:spacing w:after="0"/>
              <w:rPr>
                <w:sz w:val="20"/>
                <w:szCs w:val="20"/>
                <w:color w:val="auto"/>
              </w:rPr>
            </w:pPr>
          </w:p>
        </w:tc>
        <w:tc>
          <w:tcPr>
            <w:tcW w:w="1280" w:type="dxa"/>
            <w:vAlign w:val="bottom"/>
            <w:tcBorders>
              <w:bottom w:val="single" w:sz="8" w:color="DBDBDB"/>
            </w:tcBorders>
            <w:shd w:val="clear" w:color="auto" w:fill="F2F2F2"/>
          </w:tcPr>
          <w:p>
            <w:pPr>
              <w:jc w:val="right"/>
              <w:ind w:right="252"/>
              <w:spacing w:after="0"/>
              <w:rPr>
                <w:sz w:val="20"/>
                <w:szCs w:val="20"/>
                <w:color w:val="auto"/>
              </w:rPr>
            </w:pPr>
            <w:r>
              <w:rPr>
                <w:rFonts w:ascii="Arial" w:cs="Arial" w:eastAsia="Arial" w:hAnsi="Arial"/>
                <w:sz w:val="14"/>
                <w:szCs w:val="14"/>
                <w:b w:val="1"/>
                <w:bCs w:val="1"/>
                <w:color w:val="243782"/>
              </w:rPr>
              <w:t>YTD 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b w:val="1"/>
                <w:bCs w:val="1"/>
                <w:color w:val="243782"/>
              </w:rPr>
              <w:t>Net profit/(loss) attributable to owners of the parent</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(470)</w:t>
            </w:r>
          </w:p>
        </w:tc>
        <w:tc>
          <w:tcPr>
            <w:tcW w:w="120" w:type="dxa"/>
            <w:vAlign w:val="bottom"/>
            <w:tcBorders>
              <w:bottom w:val="single" w:sz="8" w:color="DBDBDB"/>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(4,542)</w:t>
            </w: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186</w:t>
            </w:r>
          </w:p>
        </w:tc>
        <w:tc>
          <w:tcPr>
            <w:tcW w:w="120" w:type="dxa"/>
            <w:vAlign w:val="bottom"/>
            <w:tcBorders>
              <w:bottom w:val="single" w:sz="8" w:color="DBDBDB"/>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(6,782)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Coupon and tax impacts on Hybrid perpetual notes</w:t>
            </w:r>
            <w:r>
              <w:rPr>
                <w:rFonts w:ascii="Arial" w:cs="Arial" w:eastAsia="Arial" w:hAnsi="Arial"/>
                <w:sz w:val="17"/>
                <w:szCs w:val="17"/>
                <w:color w:val="auto"/>
                <w:vertAlign w:val="superscript"/>
              </w:rPr>
              <w:t>(A)</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(65)</w:t>
            </w:r>
          </w:p>
        </w:tc>
        <w:tc>
          <w:tcPr>
            <w:tcW w:w="120" w:type="dxa"/>
            <w:vAlign w:val="bottom"/>
            <w:tcBorders>
              <w:bottom w:val="single" w:sz="8" w:color="DBDBDB"/>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(129)</w:t>
            </w:r>
          </w:p>
        </w:tc>
        <w:tc>
          <w:tcPr>
            <w:tcW w:w="120" w:type="dxa"/>
            <w:vAlign w:val="bottom"/>
            <w:tcBorders>
              <w:bottom w:val="single" w:sz="8" w:color="DBDBDB"/>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Weighted average number of shares outstanding (000)</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2,902,097</w:t>
            </w:r>
          </w:p>
        </w:tc>
        <w:tc>
          <w:tcPr>
            <w:tcW w:w="120" w:type="dxa"/>
            <w:vAlign w:val="bottom"/>
            <w:tcBorders>
              <w:bottom w:val="single" w:sz="8" w:color="DBDBDB"/>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2,888,824</w:t>
            </w:r>
          </w:p>
        </w:tc>
        <w:tc>
          <w:tcPr>
            <w:tcW w:w="100" w:type="dxa"/>
            <w:vAlign w:val="bottom"/>
            <w:tcBorders>
              <w:bottom w:val="single" w:sz="8" w:color="DBDBDB"/>
            </w:tcBorders>
          </w:tcPr>
          <w:p>
            <w:pPr>
              <w:spacing w:after="0"/>
              <w:rPr>
                <w:sz w:val="18"/>
                <w:szCs w:val="18"/>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2,899,471</w:t>
            </w:r>
          </w:p>
        </w:tc>
        <w:tc>
          <w:tcPr>
            <w:tcW w:w="120" w:type="dxa"/>
            <w:vAlign w:val="bottom"/>
            <w:tcBorders>
              <w:bottom w:val="single" w:sz="8" w:color="DBDBDB"/>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2,884,705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Number of shares deployable for share-based compensation (000)</w:t>
            </w:r>
            <w:r>
              <w:rPr>
                <w:rFonts w:ascii="Arial" w:cs="Arial" w:eastAsia="Arial" w:hAnsi="Arial"/>
                <w:sz w:val="17"/>
                <w:szCs w:val="17"/>
                <w:color w:val="auto"/>
                <w:vertAlign w:val="superscript"/>
              </w:rPr>
              <w:t>(B)</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DBDBDB"/>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10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8,823</w:t>
            </w:r>
          </w:p>
        </w:tc>
        <w:tc>
          <w:tcPr>
            <w:tcW w:w="120" w:type="dxa"/>
            <w:vAlign w:val="bottom"/>
            <w:tcBorders>
              <w:bottom w:val="single" w:sz="8" w:color="DBDBDB"/>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Weighted average number of shares outstanding for diluted earnings per share (000)</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2,902,097</w:t>
            </w:r>
          </w:p>
        </w:tc>
        <w:tc>
          <w:tcPr>
            <w:tcW w:w="120" w:type="dxa"/>
            <w:vAlign w:val="bottom"/>
            <w:tcBorders>
              <w:bottom w:val="single" w:sz="8" w:color="DBDBDB"/>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2,888,824</w:t>
            </w:r>
          </w:p>
        </w:tc>
        <w:tc>
          <w:tcPr>
            <w:tcW w:w="100" w:type="dxa"/>
            <w:vAlign w:val="bottom"/>
            <w:tcBorders>
              <w:bottom w:val="single" w:sz="8" w:color="DBDBDB"/>
            </w:tcBorders>
          </w:tcPr>
          <w:p>
            <w:pPr>
              <w:spacing w:after="0"/>
              <w:rPr>
                <w:sz w:val="18"/>
                <w:szCs w:val="18"/>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2,908,294</w:t>
            </w:r>
          </w:p>
        </w:tc>
        <w:tc>
          <w:tcPr>
            <w:tcW w:w="120" w:type="dxa"/>
            <w:vAlign w:val="bottom"/>
            <w:tcBorders>
              <w:bottom w:val="single" w:sz="8" w:color="DBDBDB"/>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2,884,705</w:t>
            </w:r>
          </w:p>
        </w:tc>
        <w:tc>
          <w:tcPr>
            <w:tcW w:w="2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b w:val="1"/>
                <w:bCs w:val="1"/>
                <w:color w:val="243782"/>
              </w:rPr>
              <w:t>Diluted earnings/(loss) per share (A) (€/share)</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(0.18)</w:t>
            </w:r>
          </w:p>
        </w:tc>
        <w:tc>
          <w:tcPr>
            <w:tcW w:w="120" w:type="dxa"/>
            <w:vAlign w:val="bottom"/>
            <w:tcBorders>
              <w:bottom w:val="single" w:sz="8" w:color="F2F2F2"/>
              <w:right w:val="single" w:sz="8" w:color="DBDBDB"/>
            </w:tcBorders>
          </w:tcPr>
          <w:p>
            <w:pPr>
              <w:spacing w:after="0"/>
              <w:rPr>
                <w:sz w:val="21"/>
                <w:szCs w:val="21"/>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(1.57)</w:t>
            </w:r>
          </w:p>
        </w:tc>
        <w:tc>
          <w:tcPr>
            <w:tcW w:w="100" w:type="dxa"/>
            <w:vAlign w:val="bottom"/>
            <w:tcBorders>
              <w:bottom w:val="single" w:sz="8" w:color="F2F2F2"/>
            </w:tcBorders>
          </w:tcPr>
          <w:p>
            <w:pPr>
              <w:spacing w:after="0"/>
              <w:rPr>
                <w:sz w:val="21"/>
                <w:szCs w:val="21"/>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0.02</w:t>
            </w:r>
          </w:p>
        </w:tc>
        <w:tc>
          <w:tcPr>
            <w:tcW w:w="120" w:type="dxa"/>
            <w:vAlign w:val="bottom"/>
            <w:tcBorders>
              <w:bottom w:val="single" w:sz="8" w:color="F2F2F2"/>
              <w:right w:val="single" w:sz="8" w:color="DBDBDB"/>
            </w:tcBorders>
          </w:tcPr>
          <w:p>
            <w:pPr>
              <w:spacing w:after="0"/>
              <w:rPr>
                <w:sz w:val="21"/>
                <w:szCs w:val="21"/>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(2.35)</w:t>
            </w:r>
          </w:p>
        </w:tc>
        <w:tc>
          <w:tcPr>
            <w:tcW w:w="2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shd w:val="clear" w:color="auto" w:fill="4C639D"/>
          </w:tcPr>
          <w:p>
            <w:pPr>
              <w:spacing w:after="0"/>
              <w:rPr>
                <w:sz w:val="20"/>
                <w:szCs w:val="20"/>
                <w:color w:val="auto"/>
              </w:rPr>
            </w:pPr>
          </w:p>
        </w:tc>
        <w:tc>
          <w:tcPr>
            <w:tcW w:w="120" w:type="dxa"/>
            <w:vAlign w:val="bottom"/>
            <w:tcBorders>
              <w:bottom w:val="single" w:sz="8" w:color="F2F2F2"/>
              <w:right w:val="single" w:sz="8" w:color="DBDBDB"/>
            </w:tcBorders>
          </w:tcPr>
          <w:p>
            <w:pPr>
              <w:spacing w:after="0"/>
              <w:rPr>
                <w:sz w:val="20"/>
                <w:szCs w:val="20"/>
                <w:color w:val="auto"/>
              </w:rPr>
            </w:pPr>
          </w:p>
        </w:tc>
        <w:tc>
          <w:tcPr>
            <w:tcW w:w="1280" w:type="dxa"/>
            <w:vAlign w:val="bottom"/>
            <w:tcBorders>
              <w:bottom w:val="single" w:sz="8" w:color="DBDBDB"/>
            </w:tcBorders>
            <w:shd w:val="clear" w:color="auto" w:fill="F2F2F2"/>
          </w:tcPr>
          <w:p>
            <w:pPr>
              <w:spacing w:after="0"/>
              <w:rPr>
                <w:sz w:val="20"/>
                <w:szCs w:val="20"/>
                <w:color w:val="auto"/>
              </w:rPr>
            </w:pPr>
          </w:p>
        </w:tc>
        <w:tc>
          <w:tcPr>
            <w:tcW w:w="100" w:type="dxa"/>
            <w:vAlign w:val="bottom"/>
            <w:tcBorders>
              <w:bottom w:val="single" w:sz="8" w:color="F2F2F2"/>
            </w:tcBorders>
          </w:tcPr>
          <w:p>
            <w:pPr>
              <w:spacing w:after="0"/>
              <w:rPr>
                <w:sz w:val="20"/>
                <w:szCs w:val="20"/>
                <w:color w:val="auto"/>
              </w:rPr>
            </w:pPr>
          </w:p>
        </w:tc>
        <w:tc>
          <w:tcPr>
            <w:tcW w:w="1280" w:type="dxa"/>
            <w:vAlign w:val="bottom"/>
            <w:tcBorders>
              <w:bottom w:val="single" w:sz="8" w:color="DBDBDB"/>
            </w:tcBorders>
            <w:shd w:val="clear" w:color="auto" w:fill="4C639D"/>
          </w:tcPr>
          <w:p>
            <w:pPr>
              <w:spacing w:after="0"/>
              <w:rPr>
                <w:sz w:val="20"/>
                <w:szCs w:val="20"/>
                <w:color w:val="auto"/>
              </w:rPr>
            </w:pPr>
          </w:p>
        </w:tc>
        <w:tc>
          <w:tcPr>
            <w:tcW w:w="120" w:type="dxa"/>
            <w:vAlign w:val="bottom"/>
            <w:tcBorders>
              <w:bottom w:val="single" w:sz="8" w:color="F2F2F2"/>
              <w:right w:val="single" w:sz="8" w:color="DBDBDB"/>
            </w:tcBorders>
          </w:tcPr>
          <w:p>
            <w:pPr>
              <w:spacing w:after="0"/>
              <w:rPr>
                <w:sz w:val="20"/>
                <w:szCs w:val="20"/>
                <w:color w:val="auto"/>
              </w:rPr>
            </w:pPr>
          </w:p>
        </w:tc>
        <w:tc>
          <w:tcPr>
            <w:tcW w:w="1280" w:type="dxa"/>
            <w:vAlign w:val="bottom"/>
            <w:tcBorders>
              <w:bottom w:val="single" w:sz="8" w:color="DBDBDB"/>
            </w:tcBorders>
            <w:shd w:val="clear" w:color="auto" w:fill="F2F2F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Adjustments, per above</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587</w:t>
            </w:r>
          </w:p>
        </w:tc>
        <w:tc>
          <w:tcPr>
            <w:tcW w:w="120" w:type="dxa"/>
            <w:vAlign w:val="bottom"/>
            <w:tcBorders>
              <w:bottom w:val="single" w:sz="8" w:color="F2F2F2"/>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5,791</w:t>
            </w:r>
          </w:p>
        </w:tc>
        <w:tc>
          <w:tcPr>
            <w:tcW w:w="100" w:type="dxa"/>
            <w:vAlign w:val="bottom"/>
            <w:tcBorders>
              <w:bottom w:val="single" w:sz="8" w:color="F2F2F2"/>
            </w:tcBorders>
          </w:tcPr>
          <w:p>
            <w:pPr>
              <w:spacing w:after="0"/>
              <w:rPr>
                <w:sz w:val="18"/>
                <w:szCs w:val="18"/>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930</w:t>
            </w:r>
          </w:p>
        </w:tc>
        <w:tc>
          <w:tcPr>
            <w:tcW w:w="120" w:type="dxa"/>
            <w:vAlign w:val="bottom"/>
            <w:tcBorders>
              <w:bottom w:val="single" w:sz="8" w:color="F2F2F2"/>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9,041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Tax impact on adjustments</w:t>
            </w:r>
            <w:r>
              <w:rPr>
                <w:rFonts w:ascii="Arial" w:cs="Arial" w:eastAsia="Arial" w:hAnsi="Arial"/>
                <w:sz w:val="17"/>
                <w:szCs w:val="17"/>
                <w:color w:val="auto"/>
                <w:vertAlign w:val="superscript"/>
              </w:rPr>
              <w:t>(C)</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(95)</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(1,375)</w:t>
            </w:r>
          </w:p>
        </w:tc>
        <w:tc>
          <w:tcPr>
            <w:tcW w:w="100" w:type="dxa"/>
            <w:vAlign w:val="bottom"/>
            <w:tcBorders>
              <w:bottom w:val="single" w:sz="8" w:color="F2F2F2"/>
            </w:tcBorders>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(76)</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(1,845)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Unusual items related to income taxes</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F2F2F2"/>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100" w:type="dxa"/>
            <w:vAlign w:val="bottom"/>
            <w:tcBorders>
              <w:bottom w:val="single" w:sz="8" w:color="F2F2F2"/>
            </w:tcBorders>
          </w:tcPr>
          <w:p>
            <w:pPr>
              <w:spacing w:after="0"/>
              <w:rPr>
                <w:sz w:val="18"/>
                <w:szCs w:val="18"/>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F2F2F2"/>
              <w:right w:val="single" w:sz="8" w:color="DBDBDB"/>
            </w:tcBorders>
          </w:tcPr>
          <w:p>
            <w:pPr>
              <w:spacing w:after="0"/>
              <w:rPr>
                <w:sz w:val="18"/>
                <w:szCs w:val="18"/>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b w:val="1"/>
                <w:bCs w:val="1"/>
                <w:color w:val="243782"/>
              </w:rPr>
              <w:t>Total adjustments, net of taxes</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492</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4,416</w:t>
            </w:r>
          </w:p>
        </w:tc>
        <w:tc>
          <w:tcPr>
            <w:tcW w:w="100" w:type="dxa"/>
            <w:vAlign w:val="bottom"/>
            <w:tcBorders>
              <w:bottom w:val="single" w:sz="8" w:color="F2F2F2"/>
            </w:tcBorders>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854</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7,196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Number of shares deployable for share-based compensation (000)</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100" w:type="dxa"/>
            <w:vAlign w:val="bottom"/>
            <w:tcBorders>
              <w:bottom w:val="single" w:sz="8" w:color="F2F2F2"/>
            </w:tcBorders>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15,846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Adjusted dilutive impact per share</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100" w:type="dxa"/>
            <w:vAlign w:val="bottom"/>
            <w:tcBorders>
              <w:bottom w:val="single" w:sz="8" w:color="F2F2F2"/>
            </w:tcBorders>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F2F2F2"/>
              <w:right w:val="single" w:sz="8" w:color="DBDBDB"/>
            </w:tcBorders>
          </w:tcPr>
          <w:p>
            <w:pPr>
              <w:spacing w:after="0"/>
              <w:rPr>
                <w:sz w:val="19"/>
                <w:szCs w:val="19"/>
                <w:color w:val="auto"/>
              </w:rPr>
            </w:pPr>
          </w:p>
        </w:tc>
        <w:tc>
          <w:tcPr>
            <w:tcW w:w="128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780" w:type="dxa"/>
            <w:vAlign w:val="bottom"/>
          </w:tcPr>
          <w:p>
            <w:pPr>
              <w:ind w:left="40"/>
              <w:spacing w:after="0"/>
              <w:rPr>
                <w:sz w:val="20"/>
                <w:szCs w:val="20"/>
                <w:color w:val="auto"/>
              </w:rPr>
            </w:pPr>
            <w:r>
              <w:rPr>
                <w:rFonts w:ascii="Arial" w:cs="Arial" w:eastAsia="Arial" w:hAnsi="Arial"/>
                <w:sz w:val="13"/>
                <w:szCs w:val="13"/>
                <w:color w:val="auto"/>
              </w:rPr>
              <w:t>Impact of adjustments above, net of taxes, on Diluted earnings per share from continuing</w:t>
            </w:r>
          </w:p>
        </w:tc>
        <w:tc>
          <w:tcPr>
            <w:tcW w:w="1280" w:type="dxa"/>
            <w:vAlign w:val="bottom"/>
            <w:vMerge w:val="restart"/>
            <w:shd w:val="clear" w:color="auto" w:fill="4C639D"/>
          </w:tcPr>
          <w:p>
            <w:pPr>
              <w:jc w:val="right"/>
              <w:spacing w:after="0"/>
              <w:rPr>
                <w:sz w:val="20"/>
                <w:szCs w:val="20"/>
                <w:color w:val="auto"/>
              </w:rPr>
            </w:pPr>
            <w:r>
              <w:rPr>
                <w:rFonts w:ascii="Arial" w:cs="Arial" w:eastAsia="Arial" w:hAnsi="Arial"/>
                <w:sz w:val="13"/>
                <w:szCs w:val="13"/>
                <w:b w:val="1"/>
                <w:bCs w:val="1"/>
                <w:color w:val="FFFFFF"/>
              </w:rPr>
              <w:t>0.17</w:t>
            </w:r>
          </w:p>
        </w:tc>
        <w:tc>
          <w:tcPr>
            <w:tcW w:w="120" w:type="dxa"/>
            <w:vAlign w:val="bottom"/>
            <w:tcBorders>
              <w:right w:val="single" w:sz="8" w:color="DBDBDB"/>
            </w:tcBorders>
          </w:tcPr>
          <w:p>
            <w:pPr>
              <w:spacing w:after="0"/>
              <w:rPr>
                <w:sz w:val="16"/>
                <w:szCs w:val="16"/>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243782"/>
              </w:rPr>
              <w:t>1.53</w:t>
            </w:r>
          </w:p>
        </w:tc>
        <w:tc>
          <w:tcPr>
            <w:tcW w:w="100" w:type="dxa"/>
            <w:vAlign w:val="bottom"/>
          </w:tcPr>
          <w:p>
            <w:pPr>
              <w:spacing w:after="0"/>
              <w:rPr>
                <w:sz w:val="16"/>
                <w:szCs w:val="16"/>
                <w:color w:val="auto"/>
              </w:rPr>
            </w:pPr>
          </w:p>
        </w:tc>
        <w:tc>
          <w:tcPr>
            <w:tcW w:w="1280" w:type="dxa"/>
            <w:vAlign w:val="bottom"/>
            <w:vMerge w:val="restart"/>
            <w:shd w:val="clear" w:color="auto" w:fill="4C639D"/>
          </w:tcPr>
          <w:p>
            <w:pPr>
              <w:jc w:val="right"/>
              <w:spacing w:after="0"/>
              <w:rPr>
                <w:sz w:val="20"/>
                <w:szCs w:val="20"/>
                <w:color w:val="auto"/>
              </w:rPr>
            </w:pPr>
            <w:r>
              <w:rPr>
                <w:rFonts w:ascii="Arial" w:cs="Arial" w:eastAsia="Arial" w:hAnsi="Arial"/>
                <w:sz w:val="13"/>
                <w:szCs w:val="13"/>
                <w:b w:val="1"/>
                <w:bCs w:val="1"/>
                <w:color w:val="FFFFFF"/>
              </w:rPr>
              <w:t>0.29</w:t>
            </w:r>
          </w:p>
        </w:tc>
        <w:tc>
          <w:tcPr>
            <w:tcW w:w="120" w:type="dxa"/>
            <w:vAlign w:val="bottom"/>
            <w:tcBorders>
              <w:right w:val="single" w:sz="8" w:color="DBDBDB"/>
            </w:tcBorders>
          </w:tcPr>
          <w:p>
            <w:pPr>
              <w:spacing w:after="0"/>
              <w:rPr>
                <w:sz w:val="16"/>
                <w:szCs w:val="16"/>
                <w:color w:val="auto"/>
              </w:rPr>
            </w:pPr>
          </w:p>
        </w:tc>
        <w:tc>
          <w:tcPr>
            <w:tcW w:w="128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243782"/>
              </w:rPr>
              <w:t>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color w:val="auto"/>
              </w:rPr>
              <w:t>operations (B) (€/share)</w:t>
            </w:r>
          </w:p>
        </w:tc>
        <w:tc>
          <w:tcPr>
            <w:tcW w:w="1280" w:type="dxa"/>
            <w:vAlign w:val="bottom"/>
            <w:tcBorders>
              <w:bottom w:val="single" w:sz="8" w:color="DBDBDB"/>
            </w:tcBorders>
            <w:vMerge w:val="continue"/>
            <w:shd w:val="clear" w:color="auto" w:fill="4C639D"/>
          </w:tcPr>
          <w:p>
            <w:pPr>
              <w:spacing w:after="0"/>
              <w:rPr>
                <w:sz w:val="16"/>
                <w:szCs w:val="16"/>
                <w:color w:val="auto"/>
              </w:rPr>
            </w:pPr>
          </w:p>
        </w:tc>
        <w:tc>
          <w:tcPr>
            <w:tcW w:w="120" w:type="dxa"/>
            <w:vAlign w:val="bottom"/>
            <w:tcBorders>
              <w:bottom w:val="single" w:sz="8" w:color="F2F2F2"/>
              <w:right w:val="single" w:sz="8" w:color="DBDBDB"/>
            </w:tcBorders>
          </w:tcPr>
          <w:p>
            <w:pPr>
              <w:spacing w:after="0"/>
              <w:rPr>
                <w:sz w:val="16"/>
                <w:szCs w:val="16"/>
                <w:color w:val="auto"/>
              </w:rPr>
            </w:pPr>
          </w:p>
        </w:tc>
        <w:tc>
          <w:tcPr>
            <w:tcW w:w="1280" w:type="dxa"/>
            <w:vAlign w:val="bottom"/>
            <w:tcBorders>
              <w:bottom w:val="single" w:sz="8" w:color="DBDBDB"/>
            </w:tcBorders>
            <w:vMerge w:val="continue"/>
            <w:shd w:val="clear" w:color="auto" w:fill="F2F2F2"/>
          </w:tcPr>
          <w:p>
            <w:pPr>
              <w:spacing w:after="0"/>
              <w:rPr>
                <w:sz w:val="16"/>
                <w:szCs w:val="16"/>
                <w:color w:val="auto"/>
              </w:rPr>
            </w:pPr>
          </w:p>
        </w:tc>
        <w:tc>
          <w:tcPr>
            <w:tcW w:w="100" w:type="dxa"/>
            <w:vAlign w:val="bottom"/>
            <w:tcBorders>
              <w:bottom w:val="single" w:sz="8" w:color="F2F2F2"/>
            </w:tcBorders>
          </w:tcPr>
          <w:p>
            <w:pPr>
              <w:spacing w:after="0"/>
              <w:rPr>
                <w:sz w:val="16"/>
                <w:szCs w:val="16"/>
                <w:color w:val="auto"/>
              </w:rPr>
            </w:pPr>
          </w:p>
        </w:tc>
        <w:tc>
          <w:tcPr>
            <w:tcW w:w="1280" w:type="dxa"/>
            <w:vAlign w:val="bottom"/>
            <w:tcBorders>
              <w:bottom w:val="single" w:sz="8" w:color="DBDBDB"/>
            </w:tcBorders>
            <w:vMerge w:val="continue"/>
            <w:shd w:val="clear" w:color="auto" w:fill="4C639D"/>
          </w:tcPr>
          <w:p>
            <w:pPr>
              <w:spacing w:after="0"/>
              <w:rPr>
                <w:sz w:val="16"/>
                <w:szCs w:val="16"/>
                <w:color w:val="auto"/>
              </w:rPr>
            </w:pPr>
          </w:p>
        </w:tc>
        <w:tc>
          <w:tcPr>
            <w:tcW w:w="120" w:type="dxa"/>
            <w:vAlign w:val="bottom"/>
            <w:tcBorders>
              <w:bottom w:val="single" w:sz="8" w:color="F2F2F2"/>
              <w:right w:val="single" w:sz="8" w:color="DBDBDB"/>
            </w:tcBorders>
          </w:tcPr>
          <w:p>
            <w:pPr>
              <w:spacing w:after="0"/>
              <w:rPr>
                <w:sz w:val="16"/>
                <w:szCs w:val="16"/>
                <w:color w:val="auto"/>
              </w:rPr>
            </w:pPr>
          </w:p>
        </w:tc>
        <w:tc>
          <w:tcPr>
            <w:tcW w:w="1280" w:type="dxa"/>
            <w:vAlign w:val="bottom"/>
            <w:tcBorders>
              <w:bottom w:val="single" w:sz="8" w:color="DBDBDB"/>
            </w:tcBorders>
            <w:vMerge w:val="continue"/>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DBDBDB"/>
            </w:tcBorders>
          </w:tcPr>
          <w:p>
            <w:pPr>
              <w:ind w:left="40"/>
              <w:spacing w:after="0"/>
              <w:rPr>
                <w:sz w:val="20"/>
                <w:szCs w:val="20"/>
                <w:color w:val="auto"/>
              </w:rPr>
            </w:pPr>
            <w:r>
              <w:rPr>
                <w:rFonts w:ascii="Arial" w:cs="Arial" w:eastAsia="Arial" w:hAnsi="Arial"/>
                <w:sz w:val="13"/>
                <w:szCs w:val="13"/>
                <w:b w:val="1"/>
                <w:bCs w:val="1"/>
                <w:color w:val="243782"/>
              </w:rPr>
              <w:t>Adjusted Diluted earnings per share</w:t>
            </w:r>
            <w:r>
              <w:rPr>
                <w:rFonts w:ascii="Arial" w:cs="Arial" w:eastAsia="Arial" w:hAnsi="Arial"/>
                <w:sz w:val="17"/>
                <w:szCs w:val="17"/>
                <w:b w:val="1"/>
                <w:bCs w:val="1"/>
                <w:color w:val="243782"/>
                <w:vertAlign w:val="superscript"/>
              </w:rPr>
              <w:t>(5)</w:t>
            </w:r>
            <w:r>
              <w:rPr>
                <w:rFonts w:ascii="Arial" w:cs="Arial" w:eastAsia="Arial" w:hAnsi="Arial"/>
                <w:sz w:val="13"/>
                <w:szCs w:val="13"/>
                <w:b w:val="1"/>
                <w:bCs w:val="1"/>
                <w:color w:val="243782"/>
              </w:rPr>
              <w:t xml:space="preserve"> (€/share) (A+B)</w:t>
            </w: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(0.01)</w:t>
            </w:r>
          </w:p>
        </w:tc>
        <w:tc>
          <w:tcPr>
            <w:tcW w:w="120" w:type="dxa"/>
            <w:vAlign w:val="bottom"/>
            <w:tcBorders>
              <w:right w:val="single" w:sz="8" w:color="DBDBDB"/>
            </w:tcBorders>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43782"/>
              </w:rPr>
              <w:t>(0.04)</w:t>
            </w:r>
          </w:p>
        </w:tc>
        <w:tc>
          <w:tcPr>
            <w:tcW w:w="100" w:type="dxa"/>
            <w:vAlign w:val="bottom"/>
          </w:tcPr>
          <w:p>
            <w:pPr>
              <w:spacing w:after="0"/>
              <w:rPr>
                <w:sz w:val="19"/>
                <w:szCs w:val="19"/>
                <w:color w:val="auto"/>
              </w:rPr>
            </w:pPr>
          </w:p>
        </w:tc>
        <w:tc>
          <w:tcPr>
            <w:tcW w:w="12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0.31</w:t>
            </w:r>
          </w:p>
        </w:tc>
        <w:tc>
          <w:tcPr>
            <w:tcW w:w="120" w:type="dxa"/>
            <w:vAlign w:val="bottom"/>
            <w:tcBorders>
              <w:right w:val="single" w:sz="8" w:color="DBDBDB"/>
            </w:tcBorders>
          </w:tcPr>
          <w:p>
            <w:pPr>
              <w:spacing w:after="0"/>
              <w:rPr>
                <w:sz w:val="19"/>
                <w:szCs w:val="19"/>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43782"/>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-2442210</wp:posOffset>
            </wp:positionV>
            <wp:extent cx="8890" cy="2442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244284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______________________________________________________________________________________________________________________________________________</w:t>
      </w:r>
    </w:p>
    <w:p>
      <w:pPr>
        <w:spacing w:after="0" w:line="14" w:lineRule="exact"/>
        <w:rPr>
          <w:sz w:val="20"/>
          <w:szCs w:val="20"/>
          <w:color w:val="auto"/>
        </w:rPr>
      </w:pPr>
    </w:p>
    <w:p>
      <w:pPr>
        <w:ind w:right="40" w:firstLine="8"/>
        <w:spacing w:after="0" w:line="243" w:lineRule="auto"/>
        <w:tabs>
          <w:tab w:leader="none" w:pos="18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2026, following the issuance of Hybrid perpetual notes classified as equity, coupons accrued on these instruments, together with the Hybrid perpetual notes, are accounted for in a separate reserve within equity, which is not available for distribution to equity holders. The deferred tax effect arising from the issuance discount and other costs on the Hybrid perpetual notes is also recognized directly in equity within Retained earnings and other reserves. Accordingly, the coupon accrued and the deferred tax impact are deducted from Net profit/(loss) attributable to the equity holders of the parent in calculating both basic and diluted earnings per share. No such adjustment was required in 2025, as no Hybrid perpetual notes were outstanding during that period</w:t>
      </w:r>
    </w:p>
    <w:p>
      <w:pPr>
        <w:spacing w:after="0" w:line="1" w:lineRule="exact"/>
        <w:rPr>
          <w:rFonts w:ascii="Arial" w:cs="Arial" w:eastAsia="Arial" w:hAnsi="Arial"/>
          <w:sz w:val="12"/>
          <w:szCs w:val="12"/>
          <w:color w:val="auto"/>
        </w:rPr>
      </w:pPr>
    </w:p>
    <w:p>
      <w:pPr>
        <w:ind w:right="200" w:firstLine="8"/>
        <w:spacing w:after="0" w:line="243" w:lineRule="auto"/>
        <w:tabs>
          <w:tab w:leader="none" w:pos="188"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the three months ended September 30, 2026 and for the three and nine months ended September 30, 2025, the Company reported a loss attributable to the owners of the parent. Consequently, the potential dilutive impact of share-based payment plans was excluded from the calculation of diluted earnings/(loss) per share, as its inclusion would have been anti-dilutive. For the nine months ended September 30, 2025, however, the adjusted net result reflected a profit and, therefore, the potential dilutive effect of share-based payment plans was included in the calculation of Adjusted diluted earnings per share. For the three months ended September 30, 2026 and September 30, 2025, the adjusted net result remained a loss and no dilutive effect was included</w:t>
      </w:r>
    </w:p>
    <w:p>
      <w:pPr>
        <w:spacing w:after="0" w:line="1" w:lineRule="exact"/>
        <w:rPr>
          <w:rFonts w:ascii="Arial" w:cs="Arial" w:eastAsia="Arial" w:hAnsi="Arial"/>
          <w:sz w:val="12"/>
          <w:szCs w:val="12"/>
          <w:color w:val="auto"/>
        </w:rPr>
      </w:pPr>
    </w:p>
    <w:p>
      <w:pPr>
        <w:ind w:left="200" w:hanging="192"/>
        <w:spacing w:after="0"/>
        <w:tabs>
          <w:tab w:leader="none" w:pos="2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Tax impact on adjustments is calculated based on the expected local country tax implications for each adjustment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243782"/>
        </w:rPr>
        <w:t>Cash flows from operating activities to Industrial free cash flows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20" w:type="dxa"/>
            <w:vAlign w:val="bottom"/>
            <w:tcBorders>
              <w:top w:val="single" w:sz="8" w:color="4C639D"/>
              <w:bottom w:val="single" w:sz="8" w:color="DBDBDB"/>
            </w:tcBorders>
          </w:tcPr>
          <w:p>
            <w:pPr>
              <w:ind w:left="20"/>
              <w:spacing w:after="0"/>
              <w:rPr>
                <w:sz w:val="20"/>
                <w:szCs w:val="20"/>
                <w:color w:val="auto"/>
              </w:rPr>
            </w:pPr>
            <w:r>
              <w:rPr>
                <w:rFonts w:ascii="Arial" w:cs="Arial" w:eastAsia="Arial" w:hAnsi="Arial"/>
                <w:sz w:val="14"/>
                <w:szCs w:val="14"/>
                <w:color w:val="243782"/>
              </w:rPr>
              <w:t>(€ million)</w:t>
            </w:r>
          </w:p>
        </w:tc>
        <w:tc>
          <w:tcPr>
            <w:tcW w:w="1280" w:type="dxa"/>
            <w:vAlign w:val="bottom"/>
            <w:tcBorders>
              <w:top w:val="single" w:sz="8" w:color="243782"/>
              <w:bottom w:val="single" w:sz="8" w:color="4C639D"/>
              <w:right w:val="single" w:sz="8" w:color="243782"/>
            </w:tcBorders>
            <w:shd w:val="clear" w:color="auto" w:fill="243782"/>
          </w:tcPr>
          <w:p>
            <w:pPr>
              <w:jc w:val="right"/>
              <w:ind w:right="292"/>
              <w:spacing w:after="0"/>
              <w:rPr>
                <w:sz w:val="20"/>
                <w:szCs w:val="20"/>
                <w:color w:val="auto"/>
              </w:rPr>
            </w:pPr>
            <w:r>
              <w:rPr>
                <w:rFonts w:ascii="Arial" w:cs="Arial" w:eastAsia="Arial" w:hAnsi="Arial"/>
                <w:sz w:val="14"/>
                <w:szCs w:val="14"/>
                <w:b w:val="1"/>
                <w:bCs w:val="1"/>
                <w:color w:val="FFFFFF"/>
              </w:rPr>
              <w:t>Q3 2026</w:t>
            </w:r>
          </w:p>
        </w:tc>
        <w:tc>
          <w:tcPr>
            <w:tcW w:w="80" w:type="dxa"/>
            <w:vAlign w:val="bottom"/>
            <w:tcBorders>
              <w:top w:val="single" w:sz="8" w:color="243782"/>
            </w:tcBorders>
          </w:tcPr>
          <w:p>
            <w:pPr>
              <w:spacing w:after="0"/>
              <w:rPr>
                <w:sz w:val="21"/>
                <w:szCs w:val="21"/>
                <w:color w:val="auto"/>
              </w:rPr>
            </w:pPr>
          </w:p>
        </w:tc>
        <w:tc>
          <w:tcPr>
            <w:tcW w:w="1300" w:type="dxa"/>
            <w:vAlign w:val="bottom"/>
            <w:tcBorders>
              <w:top w:val="single" w:sz="8" w:color="243782"/>
              <w:bottom w:val="single" w:sz="8" w:color="DBDBDB"/>
              <w:right w:val="single" w:sz="8" w:color="F2F2F2"/>
            </w:tcBorders>
            <w:shd w:val="clear" w:color="auto" w:fill="F2F2F2"/>
          </w:tcPr>
          <w:p>
            <w:pPr>
              <w:jc w:val="right"/>
              <w:ind w:right="312"/>
              <w:spacing w:after="0"/>
              <w:rPr>
                <w:sz w:val="20"/>
                <w:szCs w:val="20"/>
                <w:color w:val="auto"/>
              </w:rPr>
            </w:pPr>
            <w:r>
              <w:rPr>
                <w:rFonts w:ascii="Arial" w:cs="Arial" w:eastAsia="Arial" w:hAnsi="Arial"/>
                <w:sz w:val="14"/>
                <w:szCs w:val="14"/>
                <w:b w:val="1"/>
                <w:bCs w:val="1"/>
                <w:color w:val="243782"/>
              </w:rPr>
              <w:t>Q3 2025</w:t>
            </w:r>
          </w:p>
        </w:tc>
        <w:tc>
          <w:tcPr>
            <w:tcW w:w="80" w:type="dxa"/>
            <w:vAlign w:val="bottom"/>
            <w:tcBorders>
              <w:top w:val="single" w:sz="8" w:color="243782"/>
            </w:tcBorders>
          </w:tcPr>
          <w:p>
            <w:pPr>
              <w:spacing w:after="0"/>
              <w:rPr>
                <w:sz w:val="21"/>
                <w:szCs w:val="21"/>
                <w:color w:val="auto"/>
              </w:rPr>
            </w:pPr>
          </w:p>
        </w:tc>
        <w:tc>
          <w:tcPr>
            <w:tcW w:w="1280" w:type="dxa"/>
            <w:vAlign w:val="bottom"/>
            <w:tcBorders>
              <w:top w:val="single" w:sz="8" w:color="243782"/>
              <w:bottom w:val="single" w:sz="8" w:color="4C639D"/>
              <w:right w:val="single" w:sz="8" w:color="243782"/>
            </w:tcBorders>
            <w:shd w:val="clear" w:color="auto" w:fill="243782"/>
          </w:tcPr>
          <w:p>
            <w:pPr>
              <w:jc w:val="right"/>
              <w:ind w:right="232"/>
              <w:spacing w:after="0"/>
              <w:rPr>
                <w:sz w:val="20"/>
                <w:szCs w:val="20"/>
                <w:color w:val="auto"/>
              </w:rPr>
            </w:pPr>
            <w:r>
              <w:rPr>
                <w:rFonts w:ascii="Arial" w:cs="Arial" w:eastAsia="Arial" w:hAnsi="Arial"/>
                <w:sz w:val="14"/>
                <w:szCs w:val="14"/>
                <w:b w:val="1"/>
                <w:bCs w:val="1"/>
                <w:color w:val="FFFFFF"/>
              </w:rPr>
              <w:t>YTD 2026</w:t>
            </w:r>
          </w:p>
        </w:tc>
        <w:tc>
          <w:tcPr>
            <w:tcW w:w="100" w:type="dxa"/>
            <w:vAlign w:val="bottom"/>
            <w:tcBorders>
              <w:top w:val="single" w:sz="8" w:color="243782"/>
            </w:tcBorders>
          </w:tcPr>
          <w:p>
            <w:pPr>
              <w:spacing w:after="0"/>
              <w:rPr>
                <w:sz w:val="21"/>
                <w:szCs w:val="21"/>
                <w:color w:val="auto"/>
              </w:rPr>
            </w:pPr>
          </w:p>
        </w:tc>
        <w:tc>
          <w:tcPr>
            <w:tcW w:w="1300" w:type="dxa"/>
            <w:vAlign w:val="bottom"/>
            <w:tcBorders>
              <w:top w:val="single" w:sz="8" w:color="243782"/>
              <w:bottom w:val="single" w:sz="8" w:color="DBDBDB"/>
            </w:tcBorders>
            <w:shd w:val="clear" w:color="auto" w:fill="F2F2F2"/>
          </w:tcPr>
          <w:p>
            <w:pPr>
              <w:jc w:val="right"/>
              <w:ind w:right="252"/>
              <w:spacing w:after="0"/>
              <w:rPr>
                <w:sz w:val="20"/>
                <w:szCs w:val="20"/>
                <w:color w:val="auto"/>
              </w:rPr>
            </w:pPr>
            <w:r>
              <w:rPr>
                <w:rFonts w:ascii="Arial" w:cs="Arial" w:eastAsia="Arial" w:hAnsi="Arial"/>
                <w:sz w:val="14"/>
                <w:szCs w:val="14"/>
                <w:b w:val="1"/>
                <w:bCs w:val="1"/>
                <w:color w:val="243782"/>
              </w:rPr>
              <w:t>YTD 2025</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color w:val="243782"/>
              </w:rPr>
              <w:t>Cash flows from/(used in) operating activities</w:t>
            </w: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(3,930)</w:t>
            </w:r>
          </w:p>
        </w:tc>
        <w:tc>
          <w:tcPr>
            <w:tcW w:w="80" w:type="dxa"/>
            <w:vAlign w:val="bottom"/>
            <w:tcBorders>
              <w:bottom w:val="single" w:sz="8" w:color="F2F2F2"/>
            </w:tcBorders>
          </w:tcPr>
          <w:p>
            <w:pPr>
              <w:spacing w:after="0"/>
              <w:rPr>
                <w:sz w:val="19"/>
                <w:szCs w:val="19"/>
                <w:color w:val="auto"/>
              </w:rPr>
            </w:pPr>
          </w:p>
        </w:tc>
        <w:tc>
          <w:tcPr>
            <w:tcW w:w="1300" w:type="dxa"/>
            <w:vAlign w:val="bottom"/>
            <w:tcBorders>
              <w:bottom w:val="single" w:sz="8" w:color="DBDBDB"/>
              <w:right w:val="single" w:sz="8" w:color="F2F2F2"/>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(4,551)</w:t>
            </w:r>
          </w:p>
        </w:tc>
        <w:tc>
          <w:tcPr>
            <w:tcW w:w="80" w:type="dxa"/>
            <w:vAlign w:val="bottom"/>
            <w:tcBorders>
              <w:bottom w:val="single" w:sz="8" w:color="F2F2F2"/>
            </w:tcBorders>
          </w:tcPr>
          <w:p>
            <w:pPr>
              <w:spacing w:after="0"/>
              <w:rPr>
                <w:sz w:val="19"/>
                <w:szCs w:val="19"/>
                <w:color w:val="auto"/>
              </w:rPr>
            </w:pP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(6,817)</w:t>
            </w:r>
          </w:p>
        </w:tc>
        <w:tc>
          <w:tcPr>
            <w:tcW w:w="100" w:type="dxa"/>
            <w:vAlign w:val="bottom"/>
            <w:tcBorders>
              <w:bottom w:val="single" w:sz="8" w:color="F2F2F2"/>
            </w:tcBorders>
          </w:tcPr>
          <w:p>
            <w:pPr>
              <w:spacing w:after="0"/>
              <w:rPr>
                <w:sz w:val="19"/>
                <w:szCs w:val="19"/>
                <w:color w:val="auto"/>
              </w:rPr>
            </w:pPr>
          </w:p>
        </w:tc>
        <w:tc>
          <w:tcPr>
            <w:tcW w:w="130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(6,838)</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Financial services, net of inter-segment eliminations</w:t>
            </w: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(1,733)</w:t>
            </w:r>
          </w:p>
        </w:tc>
        <w:tc>
          <w:tcPr>
            <w:tcW w:w="80" w:type="dxa"/>
            <w:vAlign w:val="bottom"/>
            <w:tcBorders>
              <w:bottom w:val="single" w:sz="8" w:color="F2F2F2"/>
            </w:tcBorders>
          </w:tcPr>
          <w:p>
            <w:pPr>
              <w:spacing w:after="0"/>
              <w:rPr>
                <w:sz w:val="19"/>
                <w:szCs w:val="19"/>
                <w:color w:val="auto"/>
              </w:rPr>
            </w:pPr>
          </w:p>
        </w:tc>
        <w:tc>
          <w:tcPr>
            <w:tcW w:w="1300" w:type="dxa"/>
            <w:vAlign w:val="bottom"/>
            <w:tcBorders>
              <w:bottom w:val="single" w:sz="8" w:color="DBDBDB"/>
              <w:right w:val="single" w:sz="8" w:color="F2F2F2"/>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(2,549)</w:t>
            </w:r>
          </w:p>
        </w:tc>
        <w:tc>
          <w:tcPr>
            <w:tcW w:w="80" w:type="dxa"/>
            <w:vAlign w:val="bottom"/>
            <w:tcBorders>
              <w:bottom w:val="single" w:sz="8" w:color="F2F2F2"/>
            </w:tcBorders>
          </w:tcPr>
          <w:p>
            <w:pPr>
              <w:spacing w:after="0"/>
              <w:rPr>
                <w:sz w:val="19"/>
                <w:szCs w:val="19"/>
                <w:color w:val="auto"/>
              </w:rPr>
            </w:pP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(7,177)</w:t>
            </w:r>
          </w:p>
        </w:tc>
        <w:tc>
          <w:tcPr>
            <w:tcW w:w="100" w:type="dxa"/>
            <w:vAlign w:val="bottom"/>
            <w:tcBorders>
              <w:bottom w:val="single" w:sz="8" w:color="F2F2F2"/>
            </w:tcBorders>
          </w:tcPr>
          <w:p>
            <w:pPr>
              <w:spacing w:after="0"/>
              <w:rPr>
                <w:sz w:val="19"/>
                <w:szCs w:val="19"/>
                <w:color w:val="auto"/>
              </w:rPr>
            </w:pPr>
          </w:p>
        </w:tc>
        <w:tc>
          <w:tcPr>
            <w:tcW w:w="130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(6,946)</w:t>
            </w:r>
          </w:p>
        </w:tc>
        <w:tc>
          <w:tcPr>
            <w:tcW w:w="0" w:type="dxa"/>
            <w:vAlign w:val="bottom"/>
          </w:tcPr>
          <w:p>
            <w:pPr>
              <w:spacing w:after="0"/>
              <w:rPr>
                <w:sz w:val="1"/>
                <w:szCs w:val="1"/>
                <w:color w:val="auto"/>
              </w:rPr>
            </w:pPr>
          </w:p>
        </w:tc>
      </w:tr>
      <w:tr>
        <w:trPr>
          <w:trHeight w:val="176"/>
        </w:trPr>
        <w:tc>
          <w:tcPr>
            <w:tcW w:w="5820" w:type="dxa"/>
            <w:vAlign w:val="bottom"/>
          </w:tcPr>
          <w:p>
            <w:pPr>
              <w:ind w:left="20"/>
              <w:spacing w:after="0"/>
              <w:rPr>
                <w:sz w:val="20"/>
                <w:szCs w:val="20"/>
                <w:color w:val="auto"/>
              </w:rPr>
            </w:pPr>
            <w:r>
              <w:rPr>
                <w:rFonts w:ascii="Arial" w:cs="Arial" w:eastAsia="Arial" w:hAnsi="Arial"/>
                <w:sz w:val="13"/>
                <w:szCs w:val="13"/>
                <w:color w:val="auto"/>
              </w:rPr>
              <w:t>Less: Capital Expenditures and capitalized research and development expenditures and</w:t>
            </w:r>
          </w:p>
        </w:tc>
        <w:tc>
          <w:tcPr>
            <w:tcW w:w="1280" w:type="dxa"/>
            <w:vAlign w:val="bottom"/>
            <w:tcBorders>
              <w:right w:val="single" w:sz="8" w:color="4C639D"/>
            </w:tcBorders>
            <w:shd w:val="clear" w:color="auto" w:fill="4C639D"/>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Borders>
              <w:right w:val="single" w:sz="8" w:color="F2F2F2"/>
            </w:tcBorders>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right w:val="single" w:sz="8" w:color="4C639D"/>
            </w:tcBorders>
            <w:shd w:val="clear" w:color="auto" w:fill="4C639D"/>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rPr>
                <w:sz w:val="20"/>
                <w:szCs w:val="20"/>
                <w:color w:val="auto"/>
              </w:rPr>
            </w:pPr>
            <w:r>
              <w:rPr>
                <w:rFonts w:ascii="Arial" w:cs="Arial" w:eastAsia="Arial" w:hAnsi="Arial"/>
                <w:sz w:val="13"/>
                <w:szCs w:val="13"/>
                <w:color w:val="auto"/>
              </w:rPr>
              <w:t>change in amounts payable on property, plant and equipment and intangible assets for</w:t>
            </w:r>
          </w:p>
        </w:tc>
        <w:tc>
          <w:tcPr>
            <w:tcW w:w="1280" w:type="dxa"/>
            <w:vAlign w:val="bottom"/>
            <w:tcBorders>
              <w:right w:val="single" w:sz="8" w:color="4C639D"/>
            </w:tcBorders>
            <w:vMerge w:val="restart"/>
            <w:shd w:val="clear" w:color="auto" w:fill="4C639D"/>
          </w:tcPr>
          <w:p>
            <w:pPr>
              <w:jc w:val="right"/>
              <w:spacing w:after="0"/>
              <w:rPr>
                <w:sz w:val="20"/>
                <w:szCs w:val="20"/>
                <w:color w:val="auto"/>
              </w:rPr>
            </w:pPr>
            <w:r>
              <w:rPr>
                <w:rFonts w:ascii="Arial" w:cs="Arial" w:eastAsia="Arial" w:hAnsi="Arial"/>
                <w:sz w:val="13"/>
                <w:szCs w:val="13"/>
                <w:b w:val="1"/>
                <w:bCs w:val="1"/>
                <w:color w:val="FFFFFF"/>
              </w:rPr>
              <w:t>1,745</w:t>
            </w:r>
          </w:p>
        </w:tc>
        <w:tc>
          <w:tcPr>
            <w:tcW w:w="80" w:type="dxa"/>
            <w:vAlign w:val="bottom"/>
          </w:tcPr>
          <w:p>
            <w:pPr>
              <w:spacing w:after="0"/>
              <w:rPr>
                <w:sz w:val="12"/>
                <w:szCs w:val="12"/>
                <w:color w:val="auto"/>
              </w:rPr>
            </w:pPr>
          </w:p>
        </w:tc>
        <w:tc>
          <w:tcPr>
            <w:tcW w:w="1300" w:type="dxa"/>
            <w:vAlign w:val="bottom"/>
            <w:tcBorders>
              <w:right w:val="single" w:sz="8" w:color="F2F2F2"/>
            </w:tcBorders>
            <w:vMerge w:val="restart"/>
            <w:shd w:val="clear" w:color="auto" w:fill="F2F2F2"/>
          </w:tcPr>
          <w:p>
            <w:pPr>
              <w:jc w:val="right"/>
              <w:ind w:right="12"/>
              <w:spacing w:after="0"/>
              <w:rPr>
                <w:sz w:val="20"/>
                <w:szCs w:val="20"/>
                <w:color w:val="auto"/>
              </w:rPr>
            </w:pPr>
            <w:r>
              <w:rPr>
                <w:rFonts w:ascii="Arial" w:cs="Arial" w:eastAsia="Arial" w:hAnsi="Arial"/>
                <w:sz w:val="13"/>
                <w:szCs w:val="13"/>
                <w:b w:val="1"/>
                <w:bCs w:val="1"/>
                <w:color w:val="243782"/>
              </w:rPr>
              <w:t>1,873</w:t>
            </w:r>
          </w:p>
        </w:tc>
        <w:tc>
          <w:tcPr>
            <w:tcW w:w="80" w:type="dxa"/>
            <w:vAlign w:val="bottom"/>
          </w:tcPr>
          <w:p>
            <w:pPr>
              <w:spacing w:after="0"/>
              <w:rPr>
                <w:sz w:val="12"/>
                <w:szCs w:val="12"/>
                <w:color w:val="auto"/>
              </w:rPr>
            </w:pPr>
          </w:p>
        </w:tc>
        <w:tc>
          <w:tcPr>
            <w:tcW w:w="1280" w:type="dxa"/>
            <w:vAlign w:val="bottom"/>
            <w:tcBorders>
              <w:right w:val="single" w:sz="8" w:color="4C639D"/>
            </w:tcBorders>
            <w:vMerge w:val="restart"/>
            <w:shd w:val="clear" w:color="auto" w:fill="4C639D"/>
          </w:tcPr>
          <w:p>
            <w:pPr>
              <w:jc w:val="right"/>
              <w:spacing w:after="0"/>
              <w:rPr>
                <w:sz w:val="20"/>
                <w:szCs w:val="20"/>
                <w:color w:val="auto"/>
              </w:rPr>
            </w:pPr>
            <w:r>
              <w:rPr>
                <w:rFonts w:ascii="Arial" w:cs="Arial" w:eastAsia="Arial" w:hAnsi="Arial"/>
                <w:sz w:val="13"/>
                <w:szCs w:val="13"/>
                <w:b w:val="1"/>
                <w:bCs w:val="1"/>
                <w:color w:val="FFFFFF"/>
              </w:rPr>
              <w:t>4,811</w:t>
            </w:r>
          </w:p>
        </w:tc>
        <w:tc>
          <w:tcPr>
            <w:tcW w:w="100" w:type="dxa"/>
            <w:vAlign w:val="bottom"/>
          </w:tcPr>
          <w:p>
            <w:pPr>
              <w:spacing w:after="0"/>
              <w:rPr>
                <w:sz w:val="12"/>
                <w:szCs w:val="12"/>
                <w:color w:val="auto"/>
              </w:rPr>
            </w:pPr>
          </w:p>
        </w:tc>
        <w:tc>
          <w:tcPr>
            <w:tcW w:w="130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243782"/>
              </w:rPr>
              <w:t>7,009</w:t>
            </w:r>
          </w:p>
        </w:tc>
        <w:tc>
          <w:tcPr>
            <w:tcW w:w="0" w:type="dxa"/>
            <w:vAlign w:val="bottom"/>
          </w:tcPr>
          <w:p>
            <w:pPr>
              <w:spacing w:after="0"/>
              <w:rPr>
                <w:sz w:val="1"/>
                <w:szCs w:val="1"/>
                <w:color w:val="auto"/>
              </w:rPr>
            </w:pPr>
          </w:p>
        </w:tc>
      </w:tr>
      <w:tr>
        <w:trPr>
          <w:trHeight w:val="195"/>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industrial activities</w:t>
            </w:r>
          </w:p>
        </w:tc>
        <w:tc>
          <w:tcPr>
            <w:tcW w:w="1280" w:type="dxa"/>
            <w:vAlign w:val="bottom"/>
            <w:tcBorders>
              <w:bottom w:val="single" w:sz="8" w:color="DBDBDB"/>
              <w:right w:val="single" w:sz="8" w:color="4C639D"/>
            </w:tcBorders>
            <w:vMerge w:val="continue"/>
            <w:shd w:val="clear" w:color="auto" w:fill="4C639D"/>
          </w:tcPr>
          <w:p>
            <w:pPr>
              <w:spacing w:after="0"/>
              <w:rPr>
                <w:sz w:val="16"/>
                <w:szCs w:val="16"/>
                <w:color w:val="auto"/>
              </w:rPr>
            </w:pPr>
          </w:p>
        </w:tc>
        <w:tc>
          <w:tcPr>
            <w:tcW w:w="80" w:type="dxa"/>
            <w:vAlign w:val="bottom"/>
            <w:tcBorders>
              <w:bottom w:val="single" w:sz="8" w:color="F2F2F2"/>
            </w:tcBorders>
          </w:tcPr>
          <w:p>
            <w:pPr>
              <w:spacing w:after="0"/>
              <w:rPr>
                <w:sz w:val="16"/>
                <w:szCs w:val="16"/>
                <w:color w:val="auto"/>
              </w:rPr>
            </w:pPr>
          </w:p>
        </w:tc>
        <w:tc>
          <w:tcPr>
            <w:tcW w:w="1300" w:type="dxa"/>
            <w:vAlign w:val="bottom"/>
            <w:tcBorders>
              <w:bottom w:val="single" w:sz="8" w:color="DBDBDB"/>
              <w:right w:val="single" w:sz="8" w:color="F2F2F2"/>
            </w:tcBorders>
            <w:vMerge w:val="continue"/>
            <w:shd w:val="clear" w:color="auto" w:fill="F2F2F2"/>
          </w:tcPr>
          <w:p>
            <w:pPr>
              <w:spacing w:after="0"/>
              <w:rPr>
                <w:sz w:val="16"/>
                <w:szCs w:val="16"/>
                <w:color w:val="auto"/>
              </w:rPr>
            </w:pPr>
          </w:p>
        </w:tc>
        <w:tc>
          <w:tcPr>
            <w:tcW w:w="80" w:type="dxa"/>
            <w:vAlign w:val="bottom"/>
            <w:tcBorders>
              <w:bottom w:val="single" w:sz="8" w:color="F2F2F2"/>
            </w:tcBorders>
          </w:tcPr>
          <w:p>
            <w:pPr>
              <w:spacing w:after="0"/>
              <w:rPr>
                <w:sz w:val="16"/>
                <w:szCs w:val="16"/>
                <w:color w:val="auto"/>
              </w:rPr>
            </w:pPr>
          </w:p>
        </w:tc>
        <w:tc>
          <w:tcPr>
            <w:tcW w:w="1280" w:type="dxa"/>
            <w:vAlign w:val="bottom"/>
            <w:tcBorders>
              <w:bottom w:val="single" w:sz="8" w:color="DBDBDB"/>
              <w:right w:val="single" w:sz="8" w:color="4C639D"/>
            </w:tcBorders>
            <w:vMerge w:val="continue"/>
            <w:shd w:val="clear" w:color="auto" w:fill="4C639D"/>
          </w:tcPr>
          <w:p>
            <w:pPr>
              <w:spacing w:after="0"/>
              <w:rPr>
                <w:sz w:val="16"/>
                <w:szCs w:val="16"/>
                <w:color w:val="auto"/>
              </w:rPr>
            </w:pPr>
          </w:p>
        </w:tc>
        <w:tc>
          <w:tcPr>
            <w:tcW w:w="100" w:type="dxa"/>
            <w:vAlign w:val="bottom"/>
            <w:tcBorders>
              <w:bottom w:val="single" w:sz="8" w:color="F2F2F2"/>
            </w:tcBorders>
          </w:tcPr>
          <w:p>
            <w:pPr>
              <w:spacing w:after="0"/>
              <w:rPr>
                <w:sz w:val="16"/>
                <w:szCs w:val="16"/>
                <w:color w:val="auto"/>
              </w:rPr>
            </w:pPr>
          </w:p>
        </w:tc>
        <w:tc>
          <w:tcPr>
            <w:tcW w:w="1300" w:type="dxa"/>
            <w:vAlign w:val="bottom"/>
            <w:tcBorders>
              <w:bottom w:val="single" w:sz="8" w:color="DBDBDB"/>
            </w:tcBorders>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Add: Proceeds from disposal of assets and other changes in investing activities</w:t>
            </w: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18</w:t>
            </w:r>
          </w:p>
        </w:tc>
        <w:tc>
          <w:tcPr>
            <w:tcW w:w="80" w:type="dxa"/>
            <w:vAlign w:val="bottom"/>
            <w:tcBorders>
              <w:bottom w:val="single" w:sz="8" w:color="F2F2F2"/>
            </w:tcBorders>
          </w:tcPr>
          <w:p>
            <w:pPr>
              <w:spacing w:after="0"/>
              <w:rPr>
                <w:sz w:val="19"/>
                <w:szCs w:val="19"/>
                <w:color w:val="auto"/>
              </w:rPr>
            </w:pPr>
          </w:p>
        </w:tc>
        <w:tc>
          <w:tcPr>
            <w:tcW w:w="1300" w:type="dxa"/>
            <w:vAlign w:val="bottom"/>
            <w:tcBorders>
              <w:bottom w:val="single" w:sz="8" w:color="DBDBDB"/>
              <w:right w:val="single" w:sz="8" w:color="F2F2F2"/>
            </w:tcBorders>
            <w:shd w:val="clear" w:color="auto" w:fill="F2F2F2"/>
          </w:tcPr>
          <w:p>
            <w:pPr>
              <w:jc w:val="right"/>
              <w:ind w:right="12"/>
              <w:spacing w:after="0"/>
              <w:rPr>
                <w:sz w:val="20"/>
                <w:szCs w:val="20"/>
                <w:color w:val="auto"/>
              </w:rPr>
            </w:pPr>
            <w:r>
              <w:rPr>
                <w:rFonts w:ascii="Arial" w:cs="Arial" w:eastAsia="Arial" w:hAnsi="Arial"/>
                <w:sz w:val="13"/>
                <w:szCs w:val="13"/>
                <w:b w:val="1"/>
                <w:bCs w:val="1"/>
                <w:color w:val="243782"/>
              </w:rPr>
              <w:t>19</w:t>
            </w:r>
          </w:p>
        </w:tc>
        <w:tc>
          <w:tcPr>
            <w:tcW w:w="80" w:type="dxa"/>
            <w:vAlign w:val="bottom"/>
            <w:tcBorders>
              <w:bottom w:val="single" w:sz="8" w:color="F2F2F2"/>
            </w:tcBorders>
          </w:tcPr>
          <w:p>
            <w:pPr>
              <w:spacing w:after="0"/>
              <w:rPr>
                <w:sz w:val="19"/>
                <w:szCs w:val="19"/>
                <w:color w:val="auto"/>
              </w:rPr>
            </w:pP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11</w:t>
            </w:r>
          </w:p>
        </w:tc>
        <w:tc>
          <w:tcPr>
            <w:tcW w:w="100" w:type="dxa"/>
            <w:vAlign w:val="bottom"/>
            <w:tcBorders>
              <w:bottom w:val="single" w:sz="8" w:color="F2F2F2"/>
            </w:tcBorders>
          </w:tcPr>
          <w:p>
            <w:pPr>
              <w:spacing w:after="0"/>
              <w:rPr>
                <w:sz w:val="19"/>
                <w:szCs w:val="19"/>
                <w:color w:val="auto"/>
              </w:rPr>
            </w:pPr>
          </w:p>
        </w:tc>
        <w:tc>
          <w:tcPr>
            <w:tcW w:w="130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492</w:t>
            </w:r>
          </w:p>
        </w:tc>
        <w:tc>
          <w:tcPr>
            <w:tcW w:w="0" w:type="dxa"/>
            <w:vAlign w:val="bottom"/>
          </w:tcPr>
          <w:p>
            <w:pPr>
              <w:spacing w:after="0"/>
              <w:rPr>
                <w:sz w:val="1"/>
                <w:szCs w:val="1"/>
                <w:color w:val="auto"/>
              </w:rPr>
            </w:pPr>
          </w:p>
        </w:tc>
      </w:tr>
      <w:tr>
        <w:trPr>
          <w:trHeight w:val="190"/>
        </w:trPr>
        <w:tc>
          <w:tcPr>
            <w:tcW w:w="5820" w:type="dxa"/>
            <w:vAlign w:val="bottom"/>
          </w:tcPr>
          <w:p>
            <w:pPr>
              <w:ind w:left="20"/>
              <w:spacing w:after="0"/>
              <w:rPr>
                <w:sz w:val="20"/>
                <w:szCs w:val="20"/>
                <w:color w:val="auto"/>
              </w:rPr>
            </w:pPr>
            <w:r>
              <w:rPr>
                <w:rFonts w:ascii="Arial" w:cs="Arial" w:eastAsia="Arial" w:hAnsi="Arial"/>
                <w:sz w:val="13"/>
                <w:szCs w:val="13"/>
                <w:color w:val="auto"/>
              </w:rPr>
              <w:t>Less: Contributions of equity to joint ventures and minor acquisitions of consolidated</w:t>
            </w:r>
          </w:p>
        </w:tc>
        <w:tc>
          <w:tcPr>
            <w:tcW w:w="1280" w:type="dxa"/>
            <w:vAlign w:val="bottom"/>
            <w:tcBorders>
              <w:right w:val="single" w:sz="8" w:color="4C639D"/>
            </w:tcBorders>
            <w:vMerge w:val="restart"/>
            <w:shd w:val="clear" w:color="auto" w:fill="4C639D"/>
          </w:tcPr>
          <w:p>
            <w:pPr>
              <w:jc w:val="right"/>
              <w:spacing w:after="0"/>
              <w:rPr>
                <w:sz w:val="20"/>
                <w:szCs w:val="20"/>
                <w:color w:val="auto"/>
              </w:rPr>
            </w:pPr>
            <w:r>
              <w:rPr>
                <w:rFonts w:ascii="Arial" w:cs="Arial" w:eastAsia="Arial" w:hAnsi="Arial"/>
                <w:sz w:val="13"/>
                <w:szCs w:val="13"/>
                <w:b w:val="1"/>
                <w:bCs w:val="1"/>
                <w:color w:val="FFFFFF"/>
              </w:rPr>
              <w:t>96</w:t>
            </w:r>
          </w:p>
        </w:tc>
        <w:tc>
          <w:tcPr>
            <w:tcW w:w="80" w:type="dxa"/>
            <w:vAlign w:val="bottom"/>
          </w:tcPr>
          <w:p>
            <w:pPr>
              <w:spacing w:after="0"/>
              <w:rPr>
                <w:sz w:val="16"/>
                <w:szCs w:val="16"/>
                <w:color w:val="auto"/>
              </w:rPr>
            </w:pPr>
          </w:p>
        </w:tc>
        <w:tc>
          <w:tcPr>
            <w:tcW w:w="1300" w:type="dxa"/>
            <w:vAlign w:val="bottom"/>
            <w:tcBorders>
              <w:right w:val="single" w:sz="8" w:color="F2F2F2"/>
            </w:tcBorders>
            <w:vMerge w:val="restart"/>
            <w:shd w:val="clear" w:color="auto" w:fill="F2F2F2"/>
          </w:tcPr>
          <w:p>
            <w:pPr>
              <w:jc w:val="right"/>
              <w:ind w:right="12"/>
              <w:spacing w:after="0"/>
              <w:rPr>
                <w:sz w:val="20"/>
                <w:szCs w:val="20"/>
                <w:color w:val="auto"/>
              </w:rPr>
            </w:pPr>
            <w:r>
              <w:rPr>
                <w:rFonts w:ascii="Arial" w:cs="Arial" w:eastAsia="Arial" w:hAnsi="Arial"/>
                <w:sz w:val="13"/>
                <w:szCs w:val="13"/>
                <w:b w:val="1"/>
                <w:bCs w:val="1"/>
                <w:color w:val="243782"/>
              </w:rPr>
              <w:t>455</w:t>
            </w:r>
          </w:p>
        </w:tc>
        <w:tc>
          <w:tcPr>
            <w:tcW w:w="80" w:type="dxa"/>
            <w:vAlign w:val="bottom"/>
          </w:tcPr>
          <w:p>
            <w:pPr>
              <w:spacing w:after="0"/>
              <w:rPr>
                <w:sz w:val="16"/>
                <w:szCs w:val="16"/>
                <w:color w:val="auto"/>
              </w:rPr>
            </w:pPr>
          </w:p>
        </w:tc>
        <w:tc>
          <w:tcPr>
            <w:tcW w:w="1280" w:type="dxa"/>
            <w:vAlign w:val="bottom"/>
            <w:tcBorders>
              <w:right w:val="single" w:sz="8" w:color="4C639D"/>
            </w:tcBorders>
            <w:vMerge w:val="restart"/>
            <w:shd w:val="clear" w:color="auto" w:fill="4C639D"/>
          </w:tcPr>
          <w:p>
            <w:pPr>
              <w:jc w:val="right"/>
              <w:spacing w:after="0"/>
              <w:rPr>
                <w:sz w:val="20"/>
                <w:szCs w:val="20"/>
                <w:color w:val="auto"/>
              </w:rPr>
            </w:pPr>
            <w:r>
              <w:rPr>
                <w:rFonts w:ascii="Arial" w:cs="Arial" w:eastAsia="Arial" w:hAnsi="Arial"/>
                <w:sz w:val="13"/>
                <w:szCs w:val="13"/>
                <w:b w:val="1"/>
                <w:bCs w:val="1"/>
                <w:color w:val="FFFFFF"/>
              </w:rPr>
              <w:t>520</w:t>
            </w:r>
          </w:p>
        </w:tc>
        <w:tc>
          <w:tcPr>
            <w:tcW w:w="100" w:type="dxa"/>
            <w:vAlign w:val="bottom"/>
          </w:tcPr>
          <w:p>
            <w:pPr>
              <w:spacing w:after="0"/>
              <w:rPr>
                <w:sz w:val="16"/>
                <w:szCs w:val="16"/>
                <w:color w:val="auto"/>
              </w:rPr>
            </w:pPr>
          </w:p>
        </w:tc>
        <w:tc>
          <w:tcPr>
            <w:tcW w:w="130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243782"/>
              </w:rPr>
              <w:t>935</w:t>
            </w:r>
          </w:p>
        </w:tc>
        <w:tc>
          <w:tcPr>
            <w:tcW w:w="0" w:type="dxa"/>
            <w:vAlign w:val="bottom"/>
          </w:tcPr>
          <w:p>
            <w:pPr>
              <w:spacing w:after="0"/>
              <w:rPr>
                <w:sz w:val="1"/>
                <w:szCs w:val="1"/>
                <w:color w:val="auto"/>
              </w:rPr>
            </w:pPr>
          </w:p>
        </w:tc>
      </w:tr>
      <w:tr>
        <w:trPr>
          <w:trHeight w:val="195"/>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subsidiaries and equity method and other investments</w:t>
            </w:r>
          </w:p>
        </w:tc>
        <w:tc>
          <w:tcPr>
            <w:tcW w:w="1280" w:type="dxa"/>
            <w:vAlign w:val="bottom"/>
            <w:tcBorders>
              <w:bottom w:val="single" w:sz="8" w:color="DBDBDB"/>
              <w:right w:val="single" w:sz="8" w:color="4C639D"/>
            </w:tcBorders>
            <w:vMerge w:val="continue"/>
            <w:shd w:val="clear" w:color="auto" w:fill="4C639D"/>
          </w:tcPr>
          <w:p>
            <w:pPr>
              <w:spacing w:after="0"/>
              <w:rPr>
                <w:sz w:val="16"/>
                <w:szCs w:val="16"/>
                <w:color w:val="auto"/>
              </w:rPr>
            </w:pPr>
          </w:p>
        </w:tc>
        <w:tc>
          <w:tcPr>
            <w:tcW w:w="80" w:type="dxa"/>
            <w:vAlign w:val="bottom"/>
            <w:tcBorders>
              <w:bottom w:val="single" w:sz="8" w:color="F2F2F2"/>
            </w:tcBorders>
          </w:tcPr>
          <w:p>
            <w:pPr>
              <w:spacing w:after="0"/>
              <w:rPr>
                <w:sz w:val="16"/>
                <w:szCs w:val="16"/>
                <w:color w:val="auto"/>
              </w:rPr>
            </w:pPr>
          </w:p>
        </w:tc>
        <w:tc>
          <w:tcPr>
            <w:tcW w:w="1300" w:type="dxa"/>
            <w:vAlign w:val="bottom"/>
            <w:tcBorders>
              <w:bottom w:val="single" w:sz="8" w:color="DBDBDB"/>
              <w:right w:val="single" w:sz="8" w:color="F2F2F2"/>
            </w:tcBorders>
            <w:vMerge w:val="continue"/>
            <w:shd w:val="clear" w:color="auto" w:fill="F2F2F2"/>
          </w:tcPr>
          <w:p>
            <w:pPr>
              <w:spacing w:after="0"/>
              <w:rPr>
                <w:sz w:val="16"/>
                <w:szCs w:val="16"/>
                <w:color w:val="auto"/>
              </w:rPr>
            </w:pPr>
          </w:p>
        </w:tc>
        <w:tc>
          <w:tcPr>
            <w:tcW w:w="80" w:type="dxa"/>
            <w:vAlign w:val="bottom"/>
            <w:tcBorders>
              <w:bottom w:val="single" w:sz="8" w:color="F2F2F2"/>
            </w:tcBorders>
          </w:tcPr>
          <w:p>
            <w:pPr>
              <w:spacing w:after="0"/>
              <w:rPr>
                <w:sz w:val="16"/>
                <w:szCs w:val="16"/>
                <w:color w:val="auto"/>
              </w:rPr>
            </w:pPr>
          </w:p>
        </w:tc>
        <w:tc>
          <w:tcPr>
            <w:tcW w:w="1280" w:type="dxa"/>
            <w:vAlign w:val="bottom"/>
            <w:tcBorders>
              <w:bottom w:val="single" w:sz="8" w:color="DBDBDB"/>
              <w:right w:val="single" w:sz="8" w:color="4C639D"/>
            </w:tcBorders>
            <w:vMerge w:val="continue"/>
            <w:shd w:val="clear" w:color="auto" w:fill="4C639D"/>
          </w:tcPr>
          <w:p>
            <w:pPr>
              <w:spacing w:after="0"/>
              <w:rPr>
                <w:sz w:val="16"/>
                <w:szCs w:val="16"/>
                <w:color w:val="auto"/>
              </w:rPr>
            </w:pPr>
          </w:p>
        </w:tc>
        <w:tc>
          <w:tcPr>
            <w:tcW w:w="100" w:type="dxa"/>
            <w:vAlign w:val="bottom"/>
            <w:tcBorders>
              <w:bottom w:val="single" w:sz="8" w:color="F2F2F2"/>
            </w:tcBorders>
          </w:tcPr>
          <w:p>
            <w:pPr>
              <w:spacing w:after="0"/>
              <w:rPr>
                <w:sz w:val="16"/>
                <w:szCs w:val="16"/>
                <w:color w:val="auto"/>
              </w:rPr>
            </w:pPr>
          </w:p>
        </w:tc>
        <w:tc>
          <w:tcPr>
            <w:tcW w:w="1300" w:type="dxa"/>
            <w:vAlign w:val="bottom"/>
            <w:tcBorders>
              <w:bottom w:val="single" w:sz="8" w:color="DBDBDB"/>
            </w:tcBorders>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Add: Defined benefit pension contributions, net of tax</w:t>
            </w: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11</w:t>
            </w:r>
          </w:p>
        </w:tc>
        <w:tc>
          <w:tcPr>
            <w:tcW w:w="80" w:type="dxa"/>
            <w:vAlign w:val="bottom"/>
            <w:tcBorders>
              <w:bottom w:val="single" w:sz="8" w:color="DBDBDB"/>
            </w:tcBorders>
          </w:tcPr>
          <w:p>
            <w:pPr>
              <w:spacing w:after="0"/>
              <w:rPr>
                <w:sz w:val="19"/>
                <w:szCs w:val="19"/>
                <w:color w:val="auto"/>
              </w:rPr>
            </w:pPr>
          </w:p>
        </w:tc>
        <w:tc>
          <w:tcPr>
            <w:tcW w:w="1300" w:type="dxa"/>
            <w:vAlign w:val="bottom"/>
            <w:tcBorders>
              <w:bottom w:val="single" w:sz="8" w:color="DBDBDB"/>
              <w:right w:val="single" w:sz="8" w:color="F2F2F2"/>
            </w:tcBorders>
            <w:shd w:val="clear" w:color="auto" w:fill="F2F2F2"/>
          </w:tcPr>
          <w:p>
            <w:pPr>
              <w:jc w:val="right"/>
              <w:ind w:right="12"/>
              <w:spacing w:after="0"/>
              <w:rPr>
                <w:sz w:val="20"/>
                <w:szCs w:val="20"/>
                <w:color w:val="auto"/>
              </w:rPr>
            </w:pPr>
            <w:r>
              <w:rPr>
                <w:rFonts w:ascii="Arial" w:cs="Arial" w:eastAsia="Arial" w:hAnsi="Arial"/>
                <w:sz w:val="13"/>
                <w:szCs w:val="13"/>
                <w:b w:val="1"/>
                <w:bCs w:val="1"/>
                <w:color w:val="243782"/>
              </w:rPr>
              <w:t>7</w:t>
            </w:r>
          </w:p>
        </w:tc>
        <w:tc>
          <w:tcPr>
            <w:tcW w:w="8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right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30</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35</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color w:val="243782"/>
              </w:rPr>
              <w:t>Industrial free cash flows</w:t>
            </w:r>
            <w:r>
              <w:rPr>
                <w:rFonts w:ascii="Arial" w:cs="Arial" w:eastAsia="Arial" w:hAnsi="Arial"/>
                <w:sz w:val="17"/>
                <w:szCs w:val="17"/>
                <w:b w:val="1"/>
                <w:bCs w:val="1"/>
                <w:color w:val="243782"/>
                <w:vertAlign w:val="superscript"/>
              </w:rPr>
              <w:t>(3)</w:t>
            </w:r>
          </w:p>
        </w:tc>
        <w:tc>
          <w:tcPr>
            <w:tcW w:w="1280" w:type="dxa"/>
            <w:vAlign w:val="bottom"/>
            <w:tcBorders>
              <w:bottom w:val="single" w:sz="8" w:color="243782"/>
              <w:right w:val="single" w:sz="8" w:color="243782"/>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(4,009)</w:t>
            </w:r>
          </w:p>
        </w:tc>
        <w:tc>
          <w:tcPr>
            <w:tcW w:w="80" w:type="dxa"/>
            <w:vAlign w:val="bottom"/>
            <w:tcBorders>
              <w:bottom w:val="single" w:sz="8" w:color="4C639D"/>
            </w:tcBorders>
          </w:tcPr>
          <w:p>
            <w:pPr>
              <w:spacing w:after="0"/>
              <w:rPr>
                <w:sz w:val="19"/>
                <w:szCs w:val="19"/>
                <w:color w:val="auto"/>
              </w:rPr>
            </w:pPr>
          </w:p>
        </w:tc>
        <w:tc>
          <w:tcPr>
            <w:tcW w:w="1300" w:type="dxa"/>
            <w:vAlign w:val="bottom"/>
            <w:tcBorders>
              <w:bottom w:val="single" w:sz="8" w:color="243782"/>
              <w:right w:val="single" w:sz="8" w:color="F2F2F2"/>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(4,304)</w:t>
            </w:r>
          </w:p>
        </w:tc>
        <w:tc>
          <w:tcPr>
            <w:tcW w:w="80" w:type="dxa"/>
            <w:vAlign w:val="bottom"/>
            <w:tcBorders>
              <w:bottom w:val="single" w:sz="8" w:color="4C639D"/>
            </w:tcBorders>
          </w:tcPr>
          <w:p>
            <w:pPr>
              <w:spacing w:after="0"/>
              <w:rPr>
                <w:sz w:val="19"/>
                <w:szCs w:val="19"/>
                <w:color w:val="auto"/>
              </w:rPr>
            </w:pPr>
          </w:p>
        </w:tc>
        <w:tc>
          <w:tcPr>
            <w:tcW w:w="1280" w:type="dxa"/>
            <w:vAlign w:val="bottom"/>
            <w:tcBorders>
              <w:bottom w:val="single" w:sz="8" w:color="243782"/>
              <w:right w:val="single" w:sz="8" w:color="243782"/>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(4,930)</w:t>
            </w:r>
          </w:p>
        </w:tc>
        <w:tc>
          <w:tcPr>
            <w:tcW w:w="100" w:type="dxa"/>
            <w:vAlign w:val="bottom"/>
            <w:tcBorders>
              <w:bottom w:val="single" w:sz="8" w:color="4C639D"/>
            </w:tcBorders>
          </w:tcPr>
          <w:p>
            <w:pPr>
              <w:spacing w:after="0"/>
              <w:rPr>
                <w:sz w:val="19"/>
                <w:szCs w:val="19"/>
                <w:color w:val="auto"/>
              </w:rPr>
            </w:pPr>
          </w:p>
        </w:tc>
        <w:tc>
          <w:tcPr>
            <w:tcW w:w="1300" w:type="dxa"/>
            <w:vAlign w:val="bottom"/>
            <w:tcBorders>
              <w:bottom w:val="single" w:sz="8" w:color="243782"/>
            </w:tcBorders>
            <w:shd w:val="clear" w:color="auto" w:fill="F2F2F2"/>
          </w:tcPr>
          <w:p>
            <w:pPr>
              <w:jc w:val="right"/>
              <w:spacing w:after="0"/>
              <w:rPr>
                <w:sz w:val="20"/>
                <w:szCs w:val="20"/>
                <w:color w:val="auto"/>
              </w:rPr>
            </w:pPr>
            <w:r>
              <w:rPr>
                <w:rFonts w:ascii="Arial" w:cs="Arial" w:eastAsia="Arial" w:hAnsi="Arial"/>
                <w:sz w:val="13"/>
                <w:szCs w:val="13"/>
                <w:b w:val="1"/>
                <w:bCs w:val="1"/>
                <w:color w:val="243782"/>
              </w:rPr>
              <w:t>(7,309)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-8255</wp:posOffset>
            </wp:positionV>
            <wp:extent cx="17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17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-1379220</wp:posOffset>
            </wp:positionV>
            <wp:extent cx="814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-1379220</wp:posOffset>
            </wp:positionV>
            <wp:extent cx="814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9</w:t>
      </w:r>
    </w:p>
    <w:p>
      <w:pPr>
        <w:sectPr>
          <w:pgSz w:w="11900" w:h="16838" w:orient="portrait"/>
          <w:cols w:equalWidth="0" w:num="1">
            <w:col w:w="11260"/>
          </w:cols>
          <w:pgMar w:left="320" w:top="1440"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43782"/>
        </w:rPr>
        <w:t>Debt to Industrial net financial position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0" w:type="dxa"/>
            <w:vAlign w:val="bottom"/>
            <w:tcBorders>
              <w:top w:val="single" w:sz="8" w:color="4C639D"/>
            </w:tcBorders>
          </w:tcPr>
          <w:p>
            <w:pPr>
              <w:spacing w:after="0"/>
              <w:rPr>
                <w:sz w:val="19"/>
                <w:szCs w:val="19"/>
                <w:color w:val="auto"/>
              </w:rPr>
            </w:pPr>
          </w:p>
        </w:tc>
        <w:tc>
          <w:tcPr>
            <w:tcW w:w="1460" w:type="dxa"/>
            <w:vAlign w:val="bottom"/>
            <w:tcBorders>
              <w:top w:val="single" w:sz="8" w:color="243782"/>
            </w:tcBorders>
            <w:shd w:val="clear" w:color="auto" w:fill="243782"/>
          </w:tcPr>
          <w:p>
            <w:pPr>
              <w:jc w:val="right"/>
              <w:ind w:right="72"/>
              <w:spacing w:after="0"/>
              <w:rPr>
                <w:sz w:val="20"/>
                <w:szCs w:val="20"/>
                <w:color w:val="auto"/>
              </w:rPr>
            </w:pPr>
            <w:r>
              <w:rPr>
                <w:rFonts w:ascii="Arial" w:cs="Arial" w:eastAsia="Arial" w:hAnsi="Arial"/>
                <w:sz w:val="14"/>
                <w:szCs w:val="14"/>
                <w:b w:val="1"/>
                <w:bCs w:val="1"/>
                <w:color w:val="FFFFFF"/>
              </w:rPr>
              <w:t>At September 30,</w:t>
            </w:r>
          </w:p>
        </w:tc>
        <w:tc>
          <w:tcPr>
            <w:tcW w:w="100" w:type="dxa"/>
            <w:vAlign w:val="bottom"/>
            <w:tcBorders>
              <w:top w:val="single" w:sz="8" w:color="4C639D"/>
            </w:tcBorders>
          </w:tcPr>
          <w:p>
            <w:pPr>
              <w:spacing w:after="0"/>
              <w:rPr>
                <w:sz w:val="19"/>
                <w:szCs w:val="19"/>
                <w:color w:val="auto"/>
              </w:rPr>
            </w:pPr>
          </w:p>
        </w:tc>
        <w:tc>
          <w:tcPr>
            <w:tcW w:w="1460" w:type="dxa"/>
            <w:vAlign w:val="bottom"/>
            <w:tcBorders>
              <w:top w:val="single" w:sz="8" w:color="243782"/>
            </w:tcBorders>
            <w:shd w:val="clear" w:color="auto" w:fill="243782"/>
          </w:tcPr>
          <w:p>
            <w:pPr>
              <w:jc w:val="right"/>
              <w:ind w:right="112"/>
              <w:spacing w:after="0"/>
              <w:rPr>
                <w:sz w:val="20"/>
                <w:szCs w:val="20"/>
                <w:color w:val="auto"/>
              </w:rPr>
            </w:pPr>
            <w:r>
              <w:rPr>
                <w:rFonts w:ascii="Arial" w:cs="Arial" w:eastAsia="Arial" w:hAnsi="Arial"/>
                <w:sz w:val="14"/>
                <w:szCs w:val="14"/>
                <w:b w:val="1"/>
                <w:bCs w:val="1"/>
                <w:color w:val="FFFFFF"/>
              </w:rPr>
              <w:t>At December 31,</w:t>
            </w:r>
          </w:p>
        </w:tc>
      </w:tr>
      <w:tr>
        <w:trPr>
          <w:trHeight w:val="205"/>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243782"/>
              </w:rPr>
              <w:t>(€ million)</w:t>
            </w:r>
          </w:p>
        </w:tc>
        <w:tc>
          <w:tcPr>
            <w:tcW w:w="1460" w:type="dxa"/>
            <w:vAlign w:val="bottom"/>
            <w:tcBorders>
              <w:bottom w:val="single" w:sz="8" w:color="DBDBDB"/>
            </w:tcBorders>
            <w:shd w:val="clear" w:color="auto" w:fill="243782"/>
          </w:tcPr>
          <w:p>
            <w:pPr>
              <w:jc w:val="right"/>
              <w:ind w:right="492"/>
              <w:spacing w:after="0"/>
              <w:rPr>
                <w:sz w:val="20"/>
                <w:szCs w:val="20"/>
                <w:color w:val="auto"/>
              </w:rPr>
            </w:pPr>
            <w:r>
              <w:rPr>
                <w:rFonts w:ascii="Arial" w:cs="Arial" w:eastAsia="Arial" w:hAnsi="Arial"/>
                <w:sz w:val="14"/>
                <w:szCs w:val="14"/>
                <w:b w:val="1"/>
                <w:bCs w:val="1"/>
                <w:color w:val="FFFFFF"/>
              </w:rPr>
              <w:t>2026</w:t>
            </w:r>
          </w:p>
        </w:tc>
        <w:tc>
          <w:tcPr>
            <w:tcW w:w="10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shd w:val="clear" w:color="auto" w:fill="243782"/>
          </w:tcPr>
          <w:p>
            <w:pPr>
              <w:jc w:val="right"/>
              <w:ind w:right="512"/>
              <w:spacing w:after="0"/>
              <w:rPr>
                <w:sz w:val="20"/>
                <w:szCs w:val="20"/>
                <w:color w:val="auto"/>
              </w:rPr>
            </w:pPr>
            <w:r>
              <w:rPr>
                <w:rFonts w:ascii="Arial" w:cs="Arial" w:eastAsia="Arial" w:hAnsi="Arial"/>
                <w:sz w:val="14"/>
                <w:szCs w:val="14"/>
                <w:b w:val="1"/>
                <w:bCs w:val="1"/>
                <w:color w:val="FFFFFF"/>
              </w:rPr>
              <w:t>2025</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Debt</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(55,999)</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(45,947)</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Current financial receivables from jointly-controlled financial services companies</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799</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ind w:right="12"/>
              <w:spacing w:after="0"/>
              <w:rPr>
                <w:sz w:val="20"/>
                <w:szCs w:val="20"/>
                <w:color w:val="auto"/>
              </w:rPr>
            </w:pPr>
            <w:r>
              <w:rPr>
                <w:rFonts w:ascii="Arial" w:cs="Arial" w:eastAsia="Arial" w:hAnsi="Arial"/>
                <w:sz w:val="13"/>
                <w:szCs w:val="13"/>
                <w:b w:val="1"/>
                <w:bCs w:val="1"/>
                <w:color w:val="FFFFFF"/>
              </w:rPr>
              <w:t>603</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Derivative financial assets/(liabilities), net and collateral deposits</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79</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ind w:right="12"/>
              <w:spacing w:after="0"/>
              <w:rPr>
                <w:sz w:val="20"/>
                <w:szCs w:val="20"/>
                <w:color w:val="auto"/>
              </w:rPr>
            </w:pPr>
            <w:r>
              <w:rPr>
                <w:rFonts w:ascii="Arial" w:cs="Arial" w:eastAsia="Arial" w:hAnsi="Arial"/>
                <w:sz w:val="13"/>
                <w:szCs w:val="13"/>
                <w:b w:val="1"/>
                <w:bCs w:val="1"/>
                <w:color w:val="FFFFFF"/>
              </w:rPr>
              <w:t>181</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Financial securities</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3,443</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ind w:right="12"/>
              <w:spacing w:after="0"/>
              <w:rPr>
                <w:sz w:val="20"/>
                <w:szCs w:val="20"/>
                <w:color w:val="auto"/>
              </w:rPr>
            </w:pPr>
            <w:r>
              <w:rPr>
                <w:rFonts w:ascii="Arial" w:cs="Arial" w:eastAsia="Arial" w:hAnsi="Arial"/>
                <w:sz w:val="13"/>
                <w:szCs w:val="13"/>
                <w:b w:val="1"/>
                <w:bCs w:val="1"/>
                <w:color w:val="FFFFFF"/>
              </w:rPr>
              <w:t>1,362</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Cash and cash equivalents</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29,046</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ind w:right="12"/>
              <w:spacing w:after="0"/>
              <w:rPr>
                <w:sz w:val="20"/>
                <w:szCs w:val="20"/>
                <w:color w:val="auto"/>
              </w:rPr>
            </w:pPr>
            <w:r>
              <w:rPr>
                <w:rFonts w:ascii="Arial" w:cs="Arial" w:eastAsia="Arial" w:hAnsi="Arial"/>
                <w:sz w:val="13"/>
                <w:szCs w:val="13"/>
                <w:b w:val="1"/>
                <w:bCs w:val="1"/>
                <w:color w:val="FFFFFF"/>
              </w:rPr>
              <w:t>30,146</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Industrial net financial position classified as held for sale</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95</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ind w:right="12"/>
              <w:spacing w:after="0"/>
              <w:rPr>
                <w:sz w:val="20"/>
                <w:szCs w:val="20"/>
                <w:color w:val="auto"/>
              </w:rPr>
            </w:pPr>
            <w:r>
              <w:rPr>
                <w:rFonts w:ascii="Arial" w:cs="Arial" w:eastAsia="Arial" w:hAnsi="Arial"/>
                <w:sz w:val="13"/>
                <w:szCs w:val="13"/>
                <w:b w:val="1"/>
                <w:bCs w:val="1"/>
                <w:color w:val="FFFFFF"/>
              </w:rPr>
              <w:t>—</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color w:val="243782"/>
              </w:rPr>
              <w:t>Net financial position</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(22,537)</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(13,655)</w:t>
            </w:r>
          </w:p>
        </w:tc>
      </w:tr>
      <w:tr>
        <w:trPr>
          <w:trHeight w:val="223"/>
        </w:trPr>
        <w:tc>
          <w:tcPr>
            <w:tcW w:w="82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Net financial position of financial services</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(27,937)</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(20,349)</w:t>
            </w:r>
          </w:p>
        </w:tc>
      </w:tr>
      <w:tr>
        <w:trPr>
          <w:trHeight w:val="230"/>
        </w:trPr>
        <w:tc>
          <w:tcPr>
            <w:tcW w:w="8200" w:type="dxa"/>
            <w:vAlign w:val="bottom"/>
            <w:tcBorders>
              <w:bottom w:val="single" w:sz="8" w:color="4C639D"/>
            </w:tcBorders>
          </w:tcPr>
          <w:p>
            <w:pPr>
              <w:ind w:left="20"/>
              <w:spacing w:after="0"/>
              <w:rPr>
                <w:sz w:val="20"/>
                <w:szCs w:val="20"/>
                <w:color w:val="auto"/>
              </w:rPr>
            </w:pPr>
            <w:r>
              <w:rPr>
                <w:rFonts w:ascii="Arial" w:cs="Arial" w:eastAsia="Arial" w:hAnsi="Arial"/>
                <w:sz w:val="13"/>
                <w:szCs w:val="13"/>
                <w:b w:val="1"/>
                <w:bCs w:val="1"/>
                <w:color w:val="243782"/>
              </w:rPr>
              <w:t>Industrial net financial position</w:t>
            </w:r>
            <w:r>
              <w:rPr>
                <w:rFonts w:ascii="Arial" w:cs="Arial" w:eastAsia="Arial" w:hAnsi="Arial"/>
                <w:sz w:val="17"/>
                <w:szCs w:val="17"/>
                <w:b w:val="1"/>
                <w:bCs w:val="1"/>
                <w:color w:val="243782"/>
                <w:vertAlign w:val="superscript"/>
              </w:rPr>
              <w:t>(9)</w:t>
            </w:r>
          </w:p>
        </w:tc>
        <w:tc>
          <w:tcPr>
            <w:tcW w:w="1460" w:type="dxa"/>
            <w:vAlign w:val="bottom"/>
            <w:tcBorders>
              <w:bottom w:val="single" w:sz="8" w:color="0A2299"/>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5,400</w:t>
            </w:r>
          </w:p>
        </w:tc>
        <w:tc>
          <w:tcPr>
            <w:tcW w:w="100" w:type="dxa"/>
            <w:vAlign w:val="bottom"/>
            <w:tcBorders>
              <w:bottom w:val="single" w:sz="8" w:color="4C639D"/>
            </w:tcBorders>
          </w:tcPr>
          <w:p>
            <w:pPr>
              <w:spacing w:after="0"/>
              <w:rPr>
                <w:sz w:val="19"/>
                <w:szCs w:val="19"/>
                <w:color w:val="auto"/>
              </w:rPr>
            </w:pPr>
          </w:p>
        </w:tc>
        <w:tc>
          <w:tcPr>
            <w:tcW w:w="1460" w:type="dxa"/>
            <w:vAlign w:val="bottom"/>
            <w:tcBorders>
              <w:bottom w:val="single" w:sz="8" w:color="0A2299"/>
            </w:tcBorders>
            <w:shd w:val="clear" w:color="auto" w:fill="243782"/>
          </w:tcPr>
          <w:p>
            <w:pPr>
              <w:jc w:val="right"/>
              <w:ind w:right="12"/>
              <w:spacing w:after="0"/>
              <w:rPr>
                <w:sz w:val="20"/>
                <w:szCs w:val="20"/>
                <w:color w:val="auto"/>
              </w:rPr>
            </w:pPr>
            <w:r>
              <w:rPr>
                <w:rFonts w:ascii="Arial" w:cs="Arial" w:eastAsia="Arial" w:hAnsi="Arial"/>
                <w:sz w:val="13"/>
                <w:szCs w:val="13"/>
                <w:b w:val="1"/>
                <w:bCs w:val="1"/>
                <w:color w:val="FFFFFF"/>
              </w:rPr>
              <w:t>6,694</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243782"/>
        </w:rPr>
        <w:t>Available liquidity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20" w:type="dxa"/>
            <w:vAlign w:val="bottom"/>
            <w:tcBorders>
              <w:top w:val="single" w:sz="8" w:color="4C639D"/>
            </w:tcBorders>
          </w:tcPr>
          <w:p>
            <w:pPr>
              <w:spacing w:after="0"/>
              <w:rPr>
                <w:sz w:val="19"/>
                <w:szCs w:val="19"/>
                <w:color w:val="auto"/>
              </w:rPr>
            </w:pPr>
          </w:p>
        </w:tc>
        <w:tc>
          <w:tcPr>
            <w:tcW w:w="1460" w:type="dxa"/>
            <w:vAlign w:val="bottom"/>
            <w:tcBorders>
              <w:top w:val="single" w:sz="8" w:color="243782"/>
            </w:tcBorders>
            <w:shd w:val="clear" w:color="auto" w:fill="243782"/>
          </w:tcPr>
          <w:p>
            <w:pPr>
              <w:jc w:val="right"/>
              <w:ind w:right="71"/>
              <w:spacing w:after="0"/>
              <w:rPr>
                <w:sz w:val="20"/>
                <w:szCs w:val="20"/>
                <w:color w:val="auto"/>
              </w:rPr>
            </w:pPr>
            <w:r>
              <w:rPr>
                <w:rFonts w:ascii="Arial" w:cs="Arial" w:eastAsia="Arial" w:hAnsi="Arial"/>
                <w:sz w:val="14"/>
                <w:szCs w:val="14"/>
                <w:b w:val="1"/>
                <w:bCs w:val="1"/>
                <w:color w:val="FFFFFF"/>
              </w:rPr>
              <w:t>At September 30,</w:t>
            </w:r>
          </w:p>
        </w:tc>
        <w:tc>
          <w:tcPr>
            <w:tcW w:w="100" w:type="dxa"/>
            <w:vAlign w:val="bottom"/>
            <w:tcBorders>
              <w:top w:val="single" w:sz="8" w:color="4C639D"/>
            </w:tcBorders>
          </w:tcPr>
          <w:p>
            <w:pPr>
              <w:spacing w:after="0"/>
              <w:rPr>
                <w:sz w:val="19"/>
                <w:szCs w:val="19"/>
                <w:color w:val="auto"/>
              </w:rPr>
            </w:pPr>
          </w:p>
        </w:tc>
        <w:tc>
          <w:tcPr>
            <w:tcW w:w="1460" w:type="dxa"/>
            <w:vAlign w:val="bottom"/>
            <w:tcBorders>
              <w:top w:val="single" w:sz="8" w:color="243782"/>
            </w:tcBorders>
            <w:shd w:val="clear" w:color="auto" w:fill="243782"/>
          </w:tcPr>
          <w:p>
            <w:pPr>
              <w:jc w:val="right"/>
              <w:ind w:right="91"/>
              <w:spacing w:after="0"/>
              <w:rPr>
                <w:sz w:val="20"/>
                <w:szCs w:val="20"/>
                <w:color w:val="auto"/>
              </w:rPr>
            </w:pPr>
            <w:r>
              <w:rPr>
                <w:rFonts w:ascii="Arial" w:cs="Arial" w:eastAsia="Arial" w:hAnsi="Arial"/>
                <w:sz w:val="14"/>
                <w:szCs w:val="14"/>
                <w:b w:val="1"/>
                <w:bCs w:val="1"/>
                <w:color w:val="FFFFFF"/>
              </w:rPr>
              <w:t>At December 31,</w:t>
            </w:r>
          </w:p>
        </w:tc>
      </w:tr>
      <w:tr>
        <w:trPr>
          <w:trHeight w:val="205"/>
        </w:trPr>
        <w:tc>
          <w:tcPr>
            <w:tcW w:w="8220" w:type="dxa"/>
            <w:vAlign w:val="bottom"/>
            <w:tcBorders>
              <w:bottom w:val="single" w:sz="8" w:color="4C639D"/>
            </w:tcBorders>
          </w:tcPr>
          <w:p>
            <w:pPr>
              <w:ind w:left="20"/>
              <w:spacing w:after="0"/>
              <w:rPr>
                <w:sz w:val="20"/>
                <w:szCs w:val="20"/>
                <w:color w:val="auto"/>
              </w:rPr>
            </w:pPr>
            <w:r>
              <w:rPr>
                <w:rFonts w:ascii="Arial" w:cs="Arial" w:eastAsia="Arial" w:hAnsi="Arial"/>
                <w:sz w:val="14"/>
                <w:szCs w:val="14"/>
                <w:color w:val="243782"/>
              </w:rPr>
              <w:t>(€ million)</w:t>
            </w:r>
          </w:p>
        </w:tc>
        <w:tc>
          <w:tcPr>
            <w:tcW w:w="1460" w:type="dxa"/>
            <w:vAlign w:val="bottom"/>
            <w:tcBorders>
              <w:bottom w:val="single" w:sz="8" w:color="DBDBDB"/>
            </w:tcBorders>
            <w:shd w:val="clear" w:color="auto" w:fill="243782"/>
          </w:tcPr>
          <w:p>
            <w:pPr>
              <w:jc w:val="right"/>
              <w:ind w:right="491"/>
              <w:spacing w:after="0"/>
              <w:rPr>
                <w:sz w:val="20"/>
                <w:szCs w:val="20"/>
                <w:color w:val="auto"/>
              </w:rPr>
            </w:pPr>
            <w:r>
              <w:rPr>
                <w:rFonts w:ascii="Arial" w:cs="Arial" w:eastAsia="Arial" w:hAnsi="Arial"/>
                <w:sz w:val="14"/>
                <w:szCs w:val="14"/>
                <w:b w:val="1"/>
                <w:bCs w:val="1"/>
                <w:color w:val="FFFFFF"/>
              </w:rPr>
              <w:t>2026</w:t>
            </w:r>
          </w:p>
        </w:tc>
        <w:tc>
          <w:tcPr>
            <w:tcW w:w="10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shd w:val="clear" w:color="auto" w:fill="243782"/>
          </w:tcPr>
          <w:p>
            <w:pPr>
              <w:jc w:val="right"/>
              <w:ind w:right="491"/>
              <w:spacing w:after="0"/>
              <w:rPr>
                <w:sz w:val="20"/>
                <w:szCs w:val="20"/>
                <w:color w:val="auto"/>
              </w:rPr>
            </w:pPr>
            <w:r>
              <w:rPr>
                <w:rFonts w:ascii="Arial" w:cs="Arial" w:eastAsia="Arial" w:hAnsi="Arial"/>
                <w:sz w:val="14"/>
                <w:szCs w:val="14"/>
                <w:b w:val="1"/>
                <w:bCs w:val="1"/>
                <w:color w:val="FFFFFF"/>
              </w:rPr>
              <w:t>2025</w:t>
            </w:r>
          </w:p>
        </w:tc>
      </w:tr>
      <w:tr>
        <w:trPr>
          <w:trHeight w:val="229"/>
        </w:trPr>
        <w:tc>
          <w:tcPr>
            <w:tcW w:w="82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Cash, cash equivalents and financial securities</w:t>
            </w:r>
            <w:r>
              <w:rPr>
                <w:rFonts w:ascii="Arial" w:cs="Arial" w:eastAsia="Arial" w:hAnsi="Arial"/>
                <w:sz w:val="17"/>
                <w:szCs w:val="17"/>
                <w:color w:val="auto"/>
                <w:vertAlign w:val="superscript"/>
              </w:rPr>
              <w:t>(10)</w:t>
            </w:r>
          </w:p>
        </w:tc>
        <w:tc>
          <w:tcPr>
            <w:tcW w:w="146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32,489</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4C639D"/>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31,508</w:t>
            </w:r>
          </w:p>
        </w:tc>
      </w:tr>
      <w:tr>
        <w:trPr>
          <w:trHeight w:val="217"/>
        </w:trPr>
        <w:tc>
          <w:tcPr>
            <w:tcW w:w="82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Undrawn committed credit lines</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13,859</w:t>
            </w:r>
          </w:p>
        </w:tc>
        <w:tc>
          <w:tcPr>
            <w:tcW w:w="10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18,287</w:t>
            </w:r>
          </w:p>
        </w:tc>
      </w:tr>
      <w:tr>
        <w:trPr>
          <w:trHeight w:val="223"/>
        </w:trPr>
        <w:tc>
          <w:tcPr>
            <w:tcW w:w="82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Cash, cash equivalents and financial securities - included within Assets held for sale</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132</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r>
      <w:tr>
        <w:trPr>
          <w:trHeight w:val="230"/>
        </w:trPr>
        <w:tc>
          <w:tcPr>
            <w:tcW w:w="82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color w:val="243782"/>
              </w:rPr>
              <w:t>Total Available liquidity</w:t>
            </w:r>
            <w:r>
              <w:rPr>
                <w:rFonts w:ascii="Arial" w:cs="Arial" w:eastAsia="Arial" w:hAnsi="Arial"/>
                <w:sz w:val="17"/>
                <w:szCs w:val="17"/>
                <w:b w:val="1"/>
                <w:bCs w:val="1"/>
                <w:color w:val="243782"/>
                <w:vertAlign w:val="superscript"/>
              </w:rPr>
              <w:t>(4)</w:t>
            </w: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46,480</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49,795</w:t>
            </w:r>
          </w:p>
        </w:tc>
      </w:tr>
      <w:tr>
        <w:trPr>
          <w:trHeight w:val="217"/>
        </w:trPr>
        <w:tc>
          <w:tcPr>
            <w:tcW w:w="82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of which: Available liquidity of the Industrial Activities</w:t>
            </w:r>
          </w:p>
        </w:tc>
        <w:tc>
          <w:tcPr>
            <w:tcW w:w="1460" w:type="dxa"/>
            <w:vAlign w:val="bottom"/>
            <w:tcBorders>
              <w:bottom w:val="single" w:sz="8" w:color="0A2299"/>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42,652</w:t>
            </w:r>
          </w:p>
        </w:tc>
        <w:tc>
          <w:tcPr>
            <w:tcW w:w="100" w:type="dxa"/>
            <w:vAlign w:val="bottom"/>
            <w:tcBorders>
              <w:bottom w:val="single" w:sz="8" w:color="4C639D"/>
            </w:tcBorders>
          </w:tcPr>
          <w:p>
            <w:pPr>
              <w:spacing w:after="0"/>
              <w:rPr>
                <w:sz w:val="18"/>
                <w:szCs w:val="18"/>
                <w:color w:val="auto"/>
              </w:rPr>
            </w:pPr>
          </w:p>
        </w:tc>
        <w:tc>
          <w:tcPr>
            <w:tcW w:w="1460" w:type="dxa"/>
            <w:vAlign w:val="bottom"/>
            <w:tcBorders>
              <w:bottom w:val="single" w:sz="8" w:color="0A2299"/>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45,711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-624840</wp:posOffset>
            </wp:positionV>
            <wp:extent cx="1911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243782"/>
        </w:rPr>
        <w:t>Impact of capital expenditures on Industrial free cash flows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20" w:type="dxa"/>
            <w:vAlign w:val="bottom"/>
            <w:tcBorders>
              <w:top w:val="single" w:sz="8" w:color="4C639D"/>
              <w:bottom w:val="single" w:sz="8" w:color="4C639D"/>
            </w:tcBorders>
          </w:tcPr>
          <w:p>
            <w:pPr>
              <w:ind w:left="20"/>
              <w:spacing w:after="0"/>
              <w:rPr>
                <w:sz w:val="20"/>
                <w:szCs w:val="20"/>
                <w:color w:val="auto"/>
              </w:rPr>
            </w:pPr>
            <w:r>
              <w:rPr>
                <w:rFonts w:ascii="Arial" w:cs="Arial" w:eastAsia="Arial" w:hAnsi="Arial"/>
                <w:sz w:val="14"/>
                <w:szCs w:val="14"/>
                <w:color w:val="243782"/>
              </w:rPr>
              <w:t>(€ million)</w:t>
            </w:r>
          </w:p>
        </w:tc>
        <w:tc>
          <w:tcPr>
            <w:tcW w:w="1560" w:type="dxa"/>
            <w:vAlign w:val="bottom"/>
            <w:tcBorders>
              <w:top w:val="single" w:sz="8" w:color="4C639D"/>
              <w:bottom w:val="single" w:sz="8" w:color="DBDBDB"/>
            </w:tcBorders>
            <w:shd w:val="clear" w:color="auto" w:fill="243782"/>
          </w:tcPr>
          <w:p>
            <w:pPr>
              <w:jc w:val="right"/>
              <w:ind w:right="392"/>
              <w:spacing w:after="0"/>
              <w:rPr>
                <w:sz w:val="20"/>
                <w:szCs w:val="20"/>
                <w:color w:val="auto"/>
              </w:rPr>
            </w:pPr>
            <w:r>
              <w:rPr>
                <w:rFonts w:ascii="Arial" w:cs="Arial" w:eastAsia="Arial" w:hAnsi="Arial"/>
                <w:sz w:val="14"/>
                <w:szCs w:val="14"/>
                <w:b w:val="1"/>
                <w:bCs w:val="1"/>
                <w:color w:val="FFFFFF"/>
              </w:rPr>
              <w:t>YTD 2026</w:t>
            </w:r>
          </w:p>
        </w:tc>
        <w:tc>
          <w:tcPr>
            <w:tcW w:w="100" w:type="dxa"/>
            <w:vAlign w:val="bottom"/>
            <w:tcBorders>
              <w:top w:val="single" w:sz="8" w:color="4C639D"/>
              <w:bottom w:val="single" w:sz="8" w:color="DBDBDB"/>
            </w:tcBorders>
          </w:tcPr>
          <w:p>
            <w:pPr>
              <w:spacing w:after="0"/>
              <w:rPr>
                <w:sz w:val="21"/>
                <w:szCs w:val="21"/>
                <w:color w:val="auto"/>
              </w:rPr>
            </w:pPr>
          </w:p>
        </w:tc>
        <w:tc>
          <w:tcPr>
            <w:tcW w:w="1520" w:type="dxa"/>
            <w:vAlign w:val="bottom"/>
            <w:tcBorders>
              <w:top w:val="single" w:sz="8" w:color="4C639D"/>
              <w:bottom w:val="single" w:sz="8" w:color="DBDBDB"/>
            </w:tcBorders>
            <w:shd w:val="clear" w:color="auto" w:fill="F2F2F2"/>
          </w:tcPr>
          <w:p>
            <w:pPr>
              <w:jc w:val="right"/>
              <w:ind w:right="372"/>
              <w:spacing w:after="0"/>
              <w:rPr>
                <w:sz w:val="20"/>
                <w:szCs w:val="20"/>
                <w:color w:val="auto"/>
              </w:rPr>
            </w:pPr>
            <w:r>
              <w:rPr>
                <w:rFonts w:ascii="Arial" w:cs="Arial" w:eastAsia="Arial" w:hAnsi="Arial"/>
                <w:sz w:val="14"/>
                <w:szCs w:val="14"/>
                <w:b w:val="1"/>
                <w:bCs w:val="1"/>
                <w:color w:val="243782"/>
              </w:rPr>
              <w:t>YTD 2025</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3"/>
                <w:szCs w:val="13"/>
                <w:color w:val="auto"/>
              </w:rPr>
              <w:t>Capital Expenditures and capitalized research &amp; development expenditures and change in amount payable on property, plant and</w:t>
            </w:r>
          </w:p>
        </w:tc>
        <w:tc>
          <w:tcPr>
            <w:tcW w:w="1560" w:type="dxa"/>
            <w:vAlign w:val="bottom"/>
            <w:vMerge w:val="restart"/>
            <w:shd w:val="clear" w:color="auto" w:fill="4C639D"/>
          </w:tcPr>
          <w:p>
            <w:pPr>
              <w:jc w:val="right"/>
              <w:ind w:right="52"/>
              <w:spacing w:after="0"/>
              <w:rPr>
                <w:sz w:val="20"/>
                <w:szCs w:val="20"/>
                <w:color w:val="auto"/>
              </w:rPr>
            </w:pPr>
            <w:r>
              <w:rPr>
                <w:rFonts w:ascii="Arial" w:cs="Arial" w:eastAsia="Arial" w:hAnsi="Arial"/>
                <w:sz w:val="13"/>
                <w:szCs w:val="13"/>
                <w:b w:val="1"/>
                <w:bCs w:val="1"/>
                <w:color w:val="FFFFFF"/>
              </w:rPr>
              <w:t>4,811</w:t>
            </w:r>
          </w:p>
        </w:tc>
        <w:tc>
          <w:tcPr>
            <w:tcW w:w="100" w:type="dxa"/>
            <w:vAlign w:val="bottom"/>
          </w:tcPr>
          <w:p>
            <w:pPr>
              <w:spacing w:after="0"/>
              <w:rPr>
                <w:sz w:val="16"/>
                <w:szCs w:val="16"/>
                <w:color w:val="auto"/>
              </w:rPr>
            </w:pPr>
          </w:p>
        </w:tc>
        <w:tc>
          <w:tcPr>
            <w:tcW w:w="1520" w:type="dxa"/>
            <w:vAlign w:val="bottom"/>
            <w:vMerge w:val="restart"/>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7,009</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equipment and intangible assets for industrial activities</w:t>
            </w:r>
          </w:p>
        </w:tc>
        <w:tc>
          <w:tcPr>
            <w:tcW w:w="1560" w:type="dxa"/>
            <w:vAlign w:val="bottom"/>
            <w:tcBorders>
              <w:bottom w:val="single" w:sz="8" w:color="4C639D"/>
            </w:tcBorders>
            <w:vMerge w:val="continue"/>
            <w:shd w:val="clear" w:color="auto" w:fill="4C639D"/>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520" w:type="dxa"/>
            <w:vAlign w:val="bottom"/>
            <w:tcBorders>
              <w:bottom w:val="single" w:sz="8" w:color="DBDBDB"/>
            </w:tcBorders>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3"/>
                <w:szCs w:val="13"/>
                <w:color w:val="auto"/>
              </w:rPr>
              <w:t>Contributions of equity to joint ventures and minor acquisitions of consolidated subsidiaries and equity method and other</w:t>
            </w:r>
          </w:p>
        </w:tc>
        <w:tc>
          <w:tcPr>
            <w:tcW w:w="1560" w:type="dxa"/>
            <w:vAlign w:val="bottom"/>
            <w:vMerge w:val="restart"/>
            <w:shd w:val="clear" w:color="auto" w:fill="4C639D"/>
          </w:tcPr>
          <w:p>
            <w:pPr>
              <w:jc w:val="right"/>
              <w:ind w:right="52"/>
              <w:spacing w:after="0"/>
              <w:rPr>
                <w:sz w:val="20"/>
                <w:szCs w:val="20"/>
                <w:color w:val="auto"/>
              </w:rPr>
            </w:pPr>
            <w:r>
              <w:rPr>
                <w:rFonts w:ascii="Arial" w:cs="Arial" w:eastAsia="Arial" w:hAnsi="Arial"/>
                <w:sz w:val="13"/>
                <w:szCs w:val="13"/>
                <w:b w:val="1"/>
                <w:bCs w:val="1"/>
                <w:color w:val="FFFFFF"/>
              </w:rPr>
              <w:t>520</w:t>
            </w:r>
          </w:p>
        </w:tc>
        <w:tc>
          <w:tcPr>
            <w:tcW w:w="100" w:type="dxa"/>
            <w:vAlign w:val="bottom"/>
          </w:tcPr>
          <w:p>
            <w:pPr>
              <w:spacing w:after="0"/>
              <w:rPr>
                <w:sz w:val="16"/>
                <w:szCs w:val="16"/>
                <w:color w:val="auto"/>
              </w:rPr>
            </w:pPr>
          </w:p>
        </w:tc>
        <w:tc>
          <w:tcPr>
            <w:tcW w:w="1520" w:type="dxa"/>
            <w:vAlign w:val="bottom"/>
            <w:vMerge w:val="restart"/>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935</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investments</w:t>
            </w:r>
          </w:p>
        </w:tc>
        <w:tc>
          <w:tcPr>
            <w:tcW w:w="1560" w:type="dxa"/>
            <w:vAlign w:val="bottom"/>
            <w:tcBorders>
              <w:bottom w:val="single" w:sz="8" w:color="DBDBDB"/>
            </w:tcBorders>
            <w:vMerge w:val="continue"/>
            <w:shd w:val="clear" w:color="auto" w:fill="4C639D"/>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520" w:type="dxa"/>
            <w:vAlign w:val="bottom"/>
            <w:tcBorders>
              <w:bottom w:val="single" w:sz="8" w:color="DBDBDB"/>
            </w:tcBorders>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Proceeds from disposal of assets and other changes in investing activities</w:t>
            </w:r>
          </w:p>
        </w:tc>
        <w:tc>
          <w:tcPr>
            <w:tcW w:w="1560" w:type="dxa"/>
            <w:vAlign w:val="bottom"/>
            <w:tcBorders>
              <w:bottom w:val="single" w:sz="8" w:color="243782"/>
            </w:tcBorders>
            <w:shd w:val="clear" w:color="auto" w:fill="4C639D"/>
          </w:tcPr>
          <w:p>
            <w:pPr>
              <w:jc w:val="right"/>
              <w:ind w:right="52"/>
              <w:spacing w:after="0"/>
              <w:rPr>
                <w:sz w:val="20"/>
                <w:szCs w:val="20"/>
                <w:color w:val="auto"/>
              </w:rPr>
            </w:pPr>
            <w:r>
              <w:rPr>
                <w:rFonts w:ascii="Arial" w:cs="Arial" w:eastAsia="Arial" w:hAnsi="Arial"/>
                <w:sz w:val="13"/>
                <w:szCs w:val="13"/>
                <w:b w:val="1"/>
                <w:bCs w:val="1"/>
                <w:color w:val="FFFFFF"/>
              </w:rPr>
              <w:t>(11)</w:t>
            </w:r>
          </w:p>
        </w:tc>
        <w:tc>
          <w:tcPr>
            <w:tcW w:w="100" w:type="dxa"/>
            <w:vAlign w:val="bottom"/>
            <w:tcBorders>
              <w:bottom w:val="single" w:sz="8" w:color="DBDBDB"/>
            </w:tcBorders>
          </w:tcPr>
          <w:p>
            <w:pPr>
              <w:spacing w:after="0"/>
              <w:rPr>
                <w:sz w:val="19"/>
                <w:szCs w:val="19"/>
                <w:color w:val="auto"/>
              </w:rPr>
            </w:pPr>
          </w:p>
        </w:tc>
        <w:tc>
          <w:tcPr>
            <w:tcW w:w="1520" w:type="dxa"/>
            <w:vAlign w:val="bottom"/>
            <w:tcBorders>
              <w:bottom w:val="single" w:sz="8" w:color="DBDBDB"/>
            </w:tcBorders>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(492)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color w:val="243782"/>
              </w:rPr>
              <w:t>Capital Expenditures</w:t>
            </w:r>
          </w:p>
        </w:tc>
        <w:tc>
          <w:tcPr>
            <w:tcW w:w="1560" w:type="dxa"/>
            <w:vAlign w:val="bottom"/>
            <w:tcBorders>
              <w:bottom w:val="single" w:sz="8" w:color="DBDBDB"/>
            </w:tcBorders>
            <w:shd w:val="clear" w:color="auto" w:fill="243782"/>
          </w:tcPr>
          <w:p>
            <w:pPr>
              <w:jc w:val="right"/>
              <w:ind w:right="52"/>
              <w:spacing w:after="0"/>
              <w:rPr>
                <w:sz w:val="20"/>
                <w:szCs w:val="20"/>
                <w:color w:val="auto"/>
              </w:rPr>
            </w:pPr>
            <w:r>
              <w:rPr>
                <w:rFonts w:ascii="Arial" w:cs="Arial" w:eastAsia="Arial" w:hAnsi="Arial"/>
                <w:sz w:val="13"/>
                <w:szCs w:val="13"/>
                <w:b w:val="1"/>
                <w:bCs w:val="1"/>
                <w:color w:val="FFFFFF"/>
              </w:rPr>
              <w:t>5,320</w:t>
            </w:r>
          </w:p>
        </w:tc>
        <w:tc>
          <w:tcPr>
            <w:tcW w:w="100" w:type="dxa"/>
            <w:vAlign w:val="bottom"/>
            <w:tcBorders>
              <w:bottom w:val="single" w:sz="8" w:color="DBDBDB"/>
            </w:tcBorders>
          </w:tcPr>
          <w:p>
            <w:pPr>
              <w:spacing w:after="0"/>
              <w:rPr>
                <w:sz w:val="19"/>
                <w:szCs w:val="19"/>
                <w:color w:val="auto"/>
              </w:rPr>
            </w:pPr>
          </w:p>
        </w:tc>
        <w:tc>
          <w:tcPr>
            <w:tcW w:w="1520" w:type="dxa"/>
            <w:vAlign w:val="bottom"/>
            <w:tcBorders>
              <w:bottom w:val="single" w:sz="8" w:color="DBDBDB"/>
            </w:tcBorders>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7,452</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DBDBDB"/>
            </w:tcBorders>
          </w:tcPr>
          <w:p>
            <w:pPr>
              <w:spacing w:after="0"/>
              <w:rPr>
                <w:sz w:val="22"/>
                <w:szCs w:val="22"/>
                <w:color w:val="auto"/>
              </w:rPr>
            </w:pPr>
          </w:p>
        </w:tc>
        <w:tc>
          <w:tcPr>
            <w:tcW w:w="1560" w:type="dxa"/>
            <w:vAlign w:val="bottom"/>
            <w:tcBorders>
              <w:bottom w:val="single" w:sz="8" w:color="DBDBDB"/>
            </w:tcBorders>
            <w:shd w:val="clear" w:color="auto" w:fill="4C639D"/>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520" w:type="dxa"/>
            <w:vAlign w:val="bottom"/>
            <w:tcBorders>
              <w:bottom w:val="single" w:sz="8" w:color="DBDBDB"/>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Research and development expenditures expensed</w:t>
            </w:r>
          </w:p>
        </w:tc>
        <w:tc>
          <w:tcPr>
            <w:tcW w:w="1560" w:type="dxa"/>
            <w:vAlign w:val="bottom"/>
            <w:tcBorders>
              <w:bottom w:val="single" w:sz="8" w:color="DBDBDB"/>
            </w:tcBorders>
            <w:shd w:val="clear" w:color="auto" w:fill="4C639D"/>
          </w:tcPr>
          <w:p>
            <w:pPr>
              <w:jc w:val="right"/>
              <w:ind w:right="52"/>
              <w:spacing w:after="0"/>
              <w:rPr>
                <w:sz w:val="20"/>
                <w:szCs w:val="20"/>
                <w:color w:val="auto"/>
              </w:rPr>
            </w:pPr>
            <w:r>
              <w:rPr>
                <w:rFonts w:ascii="Arial" w:cs="Arial" w:eastAsia="Arial" w:hAnsi="Arial"/>
                <w:sz w:val="13"/>
                <w:szCs w:val="13"/>
                <w:b w:val="1"/>
                <w:bCs w:val="1"/>
                <w:color w:val="FFFFFF"/>
              </w:rPr>
              <w:t>2,491</w:t>
            </w:r>
          </w:p>
        </w:tc>
        <w:tc>
          <w:tcPr>
            <w:tcW w:w="100" w:type="dxa"/>
            <w:vAlign w:val="bottom"/>
            <w:tcBorders>
              <w:bottom w:val="single" w:sz="8" w:color="DBDBDB"/>
            </w:tcBorders>
          </w:tcPr>
          <w:p>
            <w:pPr>
              <w:spacing w:after="0"/>
              <w:rPr>
                <w:sz w:val="18"/>
                <w:szCs w:val="18"/>
                <w:color w:val="auto"/>
              </w:rPr>
            </w:pPr>
          </w:p>
        </w:tc>
        <w:tc>
          <w:tcPr>
            <w:tcW w:w="1520" w:type="dxa"/>
            <w:vAlign w:val="bottom"/>
            <w:tcBorders>
              <w:bottom w:val="single" w:sz="8" w:color="DBDBDB"/>
            </w:tcBorders>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2,001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Capitalized borrowing costs</w:t>
            </w:r>
          </w:p>
        </w:tc>
        <w:tc>
          <w:tcPr>
            <w:tcW w:w="1560" w:type="dxa"/>
            <w:vAlign w:val="bottom"/>
            <w:tcBorders>
              <w:bottom w:val="single" w:sz="8" w:color="DBDBDB"/>
            </w:tcBorders>
            <w:shd w:val="clear" w:color="auto" w:fill="4C639D"/>
          </w:tcPr>
          <w:p>
            <w:pPr>
              <w:jc w:val="right"/>
              <w:ind w:right="52"/>
              <w:spacing w:after="0"/>
              <w:rPr>
                <w:sz w:val="20"/>
                <w:szCs w:val="20"/>
                <w:color w:val="auto"/>
              </w:rPr>
            </w:pPr>
            <w:r>
              <w:rPr>
                <w:rFonts w:ascii="Arial" w:cs="Arial" w:eastAsia="Arial" w:hAnsi="Arial"/>
                <w:sz w:val="13"/>
                <w:szCs w:val="13"/>
                <w:b w:val="1"/>
                <w:bCs w:val="1"/>
                <w:color w:val="FFFFFF"/>
              </w:rPr>
              <w:t>79</w:t>
            </w:r>
          </w:p>
        </w:tc>
        <w:tc>
          <w:tcPr>
            <w:tcW w:w="100" w:type="dxa"/>
            <w:vAlign w:val="bottom"/>
            <w:tcBorders>
              <w:bottom w:val="single" w:sz="8" w:color="DBDBDB"/>
            </w:tcBorders>
          </w:tcPr>
          <w:p>
            <w:pPr>
              <w:spacing w:after="0"/>
              <w:rPr>
                <w:sz w:val="19"/>
                <w:szCs w:val="19"/>
                <w:color w:val="auto"/>
              </w:rPr>
            </w:pPr>
          </w:p>
        </w:tc>
        <w:tc>
          <w:tcPr>
            <w:tcW w:w="1520" w:type="dxa"/>
            <w:vAlign w:val="bottom"/>
            <w:tcBorders>
              <w:bottom w:val="single" w:sz="8" w:color="F2F2F2"/>
            </w:tcBorders>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177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Proceeds from disposal of assets and other changes in investing activities</w:t>
            </w:r>
          </w:p>
        </w:tc>
        <w:tc>
          <w:tcPr>
            <w:tcW w:w="1560" w:type="dxa"/>
            <w:vAlign w:val="bottom"/>
            <w:tcBorders>
              <w:bottom w:val="single" w:sz="8" w:color="243782"/>
            </w:tcBorders>
            <w:shd w:val="clear" w:color="auto" w:fill="4C639D"/>
          </w:tcPr>
          <w:p>
            <w:pPr>
              <w:jc w:val="right"/>
              <w:ind w:right="52"/>
              <w:spacing w:after="0"/>
              <w:rPr>
                <w:sz w:val="20"/>
                <w:szCs w:val="20"/>
                <w:color w:val="auto"/>
              </w:rPr>
            </w:pPr>
            <w:r>
              <w:rPr>
                <w:rFonts w:ascii="Arial" w:cs="Arial" w:eastAsia="Arial" w:hAnsi="Arial"/>
                <w:sz w:val="13"/>
                <w:szCs w:val="13"/>
                <w:b w:val="1"/>
                <w:bCs w:val="1"/>
                <w:color w:val="FFFFFF"/>
              </w:rPr>
              <w:t>11</w:t>
            </w:r>
          </w:p>
        </w:tc>
        <w:tc>
          <w:tcPr>
            <w:tcW w:w="100" w:type="dxa"/>
            <w:vAlign w:val="bottom"/>
            <w:tcBorders>
              <w:bottom w:val="single" w:sz="8" w:color="DBDBDB"/>
            </w:tcBorders>
          </w:tcPr>
          <w:p>
            <w:pPr>
              <w:spacing w:after="0"/>
              <w:rPr>
                <w:sz w:val="19"/>
                <w:szCs w:val="19"/>
                <w:color w:val="auto"/>
              </w:rPr>
            </w:pPr>
          </w:p>
        </w:tc>
        <w:tc>
          <w:tcPr>
            <w:tcW w:w="1520" w:type="dxa"/>
            <w:vAlign w:val="bottom"/>
            <w:tcBorders>
              <w:bottom w:val="single" w:sz="8" w:color="DBDBDB"/>
            </w:tcBorders>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492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color w:val="243782"/>
              </w:rPr>
              <w:t>Total Capital Expenditures &amp; Investment</w:t>
            </w:r>
          </w:p>
        </w:tc>
        <w:tc>
          <w:tcPr>
            <w:tcW w:w="1560" w:type="dxa"/>
            <w:vAlign w:val="bottom"/>
            <w:tcBorders>
              <w:bottom w:val="single" w:sz="8" w:color="DBDBDB"/>
            </w:tcBorders>
            <w:shd w:val="clear" w:color="auto" w:fill="243782"/>
          </w:tcPr>
          <w:p>
            <w:pPr>
              <w:jc w:val="right"/>
              <w:ind w:right="52"/>
              <w:spacing w:after="0"/>
              <w:rPr>
                <w:sz w:val="20"/>
                <w:szCs w:val="20"/>
                <w:color w:val="auto"/>
              </w:rPr>
            </w:pPr>
            <w:r>
              <w:rPr>
                <w:rFonts w:ascii="Arial" w:cs="Arial" w:eastAsia="Arial" w:hAnsi="Arial"/>
                <w:sz w:val="13"/>
                <w:szCs w:val="13"/>
                <w:b w:val="1"/>
                <w:bCs w:val="1"/>
                <w:color w:val="FFFFFF"/>
              </w:rPr>
              <w:t>7,743</w:t>
            </w:r>
          </w:p>
        </w:tc>
        <w:tc>
          <w:tcPr>
            <w:tcW w:w="100" w:type="dxa"/>
            <w:vAlign w:val="bottom"/>
            <w:tcBorders>
              <w:bottom w:val="single" w:sz="8" w:color="DBDBDB"/>
            </w:tcBorders>
          </w:tcPr>
          <w:p>
            <w:pPr>
              <w:spacing w:after="0"/>
              <w:rPr>
                <w:sz w:val="19"/>
                <w:szCs w:val="19"/>
                <w:color w:val="auto"/>
              </w:rPr>
            </w:pPr>
          </w:p>
        </w:tc>
        <w:tc>
          <w:tcPr>
            <w:tcW w:w="1520" w:type="dxa"/>
            <w:vAlign w:val="bottom"/>
            <w:tcBorders>
              <w:bottom w:val="single" w:sz="8" w:color="DBDBDB"/>
            </w:tcBorders>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9,768</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DBDBDB"/>
            </w:tcBorders>
          </w:tcPr>
          <w:p>
            <w:pPr>
              <w:spacing w:after="0"/>
              <w:rPr>
                <w:sz w:val="22"/>
                <w:szCs w:val="22"/>
                <w:color w:val="auto"/>
              </w:rPr>
            </w:pPr>
          </w:p>
        </w:tc>
        <w:tc>
          <w:tcPr>
            <w:tcW w:w="1560" w:type="dxa"/>
            <w:vAlign w:val="bottom"/>
            <w:tcBorders>
              <w:bottom w:val="single" w:sz="8" w:color="DBDBDB"/>
            </w:tcBorders>
            <w:shd w:val="clear" w:color="auto" w:fill="4C639D"/>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1520" w:type="dxa"/>
            <w:vAlign w:val="bottom"/>
            <w:tcBorders>
              <w:bottom w:val="single" w:sz="8" w:color="DBDBDB"/>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Net revenues</w:t>
            </w:r>
          </w:p>
        </w:tc>
        <w:tc>
          <w:tcPr>
            <w:tcW w:w="1560" w:type="dxa"/>
            <w:vAlign w:val="bottom"/>
            <w:tcBorders>
              <w:bottom w:val="single" w:sz="8" w:color="DBDBDB"/>
            </w:tcBorders>
            <w:shd w:val="clear" w:color="auto" w:fill="4C639D"/>
          </w:tcPr>
          <w:p>
            <w:pPr>
              <w:jc w:val="right"/>
              <w:ind w:right="52"/>
              <w:spacing w:after="0"/>
              <w:rPr>
                <w:sz w:val="20"/>
                <w:szCs w:val="20"/>
                <w:color w:val="auto"/>
              </w:rPr>
            </w:pPr>
            <w:r>
              <w:rPr>
                <w:rFonts w:ascii="Arial" w:cs="Arial" w:eastAsia="Arial" w:hAnsi="Arial"/>
                <w:sz w:val="13"/>
                <w:szCs w:val="13"/>
                <w:b w:val="1"/>
                <w:bCs w:val="1"/>
                <w:color w:val="FFFFFF"/>
              </w:rPr>
              <w:t>119,225</w:t>
            </w:r>
          </w:p>
        </w:tc>
        <w:tc>
          <w:tcPr>
            <w:tcW w:w="100" w:type="dxa"/>
            <w:vAlign w:val="bottom"/>
            <w:tcBorders>
              <w:bottom w:val="single" w:sz="8" w:color="DBDBDB"/>
            </w:tcBorders>
          </w:tcPr>
          <w:p>
            <w:pPr>
              <w:spacing w:after="0"/>
              <w:rPr>
                <w:sz w:val="18"/>
                <w:szCs w:val="18"/>
                <w:color w:val="auto"/>
              </w:rPr>
            </w:pPr>
          </w:p>
        </w:tc>
        <w:tc>
          <w:tcPr>
            <w:tcW w:w="1520" w:type="dxa"/>
            <w:vAlign w:val="bottom"/>
            <w:tcBorders>
              <w:bottom w:val="single" w:sz="8" w:color="DBDBDB"/>
            </w:tcBorders>
            <w:shd w:val="clear" w:color="auto" w:fill="F2F2F2"/>
          </w:tcPr>
          <w:p>
            <w:pPr>
              <w:jc w:val="right"/>
              <w:ind w:right="52"/>
              <w:spacing w:after="0"/>
              <w:rPr>
                <w:sz w:val="20"/>
                <w:szCs w:val="20"/>
                <w:color w:val="auto"/>
              </w:rPr>
            </w:pPr>
            <w:r>
              <w:rPr>
                <w:rFonts w:ascii="Arial" w:cs="Arial" w:eastAsia="Arial" w:hAnsi="Arial"/>
                <w:sz w:val="13"/>
                <w:szCs w:val="13"/>
                <w:b w:val="1"/>
                <w:bCs w:val="1"/>
                <w:color w:val="243782"/>
              </w:rPr>
              <w:t>111,467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3"/>
                <w:szCs w:val="13"/>
                <w:b w:val="1"/>
                <w:bCs w:val="1"/>
                <w:color w:val="243782"/>
              </w:rPr>
              <w:t>Capital Expenditures and Investments as a percent of Net revenues</w:t>
            </w:r>
          </w:p>
        </w:tc>
        <w:tc>
          <w:tcPr>
            <w:tcW w:w="1560" w:type="dxa"/>
            <w:vAlign w:val="bottom"/>
            <w:shd w:val="clear" w:color="auto" w:fill="4C639D"/>
          </w:tcPr>
          <w:p>
            <w:pPr>
              <w:jc w:val="right"/>
              <w:spacing w:after="0"/>
              <w:rPr>
                <w:sz w:val="20"/>
                <w:szCs w:val="20"/>
                <w:color w:val="auto"/>
              </w:rPr>
            </w:pPr>
            <w:r>
              <w:rPr>
                <w:rFonts w:ascii="Arial" w:cs="Arial" w:eastAsia="Arial" w:hAnsi="Arial"/>
                <w:sz w:val="13"/>
                <w:szCs w:val="13"/>
                <w:b w:val="1"/>
                <w:bCs w:val="1"/>
                <w:color w:val="FFFFFF"/>
              </w:rPr>
              <w:t>6.5 %</w:t>
            </w:r>
          </w:p>
        </w:tc>
        <w:tc>
          <w:tcPr>
            <w:tcW w:w="100" w:type="dxa"/>
            <w:vAlign w:val="bottom"/>
          </w:tcPr>
          <w:p>
            <w:pPr>
              <w:spacing w:after="0"/>
              <w:rPr>
                <w:sz w:val="19"/>
                <w:szCs w:val="19"/>
                <w:color w:val="auto"/>
              </w:rPr>
            </w:pPr>
          </w:p>
        </w:tc>
        <w:tc>
          <w:tcPr>
            <w:tcW w:w="152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43782"/>
              </w:rPr>
              <w:t>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-1833880</wp:posOffset>
            </wp:positionV>
            <wp:extent cx="9861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pages 11-12 for an explanation of the items referenced on this page and for market and industry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NOTES</w:t>
      </w:r>
    </w:p>
    <w:p>
      <w:pPr>
        <w:spacing w:after="0" w:line="305" w:lineRule="exact"/>
        <w:rPr>
          <w:sz w:val="20"/>
          <w:szCs w:val="20"/>
          <w:color w:val="auto"/>
        </w:rPr>
      </w:pPr>
    </w:p>
    <w:p>
      <w:pPr>
        <w:jc w:val="both"/>
        <w:ind w:firstLine="8"/>
        <w:spacing w:after="0" w:line="268" w:lineRule="auto"/>
        <w:tabs>
          <w:tab w:leader="none" w:pos="225"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operating income/(loss) excludes from Net profit/(loss) from continuing operations adjustments comprising restructuring and other termination costs, impairments, asset write-offs, disposals of investments and unusual operating income/(expense) that are considered rare or discrete events and are infrequent in nature, as inclusion of such items is not considered to be indicative of the Company's ongoing operating performance, and also excludes Net financial expenses/(income) and Tax expense/(benefit).</w:t>
      </w:r>
    </w:p>
    <w:p>
      <w:pPr>
        <w:spacing w:after="0" w:line="1" w:lineRule="exact"/>
        <w:rPr>
          <w:rFonts w:ascii="Arial" w:cs="Arial" w:eastAsia="Arial" w:hAnsi="Arial"/>
          <w:sz w:val="14"/>
          <w:szCs w:val="14"/>
          <w:color w:val="auto"/>
        </w:rPr>
      </w:pPr>
    </w:p>
    <w:p>
      <w:pPr>
        <w:jc w:val="both"/>
        <w:spacing w:after="0" w:line="256" w:lineRule="auto"/>
        <w:rPr>
          <w:rFonts w:ascii="Arial" w:cs="Arial" w:eastAsia="Arial" w:hAnsi="Arial"/>
          <w:sz w:val="14"/>
          <w:szCs w:val="14"/>
          <w:color w:val="auto"/>
        </w:rPr>
      </w:pPr>
      <w:r>
        <w:rPr>
          <w:rFonts w:ascii="Arial" w:cs="Arial" w:eastAsia="Arial" w:hAnsi="Arial"/>
          <w:sz w:val="14"/>
          <w:szCs w:val="14"/>
          <w:color w:val="auto"/>
        </w:rPr>
        <w:t>Unusual operating income/(expense) are impacts from strategic decisions, as well as events considered rare or discrete and infrequent in nature, as inclusion of such items is not considered to be indicative of the Company's ongoing operating performance. Unusual operating income/(expense) includes, but may not be limited to: impacts from strategic decisions to rationalize Stellantis' core operations; facility-related costs stemming from Stellantis' plans to match production capacity and cost structure to market demand, and convergence and integration costs directly related to significant acquisitions or mergers.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operating income/(loss) margin is calculated as Adjusted operating income/(loss) divided by Net revenues.</w:t>
      </w:r>
    </w:p>
    <w:p>
      <w:pPr>
        <w:spacing w:after="0" w:line="14" w:lineRule="exact"/>
        <w:rPr>
          <w:rFonts w:ascii="Arial" w:cs="Arial" w:eastAsia="Arial" w:hAnsi="Arial"/>
          <w:sz w:val="14"/>
          <w:szCs w:val="14"/>
          <w:color w:val="auto"/>
        </w:rPr>
      </w:pPr>
    </w:p>
    <w:p>
      <w:pPr>
        <w:jc w:val="both"/>
        <w:ind w:firstLine="8"/>
        <w:spacing w:after="0" w:line="256" w:lineRule="auto"/>
        <w:tabs>
          <w:tab w:leader="none" w:pos="221"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Industrial free cash flows is our key cash flow metric and is calculated as Cash flows from operating activities less: (i) cash flows from operating activities from discontinued operations; (ii) cash flows from operating activities related to financial services, net of eliminations; (iii) investments in property, plant and equipment and intangible assets for industrial activities; (iv) contributions of equity to joint ventures and minor acquisitions of consolidated subsidiaries and equity method and other investments; and adjusted for: (i) net intercompany payments between continuing operations and discontinued operations; (ii) proceeds from disposal of assets and (iii) contributions to defined benefit pension plans, net of tax. The timing of Industrial free cash flows may be affected by the timing of monetization of receivables, factoring, the payment of accounts payable and transactions with our consolidated and related party financial service entities, as well as changes in other components of working capital, which can vary from period to period due to, among other things, cash management initiatives and other factors, some of which may be outside of the Company’s control. In addition, Industrial free cash flows is one of the metrics used in the determination of the annual performance bonus for eligible employees, including members of the senior management.</w:t>
      </w:r>
    </w:p>
    <w:p>
      <w:pPr>
        <w:spacing w:after="0" w:line="3" w:lineRule="exact"/>
        <w:rPr>
          <w:rFonts w:ascii="Arial" w:cs="Arial" w:eastAsia="Arial" w:hAnsi="Arial"/>
          <w:sz w:val="14"/>
          <w:szCs w:val="14"/>
          <w:color w:val="auto"/>
        </w:rPr>
      </w:pPr>
    </w:p>
    <w:p>
      <w:pPr>
        <w:jc w:val="both"/>
        <w:ind w:firstLine="8"/>
        <w:spacing w:after="0" w:line="262" w:lineRule="auto"/>
        <w:tabs>
          <w:tab w:leader="none" w:pos="23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majority of our liquidity is available to our treasury operations in Europe and U.S.; however, liquidity is also available to certain subsidiaries which operate in other countries. Cash held in such countries may be subject to restrictions on transfer depending on the foreign jurisdictions in which these subsidiaries operate and mainly affects our industrial activities. Based on our review of such transfer restrictions in the countries in which we operate and maintain material cash balances, (and in particular in Argentina, in which we have €242 million cash and securities at September 30, 2026 (€354 million at December 31, 2025), and in Algeria, in which we have cash and cash equivalents at September 30, 2026 of €268 million (€276 million at December 31, 2025)), we do not believe such transfer restrictions had an adverse impact on the Company’s ability to meet its liquidity requirements at the dates presented above. Cash and cash equivalents also include €1,023 million at September 30, 2026 (€663 million at December 31, 2025 held in bank deposits which are restricted to the operations related to securitization programs and warehouses credit facilities of Stellantis Financial Services U.S. Corp, together with its consolidated subsidiaries.</w:t>
      </w:r>
    </w:p>
    <w:p>
      <w:pPr>
        <w:spacing w:after="0" w:line="160" w:lineRule="exact"/>
        <w:rPr>
          <w:rFonts w:ascii="Arial" w:cs="Arial" w:eastAsia="Arial" w:hAnsi="Arial"/>
          <w:sz w:val="14"/>
          <w:szCs w:val="14"/>
          <w:color w:val="auto"/>
        </w:rPr>
      </w:pPr>
    </w:p>
    <w:p>
      <w:pPr>
        <w:jc w:val="both"/>
        <w:ind w:firstLine="8"/>
        <w:spacing w:after="0" w:line="253" w:lineRule="auto"/>
        <w:tabs>
          <w:tab w:leader="none" w:pos="21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diluted earnings per share ("EPS") is calculated by adjusting Diluted earnings per share for the post-tax impact per share of the same items excluded from Adjusted operating income/(loss) as well as tax expense/(benefit) items that are considered rare or infrequent, or whose nature would distort the presentation of the ongoing tax charge of the Company. We believe this non-GAAP measure is useful because it also excludes items that we do not believe are indicative of the Company’s ongoing operating performance and provides investors with a more meaningful comparison of the Company’s ongoing quality of earnings. Adjusted diluted EPS should not be considered as a substitute for Basic earnings per share, Diluted earnings per share from operations or other methods of analyzing our quality of earnings as reported under IFRS.</w:t>
      </w:r>
    </w:p>
    <w:p>
      <w:pPr>
        <w:spacing w:after="0" w:line="1" w:lineRule="exact"/>
        <w:rPr>
          <w:rFonts w:ascii="Arial" w:cs="Arial" w:eastAsia="Arial" w:hAnsi="Arial"/>
          <w:sz w:val="14"/>
          <w:szCs w:val="14"/>
          <w:color w:val="auto"/>
        </w:rPr>
      </w:pPr>
    </w:p>
    <w:p>
      <w:pPr>
        <w:ind w:right="40" w:firstLine="8"/>
        <w:spacing w:after="0" w:line="241" w:lineRule="auto"/>
        <w:tabs>
          <w:tab w:leader="none" w:pos="2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Consolidated Shipments includes the vehicles produced by our joint ventures and associates (including Leapmotor) which are distributed by our consolidated subsidiaries. In addition to the volumes included in Consolidated shipments, Combined shipments also includes the Stellantis branded vehicles distributed by our joint ventures (such as Tofas) and associates.</w:t>
      </w:r>
    </w:p>
    <w:p>
      <w:pPr>
        <w:spacing w:after="0" w:line="1" w:lineRule="exact"/>
        <w:rPr>
          <w:rFonts w:ascii="Arial" w:cs="Arial" w:eastAsia="Arial" w:hAnsi="Arial"/>
          <w:sz w:val="14"/>
          <w:szCs w:val="14"/>
          <w:color w:val="auto"/>
        </w:rPr>
      </w:pPr>
    </w:p>
    <w:p>
      <w:pPr>
        <w:jc w:val="both"/>
        <w:ind w:firstLine="8"/>
        <w:spacing w:after="0" w:line="256" w:lineRule="auto"/>
        <w:tabs>
          <w:tab w:leader="none" w:pos="217"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Leapmotor International is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w:t>
      </w:r>
    </w:p>
    <w:p>
      <w:pPr>
        <w:spacing w:after="0" w:line="156" w:lineRule="exact"/>
        <w:rPr>
          <w:rFonts w:ascii="Arial" w:cs="Arial" w:eastAsia="Arial" w:hAnsi="Arial"/>
          <w:sz w:val="14"/>
          <w:szCs w:val="14"/>
          <w:color w:val="auto"/>
        </w:rPr>
      </w:pPr>
    </w:p>
    <w:p>
      <w:pPr>
        <w:jc w:val="both"/>
        <w:ind w:firstLine="8"/>
        <w:spacing w:after="0" w:line="262"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January 2026, the Company’s segment structure was updated to align with how the Chief Operating Decision Maker (“CODM”) reviews performance and allocates resources. Under the revised structure, the CODM reviews the business through the following operating and reporting segments: North America; Enlarged Europe; Middle East &amp; Africa; South America; and Asia Pacific.</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our segment reporting are summarized below:</w:t>
      </w:r>
    </w:p>
    <w:p>
      <w:pPr>
        <w:spacing w:after="0" w:line="244" w:lineRule="exact"/>
        <w:rPr>
          <w:sz w:val="20"/>
          <w:szCs w:val="20"/>
          <w:color w:val="auto"/>
        </w:rPr>
      </w:pPr>
    </w:p>
    <w:p>
      <w:pPr>
        <w:ind w:left="660" w:right="120" w:hanging="328"/>
        <w:spacing w:after="0" w:line="272" w:lineRule="auto"/>
        <w:tabs>
          <w:tab w:leader="none" w:pos="6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Maserati is no longer presented as a separate reporting segment as it is managed consistently with the other brands within the regions and is therefore presented on a “where sold” basis).</w:t>
      </w:r>
    </w:p>
    <w:p>
      <w:pPr>
        <w:jc w:val="both"/>
        <w:ind w:left="660" w:right="440" w:hanging="328"/>
        <w:spacing w:after="0" w:line="254" w:lineRule="auto"/>
        <w:tabs>
          <w:tab w:leader="none" w:pos="6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Asia Pacific region is now managed as a single operating segment. Previously, the CODM reviewed two operating segments: (i) China and (ii) India &amp; Asia Pacific, which were reported as one reporting segment under IFRS 8. From 2026, these activities are reviewed together, resulting in one operating and reporting segment: Asia Pacific; and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European used car operations, previously included within Other activities, have been reclassified to the Enlarged Europe segment in line with the CODM’s oversight.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Comparative information has been restated to reflect the revised segment structure. The impact of these changes is presented in the following tables: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FFFFFF"/>
        </w:rPr>
        <w:t>Q3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Borders>
              <w:top w:val="single" w:sz="8" w:color="DBDBDB"/>
              <w:bottom w:val="single" w:sz="8" w:color="DBDBDB"/>
            </w:tcBorders>
          </w:tcPr>
          <w:p>
            <w:pPr>
              <w:spacing w:after="0"/>
              <w:rPr>
                <w:sz w:val="20"/>
                <w:szCs w:val="20"/>
                <w:color w:val="auto"/>
              </w:rPr>
            </w:pPr>
          </w:p>
        </w:tc>
        <w:tc>
          <w:tcPr>
            <w:tcW w:w="100" w:type="dxa"/>
            <w:vAlign w:val="bottom"/>
            <w:tcBorders>
              <w:top w:val="single" w:sz="8" w:color="DBDBDB"/>
              <w:bottom w:val="single" w:sz="8" w:color="DBDBDB"/>
            </w:tcBorders>
          </w:tcPr>
          <w:p>
            <w:pPr>
              <w:spacing w:after="0"/>
              <w:rPr>
                <w:sz w:val="20"/>
                <w:szCs w:val="20"/>
                <w:color w:val="auto"/>
              </w:rPr>
            </w:pPr>
          </w:p>
        </w:tc>
        <w:tc>
          <w:tcPr>
            <w:tcW w:w="1500" w:type="dxa"/>
            <w:vAlign w:val="bottom"/>
            <w:tcBorders>
              <w:top w:val="single" w:sz="8" w:color="4C639D"/>
              <w:bottom w:val="single" w:sz="8" w:color="DBDBDB"/>
            </w:tcBorders>
            <w:shd w:val="clear" w:color="auto" w:fill="4C639D"/>
          </w:tcPr>
          <w:p>
            <w:pPr>
              <w:ind w:left="640"/>
              <w:spacing w:after="0"/>
              <w:rPr>
                <w:sz w:val="20"/>
                <w:szCs w:val="20"/>
                <w:color w:val="auto"/>
              </w:rPr>
            </w:pPr>
            <w:r>
              <w:rPr>
                <w:rFonts w:ascii="Arial" w:cs="Arial" w:eastAsia="Arial" w:hAnsi="Arial"/>
                <w:sz w:val="13"/>
                <w:szCs w:val="13"/>
                <w:b w:val="1"/>
                <w:bCs w:val="1"/>
                <w:color w:val="FFFFFF"/>
              </w:rPr>
              <w:t>As reported</w:t>
            </w:r>
          </w:p>
        </w:tc>
        <w:tc>
          <w:tcPr>
            <w:tcW w:w="560" w:type="dxa"/>
            <w:vAlign w:val="bottom"/>
            <w:tcBorders>
              <w:top w:val="single" w:sz="8" w:color="4C639D"/>
              <w:bottom w:val="single" w:sz="8" w:color="DBDBDB"/>
            </w:tcBorders>
            <w:shd w:val="clear" w:color="auto" w:fill="4C639D"/>
          </w:tcPr>
          <w:p>
            <w:pPr>
              <w:spacing w:after="0"/>
              <w:rPr>
                <w:sz w:val="20"/>
                <w:szCs w:val="20"/>
                <w:color w:val="auto"/>
              </w:rPr>
            </w:pPr>
          </w:p>
        </w:tc>
        <w:tc>
          <w:tcPr>
            <w:tcW w:w="80" w:type="dxa"/>
            <w:vAlign w:val="bottom"/>
            <w:tcBorders>
              <w:top w:val="single" w:sz="8" w:color="DBDBDB"/>
              <w:bottom w:val="single" w:sz="8" w:color="DBDBDB"/>
            </w:tcBorders>
          </w:tcPr>
          <w:p>
            <w:pPr>
              <w:spacing w:after="0"/>
              <w:rPr>
                <w:sz w:val="20"/>
                <w:szCs w:val="20"/>
                <w:color w:val="auto"/>
              </w:rPr>
            </w:pPr>
          </w:p>
        </w:tc>
        <w:tc>
          <w:tcPr>
            <w:tcW w:w="1580" w:type="dxa"/>
            <w:vAlign w:val="bottom"/>
            <w:tcBorders>
              <w:top w:val="single" w:sz="8" w:color="4C639D"/>
              <w:bottom w:val="single" w:sz="8" w:color="DBDBDB"/>
            </w:tcBorders>
            <w:shd w:val="clear" w:color="auto" w:fill="4C639D"/>
          </w:tcPr>
          <w:p>
            <w:pPr>
              <w:ind w:left="620"/>
              <w:spacing w:after="0"/>
              <w:rPr>
                <w:sz w:val="20"/>
                <w:szCs w:val="20"/>
                <w:color w:val="auto"/>
              </w:rPr>
            </w:pPr>
            <w:r>
              <w:rPr>
                <w:rFonts w:ascii="Arial" w:cs="Arial" w:eastAsia="Arial" w:hAnsi="Arial"/>
                <w:sz w:val="13"/>
                <w:szCs w:val="13"/>
                <w:b w:val="1"/>
                <w:bCs w:val="1"/>
                <w:color w:val="FFFFFF"/>
              </w:rPr>
              <w:t>Adjustments</w:t>
            </w:r>
          </w:p>
        </w:tc>
        <w:tc>
          <w:tcPr>
            <w:tcW w:w="480" w:type="dxa"/>
            <w:vAlign w:val="bottom"/>
            <w:tcBorders>
              <w:top w:val="single" w:sz="8" w:color="4C639D"/>
              <w:bottom w:val="single" w:sz="8" w:color="DBDBDB"/>
            </w:tcBorders>
            <w:shd w:val="clear" w:color="auto" w:fill="4C639D"/>
          </w:tcPr>
          <w:p>
            <w:pPr>
              <w:spacing w:after="0"/>
              <w:rPr>
                <w:sz w:val="20"/>
                <w:szCs w:val="20"/>
                <w:color w:val="auto"/>
              </w:rPr>
            </w:pPr>
          </w:p>
        </w:tc>
        <w:tc>
          <w:tcPr>
            <w:tcW w:w="100" w:type="dxa"/>
            <w:vAlign w:val="bottom"/>
            <w:tcBorders>
              <w:top w:val="single" w:sz="8" w:color="DBDBDB"/>
              <w:bottom w:val="single" w:sz="8" w:color="DBDBDB"/>
            </w:tcBorders>
          </w:tcPr>
          <w:p>
            <w:pPr>
              <w:spacing w:after="0"/>
              <w:rPr>
                <w:sz w:val="20"/>
                <w:szCs w:val="20"/>
                <w:color w:val="auto"/>
              </w:rPr>
            </w:pPr>
          </w:p>
        </w:tc>
        <w:tc>
          <w:tcPr>
            <w:tcW w:w="2060" w:type="dxa"/>
            <w:vAlign w:val="bottom"/>
            <w:tcBorders>
              <w:top w:val="single" w:sz="8" w:color="4C639D"/>
              <w:bottom w:val="single" w:sz="8" w:color="DBDBDB"/>
            </w:tcBorders>
            <w:shd w:val="clear" w:color="auto" w:fill="4C639D"/>
          </w:tcPr>
          <w:p>
            <w:pPr>
              <w:jc w:val="right"/>
              <w:ind w:right="593"/>
              <w:spacing w:after="0"/>
              <w:rPr>
                <w:sz w:val="20"/>
                <w:szCs w:val="20"/>
                <w:color w:val="auto"/>
              </w:rPr>
            </w:pPr>
            <w:r>
              <w:rPr>
                <w:rFonts w:ascii="Arial" w:cs="Arial" w:eastAsia="Arial" w:hAnsi="Arial"/>
                <w:sz w:val="13"/>
                <w:szCs w:val="13"/>
                <w:b w:val="1"/>
                <w:bCs w:val="1"/>
                <w:color w:val="FFFFFF"/>
              </w:rPr>
              <w:t>As adjusted</w:t>
            </w:r>
          </w:p>
        </w:tc>
      </w:tr>
      <w:tr>
        <w:trPr>
          <w:trHeight w:val="223"/>
        </w:trPr>
        <w:tc>
          <w:tcPr>
            <w:tcW w:w="488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b w:val="1"/>
                <w:bCs w:val="1"/>
                <w:color w:val="243782"/>
              </w:rPr>
              <w:t>Net revenues (EUR M)</w:t>
            </w:r>
          </w:p>
        </w:tc>
        <w:tc>
          <w:tcPr>
            <w:tcW w:w="1500" w:type="dxa"/>
            <w:vAlign w:val="bottom"/>
            <w:tcBorders>
              <w:bottom w:val="single" w:sz="8" w:color="DBDBDB"/>
            </w:tcBorders>
            <w:shd w:val="clear" w:color="auto" w:fill="243782"/>
          </w:tcPr>
          <w:p>
            <w:pPr>
              <w:spacing w:after="0"/>
              <w:rPr>
                <w:sz w:val="19"/>
                <w:szCs w:val="19"/>
                <w:color w:val="auto"/>
              </w:rPr>
            </w:pPr>
          </w:p>
        </w:tc>
        <w:tc>
          <w:tcPr>
            <w:tcW w:w="560" w:type="dxa"/>
            <w:vAlign w:val="bottom"/>
            <w:tcBorders>
              <w:bottom w:val="single" w:sz="8" w:color="DBDBDB"/>
            </w:tcBorders>
            <w:shd w:val="clear" w:color="auto" w:fill="243782"/>
          </w:tcPr>
          <w:p>
            <w:pPr>
              <w:jc w:val="right"/>
              <w:ind w:right="13"/>
              <w:spacing w:after="0"/>
              <w:rPr>
                <w:sz w:val="20"/>
                <w:szCs w:val="20"/>
                <w:color w:val="auto"/>
              </w:rPr>
            </w:pPr>
            <w:r>
              <w:rPr>
                <w:rFonts w:ascii="Arial" w:cs="Arial" w:eastAsia="Arial" w:hAnsi="Arial"/>
                <w:sz w:val="13"/>
                <w:szCs w:val="13"/>
                <w:b w:val="1"/>
                <w:bCs w:val="1"/>
                <w:color w:val="FFFFFF"/>
              </w:rPr>
              <w:t>37,206</w:t>
            </w:r>
          </w:p>
        </w:tc>
        <w:tc>
          <w:tcPr>
            <w:tcW w:w="8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shd w:val="clear" w:color="auto" w:fill="243782"/>
          </w:tcPr>
          <w:p>
            <w:pPr>
              <w:spacing w:after="0"/>
              <w:rPr>
                <w:sz w:val="19"/>
                <w:szCs w:val="19"/>
                <w:color w:val="auto"/>
              </w:rPr>
            </w:pPr>
          </w:p>
        </w:tc>
        <w:tc>
          <w:tcPr>
            <w:tcW w:w="480" w:type="dxa"/>
            <w:vAlign w:val="bottom"/>
            <w:tcBorders>
              <w:bottom w:val="single" w:sz="8" w:color="DBDBDB"/>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DBDBDB"/>
            </w:tcBorders>
          </w:tcPr>
          <w:p>
            <w:pPr>
              <w:spacing w:after="0"/>
              <w:rPr>
                <w:sz w:val="19"/>
                <w:szCs w:val="19"/>
                <w:color w:val="auto"/>
              </w:rPr>
            </w:pPr>
          </w:p>
        </w:tc>
        <w:tc>
          <w:tcPr>
            <w:tcW w:w="2060" w:type="dxa"/>
            <w:vAlign w:val="bottom"/>
            <w:tcBorders>
              <w:bottom w:val="single" w:sz="8" w:color="DBDBDB"/>
            </w:tcBorders>
            <w:shd w:val="clear" w:color="auto" w:fill="243782"/>
          </w:tcPr>
          <w:p>
            <w:pPr>
              <w:jc w:val="right"/>
              <w:spacing w:after="0"/>
              <w:rPr>
                <w:sz w:val="20"/>
                <w:szCs w:val="20"/>
                <w:color w:val="auto"/>
              </w:rPr>
            </w:pPr>
            <w:r>
              <w:rPr>
                <w:rFonts w:ascii="Arial" w:cs="Arial" w:eastAsia="Arial" w:hAnsi="Arial"/>
                <w:sz w:val="13"/>
                <w:szCs w:val="13"/>
                <w:b w:val="1"/>
                <w:bCs w:val="1"/>
                <w:color w:val="FFFFFF"/>
              </w:rPr>
              <w:t>37,206</w:t>
            </w:r>
          </w:p>
        </w:tc>
      </w:tr>
      <w:tr>
        <w:trPr>
          <w:trHeight w:val="223"/>
        </w:trPr>
        <w:tc>
          <w:tcPr>
            <w:tcW w:w="488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North America</w:t>
            </w:r>
          </w:p>
        </w:tc>
        <w:tc>
          <w:tcPr>
            <w:tcW w:w="1500" w:type="dxa"/>
            <w:vAlign w:val="bottom"/>
            <w:tcBorders>
              <w:bottom w:val="single" w:sz="8" w:color="DBDBDB"/>
            </w:tcBorders>
            <w:shd w:val="clear" w:color="auto" w:fill="4C639D"/>
          </w:tcPr>
          <w:p>
            <w:pPr>
              <w:spacing w:after="0"/>
              <w:rPr>
                <w:sz w:val="19"/>
                <w:szCs w:val="19"/>
                <w:color w:val="auto"/>
              </w:rPr>
            </w:pPr>
          </w:p>
        </w:tc>
        <w:tc>
          <w:tcPr>
            <w:tcW w:w="560" w:type="dxa"/>
            <w:vAlign w:val="bottom"/>
            <w:tcBorders>
              <w:bottom w:val="single" w:sz="8" w:color="DBDBDB"/>
            </w:tcBorders>
            <w:shd w:val="clear" w:color="auto" w:fill="4C639D"/>
          </w:tcPr>
          <w:p>
            <w:pPr>
              <w:jc w:val="right"/>
              <w:ind w:right="13"/>
              <w:spacing w:after="0"/>
              <w:rPr>
                <w:sz w:val="20"/>
                <w:szCs w:val="20"/>
                <w:color w:val="auto"/>
              </w:rPr>
            </w:pPr>
            <w:r>
              <w:rPr>
                <w:rFonts w:ascii="Arial" w:cs="Arial" w:eastAsia="Arial" w:hAnsi="Arial"/>
                <w:sz w:val="13"/>
                <w:szCs w:val="13"/>
                <w:b w:val="1"/>
                <w:bCs w:val="1"/>
                <w:color w:val="FFFFFF"/>
              </w:rPr>
              <w:t>16,047</w:t>
            </w:r>
          </w:p>
        </w:tc>
        <w:tc>
          <w:tcPr>
            <w:tcW w:w="8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shd w:val="clear" w:color="auto" w:fill="4C639D"/>
          </w:tcPr>
          <w:p>
            <w:pPr>
              <w:spacing w:after="0"/>
              <w:rPr>
                <w:sz w:val="19"/>
                <w:szCs w:val="19"/>
                <w:color w:val="auto"/>
              </w:rPr>
            </w:pPr>
          </w:p>
        </w:tc>
        <w:tc>
          <w:tcPr>
            <w:tcW w:w="4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40</w:t>
            </w:r>
          </w:p>
        </w:tc>
        <w:tc>
          <w:tcPr>
            <w:tcW w:w="100" w:type="dxa"/>
            <w:vAlign w:val="bottom"/>
            <w:tcBorders>
              <w:bottom w:val="single" w:sz="8" w:color="DBDBDB"/>
            </w:tcBorders>
          </w:tcPr>
          <w:p>
            <w:pPr>
              <w:spacing w:after="0"/>
              <w:rPr>
                <w:sz w:val="19"/>
                <w:szCs w:val="19"/>
                <w:color w:val="auto"/>
              </w:rPr>
            </w:pPr>
          </w:p>
        </w:tc>
        <w:tc>
          <w:tcPr>
            <w:tcW w:w="20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16,087</w:t>
            </w:r>
          </w:p>
        </w:tc>
      </w:tr>
      <w:tr>
        <w:trPr>
          <w:trHeight w:val="223"/>
        </w:trPr>
        <w:tc>
          <w:tcPr>
            <w:tcW w:w="488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Enlarged Europe</w:t>
            </w:r>
          </w:p>
        </w:tc>
        <w:tc>
          <w:tcPr>
            <w:tcW w:w="1500" w:type="dxa"/>
            <w:vAlign w:val="bottom"/>
            <w:tcBorders>
              <w:bottom w:val="single" w:sz="8" w:color="DBDBDB"/>
            </w:tcBorders>
            <w:shd w:val="clear" w:color="auto" w:fill="4C639D"/>
          </w:tcPr>
          <w:p>
            <w:pPr>
              <w:spacing w:after="0"/>
              <w:rPr>
                <w:sz w:val="19"/>
                <w:szCs w:val="19"/>
                <w:color w:val="auto"/>
              </w:rPr>
            </w:pPr>
          </w:p>
        </w:tc>
        <w:tc>
          <w:tcPr>
            <w:tcW w:w="560" w:type="dxa"/>
            <w:vAlign w:val="bottom"/>
            <w:tcBorders>
              <w:bottom w:val="single" w:sz="8" w:color="DBDBDB"/>
            </w:tcBorders>
            <w:shd w:val="clear" w:color="auto" w:fill="4C639D"/>
          </w:tcPr>
          <w:p>
            <w:pPr>
              <w:jc w:val="right"/>
              <w:ind w:right="13"/>
              <w:spacing w:after="0"/>
              <w:rPr>
                <w:sz w:val="20"/>
                <w:szCs w:val="20"/>
                <w:color w:val="auto"/>
              </w:rPr>
            </w:pPr>
            <w:r>
              <w:rPr>
                <w:rFonts w:ascii="Arial" w:cs="Arial" w:eastAsia="Arial" w:hAnsi="Arial"/>
                <w:sz w:val="13"/>
                <w:szCs w:val="13"/>
                <w:b w:val="1"/>
                <w:bCs w:val="1"/>
                <w:color w:val="FFFFFF"/>
              </w:rPr>
              <w:t>12,973</w:t>
            </w:r>
          </w:p>
        </w:tc>
        <w:tc>
          <w:tcPr>
            <w:tcW w:w="8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shd w:val="clear" w:color="auto" w:fill="4C639D"/>
          </w:tcPr>
          <w:p>
            <w:pPr>
              <w:spacing w:after="0"/>
              <w:rPr>
                <w:sz w:val="19"/>
                <w:szCs w:val="19"/>
                <w:color w:val="auto"/>
              </w:rPr>
            </w:pPr>
          </w:p>
        </w:tc>
        <w:tc>
          <w:tcPr>
            <w:tcW w:w="4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658</w:t>
            </w:r>
          </w:p>
        </w:tc>
        <w:tc>
          <w:tcPr>
            <w:tcW w:w="100" w:type="dxa"/>
            <w:vAlign w:val="bottom"/>
            <w:tcBorders>
              <w:bottom w:val="single" w:sz="8" w:color="DBDBDB"/>
            </w:tcBorders>
          </w:tcPr>
          <w:p>
            <w:pPr>
              <w:spacing w:after="0"/>
              <w:rPr>
                <w:sz w:val="19"/>
                <w:szCs w:val="19"/>
                <w:color w:val="auto"/>
              </w:rPr>
            </w:pPr>
          </w:p>
        </w:tc>
        <w:tc>
          <w:tcPr>
            <w:tcW w:w="20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13,631</w:t>
            </w:r>
          </w:p>
        </w:tc>
      </w:tr>
      <w:tr>
        <w:trPr>
          <w:trHeight w:val="223"/>
        </w:trPr>
        <w:tc>
          <w:tcPr>
            <w:tcW w:w="488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Middle East &amp; Africa</w:t>
            </w:r>
          </w:p>
        </w:tc>
        <w:tc>
          <w:tcPr>
            <w:tcW w:w="1500" w:type="dxa"/>
            <w:vAlign w:val="bottom"/>
            <w:tcBorders>
              <w:bottom w:val="single" w:sz="8" w:color="DBDBDB"/>
            </w:tcBorders>
            <w:shd w:val="clear" w:color="auto" w:fill="4C639D"/>
          </w:tcPr>
          <w:p>
            <w:pPr>
              <w:spacing w:after="0"/>
              <w:rPr>
                <w:sz w:val="19"/>
                <w:szCs w:val="19"/>
                <w:color w:val="auto"/>
              </w:rPr>
            </w:pPr>
          </w:p>
        </w:tc>
        <w:tc>
          <w:tcPr>
            <w:tcW w:w="560" w:type="dxa"/>
            <w:vAlign w:val="bottom"/>
            <w:tcBorders>
              <w:bottom w:val="single" w:sz="8" w:color="DBDBDB"/>
            </w:tcBorders>
            <w:shd w:val="clear" w:color="auto" w:fill="4C639D"/>
          </w:tcPr>
          <w:p>
            <w:pPr>
              <w:jc w:val="right"/>
              <w:ind w:right="13"/>
              <w:spacing w:after="0"/>
              <w:rPr>
                <w:sz w:val="20"/>
                <w:szCs w:val="20"/>
                <w:color w:val="auto"/>
              </w:rPr>
            </w:pPr>
            <w:r>
              <w:rPr>
                <w:rFonts w:ascii="Arial" w:cs="Arial" w:eastAsia="Arial" w:hAnsi="Arial"/>
                <w:sz w:val="13"/>
                <w:szCs w:val="13"/>
                <w:b w:val="1"/>
                <w:bCs w:val="1"/>
                <w:color w:val="FFFFFF"/>
              </w:rPr>
              <w:t>2,053</w:t>
            </w:r>
          </w:p>
        </w:tc>
        <w:tc>
          <w:tcPr>
            <w:tcW w:w="8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shd w:val="clear" w:color="auto" w:fill="4C639D"/>
          </w:tcPr>
          <w:p>
            <w:pPr>
              <w:spacing w:after="0"/>
              <w:rPr>
                <w:sz w:val="19"/>
                <w:szCs w:val="19"/>
                <w:color w:val="auto"/>
              </w:rPr>
            </w:pPr>
          </w:p>
        </w:tc>
        <w:tc>
          <w:tcPr>
            <w:tcW w:w="4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7</w:t>
            </w:r>
          </w:p>
        </w:tc>
        <w:tc>
          <w:tcPr>
            <w:tcW w:w="100" w:type="dxa"/>
            <w:vAlign w:val="bottom"/>
            <w:tcBorders>
              <w:bottom w:val="single" w:sz="8" w:color="DBDBDB"/>
            </w:tcBorders>
          </w:tcPr>
          <w:p>
            <w:pPr>
              <w:spacing w:after="0"/>
              <w:rPr>
                <w:sz w:val="19"/>
                <w:szCs w:val="19"/>
                <w:color w:val="auto"/>
              </w:rPr>
            </w:pPr>
          </w:p>
        </w:tc>
        <w:tc>
          <w:tcPr>
            <w:tcW w:w="20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2,060</w:t>
            </w:r>
          </w:p>
        </w:tc>
      </w:tr>
      <w:tr>
        <w:trPr>
          <w:trHeight w:val="22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South America</w:t>
            </w:r>
          </w:p>
        </w:tc>
        <w:tc>
          <w:tcPr>
            <w:tcW w:w="100" w:type="dxa"/>
            <w:vAlign w:val="bottom"/>
          </w:tcPr>
          <w:p>
            <w:pPr>
              <w:spacing w:after="0"/>
              <w:rPr>
                <w:sz w:val="19"/>
                <w:szCs w:val="19"/>
                <w:color w:val="auto"/>
              </w:rPr>
            </w:pPr>
          </w:p>
        </w:tc>
        <w:tc>
          <w:tcPr>
            <w:tcW w:w="1500" w:type="dxa"/>
            <w:vAlign w:val="bottom"/>
            <w:tcBorders>
              <w:bottom w:val="single" w:sz="8" w:color="DBDBDB"/>
            </w:tcBorders>
            <w:shd w:val="clear" w:color="auto" w:fill="4C639D"/>
          </w:tcPr>
          <w:p>
            <w:pPr>
              <w:spacing w:after="0"/>
              <w:rPr>
                <w:sz w:val="19"/>
                <w:szCs w:val="19"/>
                <w:color w:val="auto"/>
              </w:rPr>
            </w:pPr>
          </w:p>
        </w:tc>
        <w:tc>
          <w:tcPr>
            <w:tcW w:w="560" w:type="dxa"/>
            <w:vAlign w:val="bottom"/>
            <w:tcBorders>
              <w:bottom w:val="single" w:sz="8" w:color="DBDBDB"/>
            </w:tcBorders>
            <w:shd w:val="clear" w:color="auto" w:fill="4C639D"/>
          </w:tcPr>
          <w:p>
            <w:pPr>
              <w:jc w:val="right"/>
              <w:ind w:right="13"/>
              <w:spacing w:after="0"/>
              <w:rPr>
                <w:sz w:val="20"/>
                <w:szCs w:val="20"/>
                <w:color w:val="auto"/>
              </w:rPr>
            </w:pPr>
            <w:r>
              <w:rPr>
                <w:rFonts w:ascii="Arial" w:cs="Arial" w:eastAsia="Arial" w:hAnsi="Arial"/>
                <w:sz w:val="13"/>
                <w:szCs w:val="13"/>
                <w:b w:val="1"/>
                <w:bCs w:val="1"/>
                <w:color w:val="FFFFFF"/>
              </w:rPr>
              <w:t>3,989</w:t>
            </w:r>
          </w:p>
        </w:tc>
        <w:tc>
          <w:tcPr>
            <w:tcW w:w="8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shd w:val="clear" w:color="auto" w:fill="4C639D"/>
          </w:tcPr>
          <w:p>
            <w:pPr>
              <w:spacing w:after="0"/>
              <w:rPr>
                <w:sz w:val="19"/>
                <w:szCs w:val="19"/>
                <w:color w:val="auto"/>
              </w:rPr>
            </w:pPr>
          </w:p>
        </w:tc>
        <w:tc>
          <w:tcPr>
            <w:tcW w:w="4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DBDBDB"/>
            </w:tcBorders>
          </w:tcPr>
          <w:p>
            <w:pPr>
              <w:spacing w:after="0"/>
              <w:rPr>
                <w:sz w:val="19"/>
                <w:szCs w:val="19"/>
                <w:color w:val="auto"/>
              </w:rPr>
            </w:pPr>
          </w:p>
        </w:tc>
        <w:tc>
          <w:tcPr>
            <w:tcW w:w="20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3,989</w:t>
            </w:r>
          </w:p>
        </w:tc>
      </w:tr>
      <w:tr>
        <w:trPr>
          <w:trHeight w:val="223"/>
        </w:trPr>
        <w:tc>
          <w:tcPr>
            <w:tcW w:w="488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Asia Pacific</w:t>
            </w:r>
          </w:p>
        </w:tc>
        <w:tc>
          <w:tcPr>
            <w:tcW w:w="1500" w:type="dxa"/>
            <w:vAlign w:val="bottom"/>
            <w:tcBorders>
              <w:bottom w:val="single" w:sz="8" w:color="DBDBDB"/>
            </w:tcBorders>
            <w:shd w:val="clear" w:color="auto" w:fill="4C639D"/>
          </w:tcPr>
          <w:p>
            <w:pPr>
              <w:spacing w:after="0"/>
              <w:rPr>
                <w:sz w:val="19"/>
                <w:szCs w:val="19"/>
                <w:color w:val="auto"/>
              </w:rPr>
            </w:pPr>
          </w:p>
        </w:tc>
        <w:tc>
          <w:tcPr>
            <w:tcW w:w="560" w:type="dxa"/>
            <w:vAlign w:val="bottom"/>
            <w:tcBorders>
              <w:bottom w:val="single" w:sz="8" w:color="DBDBDB"/>
            </w:tcBorders>
            <w:shd w:val="clear" w:color="auto" w:fill="4C639D"/>
          </w:tcPr>
          <w:p>
            <w:pPr>
              <w:jc w:val="right"/>
              <w:ind w:right="13"/>
              <w:spacing w:after="0"/>
              <w:rPr>
                <w:sz w:val="20"/>
                <w:szCs w:val="20"/>
                <w:color w:val="auto"/>
              </w:rPr>
            </w:pPr>
            <w:r>
              <w:rPr>
                <w:rFonts w:ascii="Arial" w:cs="Arial" w:eastAsia="Arial" w:hAnsi="Arial"/>
                <w:sz w:val="13"/>
                <w:szCs w:val="13"/>
                <w:b w:val="1"/>
                <w:bCs w:val="1"/>
                <w:color w:val="FFFFFF"/>
              </w:rPr>
              <w:t>427</w:t>
            </w:r>
          </w:p>
        </w:tc>
        <w:tc>
          <w:tcPr>
            <w:tcW w:w="8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shd w:val="clear" w:color="auto" w:fill="4C639D"/>
          </w:tcPr>
          <w:p>
            <w:pPr>
              <w:spacing w:after="0"/>
              <w:rPr>
                <w:sz w:val="19"/>
                <w:szCs w:val="19"/>
                <w:color w:val="auto"/>
              </w:rPr>
            </w:pPr>
          </w:p>
        </w:tc>
        <w:tc>
          <w:tcPr>
            <w:tcW w:w="4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49</w:t>
            </w:r>
          </w:p>
        </w:tc>
        <w:tc>
          <w:tcPr>
            <w:tcW w:w="100" w:type="dxa"/>
            <w:vAlign w:val="bottom"/>
            <w:tcBorders>
              <w:bottom w:val="single" w:sz="8" w:color="DBDBDB"/>
            </w:tcBorders>
          </w:tcPr>
          <w:p>
            <w:pPr>
              <w:spacing w:after="0"/>
              <w:rPr>
                <w:sz w:val="19"/>
                <w:szCs w:val="19"/>
                <w:color w:val="auto"/>
              </w:rPr>
            </w:pPr>
          </w:p>
        </w:tc>
        <w:tc>
          <w:tcPr>
            <w:tcW w:w="20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476</w:t>
            </w:r>
          </w:p>
        </w:tc>
      </w:tr>
      <w:tr>
        <w:trPr>
          <w:trHeight w:val="223"/>
        </w:trPr>
        <w:tc>
          <w:tcPr>
            <w:tcW w:w="488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color w:val="auto"/>
              </w:rPr>
              <w:t>Maserati</w:t>
            </w:r>
          </w:p>
        </w:tc>
        <w:tc>
          <w:tcPr>
            <w:tcW w:w="1500" w:type="dxa"/>
            <w:vAlign w:val="bottom"/>
            <w:tcBorders>
              <w:bottom w:val="single" w:sz="8" w:color="DBDBDB"/>
            </w:tcBorders>
            <w:shd w:val="clear" w:color="auto" w:fill="4C639D"/>
          </w:tcPr>
          <w:p>
            <w:pPr>
              <w:spacing w:after="0"/>
              <w:rPr>
                <w:sz w:val="19"/>
                <w:szCs w:val="19"/>
                <w:color w:val="auto"/>
              </w:rPr>
            </w:pPr>
          </w:p>
        </w:tc>
        <w:tc>
          <w:tcPr>
            <w:tcW w:w="560" w:type="dxa"/>
            <w:vAlign w:val="bottom"/>
            <w:tcBorders>
              <w:bottom w:val="single" w:sz="8" w:color="DBDBDB"/>
            </w:tcBorders>
            <w:shd w:val="clear" w:color="auto" w:fill="4C639D"/>
          </w:tcPr>
          <w:p>
            <w:pPr>
              <w:jc w:val="right"/>
              <w:ind w:right="13"/>
              <w:spacing w:after="0"/>
              <w:rPr>
                <w:sz w:val="20"/>
                <w:szCs w:val="20"/>
                <w:color w:val="auto"/>
              </w:rPr>
            </w:pPr>
            <w:r>
              <w:rPr>
                <w:rFonts w:ascii="Arial" w:cs="Arial" w:eastAsia="Arial" w:hAnsi="Arial"/>
                <w:sz w:val="13"/>
                <w:szCs w:val="13"/>
                <w:b w:val="1"/>
                <w:bCs w:val="1"/>
                <w:color w:val="FFFFFF"/>
              </w:rPr>
              <w:t>188</w:t>
            </w:r>
          </w:p>
        </w:tc>
        <w:tc>
          <w:tcPr>
            <w:tcW w:w="8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shd w:val="clear" w:color="auto" w:fill="4C639D"/>
          </w:tcPr>
          <w:p>
            <w:pPr>
              <w:spacing w:after="0"/>
              <w:rPr>
                <w:sz w:val="19"/>
                <w:szCs w:val="19"/>
                <w:color w:val="auto"/>
              </w:rPr>
            </w:pPr>
          </w:p>
        </w:tc>
        <w:tc>
          <w:tcPr>
            <w:tcW w:w="48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(188)</w:t>
            </w:r>
          </w:p>
        </w:tc>
        <w:tc>
          <w:tcPr>
            <w:tcW w:w="100" w:type="dxa"/>
            <w:vAlign w:val="bottom"/>
            <w:tcBorders>
              <w:bottom w:val="single" w:sz="8" w:color="DBDBDB"/>
            </w:tcBorders>
          </w:tcPr>
          <w:p>
            <w:pPr>
              <w:spacing w:after="0"/>
              <w:rPr>
                <w:sz w:val="19"/>
                <w:szCs w:val="19"/>
                <w:color w:val="auto"/>
              </w:rPr>
            </w:pPr>
          </w:p>
        </w:tc>
        <w:tc>
          <w:tcPr>
            <w:tcW w:w="2060" w:type="dxa"/>
            <w:vAlign w:val="bottom"/>
            <w:tcBorders>
              <w:bottom w:val="single" w:sz="8" w:color="DBDBDB"/>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w:t>
            </w:r>
          </w:p>
        </w:tc>
      </w:tr>
      <w:tr>
        <w:trPr>
          <w:trHeight w:val="223"/>
        </w:trPr>
        <w:tc>
          <w:tcPr>
            <w:tcW w:w="4880" w:type="dxa"/>
            <w:vAlign w:val="bottom"/>
            <w:tcBorders>
              <w:bottom w:val="single" w:sz="8" w:color="143A84"/>
            </w:tcBorders>
            <w:gridSpan w:val="2"/>
          </w:tcPr>
          <w:p>
            <w:pPr>
              <w:ind w:left="20"/>
              <w:spacing w:after="0"/>
              <w:rPr>
                <w:sz w:val="20"/>
                <w:szCs w:val="20"/>
                <w:color w:val="auto"/>
              </w:rPr>
            </w:pPr>
            <w:r>
              <w:rPr>
                <w:rFonts w:ascii="Arial" w:cs="Arial" w:eastAsia="Arial" w:hAnsi="Arial"/>
                <w:sz w:val="13"/>
                <w:szCs w:val="13"/>
                <w:color w:val="auto"/>
              </w:rPr>
              <w:t>Others</w:t>
            </w:r>
          </w:p>
        </w:tc>
        <w:tc>
          <w:tcPr>
            <w:tcW w:w="1500" w:type="dxa"/>
            <w:vAlign w:val="bottom"/>
            <w:tcBorders>
              <w:bottom w:val="single" w:sz="8" w:color="143A84"/>
            </w:tcBorders>
            <w:shd w:val="clear" w:color="auto" w:fill="4C639D"/>
          </w:tcPr>
          <w:p>
            <w:pPr>
              <w:spacing w:after="0"/>
              <w:rPr>
                <w:sz w:val="19"/>
                <w:szCs w:val="19"/>
                <w:color w:val="auto"/>
              </w:rPr>
            </w:pPr>
          </w:p>
        </w:tc>
        <w:tc>
          <w:tcPr>
            <w:tcW w:w="560" w:type="dxa"/>
            <w:vAlign w:val="bottom"/>
            <w:tcBorders>
              <w:bottom w:val="single" w:sz="8" w:color="143A84"/>
            </w:tcBorders>
            <w:shd w:val="clear" w:color="auto" w:fill="4C639D"/>
          </w:tcPr>
          <w:p>
            <w:pPr>
              <w:jc w:val="right"/>
              <w:ind w:right="13"/>
              <w:spacing w:after="0"/>
              <w:rPr>
                <w:sz w:val="20"/>
                <w:szCs w:val="20"/>
                <w:color w:val="auto"/>
              </w:rPr>
            </w:pPr>
            <w:r>
              <w:rPr>
                <w:rFonts w:ascii="Arial" w:cs="Arial" w:eastAsia="Arial" w:hAnsi="Arial"/>
                <w:sz w:val="13"/>
                <w:szCs w:val="13"/>
                <w:b w:val="1"/>
                <w:bCs w:val="1"/>
                <w:color w:val="FFFFFF"/>
              </w:rPr>
              <w:t>1,529</w:t>
            </w:r>
          </w:p>
        </w:tc>
        <w:tc>
          <w:tcPr>
            <w:tcW w:w="80" w:type="dxa"/>
            <w:vAlign w:val="bottom"/>
            <w:tcBorders>
              <w:bottom w:val="single" w:sz="8" w:color="143A84"/>
            </w:tcBorders>
          </w:tcPr>
          <w:p>
            <w:pPr>
              <w:spacing w:after="0"/>
              <w:rPr>
                <w:sz w:val="19"/>
                <w:szCs w:val="19"/>
                <w:color w:val="auto"/>
              </w:rPr>
            </w:pPr>
          </w:p>
        </w:tc>
        <w:tc>
          <w:tcPr>
            <w:tcW w:w="1580" w:type="dxa"/>
            <w:vAlign w:val="bottom"/>
            <w:tcBorders>
              <w:bottom w:val="single" w:sz="8" w:color="143A84"/>
            </w:tcBorders>
            <w:shd w:val="clear" w:color="auto" w:fill="4C639D"/>
          </w:tcPr>
          <w:p>
            <w:pPr>
              <w:spacing w:after="0"/>
              <w:rPr>
                <w:sz w:val="19"/>
                <w:szCs w:val="19"/>
                <w:color w:val="auto"/>
              </w:rPr>
            </w:pPr>
          </w:p>
        </w:tc>
        <w:tc>
          <w:tcPr>
            <w:tcW w:w="480" w:type="dxa"/>
            <w:vAlign w:val="bottom"/>
            <w:tcBorders>
              <w:bottom w:val="single" w:sz="8" w:color="143A84"/>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(566)</w:t>
            </w:r>
          </w:p>
        </w:tc>
        <w:tc>
          <w:tcPr>
            <w:tcW w:w="100" w:type="dxa"/>
            <w:vAlign w:val="bottom"/>
            <w:tcBorders>
              <w:bottom w:val="single" w:sz="8" w:color="143A84"/>
            </w:tcBorders>
          </w:tcPr>
          <w:p>
            <w:pPr>
              <w:spacing w:after="0"/>
              <w:rPr>
                <w:sz w:val="19"/>
                <w:szCs w:val="19"/>
                <w:color w:val="auto"/>
              </w:rPr>
            </w:pPr>
          </w:p>
        </w:tc>
        <w:tc>
          <w:tcPr>
            <w:tcW w:w="2060" w:type="dxa"/>
            <w:vAlign w:val="bottom"/>
            <w:tcBorders>
              <w:bottom w:val="single" w:sz="8" w:color="143A84"/>
            </w:tcBorders>
            <w:shd w:val="clear" w:color="auto" w:fill="4C639D"/>
          </w:tcPr>
          <w:p>
            <w:pPr>
              <w:jc w:val="right"/>
              <w:spacing w:after="0"/>
              <w:rPr>
                <w:sz w:val="20"/>
                <w:szCs w:val="20"/>
                <w:color w:val="auto"/>
              </w:rPr>
            </w:pPr>
            <w:r>
              <w:rPr>
                <w:rFonts w:ascii="Arial" w:cs="Arial" w:eastAsia="Arial" w:hAnsi="Arial"/>
                <w:sz w:val="13"/>
                <w:szCs w:val="13"/>
                <w:b w:val="1"/>
                <w:bCs w:val="1"/>
                <w:color w:val="FFFFFF"/>
              </w:rPr>
              <w:t>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92" w:lineRule="exact"/>
        <w:rPr>
          <w:sz w:val="20"/>
          <w:szCs w:val="20"/>
          <w:color w:val="auto"/>
        </w:rPr>
      </w:pPr>
    </w:p>
    <w:p>
      <w:pPr>
        <w:jc w:val="center"/>
        <w:ind w:left="2000"/>
        <w:spacing w:after="0"/>
        <w:rPr>
          <w:sz w:val="20"/>
          <w:szCs w:val="20"/>
          <w:color w:val="auto"/>
        </w:rPr>
      </w:pPr>
      <w:r>
        <w:rPr>
          <w:rFonts w:ascii="Arial" w:cs="Arial" w:eastAsia="Arial" w:hAnsi="Arial"/>
          <w:sz w:val="11"/>
          <w:szCs w:val="11"/>
          <w:b w:val="1"/>
          <w:bCs w:val="1"/>
          <w:color w:val="FFFFFF"/>
        </w:rPr>
        <w:t>YTD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13194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31945" cy="137160"/>
                    </a:xfrm>
                    <a:prstGeom prst="rect">
                      <a:avLst/>
                    </a:prstGeom>
                    <a:noFill/>
                  </pic:spPr>
                </pic:pic>
              </a:graphicData>
            </a:graphic>
          </wp:anchor>
        </w:drawing>
      </w:r>
    </w:p>
    <w:p>
      <w:pPr>
        <w:spacing w:after="0" w:line="70" w:lineRule="exact"/>
        <w:rPr>
          <w:sz w:val="20"/>
          <w:szCs w:val="20"/>
          <w:color w:val="auto"/>
        </w:rPr>
      </w:pPr>
    </w:p>
    <w:p>
      <w:pPr>
        <w:jc w:val="center"/>
        <w:ind w:left="2000"/>
        <w:spacing w:after="0"/>
        <w:rPr>
          <w:sz w:val="20"/>
          <w:szCs w:val="20"/>
          <w:color w:val="auto"/>
        </w:rPr>
      </w:pPr>
      <w:r>
        <w:rPr>
          <w:rFonts w:ascii="Arial" w:cs="Arial" w:eastAsia="Arial" w:hAnsi="Arial"/>
          <w:sz w:val="11"/>
          <w:szCs w:val="11"/>
          <w:b w:val="1"/>
          <w:bCs w:val="1"/>
          <w:color w:val="FFFFFF"/>
        </w:rPr>
        <w:t>Net revenues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Borders>
              <w:top w:val="single" w:sz="8" w:color="DBDBDB"/>
            </w:tcBorders>
          </w:tcPr>
          <w:p>
            <w:pPr>
              <w:spacing w:after="0"/>
              <w:rPr>
                <w:sz w:val="18"/>
                <w:szCs w:val="18"/>
                <w:color w:val="auto"/>
              </w:rPr>
            </w:pPr>
          </w:p>
        </w:tc>
        <w:tc>
          <w:tcPr>
            <w:tcW w:w="1060" w:type="dxa"/>
            <w:vAlign w:val="bottom"/>
            <w:tcBorders>
              <w:top w:val="single" w:sz="8" w:color="4C639D"/>
              <w:bottom w:val="single" w:sz="8" w:color="4C639D"/>
            </w:tcBorders>
            <w:shd w:val="clear" w:color="auto" w:fill="4C639D"/>
          </w:tcPr>
          <w:p>
            <w:pPr>
              <w:ind w:left="440"/>
              <w:spacing w:after="0"/>
              <w:rPr>
                <w:sz w:val="20"/>
                <w:szCs w:val="20"/>
                <w:color w:val="auto"/>
              </w:rPr>
            </w:pPr>
            <w:r>
              <w:rPr>
                <w:rFonts w:ascii="Arial" w:cs="Arial" w:eastAsia="Arial" w:hAnsi="Arial"/>
                <w:sz w:val="11"/>
                <w:szCs w:val="11"/>
                <w:b w:val="1"/>
                <w:bCs w:val="1"/>
                <w:color w:val="FFFFFF"/>
                <w:w w:val="97"/>
              </w:rPr>
              <w:t>As reported</w:t>
            </w:r>
          </w:p>
        </w:tc>
        <w:tc>
          <w:tcPr>
            <w:tcW w:w="440" w:type="dxa"/>
            <w:vAlign w:val="bottom"/>
            <w:tcBorders>
              <w:top w:val="single" w:sz="8" w:color="4C639D"/>
              <w:bottom w:val="single" w:sz="8" w:color="4C639D"/>
            </w:tcBorders>
            <w:shd w:val="clear" w:color="auto" w:fill="4C639D"/>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1360" w:type="dxa"/>
            <w:vAlign w:val="bottom"/>
            <w:tcBorders>
              <w:top w:val="single" w:sz="8" w:color="4C639D"/>
              <w:bottom w:val="single" w:sz="8" w:color="4C639D"/>
            </w:tcBorders>
            <w:shd w:val="clear" w:color="auto" w:fill="4C639D"/>
          </w:tcPr>
          <w:p>
            <w:pPr>
              <w:jc w:val="right"/>
              <w:ind w:right="286"/>
              <w:spacing w:after="0"/>
              <w:rPr>
                <w:sz w:val="20"/>
                <w:szCs w:val="20"/>
                <w:color w:val="auto"/>
              </w:rPr>
            </w:pPr>
            <w:r>
              <w:rPr>
                <w:rFonts w:ascii="Arial" w:cs="Arial" w:eastAsia="Arial" w:hAnsi="Arial"/>
                <w:sz w:val="11"/>
                <w:szCs w:val="11"/>
                <w:b w:val="1"/>
                <w:bCs w:val="1"/>
                <w:color w:val="FFFFFF"/>
              </w:rPr>
              <w:t>Adjustments</w:t>
            </w:r>
          </w:p>
        </w:tc>
        <w:tc>
          <w:tcPr>
            <w:tcW w:w="100" w:type="dxa"/>
            <w:vAlign w:val="bottom"/>
            <w:tcBorders>
              <w:top w:val="single" w:sz="8" w:color="DBDBDB"/>
            </w:tcBorders>
          </w:tcPr>
          <w:p>
            <w:pPr>
              <w:spacing w:after="0"/>
              <w:rPr>
                <w:sz w:val="18"/>
                <w:szCs w:val="18"/>
                <w:color w:val="auto"/>
              </w:rPr>
            </w:pPr>
          </w:p>
        </w:tc>
        <w:tc>
          <w:tcPr>
            <w:tcW w:w="1480" w:type="dxa"/>
            <w:vAlign w:val="bottom"/>
            <w:tcBorders>
              <w:top w:val="single" w:sz="8" w:color="4C639D"/>
              <w:bottom w:val="single" w:sz="8" w:color="4C639D"/>
            </w:tcBorders>
            <w:shd w:val="clear" w:color="auto" w:fill="4C639D"/>
          </w:tcPr>
          <w:p>
            <w:pPr>
              <w:jc w:val="right"/>
              <w:ind w:right="386"/>
              <w:spacing w:after="0"/>
              <w:rPr>
                <w:sz w:val="20"/>
                <w:szCs w:val="20"/>
                <w:color w:val="auto"/>
              </w:rPr>
            </w:pPr>
            <w:r>
              <w:rPr>
                <w:rFonts w:ascii="Arial" w:cs="Arial" w:eastAsia="Arial" w:hAnsi="Arial"/>
                <w:sz w:val="11"/>
                <w:szCs w:val="11"/>
                <w:b w:val="1"/>
                <w:bCs w:val="1"/>
                <w:color w:val="FFFFFF"/>
              </w:rPr>
              <w:t>As adjusted</w:t>
            </w:r>
          </w:p>
        </w:tc>
      </w:tr>
      <w:tr>
        <w:trPr>
          <w:trHeight w:val="19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b w:val="1"/>
                <w:bCs w:val="1"/>
                <w:color w:val="243782"/>
              </w:rPr>
              <w:t>(EUR M)</w:t>
            </w:r>
          </w:p>
        </w:tc>
        <w:tc>
          <w:tcPr>
            <w:tcW w:w="1060" w:type="dxa"/>
            <w:vAlign w:val="bottom"/>
            <w:tcBorders>
              <w:top w:val="single" w:sz="8" w:color="DBDBDB"/>
              <w:bottom w:val="single" w:sz="8" w:color="243782"/>
            </w:tcBorders>
            <w:shd w:val="clear" w:color="auto" w:fill="243782"/>
          </w:tcPr>
          <w:p>
            <w:pPr>
              <w:spacing w:after="0"/>
              <w:rPr>
                <w:sz w:val="17"/>
                <w:szCs w:val="17"/>
                <w:color w:val="auto"/>
              </w:rPr>
            </w:pPr>
          </w:p>
        </w:tc>
        <w:tc>
          <w:tcPr>
            <w:tcW w:w="440" w:type="dxa"/>
            <w:vAlign w:val="bottom"/>
            <w:tcBorders>
              <w:top w:val="single" w:sz="8" w:color="DBDBDB"/>
              <w:bottom w:val="single" w:sz="8" w:color="243782"/>
            </w:tcBorders>
            <w:shd w:val="clear" w:color="auto" w:fill="243782"/>
          </w:tcPr>
          <w:p>
            <w:pPr>
              <w:jc w:val="right"/>
              <w:ind w:right="6"/>
              <w:spacing w:after="0"/>
              <w:rPr>
                <w:sz w:val="20"/>
                <w:szCs w:val="20"/>
                <w:color w:val="auto"/>
              </w:rPr>
            </w:pPr>
            <w:r>
              <w:rPr>
                <w:rFonts w:ascii="Arial" w:cs="Arial" w:eastAsia="Arial" w:hAnsi="Arial"/>
                <w:sz w:val="11"/>
                <w:szCs w:val="11"/>
                <w:b w:val="1"/>
                <w:bCs w:val="1"/>
                <w:color w:val="FFFFFF"/>
                <w:w w:val="90"/>
              </w:rPr>
              <w:t>111,467</w:t>
            </w:r>
          </w:p>
        </w:tc>
        <w:tc>
          <w:tcPr>
            <w:tcW w:w="80" w:type="dxa"/>
            <w:vAlign w:val="bottom"/>
            <w:tcBorders>
              <w:top w:val="single" w:sz="8" w:color="DBDBDB"/>
            </w:tcBorders>
          </w:tcPr>
          <w:p>
            <w:pPr>
              <w:spacing w:after="0"/>
              <w:rPr>
                <w:sz w:val="17"/>
                <w:szCs w:val="17"/>
                <w:color w:val="auto"/>
              </w:rPr>
            </w:pPr>
          </w:p>
        </w:tc>
        <w:tc>
          <w:tcPr>
            <w:tcW w:w="1360" w:type="dxa"/>
            <w:vAlign w:val="bottom"/>
            <w:tcBorders>
              <w:top w:val="single" w:sz="8" w:color="DBDBDB"/>
              <w:bottom w:val="single" w:sz="8" w:color="243782"/>
            </w:tcBorders>
            <w:shd w:val="clear" w:color="auto" w:fill="243782"/>
          </w:tcPr>
          <w:p>
            <w:pPr>
              <w:jc w:val="right"/>
              <w:spacing w:after="0"/>
              <w:rPr>
                <w:sz w:val="20"/>
                <w:szCs w:val="20"/>
                <w:color w:val="auto"/>
              </w:rPr>
            </w:pPr>
            <w:r>
              <w:rPr>
                <w:rFonts w:ascii="Arial" w:cs="Arial" w:eastAsia="Arial" w:hAnsi="Arial"/>
                <w:sz w:val="11"/>
                <w:szCs w:val="11"/>
                <w:b w:val="1"/>
                <w:bCs w:val="1"/>
                <w:color w:val="FFFFFF"/>
              </w:rPr>
              <w:t>—</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243782"/>
            </w:tcBorders>
            <w:shd w:val="clear" w:color="auto" w:fill="243782"/>
          </w:tcPr>
          <w:p>
            <w:pPr>
              <w:jc w:val="right"/>
              <w:ind w:right="6"/>
              <w:spacing w:after="0"/>
              <w:rPr>
                <w:sz w:val="20"/>
                <w:szCs w:val="20"/>
                <w:color w:val="auto"/>
              </w:rPr>
            </w:pPr>
            <w:r>
              <w:rPr>
                <w:rFonts w:ascii="Arial" w:cs="Arial" w:eastAsia="Arial" w:hAnsi="Arial"/>
                <w:sz w:val="11"/>
                <w:szCs w:val="11"/>
                <w:b w:val="1"/>
                <w:bCs w:val="1"/>
                <w:color w:val="FFFFFF"/>
              </w:rPr>
              <w:t>111,467</w:t>
            </w:r>
          </w:p>
        </w:tc>
      </w:tr>
      <w:tr>
        <w:trPr>
          <w:trHeight w:val="19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North America</w:t>
            </w:r>
          </w:p>
        </w:tc>
        <w:tc>
          <w:tcPr>
            <w:tcW w:w="1060" w:type="dxa"/>
            <w:vAlign w:val="bottom"/>
            <w:tcBorders>
              <w:top w:val="single" w:sz="8" w:color="DBDBDB"/>
              <w:bottom w:val="single" w:sz="8" w:color="4C639D"/>
            </w:tcBorders>
            <w:shd w:val="clear" w:color="auto" w:fill="4C639D"/>
          </w:tcPr>
          <w:p>
            <w:pPr>
              <w:spacing w:after="0"/>
              <w:rPr>
                <w:sz w:val="17"/>
                <w:szCs w:val="17"/>
                <w:color w:val="auto"/>
              </w:rPr>
            </w:pPr>
          </w:p>
        </w:tc>
        <w:tc>
          <w:tcPr>
            <w:tcW w:w="44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44,245</w:t>
            </w:r>
          </w:p>
        </w:tc>
        <w:tc>
          <w:tcPr>
            <w:tcW w:w="80" w:type="dxa"/>
            <w:vAlign w:val="bottom"/>
            <w:tcBorders>
              <w:top w:val="single" w:sz="8" w:color="DBDBDB"/>
            </w:tcBorders>
          </w:tcPr>
          <w:p>
            <w:pPr>
              <w:spacing w:after="0"/>
              <w:rPr>
                <w:sz w:val="17"/>
                <w:szCs w:val="17"/>
                <w:color w:val="auto"/>
              </w:rPr>
            </w:pPr>
          </w:p>
        </w:tc>
        <w:tc>
          <w:tcPr>
            <w:tcW w:w="136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145</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44,390</w:t>
            </w:r>
          </w:p>
        </w:tc>
      </w:tr>
      <w:tr>
        <w:trPr>
          <w:trHeight w:val="19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Enlarged Europe</w:t>
            </w:r>
          </w:p>
        </w:tc>
        <w:tc>
          <w:tcPr>
            <w:tcW w:w="1060" w:type="dxa"/>
            <w:vAlign w:val="bottom"/>
            <w:tcBorders>
              <w:top w:val="single" w:sz="8" w:color="DBDBDB"/>
              <w:bottom w:val="single" w:sz="8" w:color="4C639D"/>
            </w:tcBorders>
            <w:shd w:val="clear" w:color="auto" w:fill="4C639D"/>
          </w:tcPr>
          <w:p>
            <w:pPr>
              <w:spacing w:after="0"/>
              <w:rPr>
                <w:sz w:val="17"/>
                <w:szCs w:val="17"/>
                <w:color w:val="auto"/>
              </w:rPr>
            </w:pPr>
          </w:p>
        </w:tc>
        <w:tc>
          <w:tcPr>
            <w:tcW w:w="44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42,214</w:t>
            </w:r>
          </w:p>
        </w:tc>
        <w:tc>
          <w:tcPr>
            <w:tcW w:w="80" w:type="dxa"/>
            <w:vAlign w:val="bottom"/>
            <w:tcBorders>
              <w:top w:val="single" w:sz="8" w:color="DBDBDB"/>
            </w:tcBorders>
          </w:tcPr>
          <w:p>
            <w:pPr>
              <w:spacing w:after="0"/>
              <w:rPr>
                <w:sz w:val="17"/>
                <w:szCs w:val="17"/>
                <w:color w:val="auto"/>
              </w:rPr>
            </w:pPr>
          </w:p>
        </w:tc>
        <w:tc>
          <w:tcPr>
            <w:tcW w:w="136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1,974</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44,188</w:t>
            </w:r>
          </w:p>
        </w:tc>
      </w:tr>
      <w:tr>
        <w:trPr>
          <w:trHeight w:val="19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Middle East &amp; Africa</w:t>
            </w:r>
          </w:p>
        </w:tc>
        <w:tc>
          <w:tcPr>
            <w:tcW w:w="1060" w:type="dxa"/>
            <w:vAlign w:val="bottom"/>
            <w:tcBorders>
              <w:top w:val="single" w:sz="8" w:color="DBDBDB"/>
              <w:bottom w:val="single" w:sz="8" w:color="4C639D"/>
            </w:tcBorders>
            <w:shd w:val="clear" w:color="auto" w:fill="4C639D"/>
          </w:tcPr>
          <w:p>
            <w:pPr>
              <w:spacing w:after="0"/>
              <w:rPr>
                <w:sz w:val="17"/>
                <w:szCs w:val="17"/>
                <w:color w:val="auto"/>
              </w:rPr>
            </w:pPr>
          </w:p>
        </w:tc>
        <w:tc>
          <w:tcPr>
            <w:tcW w:w="44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6,997</w:t>
            </w:r>
          </w:p>
        </w:tc>
        <w:tc>
          <w:tcPr>
            <w:tcW w:w="80" w:type="dxa"/>
            <w:vAlign w:val="bottom"/>
            <w:tcBorders>
              <w:top w:val="single" w:sz="8" w:color="DBDBDB"/>
            </w:tcBorders>
          </w:tcPr>
          <w:p>
            <w:pPr>
              <w:spacing w:after="0"/>
              <w:rPr>
                <w:sz w:val="17"/>
                <w:szCs w:val="17"/>
                <w:color w:val="auto"/>
              </w:rPr>
            </w:pPr>
          </w:p>
        </w:tc>
        <w:tc>
          <w:tcPr>
            <w:tcW w:w="136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25</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7,022</w:t>
            </w:r>
          </w:p>
        </w:tc>
      </w:tr>
      <w:tr>
        <w:trPr>
          <w:trHeight w:val="19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South America</w:t>
            </w:r>
          </w:p>
        </w:tc>
        <w:tc>
          <w:tcPr>
            <w:tcW w:w="1060" w:type="dxa"/>
            <w:vAlign w:val="bottom"/>
            <w:tcBorders>
              <w:top w:val="single" w:sz="8" w:color="DBDBDB"/>
              <w:bottom w:val="single" w:sz="8" w:color="4C639D"/>
            </w:tcBorders>
            <w:shd w:val="clear" w:color="auto" w:fill="4C639D"/>
          </w:tcPr>
          <w:p>
            <w:pPr>
              <w:spacing w:after="0"/>
              <w:rPr>
                <w:sz w:val="17"/>
                <w:szCs w:val="17"/>
                <w:color w:val="auto"/>
              </w:rPr>
            </w:pPr>
          </w:p>
        </w:tc>
        <w:tc>
          <w:tcPr>
            <w:tcW w:w="44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11,758</w:t>
            </w:r>
          </w:p>
        </w:tc>
        <w:tc>
          <w:tcPr>
            <w:tcW w:w="80" w:type="dxa"/>
            <w:vAlign w:val="bottom"/>
            <w:tcBorders>
              <w:top w:val="single" w:sz="8" w:color="DBDBDB"/>
            </w:tcBorders>
          </w:tcPr>
          <w:p>
            <w:pPr>
              <w:spacing w:after="0"/>
              <w:rPr>
                <w:sz w:val="17"/>
                <w:szCs w:val="17"/>
                <w:color w:val="auto"/>
              </w:rPr>
            </w:pPr>
          </w:p>
        </w:tc>
        <w:tc>
          <w:tcPr>
            <w:tcW w:w="136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2</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11,760</w:t>
            </w:r>
          </w:p>
        </w:tc>
      </w:tr>
      <w:tr>
        <w:trPr>
          <w:trHeight w:val="19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Asia Pacific</w:t>
            </w:r>
          </w:p>
        </w:tc>
        <w:tc>
          <w:tcPr>
            <w:tcW w:w="1060" w:type="dxa"/>
            <w:vAlign w:val="bottom"/>
            <w:tcBorders>
              <w:top w:val="single" w:sz="8" w:color="DBDBDB"/>
              <w:bottom w:val="single" w:sz="8" w:color="4C639D"/>
            </w:tcBorders>
            <w:shd w:val="clear" w:color="auto" w:fill="4C639D"/>
          </w:tcPr>
          <w:p>
            <w:pPr>
              <w:spacing w:after="0"/>
              <w:rPr>
                <w:sz w:val="17"/>
                <w:szCs w:val="17"/>
                <w:color w:val="auto"/>
              </w:rPr>
            </w:pPr>
          </w:p>
        </w:tc>
        <w:tc>
          <w:tcPr>
            <w:tcW w:w="44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1,350</w:t>
            </w:r>
          </w:p>
        </w:tc>
        <w:tc>
          <w:tcPr>
            <w:tcW w:w="80" w:type="dxa"/>
            <w:vAlign w:val="bottom"/>
            <w:tcBorders>
              <w:top w:val="single" w:sz="8" w:color="DBDBDB"/>
            </w:tcBorders>
          </w:tcPr>
          <w:p>
            <w:pPr>
              <w:spacing w:after="0"/>
              <w:rPr>
                <w:sz w:val="17"/>
                <w:szCs w:val="17"/>
                <w:color w:val="auto"/>
              </w:rPr>
            </w:pPr>
          </w:p>
        </w:tc>
        <w:tc>
          <w:tcPr>
            <w:tcW w:w="136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136</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1,486</w:t>
            </w:r>
          </w:p>
        </w:tc>
      </w:tr>
      <w:tr>
        <w:trPr>
          <w:trHeight w:val="19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Maserati</w:t>
            </w:r>
          </w:p>
        </w:tc>
        <w:tc>
          <w:tcPr>
            <w:tcW w:w="1060" w:type="dxa"/>
            <w:vAlign w:val="bottom"/>
            <w:tcBorders>
              <w:top w:val="single" w:sz="8" w:color="DBDBDB"/>
              <w:bottom w:val="single" w:sz="8" w:color="4C639D"/>
            </w:tcBorders>
            <w:shd w:val="clear" w:color="auto" w:fill="4C639D"/>
          </w:tcPr>
          <w:p>
            <w:pPr>
              <w:spacing w:after="0"/>
              <w:rPr>
                <w:sz w:val="17"/>
                <w:szCs w:val="17"/>
                <w:color w:val="auto"/>
              </w:rPr>
            </w:pPr>
          </w:p>
        </w:tc>
        <w:tc>
          <w:tcPr>
            <w:tcW w:w="44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557</w:t>
            </w:r>
          </w:p>
        </w:tc>
        <w:tc>
          <w:tcPr>
            <w:tcW w:w="80" w:type="dxa"/>
            <w:vAlign w:val="bottom"/>
            <w:tcBorders>
              <w:top w:val="single" w:sz="8" w:color="DBDBDB"/>
            </w:tcBorders>
          </w:tcPr>
          <w:p>
            <w:pPr>
              <w:spacing w:after="0"/>
              <w:rPr>
                <w:sz w:val="17"/>
                <w:szCs w:val="17"/>
                <w:color w:val="auto"/>
              </w:rPr>
            </w:pPr>
          </w:p>
        </w:tc>
        <w:tc>
          <w:tcPr>
            <w:tcW w:w="136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(557)</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w:t>
            </w:r>
          </w:p>
        </w:tc>
      </w:tr>
      <w:tr>
        <w:trPr>
          <w:trHeight w:val="176"/>
        </w:trPr>
        <w:tc>
          <w:tcPr>
            <w:tcW w:w="200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Others</w:t>
            </w:r>
          </w:p>
        </w:tc>
        <w:tc>
          <w:tcPr>
            <w:tcW w:w="1060" w:type="dxa"/>
            <w:vAlign w:val="bottom"/>
            <w:tcBorders>
              <w:top w:val="single" w:sz="8" w:color="DBDBDB"/>
              <w:bottom w:val="single" w:sz="8" w:color="4C639D"/>
            </w:tcBorders>
            <w:shd w:val="clear" w:color="auto" w:fill="4C639D"/>
          </w:tcPr>
          <w:p>
            <w:pPr>
              <w:spacing w:after="0"/>
              <w:rPr>
                <w:sz w:val="15"/>
                <w:szCs w:val="15"/>
                <w:color w:val="auto"/>
              </w:rPr>
            </w:pPr>
          </w:p>
        </w:tc>
        <w:tc>
          <w:tcPr>
            <w:tcW w:w="44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4,346</w:t>
            </w:r>
          </w:p>
        </w:tc>
        <w:tc>
          <w:tcPr>
            <w:tcW w:w="80" w:type="dxa"/>
            <w:vAlign w:val="bottom"/>
            <w:tcBorders>
              <w:top w:val="single" w:sz="8" w:color="DBDBDB"/>
            </w:tcBorders>
          </w:tcPr>
          <w:p>
            <w:pPr>
              <w:spacing w:after="0"/>
              <w:rPr>
                <w:sz w:val="15"/>
                <w:szCs w:val="15"/>
                <w:color w:val="auto"/>
              </w:rPr>
            </w:pPr>
          </w:p>
        </w:tc>
        <w:tc>
          <w:tcPr>
            <w:tcW w:w="136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(1,725)</w:t>
            </w:r>
          </w:p>
        </w:tc>
        <w:tc>
          <w:tcPr>
            <w:tcW w:w="100" w:type="dxa"/>
            <w:vAlign w:val="bottom"/>
            <w:tcBorders>
              <w:top w:val="single" w:sz="8" w:color="DBDBDB"/>
            </w:tcBorders>
          </w:tcPr>
          <w:p>
            <w:pPr>
              <w:spacing w:after="0"/>
              <w:rPr>
                <w:sz w:val="15"/>
                <w:szCs w:val="15"/>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2,621</w:t>
            </w:r>
          </w:p>
        </w:tc>
      </w:tr>
      <w:tr>
        <w:trPr>
          <w:trHeight w:val="20"/>
        </w:trPr>
        <w:tc>
          <w:tcPr>
            <w:tcW w:w="2000" w:type="dxa"/>
            <w:vAlign w:val="bottom"/>
            <w:shd w:val="clear" w:color="auto" w:fill="143A84"/>
          </w:tcPr>
          <w:p>
            <w:pPr>
              <w:spacing w:after="0" w:line="20" w:lineRule="exact"/>
              <w:rPr>
                <w:sz w:val="1"/>
                <w:szCs w:val="1"/>
                <w:color w:val="auto"/>
              </w:rPr>
            </w:pPr>
          </w:p>
        </w:tc>
        <w:tc>
          <w:tcPr>
            <w:tcW w:w="1060" w:type="dxa"/>
            <w:vAlign w:val="bottom"/>
            <w:shd w:val="clear" w:color="auto" w:fill="143A84"/>
          </w:tcPr>
          <w:p>
            <w:pPr>
              <w:spacing w:after="0" w:line="20" w:lineRule="exact"/>
              <w:rPr>
                <w:sz w:val="1"/>
                <w:szCs w:val="1"/>
                <w:color w:val="auto"/>
              </w:rPr>
            </w:pPr>
          </w:p>
        </w:tc>
        <w:tc>
          <w:tcPr>
            <w:tcW w:w="440" w:type="dxa"/>
            <w:vAlign w:val="bottom"/>
            <w:shd w:val="clear" w:color="auto" w:fill="143A84"/>
          </w:tcPr>
          <w:p>
            <w:pPr>
              <w:spacing w:after="0" w:line="20" w:lineRule="exact"/>
              <w:rPr>
                <w:sz w:val="1"/>
                <w:szCs w:val="1"/>
                <w:color w:val="auto"/>
              </w:rPr>
            </w:pPr>
          </w:p>
        </w:tc>
        <w:tc>
          <w:tcPr>
            <w:tcW w:w="80" w:type="dxa"/>
            <w:vAlign w:val="bottom"/>
            <w:shd w:val="clear" w:color="auto" w:fill="143A84"/>
          </w:tcPr>
          <w:p>
            <w:pPr>
              <w:spacing w:after="0" w:line="20" w:lineRule="exact"/>
              <w:rPr>
                <w:sz w:val="1"/>
                <w:szCs w:val="1"/>
                <w:color w:val="auto"/>
              </w:rPr>
            </w:pPr>
          </w:p>
        </w:tc>
        <w:tc>
          <w:tcPr>
            <w:tcW w:w="1360" w:type="dxa"/>
            <w:vAlign w:val="bottom"/>
            <w:shd w:val="clear" w:color="auto" w:fill="143A84"/>
          </w:tcPr>
          <w:p>
            <w:pPr>
              <w:spacing w:after="0" w:line="20" w:lineRule="exact"/>
              <w:rPr>
                <w:sz w:val="1"/>
                <w:szCs w:val="1"/>
                <w:color w:val="auto"/>
              </w:rPr>
            </w:pPr>
          </w:p>
        </w:tc>
        <w:tc>
          <w:tcPr>
            <w:tcW w:w="100" w:type="dxa"/>
            <w:vAlign w:val="bottom"/>
            <w:shd w:val="clear" w:color="auto" w:fill="143A84"/>
          </w:tcPr>
          <w:p>
            <w:pPr>
              <w:spacing w:after="0" w:line="20" w:lineRule="exact"/>
              <w:rPr>
                <w:sz w:val="1"/>
                <w:szCs w:val="1"/>
                <w:color w:val="auto"/>
              </w:rPr>
            </w:pPr>
          </w:p>
        </w:tc>
        <w:tc>
          <w:tcPr>
            <w:tcW w:w="1480" w:type="dxa"/>
            <w:vAlign w:val="bottom"/>
            <w:shd w:val="clear" w:color="auto" w:fill="143A84"/>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FFFFFF"/>
        </w:rPr>
        <w:t>YTD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29400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40050" cy="13716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FFFFFF"/>
        </w:rPr>
        <w:t>Adjusted operating income/(loss)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Borders>
              <w:top w:val="single" w:sz="8" w:color="4C639D"/>
              <w:bottom w:val="single" w:sz="8" w:color="4C639D"/>
            </w:tcBorders>
            <w:shd w:val="clear" w:color="auto" w:fill="4C639D"/>
          </w:tcPr>
          <w:p>
            <w:pPr>
              <w:ind w:left="440"/>
              <w:spacing w:after="0"/>
              <w:rPr>
                <w:sz w:val="20"/>
                <w:szCs w:val="20"/>
                <w:color w:val="auto"/>
              </w:rPr>
            </w:pPr>
            <w:r>
              <w:rPr>
                <w:rFonts w:ascii="Arial" w:cs="Arial" w:eastAsia="Arial" w:hAnsi="Arial"/>
                <w:sz w:val="11"/>
                <w:szCs w:val="11"/>
                <w:b w:val="1"/>
                <w:bCs w:val="1"/>
                <w:color w:val="FFFFFF"/>
              </w:rPr>
              <w:t>As reported</w:t>
            </w:r>
          </w:p>
        </w:tc>
        <w:tc>
          <w:tcPr>
            <w:tcW w:w="400" w:type="dxa"/>
            <w:vAlign w:val="bottom"/>
            <w:tcBorders>
              <w:top w:val="single" w:sz="8" w:color="4C639D"/>
              <w:bottom w:val="single" w:sz="8" w:color="4C639D"/>
            </w:tcBorders>
            <w:shd w:val="clear" w:color="auto" w:fill="4C639D"/>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160" w:type="dxa"/>
            <w:vAlign w:val="bottom"/>
            <w:tcBorders>
              <w:top w:val="single" w:sz="8" w:color="4C639D"/>
              <w:bottom w:val="single" w:sz="8" w:color="4C639D"/>
            </w:tcBorders>
            <w:shd w:val="clear" w:color="auto" w:fill="4C639D"/>
          </w:tcPr>
          <w:p>
            <w:pPr>
              <w:ind w:left="420"/>
              <w:spacing w:after="0"/>
              <w:rPr>
                <w:sz w:val="20"/>
                <w:szCs w:val="20"/>
                <w:color w:val="auto"/>
              </w:rPr>
            </w:pPr>
            <w:r>
              <w:rPr>
                <w:rFonts w:ascii="Arial" w:cs="Arial" w:eastAsia="Arial" w:hAnsi="Arial"/>
                <w:sz w:val="11"/>
                <w:szCs w:val="11"/>
                <w:b w:val="1"/>
                <w:bCs w:val="1"/>
                <w:color w:val="FFFFFF"/>
              </w:rPr>
              <w:t>Adjustments</w:t>
            </w:r>
          </w:p>
        </w:tc>
        <w:tc>
          <w:tcPr>
            <w:tcW w:w="320" w:type="dxa"/>
            <w:vAlign w:val="bottom"/>
            <w:tcBorders>
              <w:top w:val="single" w:sz="8" w:color="4C639D"/>
              <w:bottom w:val="single" w:sz="8" w:color="4C639D"/>
            </w:tcBorders>
            <w:shd w:val="clear" w:color="auto" w:fill="4C639D"/>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480" w:type="dxa"/>
            <w:vAlign w:val="bottom"/>
            <w:tcBorders>
              <w:top w:val="single" w:sz="8" w:color="4C639D"/>
              <w:bottom w:val="single" w:sz="8" w:color="4C639D"/>
            </w:tcBorders>
            <w:shd w:val="clear" w:color="auto" w:fill="4C639D"/>
          </w:tcPr>
          <w:p>
            <w:pPr>
              <w:jc w:val="right"/>
              <w:ind w:right="386"/>
              <w:spacing w:after="0"/>
              <w:rPr>
                <w:sz w:val="20"/>
                <w:szCs w:val="20"/>
                <w:color w:val="auto"/>
              </w:rPr>
            </w:pPr>
            <w:r>
              <w:rPr>
                <w:rFonts w:ascii="Arial" w:cs="Arial" w:eastAsia="Arial" w:hAnsi="Arial"/>
                <w:sz w:val="11"/>
                <w:szCs w:val="11"/>
                <w:b w:val="1"/>
                <w:bCs w:val="1"/>
                <w:color w:val="FFFFFF"/>
              </w:rPr>
              <w:t>As adjusted</w:t>
            </w:r>
          </w:p>
        </w:tc>
      </w:tr>
      <w:tr>
        <w:trPr>
          <w:trHeight w:val="196"/>
        </w:trPr>
        <w:tc>
          <w:tcPr>
            <w:tcW w:w="1080" w:type="dxa"/>
            <w:vAlign w:val="bottom"/>
            <w:tcBorders>
              <w:top w:val="single" w:sz="8" w:color="DBDBDB"/>
              <w:bottom w:val="single" w:sz="8" w:color="243782"/>
            </w:tcBorders>
            <w:shd w:val="clear" w:color="auto" w:fill="243782"/>
          </w:tcPr>
          <w:p>
            <w:pPr>
              <w:spacing w:after="0"/>
              <w:rPr>
                <w:sz w:val="17"/>
                <w:szCs w:val="17"/>
                <w:color w:val="auto"/>
              </w:rPr>
            </w:pPr>
          </w:p>
        </w:tc>
        <w:tc>
          <w:tcPr>
            <w:tcW w:w="400" w:type="dxa"/>
            <w:vAlign w:val="bottom"/>
            <w:tcBorders>
              <w:top w:val="single" w:sz="8" w:color="DBDBDB"/>
              <w:bottom w:val="single" w:sz="8" w:color="243782"/>
            </w:tcBorders>
            <w:shd w:val="clear" w:color="auto" w:fill="243782"/>
          </w:tcPr>
          <w:p>
            <w:pPr>
              <w:jc w:val="right"/>
              <w:ind w:right="6"/>
              <w:spacing w:after="0"/>
              <w:rPr>
                <w:sz w:val="20"/>
                <w:szCs w:val="20"/>
                <w:color w:val="auto"/>
              </w:rPr>
            </w:pPr>
            <w:r>
              <w:rPr>
                <w:rFonts w:ascii="Arial" w:cs="Arial" w:eastAsia="Arial" w:hAnsi="Arial"/>
                <w:sz w:val="11"/>
                <w:szCs w:val="11"/>
                <w:b w:val="1"/>
                <w:bCs w:val="1"/>
                <w:color w:val="FFFFFF"/>
              </w:rPr>
              <w:t>630</w:t>
            </w:r>
          </w:p>
        </w:tc>
        <w:tc>
          <w:tcPr>
            <w:tcW w:w="100" w:type="dxa"/>
            <w:vAlign w:val="bottom"/>
            <w:tcBorders>
              <w:top w:val="single" w:sz="8" w:color="DBDBDB"/>
            </w:tcBorders>
          </w:tcPr>
          <w:p>
            <w:pPr>
              <w:spacing w:after="0"/>
              <w:rPr>
                <w:sz w:val="17"/>
                <w:szCs w:val="17"/>
                <w:color w:val="auto"/>
              </w:rPr>
            </w:pPr>
          </w:p>
        </w:tc>
        <w:tc>
          <w:tcPr>
            <w:tcW w:w="1160" w:type="dxa"/>
            <w:vAlign w:val="bottom"/>
            <w:tcBorders>
              <w:top w:val="single" w:sz="8" w:color="DBDBDB"/>
              <w:bottom w:val="single" w:sz="8" w:color="243782"/>
            </w:tcBorders>
            <w:shd w:val="clear" w:color="auto" w:fill="243782"/>
          </w:tcPr>
          <w:p>
            <w:pPr>
              <w:spacing w:after="0"/>
              <w:rPr>
                <w:sz w:val="17"/>
                <w:szCs w:val="17"/>
                <w:color w:val="auto"/>
              </w:rPr>
            </w:pPr>
          </w:p>
        </w:tc>
        <w:tc>
          <w:tcPr>
            <w:tcW w:w="320" w:type="dxa"/>
            <w:vAlign w:val="bottom"/>
            <w:tcBorders>
              <w:top w:val="single" w:sz="8" w:color="DBDBDB"/>
              <w:bottom w:val="single" w:sz="8" w:color="243782"/>
            </w:tcBorders>
            <w:shd w:val="clear" w:color="auto" w:fill="243782"/>
          </w:tcPr>
          <w:p>
            <w:pPr>
              <w:jc w:val="right"/>
              <w:ind w:right="6"/>
              <w:spacing w:after="0"/>
              <w:rPr>
                <w:sz w:val="20"/>
                <w:szCs w:val="20"/>
                <w:color w:val="auto"/>
              </w:rPr>
            </w:pPr>
            <w:r>
              <w:rPr>
                <w:rFonts w:ascii="Arial" w:cs="Arial" w:eastAsia="Arial" w:hAnsi="Arial"/>
                <w:sz w:val="11"/>
                <w:szCs w:val="11"/>
                <w:b w:val="1"/>
                <w:bCs w:val="1"/>
                <w:color w:val="FFFFFF"/>
              </w:rPr>
              <w:t>—</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243782"/>
            </w:tcBorders>
            <w:shd w:val="clear" w:color="auto" w:fill="243782"/>
          </w:tcPr>
          <w:p>
            <w:pPr>
              <w:jc w:val="right"/>
              <w:ind w:right="6"/>
              <w:spacing w:after="0"/>
              <w:rPr>
                <w:sz w:val="20"/>
                <w:szCs w:val="20"/>
                <w:color w:val="auto"/>
              </w:rPr>
            </w:pPr>
            <w:r>
              <w:rPr>
                <w:rFonts w:ascii="Arial" w:cs="Arial" w:eastAsia="Arial" w:hAnsi="Arial"/>
                <w:sz w:val="11"/>
                <w:szCs w:val="11"/>
                <w:b w:val="1"/>
                <w:bCs w:val="1"/>
                <w:color w:val="FFFFFF"/>
              </w:rPr>
              <w:t>630</w:t>
            </w:r>
          </w:p>
        </w:tc>
      </w:tr>
      <w:tr>
        <w:trPr>
          <w:trHeight w:val="196"/>
        </w:trPr>
        <w:tc>
          <w:tcPr>
            <w:tcW w:w="1080" w:type="dxa"/>
            <w:vAlign w:val="bottom"/>
            <w:tcBorders>
              <w:top w:val="single" w:sz="8" w:color="DBDBDB"/>
              <w:bottom w:val="single" w:sz="8" w:color="4C639D"/>
            </w:tcBorders>
            <w:shd w:val="clear" w:color="auto" w:fill="4C639D"/>
          </w:tcPr>
          <w:p>
            <w:pPr>
              <w:spacing w:after="0"/>
              <w:rPr>
                <w:sz w:val="17"/>
                <w:szCs w:val="17"/>
                <w:color w:val="auto"/>
              </w:rPr>
            </w:pPr>
          </w:p>
        </w:tc>
        <w:tc>
          <w:tcPr>
            <w:tcW w:w="40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(1,420)</w:t>
            </w:r>
          </w:p>
        </w:tc>
        <w:tc>
          <w:tcPr>
            <w:tcW w:w="100" w:type="dxa"/>
            <w:vAlign w:val="bottom"/>
            <w:tcBorders>
              <w:top w:val="single" w:sz="8" w:color="DBDBDB"/>
            </w:tcBorders>
          </w:tcPr>
          <w:p>
            <w:pPr>
              <w:spacing w:after="0"/>
              <w:rPr>
                <w:sz w:val="17"/>
                <w:szCs w:val="17"/>
                <w:color w:val="auto"/>
              </w:rPr>
            </w:pPr>
          </w:p>
        </w:tc>
        <w:tc>
          <w:tcPr>
            <w:tcW w:w="1160" w:type="dxa"/>
            <w:vAlign w:val="bottom"/>
            <w:tcBorders>
              <w:top w:val="single" w:sz="8" w:color="DBDBDB"/>
              <w:bottom w:val="single" w:sz="8" w:color="4C639D"/>
            </w:tcBorders>
            <w:shd w:val="clear" w:color="auto" w:fill="4C639D"/>
          </w:tcPr>
          <w:p>
            <w:pPr>
              <w:spacing w:after="0"/>
              <w:rPr>
                <w:sz w:val="17"/>
                <w:szCs w:val="17"/>
                <w:color w:val="auto"/>
              </w:rPr>
            </w:pPr>
          </w:p>
        </w:tc>
        <w:tc>
          <w:tcPr>
            <w:tcW w:w="3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(37)</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(1,457)</w:t>
            </w:r>
          </w:p>
        </w:tc>
      </w:tr>
      <w:tr>
        <w:trPr>
          <w:trHeight w:val="196"/>
        </w:trPr>
        <w:tc>
          <w:tcPr>
            <w:tcW w:w="1080" w:type="dxa"/>
            <w:vAlign w:val="bottom"/>
            <w:tcBorders>
              <w:top w:val="single" w:sz="8" w:color="DBDBDB"/>
              <w:bottom w:val="single" w:sz="8" w:color="4C639D"/>
            </w:tcBorders>
            <w:shd w:val="clear" w:color="auto" w:fill="4C639D"/>
          </w:tcPr>
          <w:p>
            <w:pPr>
              <w:spacing w:after="0"/>
              <w:rPr>
                <w:sz w:val="17"/>
                <w:szCs w:val="17"/>
                <w:color w:val="auto"/>
              </w:rPr>
            </w:pPr>
          </w:p>
        </w:tc>
        <w:tc>
          <w:tcPr>
            <w:tcW w:w="40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179</w:t>
            </w:r>
          </w:p>
        </w:tc>
        <w:tc>
          <w:tcPr>
            <w:tcW w:w="100" w:type="dxa"/>
            <w:vAlign w:val="bottom"/>
            <w:tcBorders>
              <w:top w:val="single" w:sz="8" w:color="DBDBDB"/>
            </w:tcBorders>
          </w:tcPr>
          <w:p>
            <w:pPr>
              <w:spacing w:after="0"/>
              <w:rPr>
                <w:sz w:val="17"/>
                <w:szCs w:val="17"/>
                <w:color w:val="auto"/>
              </w:rPr>
            </w:pPr>
          </w:p>
        </w:tc>
        <w:tc>
          <w:tcPr>
            <w:tcW w:w="1160" w:type="dxa"/>
            <w:vAlign w:val="bottom"/>
            <w:tcBorders>
              <w:top w:val="single" w:sz="8" w:color="DBDBDB"/>
              <w:bottom w:val="single" w:sz="8" w:color="4C639D"/>
            </w:tcBorders>
            <w:shd w:val="clear" w:color="auto" w:fill="4C639D"/>
          </w:tcPr>
          <w:p>
            <w:pPr>
              <w:spacing w:after="0"/>
              <w:rPr>
                <w:sz w:val="17"/>
                <w:szCs w:val="17"/>
                <w:color w:val="auto"/>
              </w:rPr>
            </w:pPr>
          </w:p>
        </w:tc>
        <w:tc>
          <w:tcPr>
            <w:tcW w:w="3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(89)</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90</w:t>
            </w:r>
          </w:p>
        </w:tc>
      </w:tr>
      <w:tr>
        <w:trPr>
          <w:trHeight w:val="196"/>
        </w:trPr>
        <w:tc>
          <w:tcPr>
            <w:tcW w:w="1080" w:type="dxa"/>
            <w:vAlign w:val="bottom"/>
            <w:tcBorders>
              <w:top w:val="single" w:sz="8" w:color="DBDBDB"/>
              <w:bottom w:val="single" w:sz="8" w:color="4C639D"/>
            </w:tcBorders>
            <w:shd w:val="clear" w:color="auto" w:fill="4C639D"/>
          </w:tcPr>
          <w:p>
            <w:pPr>
              <w:spacing w:after="0"/>
              <w:rPr>
                <w:sz w:val="17"/>
                <w:szCs w:val="17"/>
                <w:color w:val="auto"/>
              </w:rPr>
            </w:pPr>
          </w:p>
        </w:tc>
        <w:tc>
          <w:tcPr>
            <w:tcW w:w="40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1,040</w:t>
            </w:r>
          </w:p>
        </w:tc>
        <w:tc>
          <w:tcPr>
            <w:tcW w:w="100" w:type="dxa"/>
            <w:vAlign w:val="bottom"/>
            <w:tcBorders>
              <w:top w:val="single" w:sz="8" w:color="DBDBDB"/>
            </w:tcBorders>
          </w:tcPr>
          <w:p>
            <w:pPr>
              <w:spacing w:after="0"/>
              <w:rPr>
                <w:sz w:val="17"/>
                <w:szCs w:val="17"/>
                <w:color w:val="auto"/>
              </w:rPr>
            </w:pPr>
          </w:p>
        </w:tc>
        <w:tc>
          <w:tcPr>
            <w:tcW w:w="1160" w:type="dxa"/>
            <w:vAlign w:val="bottom"/>
            <w:tcBorders>
              <w:top w:val="single" w:sz="8" w:color="DBDBDB"/>
              <w:bottom w:val="single" w:sz="8" w:color="4C639D"/>
            </w:tcBorders>
            <w:shd w:val="clear" w:color="auto" w:fill="4C639D"/>
          </w:tcPr>
          <w:p>
            <w:pPr>
              <w:spacing w:after="0"/>
              <w:rPr>
                <w:sz w:val="17"/>
                <w:szCs w:val="17"/>
                <w:color w:val="auto"/>
              </w:rPr>
            </w:pPr>
          </w:p>
        </w:tc>
        <w:tc>
          <w:tcPr>
            <w:tcW w:w="32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1,040</w:t>
            </w:r>
          </w:p>
        </w:tc>
      </w:tr>
      <w:tr>
        <w:trPr>
          <w:trHeight w:val="196"/>
        </w:trPr>
        <w:tc>
          <w:tcPr>
            <w:tcW w:w="1080" w:type="dxa"/>
            <w:vAlign w:val="bottom"/>
            <w:tcBorders>
              <w:top w:val="single" w:sz="8" w:color="DBDBDB"/>
              <w:bottom w:val="single" w:sz="8" w:color="4C639D"/>
            </w:tcBorders>
            <w:shd w:val="clear" w:color="auto" w:fill="4C639D"/>
          </w:tcPr>
          <w:p>
            <w:pPr>
              <w:spacing w:after="0"/>
              <w:rPr>
                <w:sz w:val="17"/>
                <w:szCs w:val="17"/>
                <w:color w:val="auto"/>
              </w:rPr>
            </w:pPr>
          </w:p>
        </w:tc>
        <w:tc>
          <w:tcPr>
            <w:tcW w:w="40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1,618</w:t>
            </w:r>
          </w:p>
        </w:tc>
        <w:tc>
          <w:tcPr>
            <w:tcW w:w="100" w:type="dxa"/>
            <w:vAlign w:val="bottom"/>
            <w:tcBorders>
              <w:top w:val="single" w:sz="8" w:color="DBDBDB"/>
            </w:tcBorders>
          </w:tcPr>
          <w:p>
            <w:pPr>
              <w:spacing w:after="0"/>
              <w:rPr>
                <w:sz w:val="17"/>
                <w:szCs w:val="17"/>
                <w:color w:val="auto"/>
              </w:rPr>
            </w:pPr>
          </w:p>
        </w:tc>
        <w:tc>
          <w:tcPr>
            <w:tcW w:w="1160" w:type="dxa"/>
            <w:vAlign w:val="bottom"/>
            <w:tcBorders>
              <w:top w:val="single" w:sz="8" w:color="DBDBDB"/>
              <w:bottom w:val="single" w:sz="8" w:color="4C639D"/>
            </w:tcBorders>
            <w:shd w:val="clear" w:color="auto" w:fill="4C639D"/>
          </w:tcPr>
          <w:p>
            <w:pPr>
              <w:spacing w:after="0"/>
              <w:rPr>
                <w:sz w:val="17"/>
                <w:szCs w:val="17"/>
                <w:color w:val="auto"/>
              </w:rPr>
            </w:pPr>
          </w:p>
        </w:tc>
        <w:tc>
          <w:tcPr>
            <w:tcW w:w="32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1,618</w:t>
            </w:r>
          </w:p>
        </w:tc>
      </w:tr>
      <w:tr>
        <w:trPr>
          <w:trHeight w:val="196"/>
        </w:trPr>
        <w:tc>
          <w:tcPr>
            <w:tcW w:w="1080" w:type="dxa"/>
            <w:vAlign w:val="bottom"/>
            <w:tcBorders>
              <w:top w:val="single" w:sz="8" w:color="DBDBDB"/>
              <w:bottom w:val="single" w:sz="8" w:color="4C639D"/>
            </w:tcBorders>
            <w:shd w:val="clear" w:color="auto" w:fill="4C639D"/>
          </w:tcPr>
          <w:p>
            <w:pPr>
              <w:spacing w:after="0"/>
              <w:rPr>
                <w:sz w:val="17"/>
                <w:szCs w:val="17"/>
                <w:color w:val="auto"/>
              </w:rPr>
            </w:pPr>
          </w:p>
        </w:tc>
        <w:tc>
          <w:tcPr>
            <w:tcW w:w="40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24</w:t>
            </w:r>
          </w:p>
        </w:tc>
        <w:tc>
          <w:tcPr>
            <w:tcW w:w="100" w:type="dxa"/>
            <w:vAlign w:val="bottom"/>
            <w:tcBorders>
              <w:top w:val="single" w:sz="8" w:color="DBDBDB"/>
            </w:tcBorders>
          </w:tcPr>
          <w:p>
            <w:pPr>
              <w:spacing w:after="0"/>
              <w:rPr>
                <w:sz w:val="17"/>
                <w:szCs w:val="17"/>
                <w:color w:val="auto"/>
              </w:rPr>
            </w:pPr>
          </w:p>
        </w:tc>
        <w:tc>
          <w:tcPr>
            <w:tcW w:w="1160" w:type="dxa"/>
            <w:vAlign w:val="bottom"/>
            <w:tcBorders>
              <w:top w:val="single" w:sz="8" w:color="DBDBDB"/>
              <w:bottom w:val="single" w:sz="8" w:color="4C639D"/>
            </w:tcBorders>
            <w:shd w:val="clear" w:color="auto" w:fill="4C639D"/>
          </w:tcPr>
          <w:p>
            <w:pPr>
              <w:spacing w:after="0"/>
              <w:rPr>
                <w:sz w:val="17"/>
                <w:szCs w:val="17"/>
                <w:color w:val="auto"/>
              </w:rPr>
            </w:pPr>
          </w:p>
        </w:tc>
        <w:tc>
          <w:tcPr>
            <w:tcW w:w="3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(28)</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(4)</w:t>
            </w:r>
          </w:p>
        </w:tc>
      </w:tr>
      <w:tr>
        <w:trPr>
          <w:trHeight w:val="196"/>
        </w:trPr>
        <w:tc>
          <w:tcPr>
            <w:tcW w:w="1080" w:type="dxa"/>
            <w:vAlign w:val="bottom"/>
            <w:tcBorders>
              <w:top w:val="single" w:sz="8" w:color="DBDBDB"/>
              <w:bottom w:val="single" w:sz="8" w:color="4C639D"/>
            </w:tcBorders>
            <w:shd w:val="clear" w:color="auto" w:fill="4C639D"/>
          </w:tcPr>
          <w:p>
            <w:pPr>
              <w:spacing w:after="0"/>
              <w:rPr>
                <w:sz w:val="17"/>
                <w:szCs w:val="17"/>
                <w:color w:val="auto"/>
              </w:rPr>
            </w:pPr>
          </w:p>
        </w:tc>
        <w:tc>
          <w:tcPr>
            <w:tcW w:w="40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(172)</w:t>
            </w:r>
          </w:p>
        </w:tc>
        <w:tc>
          <w:tcPr>
            <w:tcW w:w="100" w:type="dxa"/>
            <w:vAlign w:val="bottom"/>
            <w:tcBorders>
              <w:top w:val="single" w:sz="8" w:color="DBDBDB"/>
            </w:tcBorders>
          </w:tcPr>
          <w:p>
            <w:pPr>
              <w:spacing w:after="0"/>
              <w:rPr>
                <w:sz w:val="17"/>
                <w:szCs w:val="17"/>
                <w:color w:val="auto"/>
              </w:rPr>
            </w:pPr>
          </w:p>
        </w:tc>
        <w:tc>
          <w:tcPr>
            <w:tcW w:w="1160" w:type="dxa"/>
            <w:vAlign w:val="bottom"/>
            <w:tcBorders>
              <w:top w:val="single" w:sz="8" w:color="DBDBDB"/>
              <w:bottom w:val="single" w:sz="8" w:color="4C639D"/>
            </w:tcBorders>
            <w:shd w:val="clear" w:color="auto" w:fill="4C639D"/>
          </w:tcPr>
          <w:p>
            <w:pPr>
              <w:spacing w:after="0"/>
              <w:rPr>
                <w:sz w:val="17"/>
                <w:szCs w:val="17"/>
                <w:color w:val="auto"/>
              </w:rPr>
            </w:pPr>
          </w:p>
        </w:tc>
        <w:tc>
          <w:tcPr>
            <w:tcW w:w="32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172</w:t>
            </w:r>
          </w:p>
        </w:tc>
        <w:tc>
          <w:tcPr>
            <w:tcW w:w="100" w:type="dxa"/>
            <w:vAlign w:val="bottom"/>
            <w:tcBorders>
              <w:top w:val="single" w:sz="8" w:color="DBDBDB"/>
            </w:tcBorders>
          </w:tcPr>
          <w:p>
            <w:pPr>
              <w:spacing w:after="0"/>
              <w:rPr>
                <w:sz w:val="17"/>
                <w:szCs w:val="17"/>
                <w:color w:val="auto"/>
              </w:rPr>
            </w:pPr>
          </w:p>
        </w:tc>
        <w:tc>
          <w:tcPr>
            <w:tcW w:w="1480" w:type="dxa"/>
            <w:vAlign w:val="bottom"/>
            <w:tcBorders>
              <w:top w:val="single" w:sz="8" w:color="DBDBDB"/>
              <w:bottom w:val="single" w:sz="8" w:color="4C639D"/>
            </w:tcBorders>
            <w:shd w:val="clear" w:color="auto" w:fill="4C639D"/>
          </w:tcPr>
          <w:p>
            <w:pPr>
              <w:jc w:val="right"/>
              <w:ind w:right="6"/>
              <w:spacing w:after="0"/>
              <w:rPr>
                <w:sz w:val="20"/>
                <w:szCs w:val="20"/>
                <w:color w:val="auto"/>
              </w:rPr>
            </w:pPr>
            <w:r>
              <w:rPr>
                <w:rFonts w:ascii="Arial" w:cs="Arial" w:eastAsia="Arial" w:hAnsi="Arial"/>
                <w:sz w:val="11"/>
                <w:szCs w:val="11"/>
                <w:b w:val="1"/>
                <w:bCs w:val="1"/>
                <w:color w:val="FFFFFF"/>
              </w:rPr>
              <w:t>—</w:t>
            </w:r>
          </w:p>
        </w:tc>
      </w:tr>
      <w:tr>
        <w:trPr>
          <w:trHeight w:val="176"/>
        </w:trPr>
        <w:tc>
          <w:tcPr>
            <w:tcW w:w="1080" w:type="dxa"/>
            <w:vAlign w:val="bottom"/>
            <w:tcBorders>
              <w:top w:val="single" w:sz="8" w:color="DBDBDB"/>
              <w:bottom w:val="single" w:sz="8" w:color="4C639D"/>
            </w:tcBorders>
            <w:shd w:val="clear" w:color="auto" w:fill="4C639D"/>
          </w:tcPr>
          <w:p>
            <w:pPr>
              <w:spacing w:after="0"/>
              <w:rPr>
                <w:sz w:val="15"/>
                <w:szCs w:val="15"/>
                <w:color w:val="auto"/>
              </w:rPr>
            </w:pPr>
          </w:p>
        </w:tc>
        <w:tc>
          <w:tcPr>
            <w:tcW w:w="40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(639)</w:t>
            </w:r>
          </w:p>
        </w:tc>
        <w:tc>
          <w:tcPr>
            <w:tcW w:w="100" w:type="dxa"/>
            <w:vAlign w:val="bottom"/>
            <w:tcBorders>
              <w:top w:val="single" w:sz="8" w:color="DBDBDB"/>
            </w:tcBorders>
          </w:tcPr>
          <w:p>
            <w:pPr>
              <w:spacing w:after="0"/>
              <w:rPr>
                <w:sz w:val="15"/>
                <w:szCs w:val="15"/>
                <w:color w:val="auto"/>
              </w:rPr>
            </w:pPr>
          </w:p>
        </w:tc>
        <w:tc>
          <w:tcPr>
            <w:tcW w:w="1160" w:type="dxa"/>
            <w:vAlign w:val="bottom"/>
            <w:tcBorders>
              <w:top w:val="single" w:sz="8" w:color="DBDBDB"/>
              <w:bottom w:val="single" w:sz="8" w:color="4C639D"/>
            </w:tcBorders>
            <w:shd w:val="clear" w:color="auto" w:fill="4C639D"/>
          </w:tcPr>
          <w:p>
            <w:pPr>
              <w:spacing w:after="0"/>
              <w:rPr>
                <w:sz w:val="15"/>
                <w:szCs w:val="15"/>
                <w:color w:val="auto"/>
              </w:rPr>
            </w:pPr>
          </w:p>
        </w:tc>
        <w:tc>
          <w:tcPr>
            <w:tcW w:w="32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(18)</w:t>
            </w:r>
          </w:p>
        </w:tc>
        <w:tc>
          <w:tcPr>
            <w:tcW w:w="100" w:type="dxa"/>
            <w:vAlign w:val="bottom"/>
            <w:tcBorders>
              <w:top w:val="single" w:sz="8" w:color="DBDBDB"/>
            </w:tcBorders>
          </w:tcPr>
          <w:p>
            <w:pPr>
              <w:spacing w:after="0"/>
              <w:rPr>
                <w:sz w:val="15"/>
                <w:szCs w:val="15"/>
                <w:color w:val="auto"/>
              </w:rPr>
            </w:pPr>
          </w:p>
        </w:tc>
        <w:tc>
          <w:tcPr>
            <w:tcW w:w="1480" w:type="dxa"/>
            <w:vAlign w:val="bottom"/>
            <w:tcBorders>
              <w:top w:val="single" w:sz="8" w:color="DBDBDB"/>
              <w:bottom w:val="single" w:sz="8" w:color="4C639D"/>
            </w:tcBorders>
            <w:shd w:val="clear" w:color="auto" w:fill="4C639D"/>
          </w:tcPr>
          <w:p>
            <w:pPr>
              <w:jc w:val="right"/>
              <w:spacing w:after="0"/>
              <w:rPr>
                <w:sz w:val="20"/>
                <w:szCs w:val="20"/>
                <w:color w:val="auto"/>
              </w:rPr>
            </w:pPr>
            <w:r>
              <w:rPr>
                <w:rFonts w:ascii="Arial" w:cs="Arial" w:eastAsia="Arial" w:hAnsi="Arial"/>
                <w:sz w:val="11"/>
                <w:szCs w:val="11"/>
                <w:b w:val="1"/>
                <w:bCs w:val="1"/>
                <w:color w:val="FFFFFF"/>
              </w:rPr>
              <w:t>(657)</w:t>
            </w:r>
          </w:p>
        </w:tc>
      </w:tr>
      <w:tr>
        <w:trPr>
          <w:trHeight w:val="20"/>
        </w:trPr>
        <w:tc>
          <w:tcPr>
            <w:tcW w:w="1080" w:type="dxa"/>
            <w:vAlign w:val="bottom"/>
            <w:shd w:val="clear" w:color="auto" w:fill="143A84"/>
          </w:tcPr>
          <w:p>
            <w:pPr>
              <w:spacing w:after="0" w:line="20" w:lineRule="exact"/>
              <w:rPr>
                <w:sz w:val="1"/>
                <w:szCs w:val="1"/>
                <w:color w:val="auto"/>
              </w:rPr>
            </w:pPr>
          </w:p>
        </w:tc>
        <w:tc>
          <w:tcPr>
            <w:tcW w:w="400" w:type="dxa"/>
            <w:vAlign w:val="bottom"/>
            <w:shd w:val="clear" w:color="auto" w:fill="143A84"/>
          </w:tcPr>
          <w:p>
            <w:pPr>
              <w:spacing w:after="0" w:line="20" w:lineRule="exact"/>
              <w:rPr>
                <w:sz w:val="1"/>
                <w:szCs w:val="1"/>
                <w:color w:val="auto"/>
              </w:rPr>
            </w:pPr>
          </w:p>
        </w:tc>
        <w:tc>
          <w:tcPr>
            <w:tcW w:w="100" w:type="dxa"/>
            <w:vAlign w:val="bottom"/>
            <w:shd w:val="clear" w:color="auto" w:fill="143A84"/>
          </w:tcPr>
          <w:p>
            <w:pPr>
              <w:spacing w:after="0" w:line="20" w:lineRule="exact"/>
              <w:rPr>
                <w:sz w:val="1"/>
                <w:szCs w:val="1"/>
                <w:color w:val="auto"/>
              </w:rPr>
            </w:pPr>
          </w:p>
        </w:tc>
        <w:tc>
          <w:tcPr>
            <w:tcW w:w="1160" w:type="dxa"/>
            <w:vAlign w:val="bottom"/>
            <w:shd w:val="clear" w:color="auto" w:fill="143A84"/>
          </w:tcPr>
          <w:p>
            <w:pPr>
              <w:spacing w:after="0" w:line="20" w:lineRule="exact"/>
              <w:rPr>
                <w:sz w:val="1"/>
                <w:szCs w:val="1"/>
                <w:color w:val="auto"/>
              </w:rPr>
            </w:pPr>
          </w:p>
        </w:tc>
        <w:tc>
          <w:tcPr>
            <w:tcW w:w="320" w:type="dxa"/>
            <w:vAlign w:val="bottom"/>
            <w:shd w:val="clear" w:color="auto" w:fill="143A84"/>
          </w:tcPr>
          <w:p>
            <w:pPr>
              <w:spacing w:after="0" w:line="20" w:lineRule="exact"/>
              <w:rPr>
                <w:sz w:val="1"/>
                <w:szCs w:val="1"/>
                <w:color w:val="auto"/>
              </w:rPr>
            </w:pPr>
          </w:p>
        </w:tc>
        <w:tc>
          <w:tcPr>
            <w:tcW w:w="100" w:type="dxa"/>
            <w:vAlign w:val="bottom"/>
            <w:shd w:val="clear" w:color="auto" w:fill="143A84"/>
          </w:tcPr>
          <w:p>
            <w:pPr>
              <w:spacing w:after="0" w:line="20" w:lineRule="exact"/>
              <w:rPr>
                <w:sz w:val="1"/>
                <w:szCs w:val="1"/>
                <w:color w:val="auto"/>
              </w:rPr>
            </w:pPr>
          </w:p>
        </w:tc>
        <w:tc>
          <w:tcPr>
            <w:tcW w:w="1480" w:type="dxa"/>
            <w:vAlign w:val="bottom"/>
            <w:shd w:val="clear" w:color="auto" w:fill="143A84"/>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80"/>
            <w:col w:w="4640"/>
          </w:cols>
          <w:pgMar w:left="320" w:top="1440" w:right="339" w:bottom="1440" w:gutter="0" w:footer="0" w:header="0"/>
          <w:type w:val="continuous"/>
        </w:sectPr>
      </w:pPr>
    </w:p>
    <w:p>
      <w:pPr>
        <w:spacing w:after="0" w:line="101" w:lineRule="exact"/>
        <w:rPr>
          <w:sz w:val="20"/>
          <w:szCs w:val="20"/>
          <w:color w:val="auto"/>
        </w:rPr>
      </w:pPr>
    </w:p>
    <w:p>
      <w:pPr>
        <w:jc w:val="both"/>
        <w:ind w:firstLine="8"/>
        <w:spacing w:after="0" w:line="266"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Industrial net financial position is calculated as Debt plus derivative financial liabilities related to industrial activities less (i) cash and cash equivalents, (ii) financial securities that are considered liquid, (iii) current financial receivables from the Company or its jointly controlled financial services entities and (iv) derivative financial assets and collateral deposits. Therefore, debt, cash and cash equivalents and other financial assets/ liabilities pertaining to Stellantis’ financial services entities are excluded from the computation of the Industrial net financial position. Industrial net financial position includes the Industrial net financial position classified as held for sale.</w:t>
      </w:r>
    </w:p>
    <w:p>
      <w:pPr>
        <w:spacing w:after="0" w:line="2" w:lineRule="exact"/>
        <w:rPr>
          <w:rFonts w:ascii="Arial" w:cs="Arial" w:eastAsia="Arial" w:hAnsi="Arial"/>
          <w:sz w:val="14"/>
          <w:szCs w:val="14"/>
          <w:color w:val="auto"/>
        </w:rPr>
      </w:pPr>
    </w:p>
    <w:p>
      <w:pPr>
        <w:ind w:firstLine="8"/>
        <w:spacing w:after="0" w:line="264" w:lineRule="auto"/>
        <w:tabs>
          <w:tab w:leader="none" w:pos="303"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Financial securities are comprised of short term or marketable securities which represent temporary investments but do not satisfy all the requirements to be classified as cash equivalents as they may be subject to risk of change in value (even if they are short-term in nature or marketable).</w:t>
      </w: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Rankings, market share and other industry information are derived from third-party industry sources (e.g. Agence Nationale des Titres Sécurisés (ANTS), Associação Nacional dos Fabricantes de Veículos Automotores (ANFAVEA), Ministry of Infrastructure and Sustainable Mobility (MIMS), S&amp;P Global, Ward’s Automotive) and internal information unless otherwise stated.</w:t>
      </w:r>
    </w:p>
    <w:p>
      <w:pPr>
        <w:spacing w:after="0" w:line="159"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For purposes of this document, and unless otherwise stated industry and market share information are for passenger cars (PC) plus light commercial vehicles (LCV), except as noted below:</w:t>
      </w:r>
    </w:p>
    <w:p>
      <w:pPr>
        <w:spacing w:after="0" w:line="18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Enlarged Europe excludes Russia and Belarus;</w:t>
      </w:r>
    </w:p>
    <w:p>
      <w:pPr>
        <w:spacing w:after="0" w:line="28"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Middle East &amp; Africa excludes Iran and Sudan in all periods presented, and Syria in 2025 only;</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South America excludes Cuba; and</w:t>
      </w:r>
    </w:p>
    <w:p>
      <w:pPr>
        <w:spacing w:after="0" w:line="1" w:lineRule="exact"/>
        <w:rPr>
          <w:rFonts w:ascii="Arial" w:cs="Arial" w:eastAsia="Arial" w:hAnsi="Arial"/>
          <w:sz w:val="14"/>
          <w:szCs w:val="14"/>
          <w:color w:val="auto"/>
        </w:rPr>
      </w:pPr>
    </w:p>
    <w:p>
      <w:pPr>
        <w:ind w:left="660" w:hanging="328"/>
        <w:spacing w:after="0" w:line="284" w:lineRule="auto"/>
        <w:tabs>
          <w:tab w:leader="none" w:pos="6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Asia Pacific reflects aggregate for major markets where Stellantis competes including China (PC only) including licensed sales from Dongfeng Peugeot Citroën Automobiles, Japan (PC), India (PC), South Korea (PC + Pickups), Australia, New Zealand and South East Asia.</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Certain totals in the tables included in this report may not add due to rounding.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Prior period figures have been updated to reflect current information provided by third-party industry sources.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EU30 = EU 27 (excluding Malta), Iceland, Norway, Switzerland and UK.</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Low emission vehicles (LEV) = battery electric (BEV), plug-in hybrid (PHEV), range-extender electric vehicle (REEV) and fuel cell electric (FCEV) vehicles.</w:t>
      </w:r>
    </w:p>
    <w:p>
      <w:pPr>
        <w:spacing w:after="0" w:line="177"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All Stellantis reported BEV and LEV sales include Citroën Ami, Opel Rocks-e and Fiat Topolino; in countries where these vehicles are classified as quadricycles, they are excluded from Stellantis reported combined sales, industry sales and market share figures.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12</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88900</wp:posOffset>
            </wp:positionV>
            <wp:extent cx="2186305" cy="617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186305" cy="61722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35"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auto"/>
        </w:rPr>
        <w:t>This document, in particular references to “FY 2026 Financial Guidance”, contains forward looking statements. In particular, statements regarding future financial performance and the Company’s expectations as to the achievement of certain targeted metrics, including revenues, industrial free cash flows, vehicle shipments, capital investments, research and development costs and other expenses at any future date or for any future period are forward-looking statements. These statements may include terms such as “may”, “will”, “expect”, “could”, “should”, “intend”, “estimate”, “anticipate”, “believe”, “remain”, “on track”, “design”, “target”, “objective”, “goal”, “forecast”, “projection”, “outlook”, “prospects”, “plan”, or similar terms. Forward-looking statements are not guarantees of future performance. Rather, they are based on the Company’s current state of knowledge, future expectations and projections about future events and are by their nature, subject to inherent risks and uncertainties. They relate to events and depend on circumstances that may or may not occur or exist in the future and, as such, undue reliance should not be placed on them.</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Actual results may differ materially from those expressed in forward-looking statements as a result of a variety of factors, including: the Company’s ability to maintain vehicle shipment volumes; changes in the global financial markets, general economic environment and changes in demand for automotive products, which is subject to cyclicality; changes in trade policy, the imposition of global and regional tariffs targeted to the automotive industry; the Company’s ability to accurately predict the market demand for electrified vehicles; the Company’s ability to offer innovative, attractive products; a significant malfunction, disruption or security breach compromising information technology systems or the electronic control systems contained in the Company’s vehicles; the Company's ability to attract and retain experienced management and employees; exchange rate fluctuations, interest rate changes, credit risk and other market risks; increases in costs, disruptions of supply or shortages of raw materials, parts, components and systems used in the Company’s vehicles; changes in local economic and political conditions; the enactment of tax reforms or other changes in tax laws and regulations; the level of governmental economic incentives available to support the adoption of battery electric vehicles; the impact of increasingly stringent regulations regarding fuel efficiency and greenhouse gas and tailpipe emissions; various types of claims, lawsuits, governmental investigations and other contingencies, including product liability and warranty claims and environmental claims, investigations and lawsuits; material operating expenditures in relation to compliance with environmental, health and safety regulations; the level of competition in the automotive industry, which may increase due to consolidation and new entrants; exposure to shortfalls in the funding of the Company’s defined benefit pension plans; the Company’s ability to provide or arrange for access to adequate financing for dealers and retail customers; risks related to the operations of financial services companies; the Company’s ability to access funding to execute its business plan; the Company’s ability to realize anticipated benefits from joint venture arrangements; disruptions arising from political, social and economic instability; risks associated with the Company’s relationships with employees, dealers and suppliers; the Company’s ability to maintain effective internal controls over financial reporting; developments in labor and industrial relations and developments in applicable labor laws; earthquakes or other disasters; and other risks and uncertainties.</w:t>
      </w:r>
    </w:p>
    <w:p>
      <w:pPr>
        <w:spacing w:after="0" w:line="37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Any forward-looking statements contained in this document speak only as of the date of this document and the Company disclaims any obligation to update or revise publicly forward looking statements. Further information concerning the Company and its businesses, including factors that could materially affect the Company’s financial results, is included in the Company’s reports and filings with the U.S. Securities and Exchange Commission and AFM.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upperLetter"/>
      <w:start w:val="1"/>
    </w:lvl>
  </w:abstractNum>
  <w:abstractNum w:abstractNumId="11">
    <w:nsid w:val="6B68079A"/>
    <w:multiLevelType w:val="hybridMultilevel"/>
    <w:lvl w:ilvl="0">
      <w:lvlJc w:val="left"/>
      <w:lvlText w:val="(%1)"/>
      <w:numFmt w:val="upperLetter"/>
      <w:start w:val="1"/>
    </w:lvl>
  </w:abstractNum>
  <w:abstractNum w:abstractNumId="12">
    <w:nsid w:val="4E6AFB66"/>
    <w:multiLevelType w:val="hybridMultilevel"/>
    <w:lvl w:ilvl="0">
      <w:lvlJc w:val="left"/>
      <w:lvlText w:val="(%1)"/>
      <w:numFmt w:val="upperLetter"/>
      <w:start w:val="1"/>
    </w:lvl>
  </w:abstractNum>
  <w:abstractNum w:abstractNumId="13">
    <w:nsid w:val="25E45D32"/>
    <w:multiLevelType w:val="hybridMultilevel"/>
    <w:lvl w:ilvl="0">
      <w:lvlJc w:val="left"/>
      <w:lvlText w:val="(%1)"/>
      <w:numFmt w:val="upperLetter"/>
      <w:start w:val="7"/>
    </w:lvl>
  </w:abstractNum>
  <w:abstractNum w:abstractNumId="14">
    <w:nsid w:val="519B500D"/>
    <w:multiLevelType w:val="hybridMultilevel"/>
    <w:lvl w:ilvl="0">
      <w:lvlJc w:val="left"/>
      <w:lvlText w:val="(%1)"/>
      <w:numFmt w:val="upperLetter"/>
      <w:start w:val="1"/>
    </w:lvl>
  </w:abstractNum>
  <w:abstractNum w:abstractNumId="15">
    <w:nsid w:val="431BD7B7"/>
    <w:multiLevelType w:val="hybridMultilevel"/>
    <w:lvl w:ilvl="0">
      <w:lvlJc w:val="left"/>
      <w:lvlText w:val="(%1)"/>
      <w:numFmt w:val="upp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9"/>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2026-10-28T10:19:44Z</dcterms:created>
  <dcterms:modified xsi:type="dcterms:W3CDTF">2026-10-28T10:19:44Z</dcterms:modified>
</cp:coreProperties>
</file>